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20-F</w:t>
      </w:r>
    </w:p>
    <w:p>
      <w:pPr>
        <w:spacing w:after="0" w:line="290" w:lineRule="exact"/>
        <w:rPr>
          <w:sz w:val="24"/>
          <w:szCs w:val="24"/>
          <w:color w:val="auto"/>
        </w:rPr>
      </w:pPr>
    </w:p>
    <w:p>
      <w:pPr>
        <w:ind w:left="1500" w:hanging="344"/>
        <w:spacing w:after="0"/>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spacing w:after="0" w:line="306"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OR</w:t>
      </w:r>
    </w:p>
    <w:p>
      <w:pPr>
        <w:spacing w:after="0" w:line="279" w:lineRule="exact"/>
        <w:rPr>
          <w:sz w:val="24"/>
          <w:szCs w:val="24"/>
          <w:color w:val="auto"/>
        </w:rPr>
      </w:pPr>
    </w:p>
    <w:p>
      <w:pPr>
        <w:ind w:left="4260" w:right="1580" w:hanging="3104"/>
        <w:spacing w:after="0" w:line="579" w:lineRule="auto"/>
        <w:tabs>
          <w:tab w:leader="none" w:pos="14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2006</w:t>
      </w:r>
    </w:p>
    <w:p>
      <w:pPr>
        <w:ind w:left="5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79" w:lineRule="exact"/>
        <w:rPr>
          <w:sz w:val="24"/>
          <w:szCs w:val="24"/>
          <w:color w:val="auto"/>
        </w:rPr>
      </w:pPr>
    </w:p>
    <w:p>
      <w:pPr>
        <w:jc w:val="center"/>
        <w:ind w:left="5760" w:right="1280" w:hanging="4604"/>
        <w:spacing w:after="0" w:line="579" w:lineRule="auto"/>
        <w:tabs>
          <w:tab w:leader="none" w:pos="15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OR</w:t>
      </w:r>
    </w:p>
    <w:p>
      <w:pPr>
        <w:ind w:left="3280" w:right="840" w:hanging="2124"/>
        <w:spacing w:after="0" w:line="579" w:lineRule="auto"/>
        <w:tabs>
          <w:tab w:leader="none" w:pos="14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SHELL COMPANY REPORT PURSUANT TO SECTION 13 OR 15 (d) OF THE SECURITIES EXCHANGE ACT OF 1934 Date of event requiring this shell company report ______________</w:t>
      </w:r>
    </w:p>
    <w:p>
      <w:pPr>
        <w:ind w:left="3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transition period from ____________ to ____________</w:t>
      </w:r>
    </w:p>
    <w:p>
      <w:pPr>
        <w:spacing w:after="0" w:line="279" w:lineRule="exact"/>
        <w:rPr>
          <w:rFonts w:ascii="Times New Roman" w:cs="Times New Roman" w:eastAsia="Times New Roman" w:hAnsi="Times New Roman"/>
          <w:sz w:val="18"/>
          <w:szCs w:val="18"/>
          <w:color w:val="auto"/>
        </w:rPr>
      </w:pPr>
    </w:p>
    <w:p>
      <w:pPr>
        <w:ind w:left="4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file number 1-14014</w:t>
      </w:r>
    </w:p>
    <w:p>
      <w:pPr>
        <w:spacing w:after="0" w:line="2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Lima 12, Perú</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243840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46"/>
        </w:trPr>
        <w:tc>
          <w:tcPr>
            <w:tcW w:w="15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60" w:type="dxa"/>
            <w:vAlign w:val="bottom"/>
          </w:tcPr>
          <w:p>
            <w:pPr>
              <w:spacing w:after="0"/>
              <w:rPr>
                <w:sz w:val="24"/>
                <w:szCs w:val="24"/>
                <w:color w:val="auto"/>
              </w:rPr>
            </w:pPr>
          </w:p>
        </w:tc>
        <w:tc>
          <w:tcPr>
            <w:tcW w:w="35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tcBorders>
              <w:bottom w:val="single" w:sz="8" w:color="auto"/>
            </w:tcBorders>
            <w:shd w:val="clear" w:color="auto" w:fill="000000"/>
          </w:tcPr>
          <w:p>
            <w:pPr>
              <w:spacing w:after="0" w:line="20" w:lineRule="exact"/>
              <w:rPr>
                <w:sz w:val="1"/>
                <w:szCs w:val="1"/>
                <w:color w:val="auto"/>
              </w:rPr>
            </w:pPr>
          </w:p>
        </w:tc>
      </w:tr>
      <w:tr>
        <w:trPr>
          <w:trHeight w:val="217"/>
        </w:trPr>
        <w:tc>
          <w:tcPr>
            <w:tcW w:w="6040" w:type="dxa"/>
            <w:vAlign w:val="bottom"/>
            <w:gridSpan w:val="3"/>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w w:val="99"/>
              </w:rPr>
              <w:t>Common Shares, par value $5.00 per share</w:t>
            </w:r>
          </w:p>
        </w:tc>
        <w:tc>
          <w:tcPr>
            <w:tcW w:w="20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r>
        <w:trPr>
          <w:trHeight w:val="468"/>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4"/>
        </w:trPr>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None</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4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3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color w:val="auto"/>
        </w:rPr>
        <w:t>None</w:t>
      </w:r>
    </w:p>
    <w:p>
      <w:pPr>
        <w:spacing w:after="0" w:line="257" w:lineRule="exact"/>
        <w:rPr>
          <w:sz w:val="24"/>
          <w:szCs w:val="24"/>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Indicate the number of outstanding shares of each of the issuer’s classes of capital or common stock as of the close of the period covered by the annual report.</w:t>
      </w:r>
    </w:p>
    <w:p>
      <w:pPr>
        <w:spacing w:after="0" w:line="213"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par value $5.00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94,382,317</w:t>
            </w:r>
          </w:p>
        </w:tc>
      </w:tr>
    </w:tbl>
    <w:p>
      <w:pPr>
        <w:spacing w:after="0" w:line="24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Indicate by check mark if the registrant is a well-known seasoned issuer, as defined in Rule 405 of the Securities Act.</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Yes x No o</w:t>
      </w:r>
    </w:p>
    <w:p>
      <w:pPr>
        <w:spacing w:after="0" w:line="275" w:lineRule="exact"/>
        <w:rPr>
          <w:sz w:val="24"/>
          <w:szCs w:val="24"/>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2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Yes o No x</w:t>
      </w:r>
    </w:p>
    <w:p>
      <w:pPr>
        <w:sectPr>
          <w:pgSz w:w="11900" w:h="16838" w:orient="portrait"/>
          <w:cols w:equalWidth="0" w:num="1">
            <w:col w:w="11300"/>
          </w:cols>
          <w:pgMar w:left="240" w:top="581" w:right="359" w:bottom="90" w:gutter="0" w:footer="0" w:header="0"/>
        </w:sectPr>
      </w:pPr>
    </w:p>
    <w:bookmarkStart w:id="1" w:name="page2"/>
    <w:bookmarkEnd w:id="1"/>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Yes x No o</w:t>
      </w:r>
    </w:p>
    <w:p>
      <w:pPr>
        <w:spacing w:after="0" w:line="27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13" w:lineRule="exact"/>
        <w:rPr>
          <w:sz w:val="20"/>
          <w:szCs w:val="20"/>
          <w:color w:val="auto"/>
        </w:rPr>
      </w:pPr>
    </w:p>
    <w:p>
      <w:pPr>
        <w:ind w:left="2500"/>
        <w:spacing w:after="0"/>
        <w:tabs>
          <w:tab w:leader="none" w:pos="4260" w:val="left"/>
          <w:tab w:leader="none" w:pos="5020" w:val="left"/>
          <w:tab w:leader="none" w:pos="6400" w:val="left"/>
          <w:tab w:leader="none" w:pos="7160" w:val="left"/>
        </w:tabs>
        <w:rPr>
          <w:sz w:val="20"/>
          <w:szCs w:val="20"/>
          <w:color w:val="auto"/>
        </w:rPr>
      </w:pPr>
      <w:r>
        <w:rPr>
          <w:rFonts w:ascii="Times New Roman" w:cs="Times New Roman" w:eastAsia="Times New Roman" w:hAnsi="Times New Roman"/>
          <w:sz w:val="18"/>
          <w:szCs w:val="18"/>
          <w:color w:val="auto"/>
        </w:rPr>
        <w:t>Large accelerated filer</w:t>
        <w:tab/>
        <w:t>x</w:t>
      </w:r>
      <w:r>
        <w:rPr>
          <w:sz w:val="20"/>
          <w:szCs w:val="20"/>
          <w:color w:val="auto"/>
        </w:rPr>
        <w:tab/>
      </w:r>
      <w:r>
        <w:rPr>
          <w:rFonts w:ascii="Times New Roman" w:cs="Times New Roman" w:eastAsia="Times New Roman" w:hAnsi="Times New Roman"/>
          <w:sz w:val="18"/>
          <w:szCs w:val="18"/>
          <w:color w:val="auto"/>
        </w:rPr>
        <w:t>Accelerated filer</w:t>
        <w:tab/>
        <w:t>o</w:t>
      </w:r>
      <w:r>
        <w:rPr>
          <w:sz w:val="20"/>
          <w:szCs w:val="20"/>
          <w:color w:val="auto"/>
        </w:rPr>
        <w:tab/>
      </w:r>
      <w:r>
        <w:rPr>
          <w:rFonts w:ascii="Times New Roman" w:cs="Times New Roman" w:eastAsia="Times New Roman" w:hAnsi="Times New Roman"/>
          <w:sz w:val="18"/>
          <w:szCs w:val="18"/>
          <w:color w:val="auto"/>
        </w:rPr>
        <w:t>Non-accelerated filer  o</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Indicate by check mark which financial statement item the registrant has elected to follow.</w:t>
      </w:r>
    </w:p>
    <w:p>
      <w:pPr>
        <w:spacing w:after="0" w:line="2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Item 17 o Item 18 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is an annual report, indicate by check mark whether the registrant is a shell company (as defined in Rule 12b-2 of the Exchange Act).</w:t>
      </w: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KEY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DIRECTORS, SENIOR MANAGEMENT AND EMPLOYEES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MAJOR SHAREHOLDERS AND RELATED PARTY TRANSACTIONS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 OFFER AND LISTING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 INFORMATION</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SECURITIES OTHER THAN EQUITY SECURITIES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DEFAULTS, DIVIDEND ARREARAGES AND DELINQUENCIES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 AND USE OF PROCEEDS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16A.</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16B.</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CODE OF ETHICS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16C.</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16D.</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16E.</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17.</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ITEM 18.</w:t>
            </w:r>
          </w:p>
        </w:tc>
        <w:tc>
          <w:tcPr>
            <w:tcW w:w="916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CREDICORP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16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3" w:name="page4"/>
    <w:bookmarkEnd w:id="3"/>
    <w:p>
      <w:pPr>
        <w:ind w:left="398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in this Form 20-F (the “Annual Report”) to “$,” “US$,” “Dollars” and “U.S. Dollars” are to United States dollars, references to “S/.,” “Nuevo Sol” or “Nuevos Soles” are to Peruvian Nuevos Soles and references to “foreign currency” are to U.S. Dollars. Each Nuevo Sol is divided into 100 céntimos (cents).</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29, as restated, to Credicorp’s consolidated financial statements for the years ended December 31, 2004, 2005 and 2006 (the “Credicorp Consolidated Financial Statements”) included elsewhere herein.</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2006, BCP, accounted for 69.7% of Credicorp’s total revenues, 82.2% of total assets, 88.3% of net income and 71.6% of shareholders’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“Item 3. Key Information—(A) Selected Financial Data” contains key information related to Credicorp’s performance. Such information was obtained mainly from Credicorp’s consolidated financial statements as of December 31, 2002, 2003, 2004, 2005 and 2006.</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3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S/.3.196= US$1.00, the December 31, 2006 exchange rate set by the Peruvian Superintendencia de Banca, Seguros y AFP (the Superintendency of Banks, Insurance and Pension Funds, or “SBS”). The average of the bid and offered free market exchange rates published by SBS for June 8, 2006 was S/.3.175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See also “Item 3. Key Information—</w:t>
      </w:r>
    </w:p>
    <w:p>
      <w:pPr>
        <w:spacing w:after="0" w:line="7" w:lineRule="exact"/>
        <w:rPr>
          <w:sz w:val="20"/>
          <w:szCs w:val="20"/>
          <w:color w:val="auto"/>
        </w:rPr>
      </w:pPr>
    </w:p>
    <w:p>
      <w:pPr>
        <w:ind w:right="20" w:firstLine="8"/>
        <w:spacing w:after="0" w:line="261"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ind w:left="2400"/>
        <w:spacing w:after="0"/>
        <w:rPr>
          <w:sz w:val="20"/>
          <w:szCs w:val="20"/>
          <w:color w:val="auto"/>
        </w:rPr>
      </w:pPr>
      <w:r>
        <w:rPr>
          <w:rFonts w:ascii="Times New Roman" w:cs="Times New Roman" w:eastAsia="Times New Roman" w:hAnsi="Times New Roman"/>
          <w:sz w:val="18"/>
          <w:szCs w:val="18"/>
          <w:b w:val="1"/>
          <w:bCs w:val="1"/>
          <w:color w:val="auto"/>
        </w:rPr>
        <w:t>CAUTIONARY STATEMENT WITH RESPECT TO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43"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 particular economic conditions in Peru;</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financial markets, including emerging markets;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insured loss events;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levels;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 including the Nuevo Sol/U.S. Dollar exchange rate;</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competition in Peru and other emerging markets;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central banks and/or foreign governments; and</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competitive factors, in each case on a global, regional and/or national basis.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3. Key Information—(D) Risk Factors,” and “Item 5. Operating and Financial Review and Prospects.”</w:t>
      </w:r>
    </w:p>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7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2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summary consolidated financial data as of, and for the years ended, December 31, 2002 are derived from the Credicorp Consolidated Financial Statements audited by Dongo-Soria Gaveglio y Asociados, a member firm of PricewaterhouseCoopers, independent auditors. The summary consolidated financial data as of, and for the years ended, December 31, 2003, 2004, 2005 and 2006 are derived from the Credicorp Consolidated Financial Statements audited by Medina, Zaldívar, Paredes &amp; Asociados, member of Ernst &amp; Young Global, independent registered public accountants.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report of Medina, Zaldívar, Paredes &amp; Asociados on the Credicorp Consolidated Financial Statements as of December 31, 2005 and 2006 and for the years ended December 31, 2004, 2005 and 2006 appears elsewhere in this Annual Report.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summary consolidated financial information presented below and the Credicorp Consolidated Financial Statements are prepared and presented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540" w:type="dxa"/>
            <w:vAlign w:val="bottom"/>
            <w:gridSpan w:val="5"/>
          </w:tcPr>
          <w:p>
            <w:pPr>
              <w:ind w:left="4440"/>
              <w:spacing w:after="0"/>
              <w:rPr>
                <w:sz w:val="20"/>
                <w:szCs w:val="20"/>
                <w:color w:val="auto"/>
              </w:rPr>
            </w:pPr>
            <w:r>
              <w:rPr>
                <w:rFonts w:ascii="Times New Roman" w:cs="Times New Roman" w:eastAsia="Times New Roman" w:hAnsi="Times New Roman"/>
                <w:sz w:val="18"/>
                <w:szCs w:val="18"/>
                <w:b w:val="1"/>
                <w:bCs w:val="1"/>
                <w:color w:val="auto"/>
              </w:rPr>
              <w:t>SELECTED FINANCIAL DATA</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6480" w:type="dxa"/>
            <w:vAlign w:val="bottom"/>
            <w:gridSpan w:val="10"/>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 ratios, and per common share data)</w:t>
            </w:r>
          </w:p>
        </w:tc>
        <w:tc>
          <w:tcPr>
            <w:tcW w:w="0" w:type="dxa"/>
            <w:vAlign w:val="bottom"/>
          </w:tcPr>
          <w:p>
            <w:pPr>
              <w:spacing w:after="0"/>
              <w:rPr>
                <w:sz w:val="1"/>
                <w:szCs w:val="1"/>
                <w:color w:val="auto"/>
              </w:rPr>
            </w:pPr>
          </w:p>
        </w:tc>
      </w:tr>
      <w:tr>
        <w:trPr>
          <w:trHeight w:val="194"/>
        </w:trPr>
        <w:tc>
          <w:tcPr>
            <w:tcW w:w="494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IFRS: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US$531,874</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US$548,285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US$542,842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US$612,432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US$782,002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(178,070)</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(163,580)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(160,298)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(173,159)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353,804</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384,705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382,544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439,273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498,524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 (1)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(99,596)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(66,421)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254,208</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318,284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366,413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445,629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502,767</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Fees and commissions from banking services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177,305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189,472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201,474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206,163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243,778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gains (losses) from sales of securities</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3,235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10,135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8,965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27,281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foreign exchange transactions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22,582</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23,681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24,165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29,286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41,638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125,218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125,115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192,672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218,955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251,261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23,227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21,571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26,197</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Claims on insurance activities</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(97,901)</w:t>
            </w:r>
          </w:p>
        </w:tc>
        <w:tc>
          <w:tcPr>
            <w:tcW w:w="13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(99,774)</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(154,325)</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(175,500)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(186,522)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(404,186)</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(430,373)</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(459,928)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(477,073)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(585,058)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Merger costs</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(18,587)</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(3,742)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translation result and income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87,780</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134,280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184,969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277,996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315,636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(2,482)</w:t>
            </w:r>
          </w:p>
        </w:tc>
        <w:tc>
          <w:tcPr>
            <w:tcW w:w="13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(3,675)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2,040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(9,597)</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15,216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(39,695)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(45,497)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(73,546)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(83,587)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90,910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141,512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194,853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247,265</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Credicorp’s equity holders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42,383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80,607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130,747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181,885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230,013</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Minority interests</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10,287</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10,303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10,765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12,968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17,252</w:t>
            </w: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per Common Share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0.40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0.80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44,238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85,710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122,454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230,123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175,024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0.55</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4"/>
        </w:trPr>
        <w:tc>
          <w:tcPr>
            <w:tcW w:w="4940" w:type="dxa"/>
            <w:vAlign w:val="bottom"/>
            <w:shd w:val="clear" w:color="auto" w:fill="CCFF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8,629,631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8,321,783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9,087,560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11,036,075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12,881,529</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 (4)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4,817,663</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4,481,496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4,559,018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4,972,975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5,877,361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loan losses (1)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(424,031)</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(326,677)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(271,873)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(218,636)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(210,586)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6,381,200</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5,976,506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6,270,972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7,067,754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8,799,134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 attributable to Credicorp's equity holders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823,800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910,730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1,065,197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1,190,440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1,396,822</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64,742</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72,841</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85,253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101,515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136,946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888,542</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983,571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1,150,450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1,291,955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1,533,768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826,833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917,986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1,077,306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1,202,549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1,403,944</w:t>
            </w:r>
          </w:p>
        </w:tc>
        <w:tc>
          <w:tcPr>
            <w:tcW w:w="0" w:type="dxa"/>
            <w:vAlign w:val="bottom"/>
          </w:tcPr>
          <w:p>
            <w:pPr>
              <w:spacing w:after="0"/>
              <w:rPr>
                <w:sz w:val="1"/>
                <w:szCs w:val="1"/>
                <w:color w:val="auto"/>
              </w:rPr>
            </w:pPr>
          </w:p>
        </w:tc>
      </w:tr>
      <w:tr>
        <w:trPr>
          <w:trHeight w:val="194"/>
        </w:trPr>
        <w:tc>
          <w:tcPr>
            <w:tcW w:w="4940" w:type="dxa"/>
            <w:vAlign w:val="bottom"/>
            <w:shd w:val="clear" w:color="auto" w:fill="CCFFC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SELECTED RATIOS:</w:t>
            </w: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 (5)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average total assets (6)</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0.95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Return on average equity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Operating expenses as a percentage of net interest and non-</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interest income (8)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52.78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50.66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49.18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46.25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as a percentage of average assets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Equity attributable to Credicorp’s equity holders as a percentage</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of period end total assets</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10.94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Regulatory capital as a percentage of risk-weighted assets (9)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past due loan amounts as a percentage of total loans (10)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Reserves for loan losses as a percentage of total loans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total loans and other</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contingent credits (11)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6.57</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5.38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8"/>
        </w:trPr>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total past due loans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104.41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127.50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206.22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247.85</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Reserves for loan losses as a percentage of substandard loans</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51.81</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50.26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54.11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65.42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loan losses and reserve for loan losses include provisions and reserves with respect to total loans and contingent credits, net of write off recoveries.</w:t>
      </w:r>
    </w:p>
    <w:p>
      <w:pPr>
        <w:sectPr>
          <w:pgSz w:w="11900" w:h="16838" w:orient="portrait"/>
          <w:cols w:equalWidth="0" w:num="1">
            <w:col w:w="11420"/>
          </w:cols>
          <w:pgMar w:left="240" w:top="360" w:right="2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has 100 million authorized common shares (“Common Shares”). As of December 31, 2006, Credicorp had issued 94.4 million Common Shares, of which 14.6 million are held by ASHC. Per Common Share data presented considers net outstanding shares (Common Shares net of shares held by BCP, ASHC and PPS) of 79.7 million in 2002 to 2006. See Notes 17 and 24 to the Credicorp Consolidated Financial Statements.</w:t>
      </w:r>
    </w:p>
    <w:p>
      <w:pPr>
        <w:spacing w:after="0" w:line="230"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explained in Note 29 paragraph (c) to Credicorp Consolidated Financial Statements included elsewhere herein, net income and net income per common share have been restated from the year 2002 to 2005 due to the application of EITF 96-15. As a result, the previous reported amounts have been restated in increasing (decreasing) the net income reported by (in thousands) US$(1,178), US$(880), US$(13,146) and US$48,238 for 2002, 2003, 2004 and 2005, respectively.</w:t>
      </w:r>
    </w:p>
    <w:p>
      <w:pPr>
        <w:spacing w:after="0" w:line="234"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unearned interest, but prior to reserve for loan losses. In addition to loans outstanding, Credicorp had contingent loans of US$956.9 million, US$782.9 million, US$889.1 million, US$1,220.9 million and US$1,455.4 million, as of December 31, 2002, 2003, 2004, 2005 and 2006, respectively. See Note 20 to the Credicorp Consolidated Financial Statements.</w:t>
      </w:r>
    </w:p>
    <w:p>
      <w:pPr>
        <w:spacing w:after="0" w:line="23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as a percentage of average interest-earning assets, computed as the average of period-beginning and period-ending balances on a monthly basis.</w:t>
      </w:r>
    </w:p>
    <w:p>
      <w:pPr>
        <w:spacing w:after="0" w:line="21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as a percentage of average total assets, computed as the average of period-beginning and period-ending balances.</w:t>
      </w:r>
    </w:p>
    <w:p>
      <w:pPr>
        <w:spacing w:after="0" w:line="2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as a percentage of average equity attributable to Credicorp´s equity holders, computed as the average of period-beginning and period-ending balances. Calculated on a monthly basis.</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230"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spacing w:after="0" w:line="23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contingent credits primarily consist of guarantees, stand-by letters and letters of credit. See Note 20 to the Credicorp Consolidated Financial Statements.</w:t>
      </w:r>
    </w:p>
    <w:p>
      <w:pPr>
        <w:spacing w:after="0" w:line="21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21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Rates</w:t>
      </w:r>
    </w:p>
    <w:p>
      <w:pPr>
        <w:spacing w:after="0" w:line="2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month-end rates and the average and end-of-period rates for the sale of Nuevos Soles for U.S. Dollars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Low(1)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Period-end(3)</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w w:val="99"/>
              </w:rPr>
              <w:t>(Nominal Nuevos Soles per U.S. Dollar)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2001</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3.623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3.435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3.508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3.446</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3.644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3.520</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2003</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3.496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3.463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3.477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3.464</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3.500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3.283</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2005</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3.440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3.295</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3.420</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3.455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SBS</w:t>
      </w:r>
    </w:p>
    <w:p>
      <w:pPr>
        <w:spacing w:after="0" w:line="27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and lowest of the 12 month-end exchange rates for each year based on the offered rate.</w:t>
      </w:r>
    </w:p>
    <w:p>
      <w:pPr>
        <w:spacing w:after="0" w:line="2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of month-end exchange rates based on the offered rate.</w:t>
      </w:r>
    </w:p>
    <w:p>
      <w:pPr>
        <w:spacing w:after="0" w:line="2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End-of-period exchange rates based on the offered rate.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31"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high and low rates for the sale of Nuevos Soles for U.S. Dollars for the indicated months.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Low(1)</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(Nominal Nuevos Soles per U.S. Dollar)</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December</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3.218</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January</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3.203</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3.187</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w:t>
            </w:r>
          </w:p>
        </w:tc>
      </w:tr>
      <w:tr>
        <w:trPr>
          <w:trHeight w:val="243"/>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March</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3.188</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3.182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3.171</w:t>
            </w:r>
          </w:p>
        </w:tc>
      </w:tr>
      <w:tr>
        <w:trPr>
          <w:trHeight w:val="243"/>
        </w:trPr>
        <w:tc>
          <w:tcPr>
            <w:tcW w:w="83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3.175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3.161</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(through June 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Bloomberg</w:t>
      </w:r>
    </w:p>
    <w:p>
      <w:pPr>
        <w:spacing w:after="0" w:line="27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and lowest of the daily closing exchange rates for each month based on the offered rate.</w:t>
      </w:r>
    </w:p>
    <w:p>
      <w:pPr>
        <w:spacing w:after="0" w:line="2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bid and offered free market exchange rates published by the SBS for June 8, 2007 was S/.3.175 per US$1.00.</w:t>
      </w:r>
    </w:p>
    <w:p>
      <w:pPr>
        <w:spacing w:after="0" w:line="275" w:lineRule="exact"/>
        <w:rPr>
          <w:sz w:val="20"/>
          <w:szCs w:val="20"/>
          <w:color w:val="auto"/>
        </w:rPr>
      </w:pPr>
    </w:p>
    <w:p>
      <w:pPr>
        <w:ind w:left="660" w:right="8280" w:hanging="652"/>
        <w:spacing w:after="0" w:line="563"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7520" w:hanging="652"/>
        <w:spacing w:after="0" w:line="563"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Group’s geographic location exposes it to risk related to the Peruvian political and economic conditions</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BCP’s and PPS’s operations and customers are located in Peru. In addition, although ASHC is based outside of Peru, substantially all of its customers are located in Peru. Accordingly, the results of operations and the financial condition of Credicorp will be dependent on the level of economic activity in Peru.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Peru, including government-induced effects on inflation, devaluation and economic growth.</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past several decades, Peru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1990, Alberto Fujimori was elected president, and his administration implemented a broad-based reform of Peru’s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at times faced public unrest spurred by the high rates of unemployment, underemployment and poverty.</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President Toledo transferred the presidency to Alan García Pérez on July 28, 2006 following Mr. Garcia’s victory in the run-off of the presidential elections held on June 4, 2006.</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President García had previously served as president of Peru from 1985 to 1990, which period was marked by a severe economic crisis. President García is following conservative economic policies and has indicated a desire to avoid the mistakes of his past government. García named the conservative banker Luis Carranza as Minister of Economy and Finance. Carranza has held a senior position at Banco Bilbao Vizcaya Argentaria (“BBVA”) in Spain and was a key adviser to Pedro Pablo Kuczynski, the Prime Minister (and former Minister of Economy and Finance) of former president Alejandro Toledo. García has indicated that his administration would generally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exchange fluctuations and exchange controls may adversely affect Credicorp’s financial condition and results of operations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though Credicorp’s financial statements functional currency is U.S. Dollars, and its dividends are paid in U.S. Dollars, BCP and PPS, for local statutory purposes, prepare their financial statements and pay dividends in Nuevos Soles. As declared in the Peruvian Constitution, the Peruvian government currently imposes no restrictions on a company’s ability to transfer U.S. Dollars from Peru to other countries, to convert Peruvian currency into U.S. Dollars or to remit dividends abroad, Peru has had restrictive exchange controls in the past and there can be no assurance that the Peruvian government will continue to permit such transfers, remittances or conversion without any restriction. See “Item 10. Additional Information—(D) Exchange Controls.” In addition, a devaluation would decrease the U.S. Dollar value of any dividends BCP and PPS pay to Credicorp, which would have a negative impact on Credicorp’s ability to pay dividends to shareholders.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 w:name="page12"/>
    <w:bookmarkEnd w:id="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the current level of Peru’s foreign reserves compares favorably with those of other Latin American countries, there can be no assurance that Peru will be able to maintain adequate foreign reserves to meet its foreign currency-denominated obligations, or that Peru will not impose exchange controls should its foreign reserves decline. A decline in Peruvian foreign reserves to inadequate levels, among other economic circumstances, could lead to a currency devaluation.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 —Exchange Rate Sensitivity.” Also, a significant group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It may be difficult to serve process on or enforce judgments against Credicorp or Credicorp’s principals residing outside of the United States</w:t>
      </w:r>
    </w:p>
    <w:p>
      <w:pPr>
        <w:spacing w:after="0" w:line="2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significant majority of Credicorp’s directors and officers reside outside the United States (principally in Peru).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Credicorp or its directors or officers under the securities laws of those jurisdictions or entertain actions in Bermuda against Credicorp or its directors or officers under the securities laws of other jurisdictions.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23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As a holding company, Credicorp’s ability to pay dividends to its shareholders and to pay corporate expenses may be adversely affected by restrictions on its subsidiaries to pay dividends to Credicorp</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i w:val="1"/>
          <w:iCs w:val="1"/>
          <w:color w:val="auto"/>
        </w:rPr>
        <w:t>A deterioration in the quality of our loan portfolio may adversely affect our results of operations</w:t>
      </w:r>
    </w:p>
    <w:p>
      <w:pPr>
        <w:spacing w:after="0" w:line="2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Peru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are subject to banking regulation and supervision in Peru. Changes in the regulatory framework in Peru could adversely affect our business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Credicorp is subject to extensive supervision and regulation through the SBS’s consolidated supervision regulations, which oversee all of Credicorp’s subsidiaries and offices including those located outside Peru. BCP’s operations are supervised and regulated by the SBS and the </w:t>
      </w:r>
      <w:r>
        <w:rPr>
          <w:rFonts w:ascii="Times New Roman" w:cs="Times New Roman" w:eastAsia="Times New Roman" w:hAnsi="Times New Roman"/>
          <w:sz w:val="18"/>
          <w:szCs w:val="18"/>
          <w:i w:val="1"/>
          <w:iCs w:val="1"/>
          <w:color w:val="auto"/>
        </w:rPr>
        <w:t>Banco Central de Reserva</w:t>
      </w:r>
      <w:r>
        <w:rPr>
          <w:rFonts w:ascii="Times New Roman" w:cs="Times New Roman" w:eastAsia="Times New Roman" w:hAnsi="Times New Roman"/>
          <w:sz w:val="18"/>
          <w:szCs w:val="18"/>
          <w:color w:val="auto"/>
        </w:rPr>
        <w:t xml:space="preserve"> (“Central Bank”).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3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insurance regulation in Peru. Changes in insurance regulations may impact the ability of our insurance subsidiary to underwrite and price risk effectively and may adversely affect Credicorp’s operating performance and financial condition</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Credicorp’s insurance business, carried out by its subsidiary PPS,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are facing increased competition that may impede our growth</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have affected BCP’s loan growth as well as reduced the average interest rates that BCP can charge its customers.</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i w:val="1"/>
          <w:iCs w:val="1"/>
          <w:color w:val="auto"/>
        </w:rPr>
        <w:t>Fluctuation and volatility of capital markets and interest rates may decrease our net income</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7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Ltd. is a limited liability company incorporated in Bermuda in October 20,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Peru and Bolivia and with limited investments in other countries of the region. It conducts its financial services business exclusively through its subsidiaries. Credicorp’s registered address is Clarendon House 2 Church Street, Bermuda. Its management and administrative offices are located at Calle Centenario 156, La Molina, Lima 12, Perú, and its phone number is 51-1-313-2000.</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Credicorp is the largest financial services holding company in Peru and is closely identified with its principal subsidiary, BCP, the country’s largest bank and the leading supplier of integrated financial services in Peru.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2006, Credicorp’s total assets were US$12.9 billion and shareholders’ equity was US$1.5 billion. Its net income attributable to Credicorp’s equity holders in 2005 and 2006 was US$181.9 million and US$230.0 million, respectively. See “Item 3. Key Information—(A) Selected Financial Data” and “Item 5. Operating and Financial Review and Prospects.” The following table presents certain financial information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by principal business units as of and for the year ended December 31, 2006 (see Note 25 to the Credicorp Consolidated Financial Statements):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and for the Year ended December 31, 2006</w:t>
            </w:r>
          </w:p>
        </w:tc>
      </w:tr>
      <w:tr>
        <w:trPr>
          <w:trHeight w:val="187"/>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auto"/>
            </w:tcBorders>
            <w:gridSpan w:val="2"/>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136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r>
      <w:tr>
        <w:trPr>
          <w:trHeight w:val="257"/>
        </w:trPr>
        <w:tc>
          <w:tcPr>
            <w:tcW w:w="39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20" w:type="dxa"/>
            <w:vAlign w:val="bottom"/>
            <w:gridSpan w:val="4"/>
          </w:tcPr>
          <w:p>
            <w:pPr>
              <w:ind w:left="1260"/>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280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975</w:t>
            </w:r>
          </w:p>
        </w:tc>
        <w:tc>
          <w:tcPr>
            <w:tcW w:w="1600" w:type="dxa"/>
            <w:vAlign w:val="bottom"/>
            <w:gridSpan w:val="2"/>
            <w:shd w:val="clear" w:color="auto" w:fill="CCFFCC"/>
          </w:tcPr>
          <w:p>
            <w:pPr>
              <w:ind w:left="7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11,090</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316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w:t>
            </w:r>
          </w:p>
        </w:tc>
      </w:tr>
      <w:tr>
        <w:trPr>
          <w:trHeight w:val="243"/>
        </w:trPr>
        <w:tc>
          <w:tcPr>
            <w:tcW w:w="3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Pension Fund Administration</w:t>
            </w:r>
          </w:p>
        </w:tc>
        <w:tc>
          <w:tcPr>
            <w:tcW w:w="4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Banking and others</w:t>
            </w:r>
          </w:p>
        </w:tc>
        <w:tc>
          <w:tcPr>
            <w:tcW w:w="28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r>
      <w:tr>
        <w:trPr>
          <w:trHeight w:val="264"/>
        </w:trPr>
        <w:tc>
          <w:tcPr>
            <w:tcW w:w="3940" w:type="dxa"/>
            <w:vAlign w:val="bottom"/>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Credicorp</w:t>
            </w:r>
          </w:p>
        </w:tc>
        <w:tc>
          <w:tcPr>
            <w:tcW w:w="280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1,372</w:t>
            </w:r>
          </w:p>
        </w:tc>
        <w:tc>
          <w:tcPr>
            <w:tcW w:w="1600" w:type="dxa"/>
            <w:vAlign w:val="bottom"/>
            <w:gridSpan w:val="2"/>
            <w:shd w:val="clear" w:color="auto" w:fill="CCFFCC"/>
          </w:tcPr>
          <w:p>
            <w:pPr>
              <w:ind w:left="7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563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12,882</w:t>
            </w:r>
          </w:p>
        </w:tc>
      </w:tr>
      <w:tr>
        <w:trPr>
          <w:trHeight w:val="486"/>
        </w:trPr>
        <w:tc>
          <w:tcPr>
            <w:tcW w:w="3940" w:type="dxa"/>
            <w:vAlign w:val="bottom"/>
          </w:tcPr>
          <w:p>
            <w:pPr>
              <w:spacing w:after="0"/>
              <w:rPr>
                <w:sz w:val="24"/>
                <w:szCs w:val="24"/>
                <w:color w:val="auto"/>
              </w:rPr>
            </w:pPr>
          </w:p>
        </w:tc>
        <w:tc>
          <w:tcPr>
            <w:tcW w:w="28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4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ASHC, a diversified financial services company and the pension fund business through Prima AFP. Credicorp’s insurance activities are conducted through PPS, the second largest Peruvian insurance company in terms of premiums, fees and net income.</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in BCB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 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7.-(A) Major Shareholders and Related Party Transactions”).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March 2004, PPS acquired Novasalud Perú S.A. - Entidad Prestadora de Salud (“Novasalud EPS”), one of three private health insurance providers in Peru, and merged Novasalud EPS with Pacífico S.A. Entidad Prestadora de Salud (“Pacífico Salud”), a subsidiary of PPS, in August 2004.</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2005, BCP and Bank of America, both principal shareholders of Fleet Boston N.A., agreed to engage in a buy-sale transaction of the loan portfolio of the Peruvian branch of Bank Boston N.A. and the loan portfolio of Peruvian nationals with Fleet Boston N.A. The transaction, which took place on January 24, 2005, was recorded at acquisition cost. BCP paid approximately US$353.8 million in cash for the loan portfolio, which included commercial loans, mortgage and leasing operations.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 As of December 31, 2005, Prima AFP invested funds of US$255.2 million, representing a 2.5% market share, and had 51,838 members according to the SBS.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2006, Prima AFP acquired Unión Vida AFP, a pension fund operating in the Peruvian market, in a strategic move towards consolidation, as part of its efforts to gain a leading position in the pension fund market. The acquisition of Unión Vida AFP, which was formerly held by Banco Santander, enabled Prima AFP to position itself as the second ranking company in market share terms, and as a leader in the industry, given its second highest returns and lowest commissions for affiliates. The merger between Prima AFP and Unión Vida AFP was consummated in December 2006.</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Prima AFP incurred in important merger relative to its size, reaching the end of 2006 with losses of US$20.7 million. Prima AFP reached the year-end as the system’s second pension manager with 997,963 affiliates, with funds under management amounting to US$4,163 million and more than 17,000 pensioners. It also extended its geographical coverage to 11 service points and 19 points of sales, placing itself strategically as the most aggressive and solid managing company.</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2006, PPS sold to Credicorp its remaining 1.02% of BCP shares that it maintained to that date, generating a goodwill in respect of the minority interest acquired by Credicorp (0.25%) of approximately US$7.2 million.</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the organization of Credicorp and its principal subsidiaries as of December 31, 2006 and their relative percentage contribution to Credicorp’s total assets, total revenues, net income and shareholders’ equity at the same date (see “—(C) Organizational Structure”):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1289685</wp:posOffset>
            </wp:positionH>
            <wp:positionV relativeFrom="page">
              <wp:posOffset>260350</wp:posOffset>
            </wp:positionV>
            <wp:extent cx="4991100" cy="154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99110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2006</w:t>
            </w:r>
            <w:r>
              <w:rPr>
                <w:rFonts w:ascii="Times New Roman" w:cs="Times New Roman" w:eastAsia="Times New Roman" w:hAnsi="Times New Roman"/>
                <w:sz w:val="18"/>
                <w:szCs w:val="18"/>
                <w:color w:val="auto"/>
              </w:rPr>
              <w:t>(2)</w:t>
            </w:r>
          </w:p>
        </w:tc>
      </w:tr>
      <w:tr>
        <w:trPr>
          <w:trHeight w:val="187"/>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3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tcPr>
          <w:p>
            <w:pPr>
              <w:spacing w:after="0"/>
              <w:rPr>
                <w:sz w:val="16"/>
                <w:szCs w:val="16"/>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82.2%</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69.7%</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Atlantic Security Holding Corporation</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El Pacífico-Peruano Suiza Compañía de Seguros y Reaseguros</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Grupo Crédito (1)</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Others (3)</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 AFP and others.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determined based on the Credicorp Consolidated Financial Statements.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Credicorp Securities Inc. and others.</w:t>
      </w:r>
    </w:p>
    <w:p>
      <w:pPr>
        <w:spacing w:after="0" w:line="2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show the organization of BCP and its principal subsidiaries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189230</wp:posOffset>
            </wp:positionV>
            <wp:extent cx="5419725" cy="136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972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As of and for the Year ended December 31, 2006(2)</w:t>
            </w:r>
          </w:p>
        </w:tc>
      </w:tr>
      <w:tr>
        <w:trPr>
          <w:trHeight w:val="187"/>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Income</w:t>
            </w:r>
          </w:p>
        </w:tc>
        <w:tc>
          <w:tcPr>
            <w:tcW w:w="13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tcPr>
          <w:p>
            <w:pPr>
              <w:spacing w:after="0"/>
              <w:rPr>
                <w:sz w:val="16"/>
                <w:szCs w:val="16"/>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91.0%</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89.2%</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81.0%</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Banco de Crédito de Bolivia</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Crédito Leasing S.A.</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Financiera de Crédito Solucion</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Credifondo S.A.</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Credibolsa Sociedad Agente de Bolsa S.A.</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Others(3)</w:t>
            </w:r>
          </w:p>
        </w:tc>
        <w:tc>
          <w:tcPr>
            <w:tcW w:w="16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holds an additional 4.08% stake.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determined based on BCP’s consolidated financial statements as of and for the year ended December 31, 2006.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Creditítulos S.A., Inmobiliaria BCP and others.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3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 Introduction - Review of 2006</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Credicorp’s results for 2006 maintained their positive trend from the four previous years and showed significant improvement due to a growing Peruvian economy and a favorable international environment. Consolidated net income increased substantially, and the quality of the loan portfolio and of investments in other risk assets continued to improve.</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attributable to Credicorp reached US$230.0 million (compared to US$181.9 million in 2005), representing an increase of 26.4% over the previous year and resulting in a return on equity for Credicorp’s equity holders of 18.4% in 2006 (compared to 16.4% in 2005) and earnings per share of US$2.88 in 2006 (compared to US$2.28 in 2005). This result was reached despite significant non-recurring expenses in 2006, such as the start-up expenses of AFP Prima’s operations and expenses relating to the merger with AFP Unión Vida.</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rise in profits is mainly a result of an increase in net interest income, an improvement of the loan portfolio, which eliminated the requirement for a provision charge for the credit portfolio, and the sustained growth in non-financial income. In addition, in 2006, PPS, Credicorp’s insurance subsidiary, tripled its earnings measured in the previous year (2005 was a year in which PPS experienced high claims resulting in substantial losses), making a significant contribution to the results of Credicorp.</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2006 was successful, not only in light of the profits obtained, but also because Credicorp reached significant achievements in the growth and quality of its managed assets, in improving its efficiency, and in attaining specific objectives in respect of each of its business lines.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improvement in Credicorp’s results in 2006 was mainly driven by Credicorp’s expansion strategy for its banking business. Since 2005, Credicorp has focused on expanding its retail banking businesses that offered potential for higher growth and better margins as well as on expanding its transactional businesses. As a result, Credicorp’s banking business experienced a substantial improvement in financial margins, despite a very competitive environment, had lower provisions for loans, and achieved sustained growth in revenues from banking services and lower provisions for loans.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Credicorp’s total assets and asset quality improved substantially in 2006. Total assets reached US$12.9 billion as of December 31, 2006, a 16.7% increase from US$11.0 billion as of December 31, 2005. While total loans grew by 18.2% in 2006 (9.2% in 2005), increased liquidity led to an increase in investments of 21.7% in the same period. Provision for loan losses net of recoveries resulted in earnings of US$4.2 million (US$6.4 million in 2005), compared to losses of US$16.1 million in 2004. This is attributable to the better quality of the loan portfolio in the past two years. For the fifth consecutive year, past due loans have been decreasing and reached 1.3% in 2006 (1.9% at year-end 2005; 3.5% at year-end 2004), while past due loan coverage by provisions increased significantly to 247.9% from 206.3% at year-end 2005 and from 170.9% at year-end 2004.</w:t>
      </w:r>
    </w:p>
    <w:p>
      <w:pPr>
        <w:spacing w:after="0" w:line="24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BCP’s consolidated net income attributable to Credicorp in 2006 reached US$238.9 million, (US$176.5 million in 2005), part of a distinct upward trend during the last few years, which primarily resulted from: (i) the growth of the loan portfolio, which in turn generated greater net interest income; (ii) the substantial improvement in the quality of the loan portfolio, which allowed for lower provisions and greater recoveries of the distressed portfolio of prior years; and (iii) the implementation of a strategy focused on more profitable sectors not yet served by the financial system and on the transactional activity that encouraged the growth of non-financial income. As a consequence of this favorable evolution of results, BCP marked a major growth in profitability as a percentage of its average net equity, reaching an all-time high of 28.6%.</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2006 was a year of substantial loan growth. In addition to the 29% growth in BCP’s Retail Banking Group as a result of the dynamic expansion of the retail segment of the Peruvian economy, wholesale banking also grew significantly with the loan portfolio growing 17%. This loan growth is a consequence of two parallel dynamics: pre-electoral uncertainty led companies to take loans to secure future liquidity, while election results, which generated trust in the continuity of the economic policies, enabled the financing of major long- and medium-term projects.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BCP’s assets totaled US$10,672 million, a 15% increase from December 31, 2005. BCP’s loan book of US$5,678 million represents 53% of BCP’s total assets, compared to 50% in 2005. This loan growth, measured in average daily balances for the year, reached 17.2%. As previously mentioned, retail was the main contributor to BCP’s results, posting the best performance among all Groups, growing 29%. Within this Group, mortgage credits continued to be the most important product with 47% of portfolio share, followed by PYME (small and mid-sized companies) credits that represented 30%. However, the product which has proven to be the most dynamic in terms of growth was the credit card, showing a significant increase of 39% during 2006, and reaching a total of US$198.9 million, followed by PYME credits (which grew by 38%) and consumer credits (which reached a 36% growth). Given the better margins available in this business, retail banking has become the driving force of growth and recovery of BCP profitability.</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Loans past due reached a historical low of 1.31%, and coverage of provisions on non-performing portfolio reached 249.5%. These ratios reflect a combination of very low provisions requirements and the continuation of portfolio write-off recoveries, benefiting results.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important to highlight the strong growth of transactional operations in 2006, made possible by the expansion of the different distribution channels. In 2006, 19 new branches were inaugurated, reaching a total of 237, and 104 ATM machines were added, for a total of 655. The massive launch of an efficient and innovative channel, the Agent BCP, had great significance during 2006. The Agent BCP is a modified and significantly less expensive version of an automated teller. 490 such new points were opened, totaling 551, supporting an expansion of about 75% in the bank distribution network. Together with this initiative, in 2006, new savings products - e.g., the “zero account” and the “free account” where there is no minimum balance requirement for opening the account and no fees are charged for maintenance, ATM transactions, phone banking, or Internet banking transactions - were successfully introduced. All of these reflect BCP’s efforts to serve a greater number of people, increase banking penetration and BCP’s inclusion in the banking system by encouraging the use of banking services among people who previously did not use them.</w:t>
      </w:r>
    </w:p>
    <w:p>
      <w:pPr>
        <w:spacing w:after="0" w:line="2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level of the efficiency ratio was in line with expectations: at 50.5% in 2006, it was lower than the 51.9% in 2005, resulting from the strong growth in operating income and controlled operating expenses, which grew by 11.6%. A component of operating expenses is personnel expenses, which rose by 14% as a consequence of the decision to improve customer service through longer service hours and the hiring of service promoters. 1,118 jobs were added in 2006, to a total headcount of 8,860 (7,740 in 2005). Additionally, general expenses grew by 11.7% due to aggressive marketing campaigns and customer loyalty-building programs, as well as system expenses, including maintenance of computer hardware, software and infrastructure, licenses and other projects. System’s expenses in 2006 were over US$41 million.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Bolivian market, Banco de Crédito de Bolivia (BCB) consolidated its position in 2006, reaching levels that exceeded management’s expectations, given the political circumstances, and producing US$14.1 million in income, 38.2% higher than in 2005. BCB’s conservative credit risk management strategy was maintained in 2006, with non-performing loans totaling 3.6%, while coverage stood at 163.6%, compared to ratios of 8.7% and 90.7%, respectively, in the rest of the Bolivian banking system, making BCB the best performing bank in the Bolivian market. BCB’s return over average equity reached 21.7% in 2006, which is the highest in the bank’s history.</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for BCB’s market share, the gross portfolio stood at 14.0% in 2006, while deposits totaled 14.8%, making BCB, when measured in those terms, the third ranking bank in the market.</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2006, BCB focused on high-margin sectors, including retail, commercial banking and the recently created “Banca Consolidada”, a sector consisting of businesses with annual sales below US$1 million. The PYME sector was also strengthened and enjoyed significant progress.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Atlantic Security Holding Corporation’s net income reached US$31.5 million, 25% higher than the US$25.2 million reached in 2005. The main factors driving this growth included higher income from Credicorp dividends and ASHC’s strategy of focusing on the asset management business. The results were a growth of 24% in fee income and increased investment gains. Dividend income increased by 40.6% from that of 2005, as a result of Credicorp’s higher income. However, this income was eliminated in the consolidation, so that ASHC’s contribution to Credicorp’s results reached US$15.4 million, 14.1% more than the US$13.5 million reached in 2005, reflecting ASHC’s excellent core business growth. Total managed funds, deposits and assets under management were US$2.5 billion, 25% higher than the US$2.0 billion reached in 2005, with approximately 54% of such funds, deposits and assets under management, consisting of third-party funds that are managed with a lower risk to ASHC.</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Insurance Business</w:t>
      </w:r>
    </w:p>
    <w:p>
      <w:pPr>
        <w:spacing w:after="0" w:line="2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Pacifico Peruano Suiza (PPS), with the support of its strategic partner American International Group (“AIG”), has reorganized the company around two key areas of management: distribution channels and specialized risk management by area.</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First, with respect to distribution channels, PPS has placed special emphasis on relationships with brokers. Brokers were assigned specialized employees to assist them in the issuance of policies and in the process of claim settlement. In addition, brokers are receiving operational support to maximize the use of technological platforms and online services.</w:t>
      </w:r>
    </w:p>
    <w:p>
      <w:pPr>
        <w:spacing w:after="0" w:line="22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Second, a specialized team has been formed for the purpose of analyzing risk by area,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fire, automobiles, health and fraud. This team is responsible for improving the technical results through a study of the risk portfolio by area, applying best practices in selection, operations and marketing, and for creating new products aligned with Peruvian’s economic and social reality.</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same time, PPS has prepared for the changes that will occur as a result of the adoption of the Basel II and Solvency II recommendations. This was done by reinforcing and adding new investment practices for maximizing profitability, respecting an appropriate match of currency and terms for its assets and liabilities and, above all, supporting technical obligations. The reorganization of the investment portfolio improved asset and liability management, not only in terms but in currencies as well.</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2006, service excellence was defined as a competitive strategy, and to lead the market in such environment, the company’s production process was redesigned to offer customers, brokers and insured parties a simple, easy and tangible experience in the purchase of insurance policies.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for financial results for 2006, under IFRS, PPS, which encompasses Pacífico Seguros, Pacífico Vida and Pacífico Salud EPS, recorded a total premium of US$372.6 million, a 3.8% increase from 2005. However, in 2006 Pacífico Seguros reported very significant and extraordinary financial gains, which increased net income to US$53.3 million, well above the US$7.0 million obtained in 2005. Such extraordinary financial gains reached approximately US$40 million and resulted from the sale of BCP and Alicorp shares (approximately US$34 million in gains on the sale of BCP shares). However, these gains were largely eliminated in the consolidation process, because the BCP shares were sold within the Credicorp Group. Thus, the recovery in PPS’s contribution to Credicorp increased from US$5.6 million in 2005 to US$14.5 million in 2006.</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effects of the strategy change are already noticeable in the growth of consolidated net premiums earned by the group, which increased at the rate of 6.2% in 2006, and even more so in the evolution of the technical results of the group, which have recovered significantly, reaching a growth of 78% over 2005 results. This has led to an improvement in the ratio of underwriting results as a percentage of total premiums with a 9.3% in 2006, compared to a 5.5% in 2005.</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2006, Prima AFP (and after December 2006, together with Unión Vida AFP) incurred a loss of US$20.7 million, higher than initially expected and 172% higher than the US$7.6 million loss registered in 2005. The losses resulted from the significant start-up and merger costs incurred in both years.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as a result of acquiring Unión Vida, Prima AFP absorbed merger expenses, including the full depreciation of Unión Vida: IT systems, the use of which was discontinued in December 2006, the write-off of the brand “Unión Vida” and the cost associated with discharging staff as of December, 2006.</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its own growth and the growth provided by the Unión Vida acquisition, Prima AFP reached December 31, 2006 as the industry’s second largest pensions administrator, with 997,963 affiliates, total funds under management of US$4,206 million and more than 17,000 pensioners. It also extended its geographical coverage to 11 service points and 19 points of sale.</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contribution to the consolidated net income attributable to Credicorp’s equity holders by each of its principal subsidiaries: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Variation</w:t>
            </w:r>
          </w:p>
        </w:tc>
      </w:tr>
      <w:tr>
        <w:trPr>
          <w:trHeight w:val="238"/>
        </w:trPr>
        <w:tc>
          <w:tcPr>
            <w:tcW w:w="5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2006/2005</w:t>
            </w:r>
          </w:p>
        </w:tc>
        <w:tc>
          <w:tcPr>
            <w:tcW w:w="16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8"/>
                <w:szCs w:val="18"/>
                <w:i w:val="1"/>
                <w:iCs w:val="1"/>
                <w:color w:val="auto"/>
              </w:rPr>
              <w:t>(U.S. Dollars in millions, except percentages)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BCP(1)</w:t>
            </w:r>
          </w:p>
        </w:tc>
        <w:tc>
          <w:tcPr>
            <w:tcW w:w="6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111.4</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176.5</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238.9</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ASCH</w:t>
            </w:r>
          </w:p>
        </w:tc>
        <w:tc>
          <w:tcPr>
            <w:tcW w:w="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60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PPS</w:t>
            </w:r>
          </w:p>
        </w:tc>
        <w:tc>
          <w:tcPr>
            <w:tcW w:w="680" w:type="dxa"/>
            <w:vAlign w:val="bottom"/>
            <w:gridSpan w:val="2"/>
            <w:shd w:val="clear" w:color="auto" w:fill="CCFFCC"/>
          </w:tcPr>
          <w:p>
            <w:pPr>
              <w:jc w:val="right"/>
              <w:ind w:right="130"/>
              <w:spacing w:after="0"/>
              <w:rPr>
                <w:sz w:val="20"/>
                <w:szCs w:val="20"/>
                <w:color w:val="auto"/>
              </w:rPr>
            </w:pPr>
            <w:r>
              <w:rPr>
                <w:rFonts w:ascii="Times New Roman" w:cs="Times New Roman" w:eastAsia="Times New Roman" w:hAnsi="Times New Roman"/>
                <w:sz w:val="18"/>
                <w:szCs w:val="18"/>
                <w:color w:val="auto"/>
              </w:rPr>
              <w:t>9.6</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158.9%</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Grupo Crédito(2)</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5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CFFCC"/>
          </w:tcPr>
          <w:p>
            <w:pPr>
              <w:spacing w:after="0"/>
              <w:rPr>
                <w:sz w:val="20"/>
                <w:szCs w:val="20"/>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181.9</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230.0</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Banco de Crédito de Bolivia, which contributed US$14.1 million in 2006, US$10.2 million in 2005 and US$4.8 million in 2004.</w:t>
      </w:r>
    </w:p>
    <w:p>
      <w:pPr>
        <w:spacing w:after="0" w:line="279"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 AFP (which recorded losses of US$20.7 million in 2006 and US$7.6 million in 2005), Credicorp Securities, Credicorp Ltd. holding company, which mainly includes tax withheld in connection with the distribution of dividends to Credicorp by its Peruvian subsidiaries (BCP and PPS), and others.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2" w:name="page23"/>
    <w:bookmarkEnd w:id="22"/>
    <w:p>
      <w:pPr>
        <w:ind w:left="1540" w:hanging="722"/>
        <w:spacing w:after="0"/>
        <w:tabs>
          <w:tab w:leader="none" w:pos="1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Strategy</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underlying principle of Credicorp’s strategy is to focus on growth opportunities within the market, on identifying synergies that will enable high levels of efficiency in its business and on defining individual “roadmaps” to enhance profitability and improve returns of each of Credicorp’s investments. To this end, Credicorp tries to combine knowledge, resources, experience, technology and capabilities for the benefit of the group as a whole.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line with this strategy, in 2006 Credicorp focused on:</w:t>
      </w:r>
    </w:p>
    <w:p>
      <w:pPr>
        <w:spacing w:after="0" w:line="279"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the banking business (BCP, BCB) through strong retail and transactional business expansion;</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the insurance business (PPS);</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positioning of Prima AFP, the pension fund management business; and</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management of the assets held by Credicorp’s companies.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objective of improving and sustaining the profitability of the group as a whole can only be attained through disciplined implementation of a well-grounded, long-term strategy. Credicorp’s strategy has proven successful and was confirmed by the results achieved in 2006. Therefore, Credicorp intends to continue following the path taken in 2006. Hence, many of the measures planned for 2007 are focused not only on specific business areas, but also on better use of the group’s resources.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Apart from the group’s internal strategy, the advancement in the economic and financial environment in Peru in general, and the development of the retail banking market, in particular, also set the trend for the group’s banking and other businesses and shape overall Credicorp strategy.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specific strategies employed by the various businesses in the group:</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Banking Business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Banco de Crédito del Perú - BCP</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banking business’s growth strategy is based on four pillars:</w:t>
      </w:r>
    </w:p>
    <w:p>
      <w:pPr>
        <w:spacing w:after="0" w:line="279"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all retail sector products offered;</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banking penetration (investing in the development of innovative channels and specifically tailored products);</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income from transactional services; and</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simplifying processes and strengthening the security of support systems.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Credicorp has employed the same strategy with respect to BCB and, capitalizing on BCP’s experience, succeeded in positioning BCB as the leading bank in Bolivia.</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Business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Pacífico Peruano Suiza - PPS</w:t>
      </w:r>
    </w:p>
    <w:p>
      <w:pPr>
        <w:spacing w:after="0" w:line="2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insurance business has been equally focused on strategies for improving the profitability of and growing the various branches of the business, especially in the retail sector, by focusing on:</w:t>
      </w:r>
    </w:p>
    <w:p>
      <w:pPr>
        <w:spacing w:after="0" w:line="216" w:lineRule="exact"/>
        <w:rPr>
          <w:sz w:val="20"/>
          <w:szCs w:val="20"/>
          <w:color w:val="auto"/>
        </w:rPr>
      </w:pPr>
    </w:p>
    <w:p>
      <w:pPr>
        <w:ind w:left="1300" w:hanging="320"/>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control, to increase profitability by area;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23" w:name="page24"/>
    <w:bookmarkEnd w:id="23"/>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new products for the retail sector extracting better margins;</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differentiation through excellence in service; and</w:t>
      </w:r>
    </w:p>
    <w:p>
      <w:pPr>
        <w:spacing w:after="0" w:line="33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know-how synergies between the insurance business (with its AIG partner), the distribution business (with BCP), and the management of investments and information (with the Credicorp group’s asset management database).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Asset Management Business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development of a global asset management strategy is the first main effort to realize the benefits of synergies within the Credicorp group as a whole. The idea was that all Credicorp companies will share in and benefit from the market intelligence, experience and information available at the subsidiary level to define policies, norms, guidelines and investment parameters for each entity according to its needs and applicable regulations.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Prima AFP</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strategy of the pension fund business of Prima AFP is focused on reducing the cost of pension sales as well as on creating new affiliations made possible in light of the growing, economically active employment sector.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Outlook for 2007</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Prioritizing Retail banking</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goal is to become the bank with which most Peruvian citizens do their banking transactions. BCP shall continue to treat transactions with individuals and small companies as a priority. Credicorp views this sector of the banking market as the most dynamic and as one that is likely to become a substantial contributor to overall profitability. In 2006, retail banking accounted for more than half of BCP’s profits, and management expects it to attain the same contribution in 2007.</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Retail banking activity generates significant income not only from interest on loans, but also from bank services offered to a large number of customers that generate more than 24 million transactions monthly. BCP has been creating new services for medium and large companies, as well as updating existing services.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support the growth of the retail sector and to continue to modernize BCP’s operations, Credicorp management plans an injection of US$80 million into BCP 2007, for investment in IT physical infrastructure. Management plans to broaden the bank’s network significantly during 2007 by opening 26 branches, installing 75 ATMs, and setting up 170 new BCP Agents (reaching a total of 720 agents by the end of 2007).</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expansion in infrastructure and operations also means an increase in BCP’s labor force, which, Credicorp management believes, is not only indispensable to the maintenance and improvement of the quality and efficiency of the services BCP renders, but is also necessary, given BCP’s position in the Peruvian market. In 2006, 1,118 employees joined BCP, and it is expected that in 2007, 500 more will be hired.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2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management of third party funds is another area of business Credicorp intends to prioritize in 2007. After entering the pension fund management business in Peru, asset management has become fundamental for [Credicorp]. As of December 31, 2006, total third-party funds under Credicorp management totaled US$6,900 million. This important source of Credicorp’s income helps diversify and complement financial revenues.</w:t>
      </w:r>
    </w:p>
    <w:p>
      <w:pPr>
        <w:spacing w:after="0" w:line="2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Credicorp management is adjusting and improving internal processes to offer quality service that includes providing adequate and timely information to its asset management customers.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insurance business, the reorganization process that started in 2006 is expected to be completed in 2007. The change addresses key aspects of PPS’s operations: distribution channels and risk management by sector. The first aspect demands working very closely with PPS’s insurance brokers to improve customer service, whether in issuing policies or when settling claims. In the risk management area, PPS has set up a qualified professional team that is charged with analyzing the risk portfolio and creating new products applying best practices in the selection, operations and marketing. PPS has also initiated a process to change its risk portfolio profile, by decreasing its share of the most volatile investments, and increasing the share of more predictable investments, such as investments in the automobile industry. New mass insurance products have also been added and are presently being launched in the market.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 Management</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Caution is one of the basic pillars of Credicorp management, and it is supported by conservative risk management to limit losses that may result from unexpected changes in market conditions. In this regard, Credicorp will continue with its policy of matching assets and liabilities based on terms and currencies, in order to reduce the risks related to liquidity, interest rates and exchange rates. Credicorp will continue applying caution in credit granting and will also continue with its conservative approach in building reserves to support its liabilities in the insurance business and covering any possible deterioration of its loan portfolio and other assets. In the last few years, Credicorp has worked extensively on analyzing and adapting its processes to mitigate operational risk, a task that has brought Credicorp to the forefront of financial activities in Peru. Credicorp’s top management is convinced that applying and maintaining a cautious policy in managing risk is the key to creating long-term growth while protecting the net worth of its customers and shareholders.</w:t>
      </w:r>
    </w:p>
    <w:p>
      <w:pPr>
        <w:spacing w:after="0" w:line="2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(3) Credicorp Operating Groups</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majority of Credicorp’s commercial banking business is carried out through BCP, Credicorp’s largest subsidiary and the oldest bank in Peru. A portion of Credicorp’s commercial banking business is also carried out by ASHC, which principally serves Peruvian private banking customers through offices in Panama. Credicorp conducts commercial banking activities in Bolivia through BCB, a full service commercial bank with US$528.5 million in deposits, US$653.6 million in assets and US$367.9 million in loans, as of December 31, 2006. As of such time, BCB was the third largest Bolivian bank in terms of loans and deposits, with a 14.8% market share.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Credicorp’s commercial banking business is organized into wholesale banking activities, which are carried out by BCP’s Wholesale Banking Group (which includes the Corporate Banking operations of ASHC), and retail banking activities, which are carried out by BCP’s Retail Banking Group. Credicorp performs its leasing operations either directly through BCP or through Crédito Leasing S.A. (“Credileasing”), a subsidiary of BCP.</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“¾(11) Supervision and Regulation—(ii) BCP”), and the guidelines set forth by Credicorp’s Board of Directors.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Credicorp’s deposit-taking operations are principally managed by BCP’s Retail Banking Group and ASHC’s Private Banking Group. See “¾(12) Selected Statistical Information—(iv) Deposits.”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majority of Credicorp’s trading and brokerage activities are conducted through BCP and ASHC and, since January 2003, through Credicorp Securities Inc. (“Credicorp Securities”), a wholly owned subsidiary of Credicorp. Credicorp Securities is a U.S. registered broker-dealer with its offices in Miami. Credicorp’s asset management business is carried out by BCP in Peru, through its subsidiary Credifondo, and by Prima AFP, the pension fund administrator.</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Peru. In addition, Credicorp also distributes such products through ASHC.</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last few years, Credicorp has consolidated an important line of business, namely, investment management for its customers. The growth of this business may be attributed to several major factors, the most outstanding of which is Credicorp’s incursion into the business of managing Peruvian private pension funds in August 2005, through Prima AFP, and the subsequent acquisition of AFP Unión in August 2006. Another contributing factor was the growing penetration of mutual funds in Peru in general in recent years. BCP’s mutual funds subsidiary, Credifondo, leads the market, with a share of 47.8% of the total assets currently under management. Finally, another relevant factor was the high and sustained growth of the international mutual funds and financial advisory services offered by BCP’s affiliate, Atlantic Security Bank, to its private banking customers. In December 31, 2006, the sum of the market value of the assets under management serviced by the Investment Management, International Mutual Funds, and Financial Advisory Services Groups totaled US$6,976 million.</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size of these businesses, the importance of the commissions they generate and, above all, the fiduciary responsibility they entail, Credicorp has been developing a corporate supervision project entitled Asset Management, the main objectives of which are to establish homogeneous risk control and investment policies and evaluate the management and results of the portfolios under management based on best international practices.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Credicorp’s Asset Management is composed of four main components:</w:t>
      </w:r>
    </w:p>
    <w:p>
      <w:pPr>
        <w:spacing w:after="0" w:line="279"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Management: Credicorp seeks to consolidate the good performance of its portfolios and funds through strict risk control and an</w:t>
      </w:r>
    </w:p>
    <w:p>
      <w:pPr>
        <w:spacing w:after="0" w:line="27"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level of diversification. To achieve this, it focuses on improving three key aspects: investment policies, investment processes and management metrics.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6" w:name="page27"/>
    <w:bookmarkEnd w:id="26"/>
    <w:p>
      <w:pPr>
        <w:jc w:val="both"/>
        <w:ind w:left="1300" w:hanging="320"/>
        <w:spacing w:after="0" w:line="261"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Management: Credicorp focuses on providing quality financial advisory services, building customer loyalty, and encouraging customers to invest in a diverse combination of securities according to their risk profile. Credicorp’s objective is to improve the standards of the advisory services that the commercial bank offers and to distinguish between the levels of advisory services provided to different sectors.</w:t>
      </w:r>
    </w:p>
    <w:p>
      <w:pPr>
        <w:spacing w:after="0" w:line="23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Credicorp attempts to provide a timely and high quality service, offering competitive execution costs, channeling a greater proportion of the assets traded by the group’s companies to profitable investments and identifying opportunities for joint action (resulting in better prices), in addition to improving controls aimed at avoiding possible conflicts of interest.</w:t>
      </w:r>
    </w:p>
    <w:p>
      <w:pPr>
        <w:spacing w:after="0" w:line="23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Analysis: Credicorp seeks to identify, quantify, regulate and, ultimately, minimize the risks associated with operations, credit, market, liquidity, legal contingencies, conflict of interests and other risks. Another objective of risk analysis is setting corporate investment limits, creating a portfolio investments risk manual, and ensuring strict compliance with risk control rules.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Credicorp conducts its insurance operations exclusively through PPS and its subsidiaries, which provides a broad range of insurance products. PPS focuses on three business areas,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67" w:lineRule="exact"/>
        <w:rPr>
          <w:sz w:val="20"/>
          <w:szCs w:val="20"/>
          <w:color w:val="auto"/>
        </w:rPr>
      </w:pPr>
    </w:p>
    <w:p>
      <w:pPr>
        <w:ind w:left="920" w:hanging="588"/>
        <w:spacing w:after="0"/>
        <w:tabs>
          <w:tab w:leader="none" w:pos="9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BCP and Subsidiaries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(i)General</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activities include commercial banking, investment banking and retail banking. As of December 31, 2006, the consolidated operations of BCP ranked first among Peruvian banks in terms of total assets of S/.33.7 billion (US$10.5 billion), total loans of S/.18.7 billion (US$5.6 billion), deposits of S/.26.7 billion (US$8.4 billion) and shareholders’ equity of S/.2.9 billion (US$0.9 billion). As of December 31, 2006, BCP’s loans, on an unconsolidated basis, represented approximately 30.5% and the deposits represented approximately 36.2% of the total Peruvian banking system, respectively.</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2006, BCP had the largest branch network of any commercial bank in Peru with 237 offices, including 147 in Lima and the adjoining city of Callao. BCP operates an agency in Miami and a branch in Panama.</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2006, BCP accounted for 69.7% of Credicorp’s total revenues, 82.2% of total assets, 88.3% of net income and 71.6% of shareholders’ equity. BCP’s operations are supervised and regulated by the SBS and the Central Bank.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Beginning in February 2007, BCP implemented a new way to grouping its loan portfolio for business and management purposes. The new grouping criteria changed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Borders>
              <w:bottom w:val="single" w:sz="8" w:color="auto"/>
            </w:tcBorders>
            <w:gridSpan w:val="3"/>
          </w:tcPr>
          <w:p>
            <w:pPr>
              <w:ind w:left="248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204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After</w:t>
            </w:r>
          </w:p>
        </w:tc>
      </w:tr>
      <w:tr>
        <w:trPr>
          <w:trHeight w:val="223"/>
        </w:trPr>
        <w:tc>
          <w:tcPr>
            <w:tcW w:w="25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 xml:space="preserve">Sales </w:t>
            </w:r>
            <w:r>
              <w:rPr>
                <w:rFonts w:ascii="Times New Roman" w:cs="Times New Roman" w:eastAsia="Times New Roman" w:hAnsi="Times New Roman"/>
                <w:sz w:val="18"/>
                <w:szCs w:val="18"/>
                <w:i w:val="1"/>
                <w:iCs w:val="1"/>
                <w:color w:val="auto"/>
              </w:rPr>
              <w:t>(US$MM)</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Group</w:t>
            </w:r>
          </w:p>
        </w:tc>
        <w:tc>
          <w:tcPr>
            <w:tcW w:w="840" w:type="dxa"/>
            <w:vAlign w:val="bottom"/>
          </w:tcPr>
          <w:p>
            <w:pPr>
              <w:spacing w:after="0"/>
              <w:rPr>
                <w:sz w:val="19"/>
                <w:szCs w:val="19"/>
                <w:color w:val="auto"/>
              </w:rPr>
            </w:pPr>
          </w:p>
        </w:tc>
        <w:tc>
          <w:tcPr>
            <w:tcW w:w="2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xml:space="preserve">Sales </w:t>
            </w:r>
            <w:r>
              <w:rPr>
                <w:rFonts w:ascii="Times New Roman" w:cs="Times New Roman" w:eastAsia="Times New Roman" w:hAnsi="Times New Roman"/>
                <w:sz w:val="18"/>
                <w:szCs w:val="18"/>
                <w:i w:val="1"/>
                <w:iCs w:val="1"/>
                <w:color w:val="auto"/>
              </w:rPr>
              <w:t>(US$MM)</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Group</w:t>
            </w:r>
          </w:p>
        </w:tc>
      </w:tr>
      <w:tr>
        <w:trPr>
          <w:trHeight w:val="237"/>
        </w:trPr>
        <w:tc>
          <w:tcPr>
            <w:tcW w:w="324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0.3</w:t>
            </w:r>
          </w:p>
        </w:tc>
        <w:tc>
          <w:tcPr>
            <w:tcW w:w="2040" w:type="dxa"/>
            <w:vAlign w:val="bottom"/>
            <w:shd w:val="clear" w:color="auto" w:fill="CCFFCC"/>
          </w:tcPr>
          <w:p>
            <w:pPr>
              <w:jc w:val="center"/>
              <w:ind w:right="330"/>
              <w:spacing w:after="0"/>
              <w:rPr>
                <w:sz w:val="20"/>
                <w:szCs w:val="20"/>
                <w:color w:val="auto"/>
              </w:rPr>
            </w:pPr>
            <w:r>
              <w:rPr>
                <w:rFonts w:ascii="Times New Roman" w:cs="Times New Roman" w:eastAsia="Times New Roman" w:hAnsi="Times New Roman"/>
                <w:sz w:val="18"/>
                <w:szCs w:val="18"/>
                <w:color w:val="auto"/>
                <w:w w:val="99"/>
              </w:rPr>
              <w:t>Micro-business</w:t>
            </w:r>
          </w:p>
        </w:tc>
        <w:tc>
          <w:tcPr>
            <w:tcW w:w="2960" w:type="dxa"/>
            <w:vAlign w:val="bottom"/>
            <w:gridSpan w:val="2"/>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Until 0.3</w:t>
            </w:r>
          </w:p>
        </w:tc>
        <w:tc>
          <w:tcPr>
            <w:tcW w:w="3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5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Micro-business</w:t>
            </w:r>
          </w:p>
        </w:tc>
      </w:tr>
      <w:tr>
        <w:trPr>
          <w:trHeight w:val="24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0.3 to 1</w:t>
            </w:r>
          </w:p>
        </w:tc>
        <w:tc>
          <w:tcPr>
            <w:tcW w:w="20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Small Business</w:t>
            </w:r>
          </w:p>
        </w:tc>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From 0.3 to 1.5</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 Business</w:t>
            </w:r>
          </w:p>
        </w:tc>
      </w:tr>
      <w:tr>
        <w:trPr>
          <w:trHeight w:val="243"/>
        </w:trPr>
        <w:tc>
          <w:tcPr>
            <w:tcW w:w="3240" w:type="dxa"/>
            <w:vAlign w:val="bottom"/>
            <w:gridSpan w:val="3"/>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1 to 15</w:t>
            </w:r>
          </w:p>
        </w:tc>
        <w:tc>
          <w:tcPr>
            <w:tcW w:w="2040" w:type="dxa"/>
            <w:vAlign w:val="bottom"/>
            <w:shd w:val="clear" w:color="auto" w:fill="CCFFCC"/>
          </w:tcPr>
          <w:p>
            <w:pPr>
              <w:jc w:val="center"/>
              <w:ind w:right="330"/>
              <w:spacing w:after="0"/>
              <w:rPr>
                <w:sz w:val="20"/>
                <w:szCs w:val="20"/>
                <w:color w:val="auto"/>
              </w:rPr>
            </w:pPr>
            <w:r>
              <w:rPr>
                <w:rFonts w:ascii="Times New Roman" w:cs="Times New Roman" w:eastAsia="Times New Roman" w:hAnsi="Times New Roman"/>
                <w:sz w:val="18"/>
                <w:szCs w:val="18"/>
                <w:color w:val="auto"/>
                <w:w w:val="99"/>
              </w:rPr>
              <w:t>Middle market</w:t>
            </w:r>
          </w:p>
        </w:tc>
        <w:tc>
          <w:tcPr>
            <w:tcW w:w="2960" w:type="dxa"/>
            <w:vAlign w:val="bottom"/>
            <w:gridSpan w:val="2"/>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From 1.5 to 30</w:t>
            </w:r>
          </w:p>
        </w:tc>
        <w:tc>
          <w:tcPr>
            <w:tcW w:w="3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25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Middle market</w:t>
            </w:r>
          </w:p>
        </w:tc>
      </w:tr>
      <w:tr>
        <w:trPr>
          <w:trHeight w:val="243"/>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Higher than 15</w:t>
            </w:r>
          </w:p>
        </w:tc>
        <w:tc>
          <w:tcPr>
            <w:tcW w:w="20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Corporate</w:t>
            </w:r>
          </w:p>
        </w:tc>
        <w:tc>
          <w:tcPr>
            <w:tcW w:w="29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Higher than 30</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w:t>
            </w: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new grouping was a result of an analysis, which addressed factors beyond the simple size and volume of activity for each client, and looked also at clients’ affiliation with other companies or groups, the degree of follow-up required, their credit ratings, etc. As a result of this process, US$75 million of the loan portfolio of the SME group (Retail) was transferred to the Middle Market group (Wholesale).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BCP and its principal subsidiaries as of December 31, 2006 are as follows:</w:t>
      </w:r>
    </w:p>
    <w:p>
      <w:pPr>
        <w:spacing w:after="0" w:line="279" w:lineRule="exact"/>
        <w:rPr>
          <w:sz w:val="20"/>
          <w:szCs w:val="20"/>
          <w:color w:val="auto"/>
        </w:rPr>
      </w:pPr>
    </w:p>
    <w:p>
      <w:pPr>
        <w:jc w:val="both"/>
        <w:ind w:left="1300" w:hanging="320"/>
        <w:spacing w:after="0" w:line="255"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57 offices located throughout Bolivia. BCB owns one of Bolivia’s largest brokerage houses, Credibolsa S.A. Agente de Bolsa. BCP targets middle- and small-sized clients and offers a broad range of corporate, personal banking and leasing products. Credicorp’s total direct and indirect investment in Bolivia is currently delimited to be US$70 million. BCB’s results are consolidated in BCP’s financial statements.</w:t>
      </w:r>
    </w:p>
    <w:p>
      <w:pPr>
        <w:spacing w:after="0" w:line="23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Credibolsa Sociedad Agente de Bolsa (“Credibolsa”) was established in June 1991 and is fully owned by BCP. It is engaged in portfolio advisory and brokerage activities in the Lima Stock Exchange.</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Credileasing offers a large variety of financial leasing products. Credileasing was established in July 1996 and is 100% owned by BCP.</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Credifondo Sociedad Administradora de Fondos Mutuos (“Credifondo”) is a mutual fund management company, established in 1994.</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Creditítulos (“Creditítulos”) was established in 1997 and is fully owned by BCP. The company serves as an asset securitization entity.</w:t>
      </w:r>
    </w:p>
    <w:p>
      <w:pPr>
        <w:spacing w:after="0" w:line="33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Inmobiliaria BCP is the real estate subsidiary of BCP. This subsidiary was created to manage and promote the sale of real estate that had been foreclosed or received in payment by BCP.</w:t>
      </w:r>
    </w:p>
    <w:p>
      <w:pPr>
        <w:spacing w:after="0" w:line="252"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Wholesale Banking Group</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Wholesale Banking Group has traditionally represented the majority of BCP’s loans.</w:t>
      </w:r>
    </w:p>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BCP’s Wholesale Banking Group competes with local and foreign banks. BCP’s traditional relationships provide the Wholesale Banking Group with a competitive advantage.</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2006, the Wholesale Banking Group kept the positive trend in loan placements which started in prior years, posting average portfolio levels of US$2,976 million in 2006, 17% higher than in 2005. This result was achieved despite BCP’s already large market share, the aggressive competition, and the financial disintermediation caused by the rapid development of the local capital markets. BCP has the largest capital base among Peruvian banks, which provides it with more resources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is divided into the following areas:</w:t>
      </w:r>
    </w:p>
    <w:p>
      <w:pPr>
        <w:spacing w:after="0" w:line="279" w:lineRule="exact"/>
        <w:rPr>
          <w:sz w:val="20"/>
          <w:szCs w:val="20"/>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Banking, which provides loans and other credit services to companies with annual revenues in excess of US$15 million (US$30 million beginning February 2007);</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 Market Banking, which serves mid-sized companies;</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Finance, which manages BCP’s relationship with financial institutions abroad;</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Finance, which provides underwriting and financial advisory services to corporate and middle market clients;</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Finance, which finances business projects and manages the financial leasing product;</w:t>
      </w:r>
    </w:p>
    <w:p>
      <w:pPr>
        <w:spacing w:after="0" w:line="33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Banking, which focuses principally on serving non-profit organizations, state-owned companies and other major institutions; and</w:t>
      </w:r>
    </w:p>
    <w:p>
      <w:pPr>
        <w:spacing w:after="0" w:line="21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Services, which develops transactional services.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income from the wholesale banking sector reached US$119 million, a growth which resulted from the increase in business volume and compensated for the reduction in lending rates. Income from financial services accounted for 43% of the total income generated by the wholesale banking sector. At the same time, the retail group, undergoing reorganization, still accounts for the bulk of loan placements, with 69% of the wholesale banking sector in this area.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Banking</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BCP’s internal reports, loans provided by the Corporate Banking Area represent 37% of BCP’s total loans granted in 2006. Despite the relatively small growth of this group (due to the growing array of financing alternatives offered by the capital markets), corporate banking loans grew for the third consecutive year and reached an average portfolio balance of US$1,805 million, which represents a 14% increase compared to 2005. The composition of these loans was approximately 66% foreign currency-denominated (primarily U.S. Dollar-denominated) and 34% Nuevo Sol-denominated. As in the middle market banking sector, the corporate banking group has faced a very aggressive competitive environment in terms of rates, which translated into a reduction in the lending spreads. On the deposit side, corporate deposits kept growing, accounting for approximately 28% of BCP’s total deposits.</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 Profile: The Corporate Banking Area is focused on serving large-sized companies with annual turnover of over US$15 million (over US$30 million beginning February 2007) with audited financial statements and with dominant market positions given their particular products or brands. BCP may classify other firms under this category even if they do not meet the above criteria if they belong to very large economic groups from industries that are important to the country’s economy.</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Products: The Corporate Banking Area offers a broad range of products and tailors its product offerings to meet the unique requirements of each client. In general, this Area is oriented to offering high-value-added products and services, particularly cash management services, at competitive prices.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financings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Guarantees received by this Area consist of receivables in the case of sales financing, warrants or pledges on inventory, in the case of inventory financing, and real guarantees, in the case of financing for fixed asset acquisitions and improvements to their infrastructure.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a limited growth prospect in this business due to high market penetration and competition from capital market in loans.</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Middle Market Banking</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Middle Market Banking Area generally serves the same industries and offers the same products as the Corporate Banking Area.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BCP’s internal reports, the annual average loan portfolio of the Middle Market Banking Area of BCP reached US$1.2 billion in 2006, 22% higher than the average US$963 million in 2005 (US$859 million in 2004), despite the enforcement of stringent credit quality requirements. BCP expects that this sector will grow and increase its relative importance as the Peruvian economy grows.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(“IFC”) and the Inter-American Development Bank, in several medium-term credit lines for project financings in certain sectors.</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margins in the Middle Market Banking Area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Middle Market Banking Area focuses on organizations with annual revenue levels between US$1 million to US$15 million (between US$1.5 million and US$30 million, starting February 2007), through seven regional managers nationwide.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products offered to middle market clients resemble those offered to corporate banking clients. The three major types of products are:</w:t>
      </w:r>
    </w:p>
    <w:p>
      <w:pPr>
        <w:spacing w:after="0" w:line="279"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lines to finance inventories and sales, as well as stand-by letters of credit and international trade financing;</w:t>
      </w:r>
    </w:p>
    <w:p>
      <w:pPr>
        <w:spacing w:after="0" w:line="33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for short-term requirements such as current account credits and temporary account advances (overdrafts); and</w:t>
      </w:r>
    </w:p>
    <w:p>
      <w:pPr>
        <w:spacing w:after="0" w:line="33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for medium and long-term requirements using intermediation resources (term deposits) and various types of financial leasing financing.</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i w:val="1"/>
          <w:iCs w:val="1"/>
          <w:color w:val="auto"/>
        </w:rPr>
        <w:t>Institutional Banking</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Institutional Banking Area was moved from the Retail Banking Group to the Wholesale Banking Group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Groups serve these clients.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The Institutional Banking Area’s clients are principally users of transactional products and require consultancy for investment management. BCP’s strategy in this Area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International Trade Finance</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BCP’s International Trade Finance Area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Area earns fees by providing customers with letters of credit and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 maintains business relations with over 1,000 correspondent banks, development organizations, multilateral financial organizations, and Export Credit Agencies in countries around the world. At present, BCP manages credit lines for foreign trade transactions, working capital and medium- and long-term investment projects. Although these credit lines are largely underutilized given BCP’s strong liquidity position, they remain available should U.S. Dollar liquidity undergo a correction or demand for U.S. Dollar-denominated loans increase.</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Against a backdrop of high liquidity, BCP had to enter other regional markets to increase returns, in particular Ecuador, where approximately US$30.0 million was placed in 2005 and 2006. These loans were granted to companies enjoying the soundest creditworthiness ratings, and in strict compliance with country risk guidelines. In addition, some inroads were made in the Chilean market despite thin margins.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the Peruvian Central Bank, in 2006 Peruvian exports increased 37.6% to US$23.8 billion from US$17.3 billion in 2005, principally due to increased exports of mining products and of manufactured goods. During the same year and based on BCP’s internal report, BCP’s exports volume increased 56.17% to US$8.9 billion from US$5.7 billion in 2005, amounting to 37.4% of total Peruvian exports. Total Peruvian imports were US$14.9 billion in 2006, increasing 23.1% from US$12.1 billion in 2005, principally due to higher demand for capital goods and raw materials. BCP’s import letters of credit, collections and transfers amounted to US$2.9 billion in 2006, increasing from US$2.8 billion in 2005.</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2006, BCP introduced to the market a new product that supports exporters whose sales to other countries are conducted with no bills of credit or document collection. By introducing Factoring Internacional, BCP created an affiliation with Factor Chain International (FCI), the world’s largest chain in these types of products. BCP can presently acquire export invoices and relieve the exporters’ working capital needs.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Lastly, to benefit from synergies in the correspondent banks business, the International Trade Finance Area now manages business with government financial organizations that were formerly comprised in the Institutional Banking client portfolio and the local Financial Institutions industry.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Finance</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the first quarter of 1996 in order to enhance its effectiveness as the demands of Peru’s larger corporations move away from loan-based operations toward capital markets-based operations. This Area focuses on the capital markets, primarily debt and equity issues, project financing, corporate financing, financial restructurings and mergers and acquisitions.</w:t>
      </w:r>
    </w:p>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BCP’s internal records, BCP’s share of the market for structuring fixed-income instruments increased to 38.3% in 2006 from 32.3% in the previous year. Private debt placements, after increasing 79% in 2003 to US$1.5 billion, declined 16.6% in 2004 to US$1.2 billion, increased 24.8% in 2005 to US$1.5 billion, and slightly increased again by 1.6% to US$1.6 billion in 2006. Among its main operations in 2006, of particular importance was the structuring of the private bond offering of Concesionaria Trasvase Olmos for US$100 million. Additionally, in December, BCP successfully completed a consulting project to Odebrecht for financing IIRSA Sur. BCP also structured the financing of Compañía Eléctrica El Platanal for US$120 million. Lastly, BCP placed Pluspetrol bonds for US$150 million by means of a public bond offering.</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operations related to project financing and structured loans according to its internal reports, BCP’s Corporate Finance Area structured transactions of medium term during 2006 worth a total of US$269 million from a total of US$749 million structured transactions in the market. Funding for important Peruvian companies spanned different sectors such as electricity generation, mining, oil and gas. Important transactions included the financing of Yanacocha Mining Company for US$47 million, Red de Energía del Perú for US$34 million, and Energía del Sur S.A. - Enersur for US$40 million.</w:t>
      </w:r>
    </w:p>
    <w:p>
      <w:pPr>
        <w:spacing w:after="0" w:line="23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Corporate Finance Area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i w:val="1"/>
          <w:iCs w:val="1"/>
          <w:color w:val="auto"/>
        </w:rPr>
        <w:t>Leasing</w:t>
      </w:r>
    </w:p>
    <w:p>
      <w:pPr>
        <w:spacing w:after="0" w:line="2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Leasing offers and manages financial leasing operations. It also carries out medium-term operations, principally for small and medium-sized companies. BCP is the leader with a market share of 35.5% of total leasing.</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management estimates that BCP’s lease finance business is currently the largest in Peru, with a market share of approximately 35.5% as of December 31, 2006. The principal means of financing for Credileasing is through the issuance of specific leasing bonds and mid-term loans. The total amount of outstanding leasing bonds reached S/.441.4 million (US$138.1 million) as of December 31, 2006. According to SBS, Credileasing’s market share among specialized leasing companies was 63.2% as of December 31, 2006.</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leasing business continued its recovery during 2006. BCP’s leasing loan balances showed a 23.9% growth in 2006, as a consequence of tax rule stabilization applicable to leasing operations and the growth of the Peruvian economy, which is evolving favorably.</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Growth during 2006 was driven by business loans in sectors requiring investment in mining, transportation services to mining companies, energy generation, fishing and manufacturing companies. Loan demand also increased in the telecommunications sector.</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Services</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2006, transactional services continued to contribute to BCP’s earnings. The monthly average number of current accounts increased by 10.8% and fee revenues increased by 7.7% compared to those of 2005. This improvement is mainly the result of the dynamism experienced in SME (small business) sector. Collection services, such as bills and companies’ collections, generated commissions that increased 6.5% and 17.2%, respectively, over the 2005 collections. BCP’s strategic decision to offer value to its clients through the implementation of more efficient mechanism of information related to these services, explained part of this improvement. On the other hand, the higher demand by clients for the remote banking service, “Telecredito,” generated 15.7% more transactions than were in 2005. Other commissions generated by remittances abroad and tax collections grew 20.8% and 17.8%, respectively, from those generated in 2005. Likewise, the transaction volume generated by Electronic Factoring increased 32% in 2006. Finally, the electronic service for invoice financing, recently introduced in the market, grew by 154% in volume with respect to that of 2005.</w:t>
      </w:r>
    </w:p>
    <w:p>
      <w:pPr>
        <w:spacing w:after="0" w:line="276" w:lineRule="exact"/>
        <w:rPr>
          <w:sz w:val="20"/>
          <w:szCs w:val="20"/>
          <w:color w:val="auto"/>
        </w:rPr>
      </w:pPr>
    </w:p>
    <w:p>
      <w:pPr>
        <w:ind w:left="1460" w:hanging="804"/>
        <w:spacing w:after="0"/>
        <w:tabs>
          <w:tab w:leader="none" w:pos="1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Retail Banking Group</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According to BCP’s internal reports, retail banking-related loans accounted for approximately 37% of BCP’s total loans in 2006 compared to 36% in 2005, 33% in 2004, 28% in 2003 and 22% in 2002.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several years of declining loan volumes of BCP’s retail Groups, volumes grew in 2002, particularly in loans to small businesses and home mortgages, but decreased again in 2003, and had a modest 4.4% increase in 2004, according to BCP’s internal records. Nevertheless, within retail lending, home mortgages and micro-business loans continued to show strong growth in 2005 and 2006. In 2006, home mortgages grew approximately 14.5% to US$859 million, while micro-business loans grew approximately 48% to US$355 million.</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the segmentation of its retail client base, BCP is able to focus on the cross-selling of products and on improving per-client profitability. BCP’s management expects the retail banking businesses to be one of the principal growth Area for BCP’s lending activities.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BCP’s retail banking targets and serves individuals and small-sized companies with annual income levels of up to US$1 million. BCP’s objective is to establish profitable long-term relationships with this broad client base, using classification strategies that satisfy the specific needs of each client type. BCP’s retail banking operations are carried out by two Groups: Service Banking and Retail Banking. See “¾(iii) Service Banking.” The Retail Banking Group is subdivided further into four Areas in order to serve each client group appropriately. These four Areas include Exclusive Banking, Small Business Banking, Micro Business Banking and Consumer Banking. The Retail Banking Group manages BCP’s mortgages and credit card products.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Exclusive Banking</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Exclusive Banking is BCP’s private banking area, which manages a select number of individual customers who are key to BCP because of the high volume of loan and deposit business they generate, and their attractive profitability.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Exclusive Banking Area principally serves a select number of high-income customers with the most profitable personal accounts and specializes in offering personalized service. BCP’s Exclusive Banking Area serves a client base of high net worth individuals with an outstanding credit history. It serves households with at least US$10,000 in loans and/or US$20,000 in deposits. Exclusive Banking is a profitable Area and generates a high volume of business.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Exclusive Banking, BCP provides a preferential and distinguished service, offering both traditional and innovative products to its clients. BCP considers the Exclusive Banking client base to be of strategic importance to BCP. Clients within this sector receive personal service from an executive of the Exclusive Banking Area. Belonging to this sector gives customers the advantage of preferential interest rates for loans and deposits and personalized service through an assigned official. Beginning in 2004, Exclusive Banking customers were advised of savings alternatives using capital markets products, including investments in mutual funds, given the continuing low levels of interest rates paid on banking deposits.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BCP’s management believes that in 2006 the Exclusive Banking Area continued to increase its ties with existing customers, as well as to add new customers, for which sophisticated commercial plans were developed. The Exclusive Banking Area has approximately 86,521 customers, with total deposits of US$1.8 billion (including mutual funds) and US$779.4 million in loans.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Small Business Banking and Micro Business Banking (SME)</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BCP’s Small Business Banking Area serves approximately 9,000 clients who have annual sales between US$300,000 and US$1 million. In 2004, following the merger with Solución, this Area experienced some adjustment,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division of the portfolio between large clients, which were kept in Small Business Banking, and the smaller clients, which were incorporated into the incoming Solución portfolio and are currently part of Micro Business Banking. These businesses benefit from products specifically designed for their needs, such as the Cash Credit for Businesses, a revolving credit line repaid in installments, as well as the usual credit products: discounted notes, letters of credit, guarantees and stand-by credits.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According to BCP’s internal reports, the Small Business Banking loan portfolio grew from US$211.4 million in 2005 to US$269.5 million in 2006 (without considering contingent facilities). In terms of deposits, this sector increased deposits from US$349.8 million to US$414.5 million.</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BCP’s Micro-Business Banking Area concentrates its efforts on small loans to individuals who primarily derive their income from small, family-run businesses. This Area deals with business resulting from the Solución merger, together with the smallest clients from the Small Business Banking Area. In spite of its high informality and high creditworthiness risk, this sector shows one of the most attractive growth and bank penetration potentials, which has driven BCP to work towards its development in two fronts: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loans to micro-businesses as of December 31, 2006 amounted to US$355 million, representing a 48% increase from 2005.</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Banking is in charge of servicing BCP’s traditional retail client base and is also in charge of mortgage lending and credit cards. BCP’s Consumer Banking Area targets and serves medium- to low-income individuals. BCP estimates that its Consumer Banking client base consists of approximately 2,110,300 households.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Consumer Banking Area offers standard service platforms including bank tellers and ATMs and services, which fit the characteristics and financial habits of this client base. Consumer lending products offered include cash consumer loans, payroll loans and loans for specific purposes such us automobile purchases, travel and education.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Mortgage Lending</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2006, BCP was the largest mortgage lender in Peru with a market share of 37.5% of total mortgage loans in the Peruvian banking system. This was, to a large extent, the result of extensive marketing campaigns and improvements in the quality of procedures for extending credit and establishing guarantees.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become the largest issuer of MiVivienda credits, increasing its market share of outstanding loans from 6% in 2002 to 28% in 2005, according to Asociación de Bancos del Perú (“ASBANC”).</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BCP had US$859 million of outstanding mortgage loans as of December 31, 2006 compared to US$750 million for year-end 2005. Additionally, BCB’s mortgage loans reached US$111 million as of December 31, 2006.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programs of mortgage financing are available to customers with minimum monthly income of US$400. The MiVivienda program, a program supported by government resources, placed a limit on the value of the house to be purchased of up to US$35,000.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2006, the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Cards</w:t>
      </w:r>
    </w:p>
    <w:p>
      <w:pPr>
        <w:spacing w:after="0" w:line="2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market for credit cards in Peru has grown significantly as improving economic conditions have led to increased consumer spending. BCP expects strong demand for credit cards to continue. In addition to interest income, BCP derives fee income from customer application and maintenance, retailer transactions, merchant processing and finance and penalty charges on credit cards.</w:t>
      </w:r>
    </w:p>
    <w:p>
      <w:pPr>
        <w:spacing w:after="0" w:line="2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According to BCP’s internal records, the number of active credit cards issued by BCP increased from 296,000 in 2005 to 378,677 in 2006. Total purchases went up from US$498.0 million to US$592 million. BCB has issued approximately 13,522 active credit cards.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credit cards are primarily, and have been historically, issued through Visa, but in May 2000 BCP began offering American Express cards. BCP estimates that its credit cards account for 18% of the credit cards issued by the banking system in Peru as of December 31, 2006. The estimated total number of credit cards issued in Peru as of December 31, 2006 was approximately 5 million, of which approximately 44% were issued by non-banking entities or department stores.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1997, VISANET was established in Peru to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18,000 in 2005 compared to 15,741 in 2004.</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SBS, the credit balance as of December 31, 2006 was US$432.7 million, representing 8.1% of total loans. Based on internal reports, in 2006 BCP’s market share over the total volume of credit cards issued by banks and finance companies was 17.7%, compared to 16.3% in 2005. These numbers reflect BCP’s strategy of seeking more widespread use of the cards at the lower end of the consumer market. In order to maintain a portfolio with robust management procedures, BCP works continuously to monitor and optimize models of scoring, including, among others, behavior, payments and income forecasting.</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group of clients who do not regularly have access to credit cards, campaigns were launched to increase the use of the Credimás debit card as a form of payment. This resulted in a year-to-year increase of 30.6% from US$232.5 million to US$303.6 million, achieving a market share of 58.3% in this market.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7" w:name="page38"/>
    <w:bookmarkEnd w:id="37"/>
    <w:p>
      <w:pPr>
        <w:ind w:left="1460" w:hanging="804"/>
        <w:spacing w:after="0"/>
        <w:tabs>
          <w:tab w:leader="none" w:pos="1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 Banking Group</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Service Banking Group is in charge of managing distribution channels and procedures aimed at satisfying requirements of retail banking and also includes Areas specifically responsible for processes and information regarding technological and organizational matters as well as for the operation of BCP’s branch network. BCP evaluates its branch network on a continuous basis to monitor branch profitability in order to improve operating efficiency.</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Service Banking Group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the clients. For this reason, BCP started in 2005, the implementation of new attention channels known as Agentes ViaBCP. The Agentes ViaBCP are attention points located in small business stores and attended to by the business’s owner, which allow operations for limited amounts to be carried out, thus expanding the attention network to Area which register a low number of operations. Sixty-one Agentes BCP were installed in 2005, while in 2006 490 were added. BCP expects to have installed approximately 1,000 Agentes BCP by the end of 2007.</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reduce costs and improve service quality, BCP has encouraged use of electronic channels in which transactions costs are lower than at bank windows and service is faster and more efficient. Thus, despite a larger total number of transactions, the share of window and telephone transactions over total transactions continued to fall from 40% to 36%, between 2005 and 2006, while the number of transactions at automatic tellers, automatic balance machines and Internet banking rose from 42% to 44%.</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Service Banking Group is oriented towards satisfying client needs. Service Banking serves all of BCP’s existing clients as well as potential clients and aims to improve BCP’s profitability levels and increase resource retention levels through the efficient use of assigned resources. Furthermore, the Service Banking Group supervises the execution of operations and processes of BCP’s network channels and Areas to ensure superior quality service levels with the lowest operating and commercial costs. This Group is also in charge of supervising compliance within the branch network.</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BCP’s branch network consisted of 153 branches in Greater Lima and 84 branches in the provinces of Peru, the largest number of branches with the most extensive country coverage of any privately held bank in Peru. Credicorp believes that BCP’s branch network has been largely responsible for BCP’s success in attracting stable, relatively low-cost deposits. BCP has installed the most extensive network of ATMs in Peru, currently consisting of 655 ATMs, up from 551 at year-end 2005, in addition to other electronic channels, including the Internet and Agentes ViaBCP,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an investment vehicle and sold it to ASHC. ASHC subsequently consolidated BCOL into its operations during 2004.</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BCB has 57 branches located throughout Bolivia, as well as 142 ATMs, making it the largest ATM network in Bolivia.</w:t>
      </w:r>
    </w:p>
    <w:p>
      <w:pPr>
        <w:spacing w:after="0" w:line="316" w:lineRule="exact"/>
        <w:rPr>
          <w:sz w:val="20"/>
          <w:szCs w:val="20"/>
          <w:color w:val="auto"/>
        </w:rPr>
      </w:pPr>
    </w:p>
    <w:p>
      <w:pPr>
        <w:ind w:left="1400" w:hanging="744"/>
        <w:spacing w:after="0"/>
        <w:tabs>
          <w:tab w:leader="none" w:pos="14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Markets Group</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treasury, custody and trust, investment advisory services, and general research activities.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products offered are distributed through BCP’s subsidiaries and branches. A close relationship and coordination with subsidiaries has established BCP as the market leader in the capital markets business.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Creditítulos is BCP’s asset securitization subsidiary through which BCP offers local securitization structuring to corporate entities.</w:t>
      </w:r>
    </w:p>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Trading and Brokerage Services</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BCP’s subsidiary, Credibolsa, is the leading brokerage house on the Lima Stock Exchange. According to data from the Lima Stock Exchange, during 2006, Credibolsa had a total trading volume of US$2.96 billion, increasing from US$1.8 billion in 2005. Credibolsa had 18.93% of the total trading volume in variable equity instruments on the Lima Stock Exchange and 67.39% of the volume in trading of fixed income instruments on the Exchange in 2006, compared to 15.98% and 54.1% in 2005, respectively. Credibolsa’s trading volume was generated by domestic customers, both retail and institutional, and by foreign institutional clients as well as by Credicorp’s proprietary trading.</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BCP’s management believes that, despite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Treasury, Foreign Exchange and Proprietary Trading</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US$13.2 billion in the forward market and US$34.3 billion in the spot market in 2006, achieving a market share in the foreign exchange trading services of approximately 35% in the forward market and 31% in the spot market.</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i w:val="1"/>
          <w:iCs w:val="1"/>
          <w:color w:val="auto"/>
        </w:rPr>
        <w:t>Asset Management</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1994, BCP created Credifondo S.A., Sociedad Administradora de Fondos Mutuos de Inversión en Valores (Credifondo) to establish, provide advice to and operate mutual funds in Peru. In 2006, it continued to be the largest mutual fund manager in Peru with 49.2% of the market at year-end, as compared to 50.9% in 2004, based upon data from the Comisión Nacional Supervisora de Empresas y Valores (“CONASEV”), the Peruvian securities market authority. As of December 31, 2006, total Peruvian funds in the mutual funds system amounted to US$2.58 billion, increasing 30% from US$2.0 billion in 2005.</w:t>
      </w:r>
    </w:p>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CONASEV, as of December 31, 2006, Credifondo managed five separate funds, with a total of 81,774 participants (48.8% of total participants) compared to 64,886 (56.2% of total participants) in 2005. Among the securities in which the different funds specialize are: equities, U.S. Dollar-denominated bonds, Nuevo Sol-denominated bonds, U.S. Dollar-denominated short-term securities and U.S. Dollar-denominated real estate securities. As of December 31, 2006, the total amount of funds managed by Credifondo was US$1,234 million, increasing from US$1,015 million as of December 31, 2005. Such funds are subject to certain volatility, and there can be no assurance as to their future performance. Credicorp does not guarantee any return on these investments.</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2006, the Bolivian fund administrator managed a total of US$57.6 million of third-party funds (US$55.3 million in 2005).</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Trust, Custody and Securitization Services</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BCP’s internal reports, BCP holds US$15.6 billion in securities for over 61,297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2000, Inversiones Crédito del Perú (now Grupo Crédito), a subsidiary of Credicorp, jointly with two other Peruvian banks, formed La Fiduciaria S.A. (“Fiduciaria”), an associated entity and the first specialized trust services company in Peru, in which Credicorp holds a 45% interest. In its seventh year of existence, Fiduciaria has managed trusts for a majority of the institutions in the national financial system, putting itself at the forefront of fiduciary services in the country. Operations encompassed sectors including energy, communications, mining, tourism, fishing, education and construction. Fiduciaria ended 2006 with 116 outstanding operations (102 in 2005).</w:t>
      </w:r>
    </w:p>
    <w:p>
      <w:pPr>
        <w:spacing w:after="0" w:line="274" w:lineRule="exact"/>
        <w:rPr>
          <w:sz w:val="20"/>
          <w:szCs w:val="20"/>
          <w:color w:val="auto"/>
        </w:rPr>
      </w:pPr>
    </w:p>
    <w:p>
      <w:pPr>
        <w:ind w:left="1460" w:hanging="804"/>
        <w:spacing w:after="0"/>
        <w:tabs>
          <w:tab w:leader="none" w:pos="1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Lending Policies and Procedures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sector.</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area,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Risk without collateral or</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with only personal</w:t>
            </w: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Risk with preferred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US$ thousands</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collateral or guarantee</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guarantees (1)</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Years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 credit limit</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 credit limit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 credit limit</w:t>
            </w:r>
          </w:p>
        </w:tc>
      </w:tr>
      <w:tr>
        <w:trPr>
          <w:trHeight w:val="257"/>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Executive Committee</w:t>
            </w:r>
          </w:p>
        </w:tc>
        <w:tc>
          <w:tcPr>
            <w:tcW w:w="22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2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w:t>
            </w:r>
          </w:p>
        </w:tc>
        <w:tc>
          <w:tcPr>
            <w:tcW w:w="2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Credit Group Manager</w:t>
            </w:r>
          </w:p>
        </w:tc>
        <w:tc>
          <w:tcPr>
            <w:tcW w:w="2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FFCC"/>
          </w:tcPr>
          <w:p>
            <w:pPr>
              <w:spacing w:after="0"/>
              <w:rPr>
                <w:sz w:val="22"/>
                <w:szCs w:val="22"/>
                <w:color w:val="auto"/>
              </w:rPr>
            </w:pPr>
          </w:p>
        </w:tc>
        <w:tc>
          <w:tcPr>
            <w:tcW w:w="2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Credit Risk Manager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tcPr>
          <w:p>
            <w:pPr>
              <w:spacing w:after="0"/>
              <w:rPr>
                <w:sz w:val="22"/>
                <w:szCs w:val="22"/>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Credit Risk Chiefs</w:t>
            </w:r>
          </w:p>
        </w:tc>
        <w:tc>
          <w:tcPr>
            <w:tcW w:w="2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FFCC"/>
          </w:tcPr>
          <w:p>
            <w:pPr>
              <w:spacing w:after="0"/>
              <w:rPr>
                <w:sz w:val="21"/>
                <w:szCs w:val="21"/>
                <w:color w:val="auto"/>
              </w:rPr>
            </w:pPr>
          </w:p>
        </w:tc>
        <w:tc>
          <w:tcPr>
            <w:tcW w:w="2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5" w:lineRule="exact"/>
        <w:rPr>
          <w:sz w:val="20"/>
          <w:szCs w:val="20"/>
          <w:color w:val="auto"/>
        </w:rPr>
      </w:pPr>
    </w:p>
    <w:p>
      <w:pPr>
        <w:ind w:left="500" w:right="40" w:hanging="492"/>
        <w:spacing w:after="0" w:line="282" w:lineRule="auto"/>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guarantees include deposits in cash, stand-by letters, securities and other liquid assets with market price, mortagages, non-real estate property guarantees and assets generated by leasing operations.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BCP is a secured lender. As of December 31, 2006, approximately US$2.796 billion of the loan portfolio and contingent credits were secured by collateral which represents 53.1% of the total loan portfolio based upon BCP’s unconsolidated figures (51.3% as of December 31, 2005 and 50.2% as of December 31, 2004).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BCP seeks to obtain additional collateral.</w:t>
      </w:r>
    </w:p>
    <w:p>
      <w:pPr>
        <w:spacing w:after="0" w:line="2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BCP conducts unannounced internal audits on the financial statements, consistent with local banking regulation of the different jurisdictions in which it operates.</w:t>
      </w:r>
    </w:p>
    <w:p>
      <w:pPr>
        <w:spacing w:after="0" w:line="252" w:lineRule="exact"/>
        <w:rPr>
          <w:sz w:val="20"/>
          <w:szCs w:val="20"/>
          <w:color w:val="auto"/>
        </w:rPr>
      </w:pPr>
    </w:p>
    <w:p>
      <w:pPr>
        <w:ind w:left="1500" w:hanging="844"/>
        <w:spacing w:after="0"/>
        <w:tabs>
          <w:tab w:leader="none" w:pos="1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w:t>
      </w:r>
    </w:p>
    <w:p>
      <w:pPr>
        <w:spacing w:after="0" w:line="2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Deposits are principally managed by BCP’s Retail Banking Group. The main objective of BCP’s retail banking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these core deposits represented 96.7% of BCP’s total deposits on an unconsolidated basis. BCP’s extensive branch network facilitates access to this type of stable and low-cost source of funding. BCP’s corporate clients are also an important source of funding for BCP. As of December 31, 2006, BCP’s Wholesale Banking Group accounted for approximately 41% of total deposits, of which 46% were demand deposits, 49% time deposits, and 4% savings. Of all deposits from BCP’s Wholesale Banking Group, most (54.5%) were foreign currency-denominated (almost entirely U.S. Dollars) and the balance (45.5%) was Nuevo Sol-denominated.</w:t>
      </w:r>
    </w:p>
    <w:p>
      <w:pPr>
        <w:spacing w:after="0" w:line="274" w:lineRule="exact"/>
        <w:rPr>
          <w:sz w:val="20"/>
          <w:szCs w:val="20"/>
          <w:color w:val="auto"/>
        </w:rPr>
      </w:pPr>
    </w:p>
    <w:p>
      <w:pPr>
        <w:ind w:left="1560" w:hanging="904"/>
        <w:spacing w:after="0"/>
        <w:tabs>
          <w:tab w:leader="none" w:pos="15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Support Areas</w:t>
      </w:r>
    </w:p>
    <w:p>
      <w:pPr>
        <w:spacing w:after="0" w:line="29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Commercial banking operations are supported by BCP’s Market Risk Area, which evaluates and helps administer credit relationships, establishes credit policies and monitors credit risk. See “—(4) BCP and Subsidiaries— (vi) Lending Policies and Procedures.”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2" w:name="page43"/>
    <w:bookmarkEnd w:id="4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sector in 1999.</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BCP’s retail banking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 is in the process of designing a disaster recovery system which duplicates all of operational and functional systems by mirroring each of BCP’s computer systems. BCP’s disaster recovery center is located 10 miles from BCP’s main center. However, BCP has just started the first stage of a project, aiming to move this center out of the city of Lima. In the event of a disaster, natural or otherwise, whereby BCP cannot operate its technology infrastructure, the system is designed to act as a surrogate technology backbone, providing all of BCP’s services to the branches and electronic banking systems. The system is designed to allow BCP to operate under as close to normal conditions as possible during such a disaster, although this system has never been required to date.</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has been designed to use the latest proven technology available, which will improve its successful system that among other things can prioritize queues for eligible customers via a ticketing system in the branches.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2006, the System and Organization Group continued playing its main role by designing and improving processes, managing strategic projects, and providing coaching in the technology and organization area. A total US$62.2 million was spent by the Group, of which US$48.5 million related to recurrent expenses and US$13.7 million to the development of several projects targeted at meeting the Bank’s strategic goals. One of the most important objectives is the growth of the Agente BCP channel, which is able to perform new tasks such as service payments and, issuing and collection of payment orders and foreign remittances. Another important project was the modernization of the Contact Center which improved the availability and stability of the Phone Banking services. In 2006, BCP has also taken a few major steps towards the technological upgrading of the Bank’s branches, putting more emphasis on sales and modern processes and systems that provide easier and faster services for the customer. Those steps included: the implementation of the new “Servimatic” (a balance inquiry service), with new and more modern ticketing devices; the Customer’s File, which shows the customer’s information and facilitates the commercial work on the platform; and the new and technologically robust Balance and Activity Consultation equipment.</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One of the projects aiming at increasing the loan placements in the Retail Banking area - the new MIC system - was launched before the end of 2006. The first phase of the project complements the processing of credit card sales; with the new system, BCP can interact with the customers online, and provide them with instant approval and credit line determination. In 2007, the new MIC system will be expanded to other products such as personal credits.</w:t>
      </w:r>
    </w:p>
    <w:p>
      <w:pPr>
        <w:spacing w:after="0" w:line="2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Lastly, between September and December 2006, a joint team of Prima AFP, Unión Vida and BCP successfully integrated Prima AFP systems with those of Unión Vida, as part of the implementation of the merger process.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ECO Program</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ECO Program (Excellence in Operational Continuity) will guarantee our customers quality and seamless service. As part of the Program, BCP upgraded and replicated its data processing center in La Molina to a new data center in Chorrillos and an out of region recovery center in Trujillo City. All of these centers will be using the most modern and efficient technologies available in the market, to guarantee a redundant, reliable electrical system. With these renewed processing centers, BCP hopes to be able to support any local incident without interrupting the service.</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ECO Program, which in addition to an efficient processing network also includes improvement of data retrieval processes, is expected to be completed and operating by the second half of 2008.</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CMMI</w:t>
      </w:r>
    </w:p>
    <w:p>
      <w:pPr>
        <w:spacing w:after="0" w:line="2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September 2006, the System and Organization Group obtained the CMMI (Capability Maturity Model Integration) Maturity Level 3 certification, developed by the Software Engineering Institute, an international software engineering organization sponsored by the United States Department of Defense and operated by Carnegie Mellon University, becoming the first Latin American bank and the first Peruvian company to receive such recognition.</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Model describes the capabilities a software development organization should have to obtain continued excellence levels, based on the principle that the quality of a system or product is highly dependent on the quality of the processes used to develop and maintain it. CMMI, which is based on the TQM (Total Quality Management) discipline and is compliant with the International Organization for Standardization (ISO) requirements, has turned into a global standard used by the world’s largest companies.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i w:val="1"/>
          <w:iCs w:val="1"/>
          <w:color w:val="auto"/>
        </w:rPr>
        <w:t>Centenario Technological Center</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the Bank’s evolution, its business keeps growing and diversifying, resulting in demand for new and improved applications and products. As a consequence of these developments, 100 new hires were approved as well. This additional workforce and the needs identified by the ECO Program led to the use of the Centenario Technological Center.</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the new Centenario Technological Center, the Information Technology Area will be able to increase its service capability.</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2006, BCP’s strategy was developed mainly on two fronts: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Generating Value</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terms of generating value, the Bank continues to develop strategies to approach different customer groups. The increasing usage of CRM (Customer Relation Management) tools across all sectors enables the Bank to reach customers and provide them with personalized offers and terms in a timely manner. In an effort to build long-term relationships, the Bank has boosted its development and training activities, including training programs with small-business owners supported by Universidad del Pacífico, the fair organization ExpoNegocios, Bodegas y Mercados, and intensive seminars conducted in 10 cities across the country. Another key element for creating value is innovation, and BCP has launched several innovative products, including new products in the services provided to very wealthy customers; new benefits to customers whose wages are paid at their BCP accounts; and the development of the Línea Múltiple de Negocios [Multiple Business Line] that allows our business banking service customers to meet their financial needs with a comprehensive, easy-to-use product.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Quality in Service</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Quality in service is a permanent goal for BCP. In this field, progress has been made as part of implementing a new regulation promulgated under the Consumer Protection Law, including significant investments geared at improving service and keeping customers informed about the products and services we offer. We have also implemented longer working hours in branches.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Improved processes and supporting tools have enabled us to follow up and leverage growing businesses. The new commercial loan disbursement process (promissory notes, loans, advances and issuing bank guarantees nationwide) was successfully implemented by using CAPS as a tool. This allowed us to improve our customer service timing and to reduce our business consultants’ and assistants’ workload. In 2006, we received fewer general complaints, which dropped by 22% from 2005.</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efforts to improve our service quality have been communicated in successful advertising campaigns on TV which have won us awards such as the Gran Effie 2006, the highest award granted in Peru for advertising effectiveness and the Communication Award in Financial Marketing granted by the Latin American Banking Federation.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45" w:name="page46"/>
    <w:bookmarkEnd w:id="45"/>
    <w:p>
      <w:pPr>
        <w:ind w:left="1460" w:hanging="804"/>
        <w:spacing w:after="0"/>
        <w:tabs>
          <w:tab w:leader="none" w:pos="1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Anti Money Laundering Policies</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1995, BCP has implemented programs and adopted policies designed to comply with the “know your customer” regulations in the countries in which it operates. As an additional precaution, ASHC will open accounts only for individuals or entities that are recommended by senior officers of ASHC or BCP.</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Peru has long-standing laws criminalizing money-laundering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Area, a public entity in charge of directing anti-money-laundering actions and monitoring information that public and private companies are required to provide. The Financial Intelligence Area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280" w:lineRule="exact"/>
        <w:rPr>
          <w:sz w:val="20"/>
          <w:szCs w:val="20"/>
          <w:color w:val="auto"/>
        </w:rPr>
      </w:pPr>
    </w:p>
    <w:p>
      <w:pPr>
        <w:ind w:left="1400" w:hanging="744"/>
        <w:spacing w:after="0"/>
        <w:tabs>
          <w:tab w:leader="none" w:pos="14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2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BCP had 8,859 full-time employees, compared to 7,479 employees as of December 31, 2005 and 7,694 employees as of December 31, 2004.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in FEB has declined to below 50%, primarily because of the substantial reduction in the size of the state-owned banking business during the 1990s, the most recent collective bargaining agreement, which expired on June 30, 1995, was not renewed. As of December 31, 2006, BCP had no unionized employees. The last strike by union employees occurred in 1991 and did not interfere with BCP’s operations.</w:t>
      </w:r>
    </w:p>
    <w:p>
      <w:pPr>
        <w:spacing w:after="0" w:line="280" w:lineRule="exact"/>
        <w:rPr>
          <w:sz w:val="20"/>
          <w:szCs w:val="20"/>
          <w:color w:val="auto"/>
        </w:rPr>
      </w:pPr>
    </w:p>
    <w:p>
      <w:pPr>
        <w:ind w:left="920" w:hanging="588"/>
        <w:spacing w:after="0"/>
        <w:tabs>
          <w:tab w:leader="none" w:pos="9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Atlantic Security Holding Corporation</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portion of Credicorp’s commercial banking business is also carried out by ASHC, which principally serves Peruvian private banking customers through offices in Panama. As of December 31, 2006, ASHC had total assets of US$1,379.1 million and shareholders’ equity of US$178.9 million (compared with US$1,114.6 million and US$164.8 million, respectively, as of December 31, 2005). ASHC’s net income was US$31.5 million in 2006 and US$25.2 million in 2005, which included income from dividends paid by Credicorp. Larger revenues from dividends are a consequence of strong Credicorp dividend payments in 2006, resulting from improved earnings in the prior year. Though not reflected in the consolidated results, ASHC’s net income attributable to Credicorp increased compared to the US$13.5 million registered during the 2005, reaching a total of US$15.4 million.</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loans outstanding in ASHC’s portfolio were US$160.4 million and US$133.8 million at December 31, 2005, and 2006, respectively, representing a decrease of 16.6%. Deposits increased 25.2% to US$1,166.1 at December 31, 2006 from US$931.7 million at December 31, 2005. Third-party assets under management increased 37.3% from US$1,017.0 million in 2005 to US$1,396.2 million in 2006, principally due to the increase in value of customers stock portfolios. ASHC’s past due loans as a percentage of total loans was 0.0% from 1996 through 2002, but reached 2.3% as of December 2003, and declined back to 0.0% at December 31, 2004, 2005 and 2006.</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6" w:name="page47"/>
    <w:bookmarkEnd w:id="4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ASHC’s Corporate Banking Group makes working capital and bridge loans. As of December 31, 2006, approximately 50.9% of ASHC’s loans were to Peruvian companies, 3.8% were to companies in Bolivia, 6.9% were to companies in Colombia, 3.9% were to companies in El Salvador, and the remainder were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ASHC’s policy is to provide funding to customers on the basis of approved lines of credit. ASHC’s Credit Committee meets weekly to discuss the entire credit risk inherent in the risk portfolio, composed of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ASHC’s Private Banking Group’s clients have traditionally provided a stable funding source for ASHC, as many are long-time clients who maintain their deposits with ASHC. As of December 31, 2006, ASHC had approximately 3,200 customers. Currently, about 95% of ASHC’s private banking clients are Peruvian.</w:t>
      </w:r>
    </w:p>
    <w:p>
      <w:pPr>
        <w:spacing w:after="0" w:line="2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2006, ASHC had approximately US$737.8 million, at fair values, invested in these types of securities (US$520.5 million in 2005). ASHC generally utilizes its own funds for these activities rather than borrowings. ASHC also holds an equity investment in Credicorp with a fair value of approximately US$598.6 million at December 31, 2006 (US$333.2 million at December 31, 2005). ASHC’s investment portfolio, as well as future purchases, sales, overall investment strategy and the general profile of the trading portfolio are reviewed on a monthly basis by an investment committee composed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2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ASHC’s Asset Management group, created in 1989, conducts ASHC’s management of third-party funds which, including the aggregate of third-party assets, had total assets under management of US$1,396.2 million as of December 31, 2006, compared to US$1,017.0 million as of December 31, 2005. This increase was principally due to the increase in value of customers’ stock portfolios. Investment decisions for funds, except for outsourced funds, are made by senior officers within ASHC, in accordance with guidelines of the Investment Committee.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7" w:name="page48"/>
    <w:bookmarkEnd w:id="47"/>
    <w:p>
      <w:pPr>
        <w:ind w:left="920" w:hanging="588"/>
        <w:spacing w:after="0"/>
        <w:tabs>
          <w:tab w:leader="none" w:pos="9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Pacífico Peruano Suiza</w:t>
      </w:r>
    </w:p>
    <w:p>
      <w:pPr>
        <w:spacing w:after="0" w:line="2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conducts its insurance operations exclusively through PPS and through its subsidiaries El Pacífico Vida and Pacífico Salud, which together comprise Pacifico Grupo Asegurador, which provides a broad range of insurance products in the property and casualty, life and health groups. In 2006, the six most significant lines together constituted 79.6% of total premiums written by PPS. These are commercial property damage (including fire, earthquake and related coverage but not personal injury, tort or other liability risk), automobile, health, life and pension fund underwriting and life annuities. PPS is the second leading Peruvian insurance company, including private health companies, with a market share of 30.3% based on net premiums earned and fees in 2006.</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PPS’s consolidated net income attributable to Credicorp in 2006 was US$14.5 million, an increase of 159% from US$5.6 million in 2005. Total premiums increased 3.8% to US$372.6 million during 2006 from US$359.0 million in 2005, and net premiums earned, net of reinsured premiums and of technical reserves (as defined below in “—(ii) Claims and Reserves”), were US$259.1 million in 2006, increasing 16.4% as compared to the previous year. PPS’s net underwriting results increased 77.6% to US$34.8 million in 2006 from US$19.6 million in 2005, mainly due to higher gross premiums, lower claims and lower ceded rates. The ratio of underwriting results to total net premiums increased from 5.4% during 2005 to 9.3% in 2006, also mainly as a result of lower premiums ceded and lower reserves adjustments. The property and casualty businesses, which presented the best underwriting result among the various business Areas compared to the same period of 2005, were mainly marine hull, personal injuries and third-party liabilities. Meanwhile, operating expenses during 2006 represented 24.3% of net premiums earned, lower than 21.7% in 2005.</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case of the specialization by Areas, such as fire, automobiles, health and fraud, among others, a specialized team has been formed. This team is responsible for improving the technical results through a study of the risk portfolio by area, applying best practices in selection, operations and marketing, and for creating new products aligned with our economic and social reality.</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PPS’s business is highly concentrated, with a client base of over 20,000 companies and over 240,000 individuals in the property and casualty and health insurance programs, not including individuals affiliated with group health insurance programs through the companies by which they are employed. PPS’s life insurance client base consists of over 130,000 individuals. As of December 2006, revenues from policies written for PPS’s three largest and 20 largest customers represented 5.2% and 19.9% of total premiums in P&amp;C and Health insurance, respectively, PPS’s property insurance lines are sold through agents and brokers, while life insurance is sold by its own sales force. The 10 largest brokers accounted for approximately 35.7% of total premiums as of December 31, 2006 (36.4% as of December 31, 2005).</w:t>
      </w:r>
    </w:p>
    <w:p>
      <w:pPr>
        <w:spacing w:after="0" w:line="2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El Pacífico Vida (“Pacífico Vida”), PPS life insurance subsidiary since 1997, is 38%-owned by ALICO, a subsidiary of AIG. In 2006, Pacífico Vida had total premiums of US$117.2 million, a 6.1% increase from total premiums of US$110.5 million in 2005. Pacífico Vida’s net income reached US$9.4 million in 2006, close to the US$9.9 million reached in 2005. Pacífico Vida’s market share was 23.0% in 2006 versus 23.7% in 2005. Individual life and personal injuries businesses increased 22.0%, mainly due to improved productivity and growth of their sales force, reaching a market share of 31.8%. Life annuity business decreased 16% in total earnings and showed a reduction in market share from 21% to 17.7%, mainly due to a more conservative investment policy, which decelerated the demand for this product. The pension fund underwriting business grew 26% with respect to the same period in 2005. Likewise, Group Life, Legal Life, SCTR and Credit Life increased thanks to the business with BCP such as credit cards and mortgage loans. In 2006, total premiums on Group Life, Legal Life and SCTR increased by 18.9% with Credit Life being the most dynamic product, reaching an increase of 30% over that of 2005. Pacífico Vida, the life insurance company, generated financial earnings amounting to US$35.1 million in 2006.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48" w:name="page49"/>
    <w:bookmarkEnd w:id="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US$80.7 million in 2006 (US$78.5 million in 2005), with a net income of US$3.7 million in 2006 (compared to loss of US$1.9 million in 2005) mainly due to higher production and lower claims registered.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2006, PPS has improved its internal reporting and risk management processes to produce reliable financial statements and control risk, in line with international reporting standards and in compliance with the regulatory requirements applicable to Credicorp Ltd., PPS’s parent company, which is listed on the NYSE. Thus, in 2006 PPS has become one of the few local companies to achieve such reporting and control standards.</w:t>
      </w:r>
    </w:p>
    <w:p>
      <w:pPr>
        <w:spacing w:after="0" w:line="267" w:lineRule="exact"/>
        <w:rPr>
          <w:sz w:val="20"/>
          <w:szCs w:val="20"/>
          <w:color w:val="auto"/>
        </w:rPr>
      </w:pPr>
    </w:p>
    <w:p>
      <w:pPr>
        <w:ind w:left="1340" w:hanging="684"/>
        <w:spacing w:after="0"/>
        <w:tabs>
          <w:tab w:leader="none" w:pos="1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Underwriting, Clients and Reinsurance</w:t>
      </w:r>
    </w:p>
    <w:p>
      <w:pPr>
        <w:spacing w:after="0" w:line="2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2006 were, among others, Lloyd’s, New Hampshire Insurance Co., Münchener Ruck, Swiss Reinsurance Co., Hannover Ruck, XL Re Ltd., Liberty Mutual, London Life, Mapfre Re and QBE Reinsurance. Premiums ceded to reinsurers represented 21.0%, 18.9% and 17.0% of premiums written in 2004, 2005 and 2006, respectively. PPS acts as a reinsurer on a very limited basis, providing its excess reinsurance capacity to other Peruvian insurers who are unable to satisfy their reinsurance requirements. As of December 31, 2006, premiums for reinsurance written by PPS totaled US$6.1 million.</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 See “—(ii) Claims and Reserves.”</w:t>
      </w:r>
    </w:p>
    <w:p>
      <w:pPr>
        <w:spacing w:after="0" w:line="267" w:lineRule="exact"/>
        <w:rPr>
          <w:sz w:val="20"/>
          <w:szCs w:val="20"/>
          <w:color w:val="auto"/>
        </w:rPr>
      </w:pPr>
    </w:p>
    <w:p>
      <w:pPr>
        <w:ind w:left="1400" w:hanging="744"/>
        <w:spacing w:after="0"/>
        <w:tabs>
          <w:tab w:leader="none" w:pos="14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Claims and Reserves</w:t>
      </w:r>
    </w:p>
    <w:p>
      <w:pPr>
        <w:spacing w:after="0" w:line="2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Net claims paid as a percent of net premiums written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net loss ratio) reached 60.3% in 2006, as in 2005, and lower than 52.3% in 2004. The net loss ratio from the health and medical assistance insurance line, which represented 29.8% of total premiums in 2006, (30.5% in 2005) decreased from 82.9% in 2005 to 82.2% in 2006. Automobile risks, 6.4% of PPS’s premiums in 2006 (4.9% in 2005), decreased from 63.1% in 2005 to 57.1% in 2005. The property casualty line, 13.3% of total premiums in 2006 (15.6% in 2005), increased from 24% in 2005 to 35.0% in 2006. The net loss ratio from private pension fund insurance, 8.0% of total premiums in 2006 (6.5% in 2005), decreased from 89.5% in 2005 to 86.3% in 2006.</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PPS establishes claims reserves with respect to claims when reported, as well as for incurred but not reported (IBNR) claims. Such reserves are reflected as liabilities in PPS’s financial statements.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SBS regulations, PPS establishes pre-event reserves for catastrophic risks with respect to earthquake coverage, including since 2003 unearned premiums, in the commercial property, business interruption, and engineering lines. See “—(11) Supervision and Regulation—(v) PPS—Reserve Requirements.” In accordance with IFRS principles, the pre-event reserves and income charges for catastrophic reserves are not considered in Credicorp’s consolidated financial statements.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can be no assurance that ultimate claims will not exceed PPS’s reserves.</w:t>
      </w:r>
    </w:p>
    <w:p>
      <w:pPr>
        <w:spacing w:after="0" w:line="316" w:lineRule="exact"/>
        <w:rPr>
          <w:sz w:val="20"/>
          <w:szCs w:val="20"/>
          <w:color w:val="auto"/>
        </w:rPr>
      </w:pPr>
    </w:p>
    <w:p>
      <w:pPr>
        <w:ind w:left="1440" w:hanging="784"/>
        <w:spacing w:after="0"/>
        <w:tabs>
          <w:tab w:leader="none" w:pos="1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Portfolio</w:t>
      </w:r>
    </w:p>
    <w:p>
      <w:pPr>
        <w:spacing w:after="0" w:line="2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2006, the book value of PPS’s available for sale investments was US$728.9 million, which included US$43.2 million in equity securities and US$685.7 million in bonds. In addition, real state investments book value reached US$31.8 million.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2004, PPS sold Credicorp Common Shares to ASHC. The sale amounted to S/.115.9 million (US$33.5 million) and resulted in a net gain of S/.75.5 million (US$21.7 million), which is not subject to income taxes, in PPS’s local records. In the Credicorp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part of its improvement process, PPS changed its investments policy to employ the best international risk management practices and tools, and incorporated the recommendations of Solvencia II and Basel II with a view to developing a better match of terms and currencies with the company’s liabilities, especially in connection with obligations vis-à-vis PPS’s insured customers. The profits earned during 2006 may be attributed primarily to (i) the sale of a significant share package of Banco de Crédito as part of the effort to improve PPS’s currencies matching between assets and liabilities which generated gains of approximately US$40 million, for PPS (a related party transaction eliminated in the consolidation process), (ii) the interest rates growth in the last year, and (iii) the increase in the stock market value of shares in which PPS invested. Certain profitable transactions are not reflected in Credicorp’s results, since, as related-party transactions, they are eliminated in the consolidation process.</w:t>
      </w:r>
    </w:p>
    <w:p>
      <w:pPr>
        <w:spacing w:after="0" w:line="2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consequence of these sales, additional investments were made, mainly in fixed income securities. Considering that PPS invested in some specific securities, there is no assurance that PPS will be able to dispose of large portions of its investment portfolio for market value. Consequently, there is a risk related to low liquidity in the event PPS is required to obtain cash in order to cover important liabilities.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Part of PPS’s strategy is to maintain an adequate U.S. Dollar position, since a significant portion of its premiums are denominated, and much of its operations are conducted, in U.S. Dollars. In 2006, 61.6% of the gross premiums received by PPS were denominated in U.S. Dollars (63.9% in 2005). As of December 31, 2006, PPS had US$61.8 million in fixed income bonds compared to US$81 million as of December 31, 2005. In addition, U.S. Dollar deposits in banks and U.S. Dollar current accounts were US$28.5 million and US$24.5 million at the end of 2005 and 2006, respectively.</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67" w:lineRule="exact"/>
        <w:rPr>
          <w:sz w:val="20"/>
          <w:szCs w:val="20"/>
          <w:color w:val="auto"/>
        </w:rPr>
      </w:pPr>
    </w:p>
    <w:p>
      <w:pPr>
        <w:ind w:left="920" w:hanging="588"/>
        <w:spacing w:after="0"/>
        <w:tabs>
          <w:tab w:leader="none" w:pos="9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Grupo Crédito/Prima AFP</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Prima AFP was established in 2005.</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2006, Prima AFP achieved major commercial and operating performance, reflected in 115,000 new customers from transfers and 23,000 more customers from affiliations, maintaining the highest levels of active contributors (estimated in approximately 90% compared with 38% for the industry) and average wages.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Commercial success replicated itself also in the field of investments, in which the company fulfilled its profitability promises.</w:t>
      </w:r>
    </w:p>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Continuing to pursue its strategy of fast growth and positioning in the market, on August 24, 2006 Prima AFP reached an agreement with Grupo Santander Perú S.A. for the acquisition of 99.97% of Unión Vida AFP. The acquisition was consummated for a total of US$141 million and the final purchase price determination was made with the conclusion of the arbitration proceedings between the parties. As a result, Credicorp received a reimbursement in an approximate amount of US$4.5 million. See Notes 2(a) to Credicorp Consolidated Financial Statement. Of the US$141 million, US$112 million came from a capital increase and US$29 million came from a BCP loan. Later, the company engaged in a tender offer directed at the minority shareholders. The company has successfully managed the operational and commercial challenges associated with the merger period. Unión Vida managed to resist competitive pressure, reaching 36,974 gross transfers and 8,907 affiliations between September and November 2006.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The merger, which was completed on December 1, 2006, resulted in a company with greater human and technological capabilities and a consolidated market position benefiting from intrinsic synergies of the pension administration business. The merged company has the following characteristics:</w:t>
      </w:r>
    </w:p>
    <w:p>
      <w:pPr>
        <w:spacing w:after="0" w:line="216" w:lineRule="exact"/>
        <w:rPr>
          <w:sz w:val="20"/>
          <w:szCs w:val="20"/>
          <w:color w:val="auto"/>
        </w:rPr>
      </w:pPr>
    </w:p>
    <w:p>
      <w:pPr>
        <w:ind w:firstLine="656"/>
        <w:spacing w:after="0" w:line="282"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capacity and experience of the staff of both companies, totaling, at the time of the merger, 275 administrative employees, 126 service and maintenance employees, 113 commercial supervision employees and 2,081 sales force employees.</w:t>
      </w:r>
    </w:p>
    <w:p>
      <w:pPr>
        <w:spacing w:after="0" w:line="21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 thousand affiliates, comprising 25.7% of the system, with US$4.2 billion under management comprising 29.2% of the funds in the system (ranking second in the market), as of December 2005.</w:t>
      </w:r>
    </w:p>
    <w:p>
      <w:pPr>
        <w:spacing w:after="0" w:line="21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17,000 pensioners enjoying a broad national presence with a total of 11 points of service and 19 points of sale.</w:t>
      </w: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close of 2006, the company posted losses of US$20.72 million and income of US$23.42 million. This was the case because the company continued to expand its income base progressively while it was still in a growth stage and faced high commercial expenses. Similarly, beginning in September 2006, it absorbed Unión Vida’s income and expenses, including important merger charges. Merger expenses included Unión Vida system accelerated depreciation due to its short useful life (until December 2006), staff lay-off costs and the amortization of the Unión Vida trademark, which use was discontinued since December 2006.</w:t>
      </w:r>
    </w:p>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balance sheet terms, the capital increase of US$112 million stands out; this, coupled with indebtedness amounting to US$29 million extended by BCP, enabled the company to acquire 99.97% of AFP Unión Vida shares, which was manifested in an increase in assets, liabilities and equity. Additionally, the Prima AFP purchased the property now converted into the corporate headquarters. This implied borrowing US$11.3 million in the form of a loan from BCP. Due to additional operating debt requirements, the year-end debt figure stood at US$55.4 million. Management believes that, given expected future flows and the support of its shareholders, this level of indebtedness does not put Prima AFP’s operation at risk. As for the investment in Unión Vida, after discounting Unión Vida adjusted equity, US$98.0 million intangible assets were recorded, to be amortized over the next years. After discounts of US$32.8 million for deferred taxes and interest, US$49.0 million was recorded as goodwill. From the amount recorded as intangible assets, US$3.7 million corresponding to the “Unión Vida” brands were written off as of December 1, 2006, as the Group will no longer use or sell them.</w:t>
      </w:r>
    </w:p>
    <w:p>
      <w:pPr>
        <w:spacing w:after="0" w:line="23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merged company’s operating expenses cannot yet be used as an indicator of future company expenses given the short period of time since the merger was effected. Nevertheless, as of December 31, 2006, there appears a downtrend in the merged company’s operating expenses.</w:t>
      </w:r>
    </w:p>
    <w:p>
      <w:pPr>
        <w:spacing w:after="0" w:line="252" w:lineRule="exact"/>
        <w:rPr>
          <w:sz w:val="20"/>
          <w:szCs w:val="20"/>
          <w:color w:val="auto"/>
        </w:rPr>
      </w:pPr>
    </w:p>
    <w:p>
      <w:pPr>
        <w:ind w:left="920" w:hanging="588"/>
        <w:spacing w:after="0"/>
        <w:tabs>
          <w:tab w:leader="none" w:pos="9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Competition</w:t>
      </w:r>
    </w:p>
    <w:p>
      <w:pPr>
        <w:spacing w:after="0" w:line="292"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Banking</w:t>
      </w:r>
    </w:p>
    <w:p>
      <w:pPr>
        <w:spacing w:after="0" w:line="3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Peruvian banking sector is currently composed of 11 commercial banking institutions. As of December 31, 2006, BCP (excluding foreign branches) ranked first among all Peruvian banks in terms of assets, deposits and loans with a market share of 36.1% of assets, 36.2% of deposits and 30.5% of loans.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Major Peruvian Banks as of December 31,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00" w:type="dxa"/>
            <w:vAlign w:val="bottom"/>
          </w:tcPr>
          <w:p>
            <w:pPr>
              <w:spacing w:after="0"/>
              <w:rPr>
                <w:sz w:val="20"/>
                <w:szCs w:val="20"/>
                <w:color w:val="auto"/>
              </w:rPr>
            </w:pP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60" w:type="dxa"/>
            <w:vAlign w:val="bottom"/>
          </w:tcPr>
          <w:p>
            <w:pPr>
              <w:spacing w:after="0"/>
              <w:rPr>
                <w:sz w:val="20"/>
                <w:szCs w:val="20"/>
                <w:color w:val="auto"/>
              </w:rPr>
            </w:pPr>
          </w:p>
        </w:tc>
      </w:tr>
      <w:tr>
        <w:trPr>
          <w:trHeight w:val="237"/>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BCP</w:t>
            </w:r>
          </w:p>
        </w:tc>
        <w:tc>
          <w:tcPr>
            <w:tcW w:w="18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Banco Continental</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Scotiabank Perú</w:t>
            </w:r>
          </w:p>
        </w:tc>
        <w:tc>
          <w:tcPr>
            <w:tcW w:w="18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16.8%</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Interbank</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Citibank</w:t>
            </w:r>
          </w:p>
        </w:tc>
        <w:tc>
          <w:tcPr>
            <w:tcW w:w="18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SBS</w:t>
      </w:r>
    </w:p>
    <w:p>
      <w:pPr>
        <w:spacing w:after="0" w:line="2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 In 2006, Banco Wiese merged with Banco Sudamericano and created Scotiabank Perú. During the same year, HSBC launched operations in Peru and is currently focused on top corporate segments.</w:t>
      </w:r>
    </w:p>
    <w:p>
      <w:pPr>
        <w:spacing w:after="0" w:line="2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believes that the Peruvian banking industry will continue to be a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226" w:lineRule="exact"/>
        <w:rPr>
          <w:sz w:val="20"/>
          <w:szCs w:val="20"/>
          <w:color w:val="auto"/>
        </w:rPr>
      </w:pPr>
    </w:p>
    <w:p>
      <w:pPr>
        <w:ind w:left="1140" w:hanging="484"/>
        <w:spacing w:after="0"/>
        <w:tabs>
          <w:tab w:leader="none" w:pos="11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Markets</w:t>
      </w:r>
    </w:p>
    <w:p>
      <w:pPr>
        <w:spacing w:after="0" w:line="3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Wholesale Banking Group,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US$14.3 billion as of December 31, 2006, increasing 51.7% since December 31, 2005, with a return of 26.82% in real terms in 2006. Total mutual funds reached US$2.6 billion in 2006, a 29.2% increase from US$2.0 billion in 2005.</w:t>
      </w:r>
    </w:p>
    <w:p>
      <w:pPr>
        <w:spacing w:after="0" w:line="230" w:lineRule="exact"/>
        <w:rPr>
          <w:sz w:val="20"/>
          <w:szCs w:val="20"/>
          <w:color w:val="auto"/>
        </w:rPr>
      </w:pPr>
    </w:p>
    <w:p>
      <w:pPr>
        <w:ind w:left="1140" w:hanging="484"/>
        <w:spacing w:after="0"/>
        <w:tabs>
          <w:tab w:leader="none" w:pos="11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Institutions</w:t>
      </w:r>
    </w:p>
    <w:p>
      <w:pPr>
        <w:spacing w:after="0" w:line="3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institutions in the Peruvian financial system tend to specialize in a given market sectors.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US$838.2 million as of December 31, 2006, or 50.1% of the total in the financial system, and consumer loans, where such providers lent US$820.9 million, or 21.5% of the total in the financial system. BCP also faces strong competition in its credit card operations from credit cards issued by retail stores.</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Credicorp believes that BCP’s reputation as a sound institution, together with its nationwide branch network coverage, provides it with an advantage over its principal competitors.</w:t>
      </w:r>
    </w:p>
    <w:p>
      <w:pPr>
        <w:spacing w:after="0" w:line="212" w:lineRule="exact"/>
        <w:rPr>
          <w:sz w:val="20"/>
          <w:szCs w:val="20"/>
          <w:color w:val="auto"/>
        </w:rPr>
      </w:pPr>
    </w:p>
    <w:p>
      <w:pPr>
        <w:ind w:left="1140" w:hanging="484"/>
        <w:spacing w:after="0"/>
        <w:tabs>
          <w:tab w:leader="none" w:pos="11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p>
    <w:p>
      <w:pPr>
        <w:spacing w:after="0" w:line="3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67" w:lineRule="exact"/>
        <w:rPr>
          <w:sz w:val="20"/>
          <w:szCs w:val="20"/>
          <w:color w:val="auto"/>
        </w:rPr>
      </w:pPr>
    </w:p>
    <w:p>
      <w:pPr>
        <w:ind w:left="920" w:hanging="588"/>
        <w:spacing w:after="0"/>
        <w:tabs>
          <w:tab w:leader="none" w:pos="9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Peruvian Government and Economy</w:t>
      </w:r>
    </w:p>
    <w:p>
      <w:pPr>
        <w:spacing w:after="0" w:line="2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Credicorp is incorporated in Bermuda, substantially all of BCP’s and PPS’s operations and customers are located in Peru. Although ASHC is based outside of Peru, a substantial number of its customers are also located in Peru.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Peru,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Peru.</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4" w:name="page55"/>
    <w:bookmarkEnd w:id="54"/>
    <w:p>
      <w:pPr>
        <w:ind w:left="1140" w:hanging="484"/>
        <w:spacing w:after="0"/>
        <w:tabs>
          <w:tab w:leader="none" w:pos="11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Peruvian Government</w:t>
      </w:r>
    </w:p>
    <w:p>
      <w:pPr>
        <w:spacing w:after="0" w:line="3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During the past several decades, Peru has had a history of political instability that has included military </w:t>
      </w:r>
      <w:r>
        <w:rPr>
          <w:rFonts w:ascii="Times New Roman" w:cs="Times New Roman" w:eastAsia="Times New Roman" w:hAnsi="Times New Roman"/>
          <w:sz w:val="18"/>
          <w:szCs w:val="18"/>
          <w:i w:val="1"/>
          <w:iCs w:val="1"/>
          <w:color w:val="auto"/>
        </w:rPr>
        <w:t>coups d’état</w:t>
      </w:r>
      <w:r>
        <w:rPr>
          <w:rFonts w:ascii="Times New Roman" w:cs="Times New Roman" w:eastAsia="Times New Roman" w:hAnsi="Times New Roman"/>
          <w:sz w:val="18"/>
          <w:szCs w:val="18"/>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the past, Peru experienced significant levels of terrorist activity, with </w:t>
      </w:r>
      <w:r>
        <w:rPr>
          <w:rFonts w:ascii="Times New Roman" w:cs="Times New Roman" w:eastAsia="Times New Roman" w:hAnsi="Times New Roman"/>
          <w:sz w:val="18"/>
          <w:szCs w:val="18"/>
          <w:i w:val="1"/>
          <w:iCs w:val="1"/>
          <w:color w:val="auto"/>
        </w:rPr>
        <w:t>Sendero Luminoso</w:t>
      </w:r>
      <w:r>
        <w:rPr>
          <w:rFonts w:ascii="Times New Roman" w:cs="Times New Roman" w:eastAsia="Times New Roman" w:hAnsi="Times New Roman"/>
          <w:sz w:val="18"/>
          <w:szCs w:val="18"/>
          <w:color w:val="auto"/>
        </w:rPr>
        <w:t xml:space="preserve"> (the “Shining Path”) and the </w:t>
      </w:r>
      <w:r>
        <w:rPr>
          <w:rFonts w:ascii="Times New Roman" w:cs="Times New Roman" w:eastAsia="Times New Roman" w:hAnsi="Times New Roman"/>
          <w:sz w:val="18"/>
          <w:szCs w:val="18"/>
          <w:i w:val="1"/>
          <w:iCs w:val="1"/>
          <w:color w:val="auto"/>
        </w:rPr>
        <w:t>Movimiento Revolucionario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Tupac Amaru </w:t>
      </w:r>
      <w:r>
        <w:rPr>
          <w:rFonts w:ascii="Times New Roman" w:cs="Times New Roman" w:eastAsia="Times New Roman" w:hAnsi="Times New Roman"/>
          <w:sz w:val="18"/>
          <w:szCs w:val="18"/>
          <w:color w:val="auto"/>
        </w:rPr>
        <w:t>(the “MRTA”) having escalated their acts of violence against the government and the private sector in the late 1980s and early 1990s.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w:t>
      </w:r>
    </w:p>
    <w:p>
      <w:pPr>
        <w:spacing w:after="0" w:line="2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the course of his government, President Fujimori implemented a broad-based reform of Peru’s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Toledo assumed the presidency against a backdrop of high unemployment and underemployment, economic recession and social need. 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President Toledo transferred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President</w:t>
      </w:r>
    </w:p>
    <w:p>
      <w:pPr>
        <w:spacing w:after="0" w:line="2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President García is following conservative economic policies and has indicated a desire to avoid the mistakes of past governments. García named the conservative banker Luis Carranza as Minister of Economy and Finance. Carranza held a senior position at Banco Bilbao Vizcaya Argentaria (BBVA) in Spain and was a key adviser to Pedro Pablo Kuczynski, the Prime Minister (and former Minister of Economy and Finance) of former president Alejandro Toledo. García has announced that his administration would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38" w:lineRule="exact"/>
        <w:rPr>
          <w:sz w:val="20"/>
          <w:szCs w:val="20"/>
          <w:color w:val="auto"/>
        </w:rPr>
      </w:pPr>
    </w:p>
    <w:p>
      <w:pPr>
        <w:ind w:left="1140" w:hanging="484"/>
        <w:spacing w:after="0"/>
        <w:tabs>
          <w:tab w:leader="none" w:pos="11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Peruvian Economy</w:t>
      </w:r>
    </w:p>
    <w:p>
      <w:pPr>
        <w:spacing w:after="0" w:line="3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2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-0.5% in 1998, but recovered 0.9% in 1999, 2.9% in 2000, 0.2% in 2001, 4.9% in 2002, 4.0% in 2003, 4.8% in 2004, 6.6% in 2005 and 8.0% in 2006; this growth for eight years in a row had not been seen since 1977. The “El Niño” phenomenon (a shift in ocean temperatures and atmospheric conditions in the tropical Pacific that disrupts the weather) was still considered a threat in 2006 but is expected to have a low impact on the economy in the coming years.</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should be noted that GDP growth figures for some years were revised downwards by the national statistical institute, the INEI, in 2000, which recalculated Peru’s GDP in 1999 at around $52 billion using a 1994 base year, some 10% below the previous estimate based on 1979 figures.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6" w:name="page57"/>
    <w:bookmarkEnd w:id="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of the principal factors that contributed to the improvement of economic expectations was the 38.8% increase in exports in 2004, which was followed by a new increase (36.7%) in 2005 and 37.6% in 2006. In particular, it has continued high foreign demand for minerals and raw materials and manufacturers benefited from the Andean Trade Promotion and Drug Eradication Act (“ATPDEA”) tariff preferences. 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2006, the Free Trade Agreement with theUnited States was signed.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US$170 million in 2004, US$134 million in 2003 and US$72 million in 2002.</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privatization program, which had been expected to raise US$700 million during 2002, encountered problems in June 2002 with public protests against the sale of two electricity generating companies in the south of Peru.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government has continued the concession program in 2005 and 2006, with some small projects with a total value of US$57 million.</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in 2004, with increases mainly in raw materials and capital goods. In 2006, trends continued, with exports rising to US$23.8 billion and imports increasing to US$14.9 billion.</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Peru registered a current account deficit of US$1.8 billion in 1999, which decreased to US$1.6 billion in 2000, and further to US$1.2 billion in 2001, to US$1.1 billion in 2002, to US$0.9 billion in 2003, to US$10 million in 2004, and reversed to a US$1.0 billion surplus in 2005. In 2006, a record was registered with a surplus of US$2.5 billion, equivalent to 2.6% of GDP.</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Peru’s financial account had a surplus of US$1.1 billion in 1999 and 2000, declined to US$1.0 billion in 2001, grew to US$1.8 billion in 2002 as a result of increased public sector capital inflows, was US$0.7 billion in 2003, grew to US$2.2 billion in 2004, and was US$0.2 billion in 2005. In 2006, surplus was US$0.8 billion, mainly due to repayment of external debt made by the public sector.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7" w:name="page58"/>
    <w:bookmarkEnd w:id="5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flow of direct foreign investment into Peru was US$433 million in 2000, US$803 million in 2001, US$2.2 billion in 2002, US$1.3 billion in 2003, US$1.8 billion in 2004, US$2.5 billion in 2005 and US$3.4 billion in 2006.</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inflation rate in Peru,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1.5% in 2005 and 1.1% in 2006. On the other hand, Peruvian Central Bank reduced its inflation target range for 2006 from -1% - +2.5% to -1% - +2%. It is worth mentioning that in the last five years the average inflation rate was below 2%.</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average bank market exchange rate for Nuevos Soles in Peru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the year at S/.3.430. After the presidential elections in 2006, the exchange rate decreased, closing the year at S/.3.196 for US$1.00.</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 In 2006, a reduction was registered, closing at 23.1%.</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2006, because of higher earnings generated from income tax, a surplus of 2.1% of GDP was achieved.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13.6% in 2005 and 14.9% in 2006.</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1996, Peru reached an agreement with the Paris Club countries, resulting in the rescheduling of 1996-1998 maturities. Likewise, due to a successful program with this group of creditors, Peru was able to reduce its external debt from US$8.5 billion at the end of 2004 to US$5.6 million at the end of 2006. An additional pre-payment is expected in the second half of 2007, which could reach a total of US$2.5 billion.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1999, Peru signed a three-year extended fund facility accord with the IMF, the third consecutive IMF program it has followed, giving the country a stable framework for macro-economic planning. However, the fall in tax revenue and increased spending in 1999 caused Peru to fail to fulfill the fiscal goal agreed upon with the IMF of a primary fiscal surplus of 0.5%, which is the public sector’s result before capital costs or gains, debt servicing and privatization income. In fact, Peru reported a primary sector deficit of 0.1% in 1999 and of 0.2% in 2000. Peru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subsequent Stand-By Agreement was approved by the IMF on June 9, 2004 and covered years 2004 to 2006. The macro-economic framework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agreement stresses the consolidation of recent year-on-year gains due to the low inflation rate and continued improvements in the public sector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reform, current account deficit, level of foreign reserves, and other variables, in order to seek higher GDP growth. The program focused on, among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points, reducing the public sector deficit to 1.4% of GDP in 2004 and to 1% per year in each of 2005 and 2006, and on lowering the debt-to-GDP ratio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 in 2003 to 41.0% in 2006. With a favorable international context, and thanks to a fast reduction of deficit, debt-to-GDP ratio in 2006 decreased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w:t>
      </w:r>
    </w:p>
    <w:p>
      <w:pPr>
        <w:spacing w:after="0" w:line="2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the Peruvian government is negotiating a new Stand-By Agreement for the years 2007-2009. A group of persons of the multilateral institution visited Peru in May 2007, and in an official communication, it was stated that the mission team expects the first review of the Stand-By Agreement to be presented for consideration to the Executive Board of IMF at the end of June 2007, after the approval of representatives in Washington, DC.</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economic growth will be sustained in the future or that inflation in Peru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74" w:lineRule="exact"/>
        <w:rPr>
          <w:sz w:val="20"/>
          <w:szCs w:val="20"/>
          <w:color w:val="auto"/>
        </w:rPr>
      </w:pPr>
    </w:p>
    <w:p>
      <w:pPr>
        <w:ind w:left="1020" w:hanging="688"/>
        <w:spacing w:after="0"/>
        <w:tabs>
          <w:tab w:leader="none" w:pos="10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Peruvian Financial System</w:t>
      </w:r>
    </w:p>
    <w:p>
      <w:pPr>
        <w:spacing w:after="0" w:line="29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Credicorp’s activities are conducted primarily through banking and insurance subsidiaries operating in Peru, a summary of the Peruvian financial system is set forth below.</w:t>
      </w:r>
    </w:p>
    <w:p>
      <w:pPr>
        <w:spacing w:after="0" w:line="212" w:lineRule="exact"/>
        <w:rPr>
          <w:sz w:val="20"/>
          <w:szCs w:val="20"/>
          <w:color w:val="auto"/>
        </w:rPr>
      </w:pPr>
    </w:p>
    <w:p>
      <w:pPr>
        <w:ind w:left="1140" w:hanging="484"/>
        <w:spacing w:after="0"/>
        <w:tabs>
          <w:tab w:leader="none" w:pos="11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2006, the Peruvian financial system consisted of the following principal participants: the Central Bank, the SBS, 11 banking institutions (not including Banco de la Nación, a Peruvian state-owned bank), five finance companies and five leasing companies. In addition, Peru has various mutual mortgage associations, municipal and rural savings and credit associations, municipal public credit associations and savings and credit cooperatives.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9" w:name="page60"/>
    <w:bookmarkEnd w:id="59"/>
    <w:p>
      <w:pPr>
        <w:ind w:left="1140" w:hanging="484"/>
        <w:spacing w:after="0"/>
        <w:tabs>
          <w:tab w:leader="none" w:pos="11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Central Bank</w:t>
      </w:r>
    </w:p>
    <w:p>
      <w:pPr>
        <w:spacing w:after="0" w:line="3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Central Bank was created in 1931.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26" w:lineRule="exact"/>
        <w:rPr>
          <w:sz w:val="20"/>
          <w:szCs w:val="20"/>
          <w:color w:val="auto"/>
        </w:rPr>
      </w:pPr>
    </w:p>
    <w:p>
      <w:pPr>
        <w:ind w:left="1140" w:hanging="484"/>
        <w:spacing w:after="0"/>
        <w:tabs>
          <w:tab w:leader="none" w:pos="11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SBS</w:t>
      </w:r>
    </w:p>
    <w:p>
      <w:pPr>
        <w:spacing w:after="0" w:line="3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Peru.</w:t>
      </w:r>
    </w:p>
    <w:p>
      <w:pPr>
        <w:spacing w:after="0" w:line="226" w:lineRule="exact"/>
        <w:rPr>
          <w:sz w:val="20"/>
          <w:szCs w:val="20"/>
          <w:color w:val="auto"/>
        </w:rPr>
      </w:pPr>
    </w:p>
    <w:p>
      <w:pPr>
        <w:ind w:left="1140" w:hanging="484"/>
        <w:spacing w:after="0"/>
        <w:tabs>
          <w:tab w:leader="none" w:pos="11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System Institutions</w:t>
      </w:r>
    </w:p>
    <w:p>
      <w:pPr>
        <w:spacing w:after="0" w:line="3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Banks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Law 26702 authorizes banks to operate, through their subsidiaries, warehouse companies, securities brokerage companies and leasing companies, and to establish and administer mutual funds.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Peru, in an amount not less than the minimum amount required of Peruvian banks.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Finance Companies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Financial Institutions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Companies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1" w:name="page62"/>
    <w:bookmarkEnd w:id="61"/>
    <w:p>
      <w:pPr>
        <w:ind w:firstLine="648"/>
        <w:spacing w:after="0" w:line="282" w:lineRule="auto"/>
        <w:rPr>
          <w:sz w:val="20"/>
          <w:szCs w:val="20"/>
          <w:color w:val="auto"/>
        </w:rPr>
      </w:pPr>
      <w:r>
        <w:rPr>
          <w:rFonts w:ascii="Times New Roman" w:cs="Times New Roman" w:eastAsia="Times New Roman" w:hAnsi="Times New Roman"/>
          <w:sz w:val="18"/>
          <w:szCs w:val="18"/>
          <w:color w:val="auto"/>
        </w:rPr>
        <w:t>Law 26702 is the principal law governing insurance companies in Peru. The SBS is charged with the supervision and regulation of all insurance companies, and the formation of an insurance company requires prior authorization of the SBS.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insurance industry has experienced consolidation in recent years with the number of companies decreasing from 19 in 1991 to 13 in 2006.</w:t>
      </w:r>
    </w:p>
    <w:p>
      <w:pPr>
        <w:spacing w:after="0" w:line="316" w:lineRule="exact"/>
        <w:rPr>
          <w:sz w:val="20"/>
          <w:szCs w:val="20"/>
          <w:color w:val="auto"/>
        </w:rPr>
      </w:pPr>
    </w:p>
    <w:p>
      <w:pPr>
        <w:ind w:left="1000" w:hanging="668"/>
        <w:spacing w:after="0"/>
        <w:tabs>
          <w:tab w:leader="none" w:pos="10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Supervision and Regulation</w:t>
      </w:r>
    </w:p>
    <w:p>
      <w:pPr>
        <w:spacing w:after="0" w:line="292"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Credicorp</w:t>
      </w:r>
    </w:p>
    <w:p>
      <w:pPr>
        <w:spacing w:after="0" w:line="3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Peru, the Cayman Islands and Bolivia, a summary of Peruvian banking and insurance regulations and Cayman Islands banking regulations is set forth below.</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Credicorp’s Common Shares are listed on the Lima Stock Exchange in addition to the New York Stock Exchange, Credicorp is subject to certain reporting requirements of the CONASEV, the securities market regulator, and the Lima Stock Exchange. See “Item 9. The Offer and Listing—</w:t>
      </w:r>
    </w:p>
    <w:p>
      <w:pPr>
        <w:ind w:left="300" w:hanging="292"/>
        <w:spacing w:after="0"/>
        <w:tabs>
          <w:tab w:leader="none" w:pos="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Markets—The Lima Stock Exchange—(ii) Market Regulation.”</w:t>
      </w:r>
    </w:p>
    <w:p>
      <w:pPr>
        <w:spacing w:after="0" w:line="25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BCP</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by-laws.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 owned brokerage house, and Credifondo, BCP’s wholly owned mutual fund administration company. CONASEV examines Credibolsa and Credifondo on a regular basis.</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Authority of the SBS</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supervised and regulated by a specialized superintendency since the inception of the system in 1992.</w:t>
      </w:r>
    </w:p>
    <w:p>
      <w:pPr>
        <w:spacing w:after="0" w:line="2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Times New Roman" w:cs="Times New Roman" w:eastAsia="Times New Roman" w:hAnsi="Times New Roman"/>
          <w:sz w:val="18"/>
          <w:szCs w:val="18"/>
          <w:i w:val="1"/>
          <w:iCs w:val="1"/>
          <w:color w:val="auto"/>
        </w:rPr>
        <w:t>Central de Riesgos</w:t>
      </w:r>
      <w:r>
        <w:rPr>
          <w:rFonts w:ascii="Times New Roman" w:cs="Times New Roman" w:eastAsia="Times New Roman" w:hAnsi="Times New Roman"/>
          <w:sz w:val="18"/>
          <w:szCs w:val="18"/>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supervising BCP, the SBS supervises Credicorp on the basis that it is a financial conglomerate conducting the majority of its operations in Peru.</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of Operational Risk</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following these SBS guidelines as well as guidelines issued by the Basel Committee on Banking Supervision and the advice of international consultants, has set up at BCP a specialized team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24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Section 404 of the Sarbanes-Oxley Act of 2002, Credicorp will be required to make certain certifications regarding its internal controls over financial reporting as of December 31, 2006. Credicorp has developed an internal methodology, which is in accordance with Public Company Accounting Oversight Board-PCAOB, Accounting Standard 2, to evaluate the effectiveness of its internal controls over financial reporting. In addition, Credicorp is implementing computer programs to allow for the continuous monitoring, assessment and documentation of its internal controls. During 2006, Credicorp has completed its evaluation of internal controls over financial reporting and is now able to obtain the attestation of its independent auditors. See “Item 15. Controls and Procedures.”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Adequacy Requirements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weighting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2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2006, BCP’s unconsolidated amount of risk-weighted assets was 8.46 times the regulatory capital, or regulatory capital was 11.84% of risk-weighted assets which included US$266.1 million of market risk assets.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Reserve Requirements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2006, BCP’s consolidated legal reserve was S/.546.5 million (US$171 million), equivalent to 42.5% of BCP’s paid-in capital as of such date.</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Provisions for Loan Losses</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Provisions for Country Risk</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Central Bank Reserve Requirements</w:t>
      </w:r>
    </w:p>
    <w:p>
      <w:pPr>
        <w:spacing w:after="0" w:line="2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Under Law 26702, banks and finance companies are required to maintain an </w:t>
      </w:r>
      <w:r>
        <w:rPr>
          <w:rFonts w:ascii="Times New Roman" w:cs="Times New Roman" w:eastAsia="Times New Roman" w:hAnsi="Times New Roman"/>
          <w:sz w:val="18"/>
          <w:szCs w:val="18"/>
          <w:i w:val="1"/>
          <w:iCs w:val="1"/>
          <w:color w:val="auto"/>
        </w:rPr>
        <w:t>encaje</w:t>
      </w:r>
      <w:r>
        <w:rPr>
          <w:rFonts w:ascii="Times New Roman" w:cs="Times New Roman" w:eastAsia="Times New Roman" w:hAnsi="Times New Roman"/>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Since April 2004, the Central Bank has required reserves on amounts due to foreign banks and other foreign financial companies, which were not previously considered obligations. The regulation excludes funding from other central banks, governments or multilateral lending agencies.</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5" w:name="page66"/>
    <w:bookmarkEnd w:id="6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Central Bank also establishes the interest rate payable on the reserves that exceed the legal 6% requirement, which are mainly on foreign currency deposits. The Central Bank periodically increased the applicable interest rate during 2005, from 3.00% as of 2004 to 3.25% as of December 31, 2005. After six consecutives increases between December 2005 and May 2006, the Central Bank’s Board of Directors decided to maintain the applicable interest rate at 4.5%. The interest rate is expected to be periodically revised by the Central Bank in accordance with monetary policy objectives.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Lending Activities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2006, the 10.0% credit limit per borrower of BCP, unconsolidated, was S/.233.6 million (US$73.1 million) for unsecured loans, and the 30.0% limit amounted to S/.700.8 million (US$219.3 million) for secured loans.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5% of the overall 7% limit).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Ownership Restrictions</w:t>
      </w:r>
    </w:p>
    <w:p>
      <w:pPr>
        <w:spacing w:after="0" w:line="2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 Rating</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2006, BCP was assigned the “A+” risk category by its two rating agencies, Equilibrium Clasificadora de Riesgo and Apoyo and Associates International.</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i w:val="1"/>
          <w:iCs w:val="1"/>
          <w:color w:val="auto"/>
        </w:rPr>
        <w:t>Deposit Fund</w:t>
      </w:r>
    </w:p>
    <w:p>
      <w:pPr>
        <w:spacing w:after="0" w:line="2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Law 26702 provides for mandatory deposit insurance to protect all types of deposits of financial institutions by establishing the </w:t>
      </w:r>
      <w:r>
        <w:rPr>
          <w:rFonts w:ascii="Times New Roman" w:cs="Times New Roman" w:eastAsia="Times New Roman" w:hAnsi="Times New Roman"/>
          <w:sz w:val="18"/>
          <w:szCs w:val="18"/>
          <w:i w:val="1"/>
          <w:iCs w:val="1"/>
          <w:color w:val="auto"/>
        </w:rPr>
        <w:t>Fondo de Seguro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Depósitos </w:t>
      </w:r>
      <w:r>
        <w:rPr>
          <w:rFonts w:ascii="Times New Roman" w:cs="Times New Roman" w:eastAsia="Times New Roman" w:hAnsi="Times New Roman"/>
          <w:sz w:val="18"/>
          <w:szCs w:val="18"/>
          <w:color w:val="auto"/>
        </w:rPr>
        <w:t>(Deposit Insurance Fund, or the “Fund”) for individuals, associations, not-for-profit companies, and demand deposits of non-financial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S/.75,261 from March through May 2006.</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Intervention by the SBS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34" w:lineRule="exact"/>
        <w:rPr>
          <w:sz w:val="20"/>
          <w:szCs w:val="20"/>
          <w:color w:val="auto"/>
        </w:rPr>
      </w:pPr>
    </w:p>
    <w:p>
      <w:pPr>
        <w:ind w:left="1140" w:hanging="484"/>
        <w:spacing w:after="0"/>
        <w:tabs>
          <w:tab w:leader="none" w:pos="11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ASHC</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68" w:name="page69"/>
    <w:bookmarkEnd w:id="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Continuing Requirements</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39" w:lineRule="exact"/>
        <w:rPr>
          <w:sz w:val="20"/>
          <w:szCs w:val="20"/>
          <w:color w:val="auto"/>
        </w:rPr>
      </w:pPr>
    </w:p>
    <w:p>
      <w:pPr>
        <w:ind w:left="1140" w:hanging="484"/>
        <w:spacing w:after="0"/>
        <w:tabs>
          <w:tab w:leader="none" w:pos="11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BCB</w:t>
      </w:r>
    </w:p>
    <w:p>
      <w:pPr>
        <w:spacing w:after="0" w:line="3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Bolivian banking system operates under the </w:t>
      </w:r>
      <w:r>
        <w:rPr>
          <w:rFonts w:ascii="Times New Roman" w:cs="Times New Roman" w:eastAsia="Times New Roman" w:hAnsi="Times New Roman"/>
          <w:sz w:val="18"/>
          <w:szCs w:val="18"/>
          <w:i w:val="1"/>
          <w:iCs w:val="1"/>
          <w:color w:val="auto"/>
        </w:rPr>
        <w:t>Ley de Bancos y Entidades Financieras</w:t>
      </w:r>
      <w:r>
        <w:rPr>
          <w:rFonts w:ascii="Times New Roman" w:cs="Times New Roman" w:eastAsia="Times New Roman" w:hAnsi="Times New Roman"/>
          <w:sz w:val="18"/>
          <w:szCs w:val="18"/>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Times New Roman" w:cs="Times New Roman" w:eastAsia="Times New Roman" w:hAnsi="Times New Roman"/>
          <w:sz w:val="18"/>
          <w:szCs w:val="18"/>
          <w:i w:val="1"/>
          <w:iCs w:val="1"/>
          <w:color w:val="auto"/>
        </w:rPr>
        <w:t>Superintendencia de Pensiones, Valores y Seguros</w:t>
      </w:r>
      <w:r>
        <w:rPr>
          <w:rFonts w:ascii="Times New Roman" w:cs="Times New Roman" w:eastAsia="Times New Roman" w:hAnsi="Times New Roman"/>
          <w:sz w:val="18"/>
          <w:szCs w:val="18"/>
          <w:color w:val="auto"/>
        </w:rPr>
        <w:t xml:space="preserve"> (the Pensions, Securities and Insurance Superintendency) supervises brokerage activities and mutual funds management, as conducted through BCB’s subsidiaries Credibolsa S.A. and Credifondo S.A., respectively, which operate under the </w:t>
      </w:r>
      <w:r>
        <w:rPr>
          <w:rFonts w:ascii="Times New Roman" w:cs="Times New Roman" w:eastAsia="Times New Roman" w:hAnsi="Times New Roman"/>
          <w:sz w:val="18"/>
          <w:szCs w:val="18"/>
          <w:i w:val="1"/>
          <w:iCs w:val="1"/>
          <w:color w:val="auto"/>
        </w:rPr>
        <w:t>Ley del Mercado de Valores</w:t>
      </w:r>
      <w:r>
        <w:rPr>
          <w:rFonts w:ascii="Times New Roman" w:cs="Times New Roman" w:eastAsia="Times New Roman" w:hAnsi="Times New Roman"/>
          <w:sz w:val="18"/>
          <w:szCs w:val="18"/>
          <w:color w:val="auto"/>
        </w:rPr>
        <w:t xml:space="preserve"> (the Securities Markets Law) No. 1834, enacted on March 31, 1998.</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9" w:name="page70"/>
    <w:bookmarkEnd w:id="69"/>
    <w:p>
      <w:pPr>
        <w:ind w:left="1140" w:hanging="484"/>
        <w:spacing w:after="0"/>
        <w:tabs>
          <w:tab w:leader="none" w:pos="11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PPS</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Peruvian insurance companies are prohibited from having an ownership interest in other insurance or reinsurance companies or in private pension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Establishment of an Insurance Company</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Solvency Requirements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Reserve Requirements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i w:val="1"/>
          <w:iCs w:val="1"/>
          <w:color w:val="auto"/>
        </w:rPr>
        <w:t>Reserve Requirements</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 (ii) Claims and Reserves.”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Requirements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Peru or the analogous registry of their respective country.</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Ownership Restrictions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52" w:lineRule="exact"/>
        <w:rPr>
          <w:sz w:val="20"/>
          <w:szCs w:val="20"/>
          <w:color w:val="auto"/>
        </w:rPr>
      </w:pPr>
    </w:p>
    <w:p>
      <w:pPr>
        <w:ind w:left="1020" w:hanging="688"/>
        <w:spacing w:after="0"/>
        <w:tabs>
          <w:tab w:leader="none" w:pos="10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Statistical Information</w:t>
      </w:r>
    </w:p>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2002, 2003, 2004, 2005 and 2006 reflect the consolidated financial position of Credicorp and its subsidiaries, including BCP, ASHC, PPS and Grupo Crédito, as of December 31, 2002, 2003, 2004, 2005 and 2006 and the results of operations for 2002, 2003, 2004, 2005 and 2006.</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71" w:name="page72"/>
    <w:bookmarkEnd w:id="71"/>
    <w:p>
      <w:pPr>
        <w:ind w:left="1140" w:hanging="484"/>
        <w:spacing w:after="0"/>
        <w:tabs>
          <w:tab w:leader="none" w:pos="11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Average Balance Sheets and Income from Interest-Earning Assets</w:t>
      </w:r>
    </w:p>
    <w:p>
      <w:pPr>
        <w:spacing w:after="0" w:line="3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Credicorp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different from those that would be presented by daily averages.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Real Average Interest Rates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real average interest rates set forth in the tables below have been calculated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148590</wp:posOffset>
            </wp:positionV>
            <wp:extent cx="110617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1">
            <w:col w:w="11420"/>
          </w:cols>
          <w:pgMar w:left="240" w:top="387" w:right="23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real average interest rate on Nuevo Sol-denominated assets and liabilities for the period.</w:t>
      </w:r>
    </w:p>
    <w:p>
      <w:pPr>
        <w:spacing w:after="0" w:line="74" w:lineRule="exact"/>
        <w:rPr>
          <w:sz w:val="20"/>
          <w:szCs w:val="20"/>
          <w:color w:val="auto"/>
        </w:rPr>
      </w:pPr>
    </w:p>
    <w:p>
      <w:pPr>
        <w:sectPr>
          <w:pgSz w:w="11900" w:h="16838" w:orient="portrait"/>
          <w:cols w:equalWidth="0" w:num="2">
            <w:col w:w="320" w:space="300"/>
            <w:col w:w="10800"/>
          </w:cols>
          <w:pgMar w:left="240" w:top="387"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nominal average interest rate on Nuevo Sol-denominated assets and liabilities for the period.</w:t>
      </w:r>
    </w:p>
    <w:p>
      <w:pPr>
        <w:spacing w:after="0" w:line="63" w:lineRule="exact"/>
        <w:rPr>
          <w:sz w:val="20"/>
          <w:szCs w:val="20"/>
          <w:color w:val="auto"/>
        </w:rPr>
      </w:pPr>
    </w:p>
    <w:p>
      <w:pPr>
        <w:sectPr>
          <w:pgSz w:w="11900" w:h="16838" w:orient="portrait"/>
          <w:cols w:equalWidth="0" w:num="2">
            <w:col w:w="320" w:space="300"/>
            <w:col w:w="10800"/>
          </w:cols>
          <w:pgMar w:left="240" w:top="387" w:right="239" w:bottom="1440" w:gutter="0" w:footer="0" w:header="0"/>
          <w:type w:val="continuous"/>
        </w:sectPr>
      </w:pPr>
    </w:p>
    <w:p>
      <w:pPr>
        <w:ind w:left="280" w:hanging="272"/>
        <w:spacing w:after="0"/>
        <w:tabs>
          <w:tab w:leader="none" w:pos="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inflation rate in Peru for the period (based on the Peruvian consumer price index).</w:t>
      </w:r>
    </w:p>
    <w:p>
      <w:pPr>
        <w:spacing w:after="0" w:line="2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this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becomes a deflation rate). In addition, the real average interest rate would be negative if the inflation rate were greater than the average nominal interest rate.</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show average balances for all of Credicorp’s assets and liabilities, interest earned and paid amounts, and nominal rates and real rates for Credicorp’s interest-earning assets and interest-bearing liabilities, all for the years ended December 31, 2004, 2005 and 2006.</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Average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Assets, Interest Earned and Average Interest Rates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62"/>
        </w:trPr>
        <w:tc>
          <w:tcPr>
            <w:tcW w:w="12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2004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9"/>
              </w:rPr>
              <w:t>2005</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9"/>
              </w:rPr>
              <w:t>2006</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124"/>
        </w:trPr>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Nominal</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2"/>
              </w:rPr>
              <w:t>Real Avg.</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3"/>
              </w:rPr>
              <w:t>Avg.</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Real Avg.</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Nominal</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Real Avg.</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Nominal</w:t>
            </w:r>
          </w:p>
        </w:tc>
      </w:tr>
      <w:tr>
        <w:trPr>
          <w:trHeight w:val="168"/>
        </w:trPr>
        <w:tc>
          <w:tcPr>
            <w:tcW w:w="1280" w:type="dxa"/>
            <w:vAlign w:val="bottom"/>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Avg. Rate</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Earned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Avg. Rate</w:t>
            </w:r>
          </w:p>
        </w:tc>
        <w:tc>
          <w:tcPr>
            <w:tcW w:w="220" w:type="dxa"/>
            <w:vAlign w:val="bottom"/>
          </w:tcPr>
          <w:p>
            <w:pPr>
              <w:spacing w:after="0"/>
              <w:rPr>
                <w:sz w:val="14"/>
                <w:szCs w:val="14"/>
                <w:color w:val="auto"/>
              </w:rPr>
            </w:pPr>
          </w:p>
        </w:tc>
      </w:tr>
      <w:tr>
        <w:trPr>
          <w:trHeight w:val="235"/>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jc w:val="right"/>
              <w:ind w:right="420"/>
              <w:spacing w:after="0"/>
              <w:rPr>
                <w:sz w:val="20"/>
                <w:szCs w:val="20"/>
                <w:color w:val="auto"/>
              </w:rPr>
            </w:pPr>
            <w:r>
              <w:rPr>
                <w:rFonts w:ascii="Times New Roman" w:cs="Times New Roman" w:eastAsia="Times New Roman" w:hAnsi="Times New Roman"/>
                <w:sz w:val="13"/>
                <w:szCs w:val="13"/>
                <w:i w:val="1"/>
                <w:iCs w:val="1"/>
                <w:color w:val="auto"/>
              </w:rPr>
              <w:t>(U.S. Dollars in thousands, except percentages)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5"/>
        </w:trPr>
        <w:tc>
          <w:tcPr>
            <w:tcW w:w="1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49"/>
        </w:trPr>
        <w:tc>
          <w:tcPr>
            <w:tcW w:w="12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Interest-earning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6"/>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Deposits in Central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1"/>
        </w:trPr>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70"/>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US$5,892</w:t>
            </w:r>
          </w:p>
        </w:tc>
        <w:tc>
          <w:tcPr>
            <w:tcW w:w="92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3"/>
                <w:szCs w:val="13"/>
                <w:color w:val="auto"/>
              </w:rPr>
              <w:t>US$11</w:t>
            </w:r>
          </w:p>
        </w:tc>
        <w:tc>
          <w:tcPr>
            <w:tcW w:w="7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-3.20%</w:t>
            </w:r>
          </w:p>
        </w:tc>
        <w:tc>
          <w:tcPr>
            <w:tcW w:w="9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0.19%</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US$5,361</w:t>
            </w:r>
          </w:p>
        </w:tc>
        <w:tc>
          <w:tcPr>
            <w:tcW w:w="70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3"/>
                <w:szCs w:val="13"/>
                <w:color w:val="auto"/>
                <w:w w:val="99"/>
              </w:rPr>
              <w:t>US$50</w:t>
            </w:r>
          </w:p>
        </w:tc>
        <w:tc>
          <w:tcPr>
            <w:tcW w:w="98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0.93%</w:t>
            </w:r>
          </w:p>
        </w:tc>
        <w:tc>
          <w:tcPr>
            <w:tcW w:w="800" w:type="dxa"/>
            <w:vAlign w:val="bottom"/>
            <w:gridSpan w:val="2"/>
            <w:shd w:val="clear" w:color="auto" w:fill="CCFFCC"/>
          </w:tcPr>
          <w:p>
            <w:pPr>
              <w:ind w:left="120"/>
              <w:spacing w:after="0"/>
              <w:rPr>
                <w:sz w:val="20"/>
                <w:szCs w:val="20"/>
                <w:color w:val="auto"/>
              </w:rPr>
            </w:pPr>
            <w:r>
              <w:rPr>
                <w:rFonts w:ascii="Times New Roman" w:cs="Times New Roman" w:eastAsia="Times New Roman" w:hAnsi="Times New Roman"/>
                <w:sz w:val="13"/>
                <w:szCs w:val="13"/>
                <w:color w:val="auto"/>
              </w:rPr>
              <w:t>US$13,346</w:t>
            </w:r>
          </w:p>
        </w:tc>
        <w:tc>
          <w:tcPr>
            <w:tcW w:w="7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3"/>
                <w:szCs w:val="13"/>
                <w:color w:val="auto"/>
              </w:rPr>
              <w:t>US$157</w:t>
            </w:r>
          </w:p>
        </w:tc>
        <w:tc>
          <w:tcPr>
            <w:tcW w:w="960" w:type="dxa"/>
            <w:vAlign w:val="bottom"/>
            <w:gridSpan w:val="3"/>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1.18%</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1,031,626</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15,346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1,118,471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24,004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2.15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1,763,854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56,813</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3.22</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1,037,518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15,357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1.46</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1.48</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1,123,832</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24,054</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2.13</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2.14</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1,777,200</w:t>
            </w:r>
          </w:p>
        </w:tc>
        <w:tc>
          <w:tcPr>
            <w:tcW w:w="7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3"/>
                <w:szCs w:val="13"/>
                <w:color w:val="auto"/>
              </w:rPr>
              <w:t>56,970</w:t>
            </w: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3.20</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3.21</w:t>
            </w:r>
          </w:p>
        </w:tc>
      </w:tr>
      <w:tr>
        <w:trPr>
          <w:trHeight w:val="117"/>
        </w:trPr>
        <w:tc>
          <w:tcPr>
            <w:tcW w:w="1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Deposits in other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banks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17,895</w:t>
            </w: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0.89</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4.42</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31,926</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1,073</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1.84</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3.36</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43,684</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1,762</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2.99</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4.03</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416,413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3,998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0.96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0.96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443,948</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12,000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711,694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35,154</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4.94</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434,308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4,789</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0.96</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1.10</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475,874</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13,073</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2.65</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2.75</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755,378</w:t>
            </w:r>
          </w:p>
        </w:tc>
        <w:tc>
          <w:tcPr>
            <w:tcW w:w="7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3"/>
                <w:szCs w:val="13"/>
                <w:color w:val="auto"/>
              </w:rPr>
              <w:t>36,916</w:t>
            </w: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4.83</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4.89</w:t>
            </w: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Investment securities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560,910</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21,547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0.33</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3.84</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1,221,669</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51,222</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2.66</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4.19</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985,054</w:t>
            </w:r>
          </w:p>
        </w:tc>
        <w:tc>
          <w:tcPr>
            <w:tcW w:w="7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3"/>
                <w:szCs w:val="13"/>
                <w:color w:val="auto"/>
              </w:rPr>
              <w:t>51,545</w:t>
            </w: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4.18</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5.23</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1,186,002</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72,356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1,290,919</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73,138</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5.67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1,589,978</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89,760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5.65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5.65</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1,746,912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93,903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4.25</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5.38</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2,512,588</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124,360</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4.21</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4.95</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2,575,032</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141,305</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5.08</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5.49</w:t>
            </w:r>
          </w:p>
        </w:tc>
      </w:tr>
      <w:tr>
        <w:trPr>
          <w:trHeight w:val="257"/>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Total loans (1)</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691,749</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119,512</w:t>
            </w: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13.31</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17.28</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831,393</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132,692</w:t>
            </w:r>
          </w:p>
        </w:tc>
        <w:tc>
          <w:tcPr>
            <w:tcW w:w="8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2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15.96</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1,307,784</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178,469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12.51</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13.65</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3,823,383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307,025</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8.03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3,888,576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314,700</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8.09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8.09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4,104,477</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359,202</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8.75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8.75</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4,515,132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426,537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8.84</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9.45</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4,719,969</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447,392</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9.18</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9.48</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5,412,261</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537,671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9.66</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9.93</w:t>
            </w:r>
          </w:p>
        </w:tc>
      </w:tr>
      <w:tr>
        <w:trPr>
          <w:trHeight w:val="117"/>
        </w:trPr>
        <w:tc>
          <w:tcPr>
            <w:tcW w:w="1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Total dividend-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earning 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99,098</w:t>
            </w: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-2.57</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0.84</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65,234</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2,252</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1.93</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3.45</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119,106</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6,171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4.13</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5.18</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62,237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1,423</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65,511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1,301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1.99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1.99</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109,129</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2.72</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161,335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2,256</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-0.70</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1.40</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130,745</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3,553</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1.96</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2.72</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228,235</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9,141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3.46</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4.01</w:t>
            </w:r>
          </w:p>
        </w:tc>
      </w:tr>
      <w:tr>
        <w:trPr>
          <w:trHeight w:val="117"/>
        </w:trPr>
        <w:tc>
          <w:tcPr>
            <w:tcW w:w="1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Total interest-earning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1,375,544</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142,694</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6.64</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10.37</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2,155,583</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187,289</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7.09</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8.69</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2,468,974</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238,104</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8.55</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9.64</w:t>
            </w: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6,519,661</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400,148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6.14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6,807,425</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425,143</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8,279,132</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543,899</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6.57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6.57</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7,895,205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542,842</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6.23</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6.88</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8,963,008</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612,432</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6.45</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6.83</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10,748,106</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782,003</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7.02</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7.28</w:t>
            </w:r>
          </w:p>
        </w:tc>
      </w:tr>
      <w:tr>
        <w:trPr>
          <w:trHeight w:val="115"/>
        </w:trPr>
        <w:tc>
          <w:tcPr>
            <w:tcW w:w="1280" w:type="dxa"/>
            <w:vAlign w:val="bottom"/>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Noninterest-earning</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155"/>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17"/>
        </w:trPr>
        <w:tc>
          <w:tcPr>
            <w:tcW w:w="1280" w:type="dxa"/>
            <w:vAlign w:val="bottom"/>
            <w:shd w:val="clear" w:color="auto" w:fill="CCFFCC"/>
          </w:tcPr>
          <w:p>
            <w:pPr>
              <w:spacing w:after="0" w:line="117" w:lineRule="exact"/>
              <w:rPr>
                <w:sz w:val="20"/>
                <w:szCs w:val="20"/>
                <w:color w:val="auto"/>
              </w:rPr>
            </w:pPr>
            <w:r>
              <w:rPr>
                <w:rFonts w:ascii="Times New Roman" w:cs="Times New Roman" w:eastAsia="Times New Roman" w:hAnsi="Times New Roman"/>
                <w:sz w:val="13"/>
                <w:szCs w:val="13"/>
                <w:color w:val="auto"/>
              </w:rPr>
              <w:t>Cash and due from</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53"/>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banks</w:t>
            </w: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98,764</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135,168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168,332</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161,976</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179,250</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200,523</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260,740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314,418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368,855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17"/>
        </w:trPr>
        <w:tc>
          <w:tcPr>
            <w:tcW w:w="1280" w:type="dxa"/>
            <w:vAlign w:val="bottom"/>
            <w:shd w:val="clear" w:color="auto" w:fill="CCFFCC"/>
          </w:tcPr>
          <w:p>
            <w:pPr>
              <w:spacing w:after="0" w:line="117" w:lineRule="exact"/>
              <w:rPr>
                <w:sz w:val="20"/>
                <w:szCs w:val="20"/>
                <w:color w:val="auto"/>
              </w:rPr>
            </w:pPr>
            <w:r>
              <w:rPr>
                <w:rFonts w:ascii="Times New Roman" w:cs="Times New Roman" w:eastAsia="Times New Roman" w:hAnsi="Times New Roman"/>
                <w:sz w:val="13"/>
                <w:szCs w:val="13"/>
                <w:color w:val="auto"/>
              </w:rPr>
              <w:t>Reserves for loan</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53"/>
        </w:trPr>
        <w:tc>
          <w:tcPr>
            <w:tcW w:w="1280" w:type="dxa"/>
            <w:vAlign w:val="bottom"/>
            <w:shd w:val="clear" w:color="auto" w:fill="CCFFCC"/>
          </w:tcPr>
          <w:p>
            <w:pPr>
              <w:ind w:left="180"/>
              <w:spacing w:after="0" w:line="140" w:lineRule="exact"/>
              <w:rPr>
                <w:sz w:val="20"/>
                <w:szCs w:val="20"/>
                <w:color w:val="auto"/>
              </w:rPr>
            </w:pPr>
            <w:r>
              <w:rPr>
                <w:rFonts w:ascii="Times New Roman" w:cs="Times New Roman" w:eastAsia="Times New Roman" w:hAnsi="Times New Roman"/>
                <w:sz w:val="13"/>
                <w:szCs w:val="13"/>
                <w:color w:val="auto"/>
              </w:rPr>
              <w:t>losses</w:t>
            </w: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(40,008)</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(33,020)</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(33,859)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9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3"/>
                <w:szCs w:val="13"/>
                <w:color w:val="auto"/>
              </w:rPr>
              <w:t>(242,115)</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3"/>
                <w:szCs w:val="13"/>
                <w:color w:val="auto"/>
              </w:rPr>
              <w:t>(191,132)</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3"/>
                <w:szCs w:val="13"/>
                <w:color w:val="auto"/>
              </w:rPr>
              <w:t>(167,337)</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(282,123)</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(224,152)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(201,196)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17"/>
        </w:trPr>
        <w:tc>
          <w:tcPr>
            <w:tcW w:w="1280" w:type="dxa"/>
            <w:vAlign w:val="bottom"/>
            <w:shd w:val="clear" w:color="auto" w:fill="CCFFCC"/>
          </w:tcPr>
          <w:p>
            <w:pPr>
              <w:spacing w:after="0" w:line="117" w:lineRule="exact"/>
              <w:rPr>
                <w:sz w:val="20"/>
                <w:szCs w:val="20"/>
                <w:color w:val="auto"/>
              </w:rPr>
            </w:pPr>
            <w:r>
              <w:rPr>
                <w:rFonts w:ascii="Times New Roman" w:cs="Times New Roman" w:eastAsia="Times New Roman" w:hAnsi="Times New Roman"/>
                <w:sz w:val="13"/>
                <w:szCs w:val="13"/>
                <w:color w:val="auto"/>
              </w:rPr>
              <w:t>Premises and</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53"/>
        </w:trPr>
        <w:tc>
          <w:tcPr>
            <w:tcW w:w="1280" w:type="dxa"/>
            <w:vAlign w:val="bottom"/>
            <w:shd w:val="clear" w:color="auto" w:fill="CCFFCC"/>
          </w:tcPr>
          <w:p>
            <w:pPr>
              <w:ind w:left="180"/>
              <w:spacing w:after="0" w:line="140" w:lineRule="exact"/>
              <w:rPr>
                <w:sz w:val="20"/>
                <w:szCs w:val="20"/>
                <w:color w:val="auto"/>
              </w:rPr>
            </w:pPr>
            <w:r>
              <w:rPr>
                <w:rFonts w:ascii="Times New Roman" w:cs="Times New Roman" w:eastAsia="Times New Roman" w:hAnsi="Times New Roman"/>
                <w:sz w:val="13"/>
                <w:szCs w:val="13"/>
                <w:color w:val="auto"/>
              </w:rPr>
              <w:t>equipment</w:t>
            </w: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195,230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177,012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165,610</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57,960</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66,559</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79,281</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253,190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243,571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244,891</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17"/>
        </w:trPr>
        <w:tc>
          <w:tcPr>
            <w:tcW w:w="1280" w:type="dxa"/>
            <w:vAlign w:val="bottom"/>
            <w:shd w:val="clear" w:color="auto" w:fill="CCFFCC"/>
          </w:tcPr>
          <w:p>
            <w:pPr>
              <w:spacing w:after="0" w:line="117" w:lineRule="exact"/>
              <w:rPr>
                <w:sz w:val="20"/>
                <w:szCs w:val="20"/>
                <w:color w:val="auto"/>
              </w:rPr>
            </w:pPr>
            <w:r>
              <w:rPr>
                <w:rFonts w:ascii="Times New Roman" w:cs="Times New Roman" w:eastAsia="Times New Roman" w:hAnsi="Times New Roman"/>
                <w:sz w:val="13"/>
                <w:szCs w:val="13"/>
                <w:color w:val="auto"/>
              </w:rPr>
              <w:t>Other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53"/>
        </w:trPr>
        <w:tc>
          <w:tcPr>
            <w:tcW w:w="1280" w:type="dxa"/>
            <w:vAlign w:val="bottom"/>
            <w:shd w:val="clear" w:color="auto" w:fill="CCFFCC"/>
          </w:tcPr>
          <w:p>
            <w:pPr>
              <w:ind w:left="180"/>
              <w:spacing w:after="0" w:line="140" w:lineRule="exact"/>
              <w:rPr>
                <w:sz w:val="20"/>
                <w:szCs w:val="20"/>
                <w:color w:val="auto"/>
              </w:rPr>
            </w:pPr>
            <w:r>
              <w:rPr>
                <w:rFonts w:ascii="Times New Roman" w:cs="Times New Roman" w:eastAsia="Times New Roman" w:hAnsi="Times New Roman"/>
                <w:sz w:val="13"/>
                <w:szCs w:val="13"/>
                <w:color w:val="auto"/>
              </w:rPr>
              <w:t>earning assets</w:t>
            </w: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175,316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141,397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84,716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261,810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320,424</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412,659</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437,126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461,821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497,375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17"/>
        </w:trPr>
        <w:tc>
          <w:tcPr>
            <w:tcW w:w="1280" w:type="dxa"/>
            <w:vAlign w:val="bottom"/>
            <w:shd w:val="clear" w:color="auto" w:fill="CCFFCC"/>
          </w:tcPr>
          <w:p>
            <w:pPr>
              <w:spacing w:after="0" w:line="117" w:lineRule="exact"/>
              <w:rPr>
                <w:sz w:val="20"/>
                <w:szCs w:val="20"/>
                <w:color w:val="auto"/>
              </w:rPr>
            </w:pPr>
            <w:r>
              <w:rPr>
                <w:rFonts w:ascii="Times New Roman" w:cs="Times New Roman" w:eastAsia="Times New Roman" w:hAnsi="Times New Roman"/>
                <w:sz w:val="13"/>
                <w:szCs w:val="13"/>
                <w:color w:val="auto"/>
              </w:rPr>
              <w:t>Total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53"/>
        </w:trPr>
        <w:tc>
          <w:tcPr>
            <w:tcW w:w="1280" w:type="dxa"/>
            <w:vAlign w:val="bottom"/>
            <w:shd w:val="clear" w:color="auto" w:fill="CCFFCC"/>
          </w:tcPr>
          <w:p>
            <w:pPr>
              <w:ind w:left="180"/>
              <w:spacing w:after="0" w:line="140" w:lineRule="exact"/>
              <w:rPr>
                <w:sz w:val="20"/>
                <w:szCs w:val="20"/>
                <w:color w:val="auto"/>
              </w:rPr>
            </w:pPr>
            <w:r>
              <w:rPr>
                <w:rFonts w:ascii="Times New Roman" w:cs="Times New Roman" w:eastAsia="Times New Roman" w:hAnsi="Times New Roman"/>
                <w:sz w:val="13"/>
                <w:szCs w:val="13"/>
                <w:color w:val="auto"/>
              </w:rPr>
              <w:t>earning assets</w:t>
            </w: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6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70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c>
          <w:tcPr>
            <w:tcW w:w="72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0" w:type="dxa"/>
            <w:vAlign w:val="bottom"/>
            <w:shd w:val="clear" w:color="auto" w:fill="CCFFCC"/>
          </w:tcPr>
          <w:p>
            <w:pPr>
              <w:spacing w:after="0"/>
              <w:rPr>
                <w:sz w:val="13"/>
                <w:szCs w:val="13"/>
                <w:color w:val="auto"/>
              </w:rPr>
            </w:pPr>
          </w:p>
        </w:tc>
        <w:tc>
          <w:tcPr>
            <w:tcW w:w="20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660" w:type="dxa"/>
            <w:vAlign w:val="bottom"/>
            <w:shd w:val="clear" w:color="auto" w:fill="CCFFCC"/>
          </w:tcPr>
          <w:p>
            <w:pPr>
              <w:spacing w:after="0"/>
              <w:rPr>
                <w:sz w:val="13"/>
                <w:szCs w:val="13"/>
                <w:color w:val="auto"/>
              </w:rPr>
            </w:pPr>
          </w:p>
        </w:tc>
        <w:tc>
          <w:tcPr>
            <w:tcW w:w="40" w:type="dxa"/>
            <w:vAlign w:val="bottom"/>
            <w:shd w:val="clear" w:color="auto" w:fill="CCFFCC"/>
          </w:tcPr>
          <w:p>
            <w:pPr>
              <w:spacing w:after="0"/>
              <w:rPr>
                <w:sz w:val="13"/>
                <w:szCs w:val="13"/>
                <w:color w:val="auto"/>
              </w:rPr>
            </w:pPr>
          </w:p>
        </w:tc>
        <w:tc>
          <w:tcPr>
            <w:tcW w:w="18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100" w:type="dxa"/>
            <w:vAlign w:val="bottom"/>
            <w:shd w:val="clear" w:color="auto" w:fill="CCFFCC"/>
          </w:tcPr>
          <w:p>
            <w:pPr>
              <w:spacing w:after="0"/>
              <w:rPr>
                <w:sz w:val="13"/>
                <w:szCs w:val="13"/>
                <w:color w:val="auto"/>
              </w:rPr>
            </w:pPr>
          </w:p>
        </w:tc>
        <w:tc>
          <w:tcPr>
            <w:tcW w:w="680" w:type="dxa"/>
            <w:vAlign w:val="bottom"/>
            <w:shd w:val="clear" w:color="auto" w:fill="CCFFCC"/>
          </w:tcPr>
          <w:p>
            <w:pPr>
              <w:spacing w:after="0"/>
              <w:rPr>
                <w:sz w:val="13"/>
                <w:szCs w:val="13"/>
                <w:color w:val="auto"/>
              </w:rPr>
            </w:pPr>
          </w:p>
        </w:tc>
        <w:tc>
          <w:tcPr>
            <w:tcW w:w="220" w:type="dxa"/>
            <w:vAlign w:val="bottom"/>
            <w:shd w:val="clear" w:color="auto" w:fill="CCFFCC"/>
          </w:tcPr>
          <w:p>
            <w:pPr>
              <w:spacing w:after="0"/>
              <w:rPr>
                <w:sz w:val="13"/>
                <w:szCs w:val="13"/>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429,301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420,557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384,799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239,630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375,101</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525,126</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668,931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795,658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909,925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spacing w:after="0"/>
              <w:rPr>
                <w:sz w:val="20"/>
                <w:szCs w:val="20"/>
                <w:color w:val="auto"/>
              </w:rPr>
            </w:pPr>
            <w:r>
              <w:rPr>
                <w:rFonts w:ascii="Times New Roman" w:cs="Times New Roman" w:eastAsia="Times New Roman" w:hAnsi="Times New Roman"/>
                <w:sz w:val="13"/>
                <w:szCs w:val="13"/>
                <w:color w:val="auto"/>
              </w:rPr>
              <w:t>Total average assets</w:t>
            </w: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1,804,845</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142,694</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2,576,140</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187,289</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5.70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7.27</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2,853,773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238,104</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7.26</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8.34</w:t>
            </w:r>
          </w:p>
        </w:tc>
      </w:tr>
      <w:tr>
        <w:trPr>
          <w:trHeight w:val="257"/>
        </w:trPr>
        <w:tc>
          <w:tcPr>
            <w:tcW w:w="12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6,759,291</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400,148</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5.92</w:t>
            </w:r>
          </w:p>
        </w:tc>
        <w:tc>
          <w:tcPr>
            <w:tcW w:w="9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5.92</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7,182,526</w:t>
            </w:r>
          </w:p>
        </w:tc>
        <w:tc>
          <w:tcPr>
            <w:tcW w:w="7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425,143</w:t>
            </w:r>
          </w:p>
        </w:tc>
        <w:tc>
          <w:tcPr>
            <w:tcW w:w="9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5.92</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5.92</w:t>
            </w:r>
          </w:p>
        </w:tc>
        <w:tc>
          <w:tcPr>
            <w:tcW w:w="8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8,804,258</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543,899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6.18</w:t>
            </w:r>
          </w:p>
        </w:tc>
        <w:tc>
          <w:tcPr>
            <w:tcW w:w="9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3"/>
                <w:szCs w:val="13"/>
                <w:color w:val="auto"/>
              </w:rPr>
              <w:t>6.18</w:t>
            </w:r>
          </w:p>
        </w:tc>
      </w:tr>
      <w:tr>
        <w:trPr>
          <w:trHeight w:val="268"/>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8,564,136</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542,842</w:t>
            </w: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5.57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6.34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9,758,666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612,432</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5.86</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6.28</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11,658,031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782,003</w:t>
            </w:r>
          </w:p>
        </w:tc>
        <w:tc>
          <w:tcPr>
            <w:tcW w:w="4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6.44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8877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117" w:right="239" w:bottom="0"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 w:right="239"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Average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Liabilities, Interest Paid and Average Interest Rates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2"/>
        </w:trPr>
        <w:tc>
          <w:tcPr>
            <w:tcW w:w="16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2004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2005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2006</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4"/>
        </w:trPr>
        <w:tc>
          <w:tcPr>
            <w:tcW w:w="1600" w:type="dxa"/>
            <w:vAlign w:val="bottom"/>
          </w:tcPr>
          <w:p>
            <w:pPr>
              <w:spacing w:after="0"/>
              <w:rPr>
                <w:sz w:val="10"/>
                <w:szCs w:val="10"/>
                <w:color w:val="auto"/>
              </w:rPr>
            </w:pPr>
          </w:p>
        </w:tc>
        <w:tc>
          <w:tcPr>
            <w:tcW w:w="840" w:type="dxa"/>
            <w:vAlign w:val="bottom"/>
            <w:gridSpan w:val="2"/>
          </w:tcPr>
          <w:p>
            <w:pPr>
              <w:ind w:left="140"/>
              <w:spacing w:after="0" w:line="12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780" w:type="dxa"/>
            <w:vAlign w:val="bottom"/>
            <w:gridSpan w:val="3"/>
          </w:tcPr>
          <w:p>
            <w:pPr>
              <w:jc w:val="right"/>
              <w:ind w:right="240"/>
              <w:spacing w:after="0" w:line="12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0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3"/>
                <w:szCs w:val="13"/>
                <w:b w:val="1"/>
                <w:bCs w:val="1"/>
                <w:color w:val="auto"/>
              </w:rPr>
              <w:t>Real</w:t>
            </w:r>
          </w:p>
        </w:tc>
        <w:tc>
          <w:tcPr>
            <w:tcW w:w="66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Nominal</w:t>
            </w:r>
          </w:p>
        </w:tc>
        <w:tc>
          <w:tcPr>
            <w:tcW w:w="100" w:type="dxa"/>
            <w:vAlign w:val="bottom"/>
          </w:tcPr>
          <w:p>
            <w:pPr>
              <w:spacing w:after="0"/>
              <w:rPr>
                <w:sz w:val="10"/>
                <w:szCs w:val="10"/>
                <w:color w:val="auto"/>
              </w:rPr>
            </w:pPr>
          </w:p>
        </w:tc>
        <w:tc>
          <w:tcPr>
            <w:tcW w:w="86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20" w:type="dxa"/>
            <w:vAlign w:val="bottom"/>
            <w:gridSpan w:val="3"/>
          </w:tcPr>
          <w:p>
            <w:pPr>
              <w:jc w:val="right"/>
              <w:ind w:right="300"/>
              <w:spacing w:after="0" w:line="12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00" w:type="dxa"/>
            <w:vAlign w:val="bottom"/>
            <w:gridSpan w:val="2"/>
          </w:tcPr>
          <w:p>
            <w:pPr>
              <w:jc w:val="center"/>
              <w:ind w:right="140"/>
              <w:spacing w:after="0" w:line="124" w:lineRule="exact"/>
              <w:rPr>
                <w:sz w:val="20"/>
                <w:szCs w:val="20"/>
                <w:color w:val="auto"/>
              </w:rPr>
            </w:pPr>
            <w:r>
              <w:rPr>
                <w:rFonts w:ascii="Times New Roman" w:cs="Times New Roman" w:eastAsia="Times New Roman" w:hAnsi="Times New Roman"/>
                <w:sz w:val="13"/>
                <w:szCs w:val="13"/>
                <w:b w:val="1"/>
                <w:bCs w:val="1"/>
                <w:color w:val="auto"/>
                <w:w w:val="95"/>
              </w:rPr>
              <w:t>Real Avg.</w:t>
            </w:r>
          </w:p>
        </w:tc>
        <w:tc>
          <w:tcPr>
            <w:tcW w:w="66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Nominal</w:t>
            </w:r>
          </w:p>
        </w:tc>
        <w:tc>
          <w:tcPr>
            <w:tcW w:w="100" w:type="dxa"/>
            <w:vAlign w:val="bottom"/>
          </w:tcPr>
          <w:p>
            <w:pPr>
              <w:spacing w:after="0"/>
              <w:rPr>
                <w:sz w:val="10"/>
                <w:szCs w:val="10"/>
                <w:color w:val="auto"/>
              </w:rPr>
            </w:pPr>
          </w:p>
        </w:tc>
        <w:tc>
          <w:tcPr>
            <w:tcW w:w="1160" w:type="dxa"/>
            <w:vAlign w:val="bottom"/>
            <w:gridSpan w:val="2"/>
          </w:tcPr>
          <w:p>
            <w:pPr>
              <w:jc w:val="right"/>
              <w:ind w:right="420"/>
              <w:spacing w:after="0" w:line="124" w:lineRule="exact"/>
              <w:rPr>
                <w:sz w:val="20"/>
                <w:szCs w:val="20"/>
                <w:color w:val="auto"/>
              </w:rPr>
            </w:pPr>
            <w:r>
              <w:rPr>
                <w:rFonts w:ascii="Times New Roman" w:cs="Times New Roman" w:eastAsia="Times New Roman" w:hAnsi="Times New Roman"/>
                <w:sz w:val="13"/>
                <w:szCs w:val="13"/>
                <w:b w:val="1"/>
                <w:bCs w:val="1"/>
                <w:color w:val="auto"/>
              </w:rPr>
              <w:t>Average</w:t>
            </w:r>
          </w:p>
        </w:tc>
        <w:tc>
          <w:tcPr>
            <w:tcW w:w="9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6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w w:val="95"/>
              </w:rPr>
              <w:t>Real Avg.</w:t>
            </w:r>
          </w:p>
        </w:tc>
        <w:tc>
          <w:tcPr>
            <w:tcW w:w="660" w:type="dxa"/>
            <w:vAlign w:val="bottom"/>
          </w:tcPr>
          <w:p>
            <w:pPr>
              <w:ind w:left="100"/>
              <w:spacing w:after="0" w:line="124" w:lineRule="exact"/>
              <w:rPr>
                <w:sz w:val="20"/>
                <w:szCs w:val="20"/>
                <w:color w:val="auto"/>
              </w:rPr>
            </w:pPr>
            <w:r>
              <w:rPr>
                <w:rFonts w:ascii="Times New Roman" w:cs="Times New Roman" w:eastAsia="Times New Roman" w:hAnsi="Times New Roman"/>
                <w:sz w:val="13"/>
                <w:szCs w:val="13"/>
                <w:b w:val="1"/>
                <w:bCs w:val="1"/>
                <w:color w:val="auto"/>
              </w:rPr>
              <w:t>Nominal</w:t>
            </w:r>
          </w:p>
        </w:tc>
        <w:tc>
          <w:tcPr>
            <w:tcW w:w="100" w:type="dxa"/>
            <w:vAlign w:val="bottom"/>
          </w:tcPr>
          <w:p>
            <w:pPr>
              <w:spacing w:after="0"/>
              <w:rPr>
                <w:sz w:val="10"/>
                <w:szCs w:val="10"/>
                <w:color w:val="auto"/>
              </w:rPr>
            </w:pPr>
          </w:p>
        </w:tc>
      </w:tr>
      <w:tr>
        <w:trPr>
          <w:trHeight w:val="168"/>
        </w:trPr>
        <w:tc>
          <w:tcPr>
            <w:tcW w:w="160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Paid</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Avg. Rate</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Avg. Rate</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Paid</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Avg. Rate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Paid</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Avg. Rate</w:t>
            </w:r>
          </w:p>
        </w:tc>
        <w:tc>
          <w:tcPr>
            <w:tcW w:w="100" w:type="dxa"/>
            <w:vAlign w:val="bottom"/>
          </w:tcPr>
          <w:p>
            <w:pPr>
              <w:spacing w:after="0"/>
              <w:rPr>
                <w:sz w:val="14"/>
                <w:szCs w:val="14"/>
                <w:color w:val="auto"/>
              </w:rPr>
            </w:pPr>
          </w:p>
        </w:tc>
      </w:tr>
      <w:tr>
        <w:trPr>
          <w:trHeight w:val="235"/>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9"/>
          </w:tcPr>
          <w:p>
            <w:pPr>
              <w:ind w:left="680"/>
              <w:spacing w:after="0"/>
              <w:rPr>
                <w:sz w:val="20"/>
                <w:szCs w:val="20"/>
                <w:color w:val="auto"/>
              </w:rPr>
            </w:pPr>
            <w:r>
              <w:rPr>
                <w:rFonts w:ascii="Times New Roman" w:cs="Times New Roman" w:eastAsia="Times New Roman" w:hAnsi="Times New Roman"/>
                <w:sz w:val="13"/>
                <w:szCs w:val="13"/>
                <w:i w:val="1"/>
                <w:iCs w:val="1"/>
                <w:color w:val="auto"/>
                <w:w w:val="97"/>
              </w:rPr>
              <w:t>(U.S. Dollars in thousands, except percentages)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Interest-bearing liabilities: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Demand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Soles(1)</w:t>
            </w:r>
          </w:p>
        </w:tc>
        <w:tc>
          <w:tcPr>
            <w:tcW w:w="84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3"/>
                <w:szCs w:val="13"/>
                <w:color w:val="auto"/>
              </w:rPr>
              <w:t>US$349,584</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2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w w:val="89"/>
              </w:rPr>
              <w:t>0.83%</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US$641,920</w:t>
            </w:r>
          </w:p>
        </w:tc>
        <w:tc>
          <w:tcPr>
            <w:tcW w:w="82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3"/>
                <w:szCs w:val="13"/>
                <w:color w:val="auto"/>
              </w:rPr>
              <w:t>US$6,056</w:t>
            </w:r>
          </w:p>
        </w:tc>
        <w:tc>
          <w:tcPr>
            <w:tcW w:w="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-0.54%</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w w:val="89"/>
              </w:rPr>
              <w:t>0.94%</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US$</w:t>
            </w:r>
            <w:r>
              <w:rPr>
                <w:rFonts w:ascii="Times New Roman" w:cs="Times New Roman" w:eastAsia="Times New Roman" w:hAnsi="Times New Roman"/>
                <w:sz w:val="21"/>
                <w:szCs w:val="21"/>
                <w:color w:val="auto"/>
              </w:rPr>
              <w:t>776,964</w:t>
            </w:r>
          </w:p>
        </w:tc>
        <w:tc>
          <w:tcPr>
            <w:tcW w:w="920" w:type="dxa"/>
            <w:vAlign w:val="bottom"/>
            <w:gridSpan w:val="2"/>
            <w:shd w:val="clear" w:color="auto" w:fill="CCFFCC"/>
          </w:tcPr>
          <w:p>
            <w:pPr>
              <w:ind w:left="100"/>
              <w:spacing w:after="0"/>
              <w:rPr>
                <w:sz w:val="20"/>
                <w:szCs w:val="20"/>
                <w:color w:val="auto"/>
              </w:rPr>
            </w:pPr>
            <w:r>
              <w:rPr>
                <w:rFonts w:ascii="Times New Roman" w:cs="Times New Roman" w:eastAsia="Times New Roman" w:hAnsi="Times New Roman"/>
                <w:sz w:val="13"/>
                <w:szCs w:val="13"/>
                <w:color w:val="auto"/>
              </w:rPr>
              <w:t>US$</w:t>
            </w:r>
            <w:r>
              <w:rPr>
                <w:rFonts w:ascii="Times New Roman" w:cs="Times New Roman" w:eastAsia="Times New Roman" w:hAnsi="Times New Roman"/>
                <w:sz w:val="21"/>
                <w:szCs w:val="21"/>
                <w:color w:val="auto"/>
              </w:rPr>
              <w:t>8,631</w:t>
            </w:r>
          </w:p>
        </w:tc>
        <w:tc>
          <w:tcPr>
            <w:tcW w:w="7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3"/>
                <w:szCs w:val="13"/>
                <w:color w:val="auto"/>
              </w:rPr>
              <w:t>0.10%</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w w:val="89"/>
              </w:rPr>
              <w:t>1.11%</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758,990</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0.25</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926,710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10,861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1.17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1,512,284</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16,150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1.07</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1,108,574</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4,784</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-0.64</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0.43</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1,568,630</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16,917</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0.47</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1.08</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2,289,248</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24,781</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0.74</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1.08</w:t>
            </w:r>
          </w:p>
        </w:tc>
      </w:t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Savings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277,051</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2,476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-2.52</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0.89</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452,826</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3,495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-0.71</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0.77</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518,859</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4,917</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-0.06</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0.95</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1,024,073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0.37</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0.37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1,118,117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5,739</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0.51</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0.51</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1,238,890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7,919</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0.64</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0.64</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1,301,124</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6,216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-0.25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0.48</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1,570,943</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9,234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0.16</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0.59</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1,757,749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12,836</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0.43</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0.73</w:t>
            </w:r>
          </w:p>
        </w:tc>
      </w:t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Time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426,074</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17,094</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0.49</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4.01</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562,148</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24,300</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2.79</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4.32</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709,208</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36,221</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5.11</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2,210,780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67,871</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3.07</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3.07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2,944,558</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76,954</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2.61</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2.61</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3,068,947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124,344</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4.05</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4.05</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2,636,854</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84,965</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2.65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3.22</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3,506,706</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101,254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2.64</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2.89</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3,778,155</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160,565</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4.25</w:t>
            </w:r>
          </w:p>
        </w:tc>
      </w:tr>
      <w:tr>
        <w:trPr>
          <w:trHeight w:val="130"/>
        </w:trPr>
        <w:tc>
          <w:tcPr>
            <w:tcW w:w="16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Due to banks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correspondents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134,280</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11,257</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8.38</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159,892</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3,162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0.48</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1.98</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249,212</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14,870</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4.91</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5.97</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539,268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25,425</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4.71</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4.71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448,419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18,260</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4.07</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4.07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865,365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45,143</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5.22</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5.22</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673,548</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36,682</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5.45</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608,311</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21,422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3.13</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3.52</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1,114,577</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60,013</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5.15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5.38</w:t>
            </w:r>
          </w:p>
        </w:tc>
      </w:tr>
      <w:tr>
        <w:trPr>
          <w:trHeight w:val="242"/>
        </w:trPr>
        <w:tc>
          <w:tcPr>
            <w:tcW w:w="1600" w:type="dxa"/>
            <w:vAlign w:val="bottom"/>
          </w:tcPr>
          <w:p>
            <w:pPr>
              <w:spacing w:after="0"/>
              <w:rPr>
                <w:sz w:val="20"/>
                <w:szCs w:val="20"/>
                <w:color w:val="auto"/>
              </w:rPr>
            </w:pPr>
            <w:r>
              <w:rPr>
                <w:rFonts w:ascii="Times New Roman" w:cs="Times New Roman" w:eastAsia="Times New Roman" w:hAnsi="Times New Roman"/>
                <w:sz w:val="13"/>
                <w:szCs w:val="13"/>
                <w:color w:val="auto"/>
              </w:rPr>
              <w:t>Bonds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122,006</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9,658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4.27</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7.92</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122,521</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9,655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6.30</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7.88</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153,178</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11,041</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6.13</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7.21</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298,816</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17,993</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6.02</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6.02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295,821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14,677</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4.96</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4.96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292,984</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14,242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4.86</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4.86</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420,822</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27,651</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5.51</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6.57</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418,342</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24,332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5.35</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5.82</w:t>
            </w: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446,162</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25,283</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5.30</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5.67</w:t>
            </w:r>
          </w:p>
        </w:tc>
      </w:tr>
      <w:tr>
        <w:trPr>
          <w:trHeight w:val="130"/>
        </w:trPr>
        <w:tc>
          <w:tcPr>
            <w:tcW w:w="160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Total 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liabilities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1,308,995</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43,396</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-0.18</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3.32</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1,939,307</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46,668</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0.90</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2.41</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2,407,421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75,680</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2.11</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3.14</w:t>
            </w: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4,831,927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116,902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2.42</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2.42</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5,733,625</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126,491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2.21</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2.21</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6,978,470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207,798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2.98</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2.98</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6,140,922</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160,298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1.87</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2.61</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7,672,932</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173,159</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1.88</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2.26</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9,385,891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283,478</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2.76</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3.02</w:t>
            </w:r>
          </w:p>
        </w:tc>
      </w:tr>
      <w:tr>
        <w:trPr>
          <w:trHeight w:val="128"/>
        </w:trPr>
        <w:tc>
          <w:tcPr>
            <w:tcW w:w="1600" w:type="dxa"/>
            <w:vAlign w:val="bottom"/>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Non-interest-bearing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liabilities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shareholders’ equity: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1,334,980</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770,712</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862,715</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1,380,753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878,852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918,731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600" w:type="dxa"/>
            <w:vAlign w:val="bottom"/>
            <w:shd w:val="clear" w:color="auto" w:fill="CCFFCC"/>
          </w:tcPr>
          <w:p>
            <w:pPr>
              <w:spacing w:after="0" w:line="133" w:lineRule="exact"/>
              <w:rPr>
                <w:sz w:val="20"/>
                <w:szCs w:val="20"/>
                <w:color w:val="auto"/>
              </w:rPr>
            </w:pPr>
            <w:r>
              <w:rPr>
                <w:rFonts w:ascii="Times New Roman" w:cs="Times New Roman" w:eastAsia="Times New Roman" w:hAnsi="Times New Roman"/>
                <w:sz w:val="13"/>
                <w:szCs w:val="13"/>
                <w:color w:val="auto"/>
              </w:rPr>
              <w:t>Equity attributable to</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Credicorp equity holders</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967,288</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1,133,773</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1,247,195</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967,288</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1,133,773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1,247,195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75,173</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93,109</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106,214</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75,173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93,109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106,214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600" w:type="dxa"/>
            <w:vAlign w:val="bottom"/>
            <w:shd w:val="clear" w:color="auto" w:fill="CCFFCC"/>
          </w:tcPr>
          <w:p>
            <w:pPr>
              <w:spacing w:after="0" w:line="133" w:lineRule="exact"/>
              <w:rPr>
                <w:sz w:val="20"/>
                <w:szCs w:val="20"/>
                <w:color w:val="auto"/>
              </w:rPr>
            </w:pPr>
            <w:r>
              <w:rPr>
                <w:rFonts w:ascii="Times New Roman" w:cs="Times New Roman" w:eastAsia="Times New Roman" w:hAnsi="Times New Roman"/>
                <w:sz w:val="13"/>
                <w:szCs w:val="13"/>
                <w:color w:val="auto"/>
              </w:rPr>
              <w:t>Total non-interest-bearing</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liabilities 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2,377,441</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1,977,594</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2,216,124</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2,423,214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2,085,734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2,272,140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3"/>
        </w:trPr>
        <w:tc>
          <w:tcPr>
            <w:tcW w:w="1600" w:type="dxa"/>
            <w:vAlign w:val="bottom"/>
            <w:shd w:val="clear" w:color="auto" w:fill="CCFFCC"/>
          </w:tcPr>
          <w:p>
            <w:pPr>
              <w:spacing w:after="0" w:line="133" w:lineRule="exact"/>
              <w:rPr>
                <w:sz w:val="20"/>
                <w:szCs w:val="20"/>
                <w:color w:val="auto"/>
              </w:rPr>
            </w:pPr>
            <w:r>
              <w:rPr>
                <w:rFonts w:ascii="Times New Roman" w:cs="Times New Roman" w:eastAsia="Times New Roman" w:hAnsi="Times New Roman"/>
                <w:sz w:val="13"/>
                <w:szCs w:val="13"/>
                <w:color w:val="auto"/>
              </w:rPr>
              <w:t>Total average liabilities</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Nuevos Soles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1,354,768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43,396</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-0.29</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3.20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2,047,447</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46,668</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0.78</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2.28</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2,463,437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75,680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2.04</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3.07</w:t>
            </w:r>
          </w:p>
        </w:tc>
      </w:tr>
      <w:tr>
        <w:trPr>
          <w:trHeight w:val="244"/>
        </w:trPr>
        <w:tc>
          <w:tcPr>
            <w:tcW w:w="1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7,209,368</w:t>
            </w:r>
          </w:p>
        </w:tc>
        <w:tc>
          <w:tcPr>
            <w:tcW w:w="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116,902</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1.62</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1.62</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7,711,219</w:t>
            </w:r>
          </w:p>
        </w:tc>
        <w:tc>
          <w:tcPr>
            <w:tcW w:w="7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126,491</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1.64</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1.64</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3"/>
                <w:szCs w:val="13"/>
                <w:color w:val="auto"/>
              </w:rPr>
              <w:t>9,194,594</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3"/>
                <w:szCs w:val="13"/>
                <w:color w:val="auto"/>
              </w:rPr>
              <w:t>207,798</w:t>
            </w:r>
          </w:p>
        </w:tc>
        <w:tc>
          <w:tcPr>
            <w:tcW w:w="7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3"/>
                <w:szCs w:val="13"/>
                <w:color w:val="auto"/>
              </w:rPr>
              <w:t>2.20</w:t>
            </w:r>
          </w:p>
        </w:tc>
        <w:tc>
          <w:tcPr>
            <w:tcW w:w="760" w:type="dxa"/>
            <w:vAlign w:val="bottom"/>
            <w:gridSpan w:val="2"/>
            <w:shd w:val="clear" w:color="auto" w:fill="CCFFCC"/>
          </w:tcPr>
          <w:p>
            <w:pPr>
              <w:ind w:left="440"/>
              <w:spacing w:after="0"/>
              <w:rPr>
                <w:sz w:val="20"/>
                <w:szCs w:val="20"/>
                <w:color w:val="auto"/>
              </w:rPr>
            </w:pPr>
            <w:r>
              <w:rPr>
                <w:rFonts w:ascii="Times New Roman" w:cs="Times New Roman" w:eastAsia="Times New Roman" w:hAnsi="Times New Roman"/>
                <w:sz w:val="13"/>
                <w:szCs w:val="13"/>
                <w:color w:val="auto"/>
              </w:rPr>
              <w:t>2.26</w:t>
            </w:r>
          </w:p>
        </w:tc>
      </w:tr>
      <w:tr>
        <w:trPr>
          <w:trHeight w:val="24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8,564,136</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1.32</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1.87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9,758,666</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173,159</w:t>
            </w:r>
          </w:p>
        </w:tc>
        <w:tc>
          <w:tcPr>
            <w:tcW w:w="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1.46</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1.77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11,658,031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283,478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2.21</w:t>
            </w: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87884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884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(1)  Includes the amount paid to Central Bank for the deposit insurance fund.</w:t>
      </w:r>
    </w:p>
    <w:p>
      <w:pPr>
        <w:sectPr>
          <w:pgSz w:w="11900" w:h="16838" w:orient="portrait"/>
          <w:cols w:equalWidth="0" w:num="1">
            <w:col w:w="11420"/>
          </w:cols>
          <w:pgMar w:left="240" w:top="360" w:right="239" w:bottom="109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09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6"/>
        </w:trPr>
        <w:tc>
          <w:tcPr>
            <w:tcW w:w="6460" w:type="dxa"/>
            <w:vAlign w:val="bottom"/>
            <w:gridSpan w:val="5"/>
          </w:tcPr>
          <w:p>
            <w:pPr>
              <w:ind w:left="660"/>
              <w:spacing w:after="0"/>
              <w:rPr>
                <w:sz w:val="20"/>
                <w:szCs w:val="20"/>
                <w:color w:val="auto"/>
              </w:rPr>
            </w:pPr>
            <w:r>
              <w:rPr>
                <w:rFonts w:ascii="Times New Roman" w:cs="Times New Roman" w:eastAsia="Times New Roman" w:hAnsi="Times New Roman"/>
                <w:sz w:val="18"/>
                <w:szCs w:val="18"/>
                <w:i w:val="1"/>
                <w:iCs w:val="1"/>
                <w:color w:val="auto"/>
              </w:rPr>
              <w:t>Changes in Net Interest Income and Expense: Volume and Rate Analysis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9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2005/2004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2006/2005</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900" w:type="dxa"/>
            <w:vAlign w:val="bottom"/>
          </w:tcPr>
          <w:p>
            <w:pPr>
              <w:spacing w:after="0"/>
              <w:rPr>
                <w:sz w:val="22"/>
                <w:szCs w:val="22"/>
                <w:color w:val="auto"/>
              </w:rPr>
            </w:pPr>
          </w:p>
        </w:tc>
        <w:tc>
          <w:tcPr>
            <w:tcW w:w="368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Increase/(Decrease) due to changes in:</w:t>
            </w:r>
          </w:p>
        </w:tc>
        <w:tc>
          <w:tcPr>
            <w:tcW w:w="120" w:type="dxa"/>
            <w:vAlign w:val="bottom"/>
          </w:tcPr>
          <w:p>
            <w:pPr>
              <w:spacing w:after="0"/>
              <w:rPr>
                <w:sz w:val="22"/>
                <w:szCs w:val="22"/>
                <w:color w:val="auto"/>
              </w:rPr>
            </w:pPr>
          </w:p>
        </w:tc>
        <w:tc>
          <w:tcPr>
            <w:tcW w:w="362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Increase/(Decrease) due to changes in:</w:t>
            </w:r>
          </w:p>
        </w:tc>
        <w:tc>
          <w:tcPr>
            <w:tcW w:w="100" w:type="dxa"/>
            <w:vAlign w:val="bottom"/>
          </w:tcPr>
          <w:p>
            <w:pPr>
              <w:spacing w:after="0"/>
              <w:rPr>
                <w:sz w:val="22"/>
                <w:szCs w:val="22"/>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Interest-earning deposits in Central Bank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18,958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32,809</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1,291</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7,406</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8,697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13,925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18,991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32,916</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Deposits in other banks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23,154</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884</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7,400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8,284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7,632</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23,843</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25,383</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4,292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29,675</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(9,921)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10,244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16,622</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31,784</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(1,327)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30,457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7,022</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16,945</w:t>
            </w:r>
          </w:p>
        </w:tc>
      </w:tr>
      <w:tr>
        <w:trPr>
          <w:trHeight w:val="257"/>
        </w:trPr>
        <w:tc>
          <w:tcPr>
            <w:tcW w:w="3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Total loans</w:t>
            </w:r>
            <w:r>
              <w:rPr>
                <w:rFonts w:ascii="Times New Roman" w:cs="Times New Roman" w:eastAsia="Times New Roman" w:hAnsi="Times New Roman"/>
                <w:sz w:val="29"/>
                <w:szCs w:val="29"/>
                <w:color w:val="auto"/>
                <w:vertAlign w:val="superscript"/>
              </w:rPr>
              <w:t>(1)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24,126</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(10,946)</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13,180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76,033</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(30,256)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45,777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5,235</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27,029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44,502</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29,361</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(8,506)</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20,855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93,506</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90,279</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dividend-earning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1,704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1,419</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1,860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3,919</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2,726</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5,588</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80,918</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(36,323)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44,595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27,229</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23,586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50,815</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17.662</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91,912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118,756</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98,580</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(28,990)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69,590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119,141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50,430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169,571</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8,574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8,988</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6,863</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5,289</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2,848</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7,864</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1,656</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1,999</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620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1,914</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3,602</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5,459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11,921</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22,527</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(13,444)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9,083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3,251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44,139</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47,390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27,986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16,289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49,703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59,311</w:t>
            </w:r>
          </w:p>
        </w:tc>
      </w:tr>
      <w:tr>
        <w:trPr>
          <w:trHeight w:val="198"/>
        </w:trPr>
        <w:tc>
          <w:tcPr>
            <w:tcW w:w="39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Due to banks and correspondents</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4"/>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and issued bonds</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11,708</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(4,283)</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(7,165)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16,978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26,883</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(13,124)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18,744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19,847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38,591</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Bonds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2,416</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(3,136)</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(3,316)</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(3,180)</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20,896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(17,624)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17,747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29,012</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21,815</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(12,226)</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9,589</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27,463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53,844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81,307</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42,711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38,728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71,591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right="38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603"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i w:val="1"/>
          <w:iCs w:val="1"/>
          <w:color w:val="auto"/>
        </w:rPr>
        <w:t>Interest-Earning Assets, Net Interest Margin and Yield Spread</w:t>
      </w:r>
    </w:p>
    <w:p>
      <w:pPr>
        <w:spacing w:after="0" w:line="2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380" w:type="dxa"/>
            <w:vAlign w:val="bottom"/>
          </w:tcPr>
          <w:p>
            <w:pPr>
              <w:spacing w:after="0"/>
              <w:rPr>
                <w:sz w:val="22"/>
                <w:szCs w:val="22"/>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380" w:type="dxa"/>
            <w:vAlign w:val="bottom"/>
          </w:tcPr>
          <w:p>
            <w:pPr>
              <w:spacing w:after="0"/>
              <w:rPr>
                <w:sz w:val="20"/>
                <w:szCs w:val="20"/>
                <w:color w:val="auto"/>
              </w:rPr>
            </w:pPr>
          </w:p>
        </w:tc>
        <w:tc>
          <w:tcPr>
            <w:tcW w:w="5040" w:type="dxa"/>
            <w:vAlign w:val="bottom"/>
            <w:gridSpan w:val="8"/>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interest-earning assets</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1,375,544</w:t>
            </w:r>
          </w:p>
        </w:tc>
        <w:tc>
          <w:tcPr>
            <w:tcW w:w="18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2,155,583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2,468,974</w:t>
            </w: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6,519,661</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6,807,425</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8,279,132</w:t>
            </w:r>
          </w:p>
        </w:tc>
      </w:tr>
      <w:tr>
        <w:trPr>
          <w:trHeight w:val="243"/>
        </w:trPr>
        <w:tc>
          <w:tcPr>
            <w:tcW w:w="63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7,895,205</w:t>
            </w:r>
          </w:p>
        </w:tc>
        <w:tc>
          <w:tcPr>
            <w:tcW w:w="18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8,963,008</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10,748,106</w:t>
            </w: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99,298</w:t>
            </w:r>
          </w:p>
        </w:tc>
        <w:tc>
          <w:tcPr>
            <w:tcW w:w="18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140,621</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162,424</w:t>
            </w:r>
          </w:p>
        </w:tc>
      </w:tr>
      <w:tr>
        <w:trPr>
          <w:trHeight w:val="243"/>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283,246</w:t>
            </w:r>
          </w:p>
        </w:tc>
        <w:tc>
          <w:tcPr>
            <w:tcW w:w="1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298,652</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336,101</w:t>
            </w:r>
          </w:p>
        </w:tc>
      </w:tr>
      <w:tr>
        <w:trPr>
          <w:trHeight w:val="243"/>
        </w:trPr>
        <w:tc>
          <w:tcPr>
            <w:tcW w:w="63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382,544</w:t>
            </w:r>
          </w:p>
        </w:tc>
        <w:tc>
          <w:tcPr>
            <w:tcW w:w="186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439,273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498,525</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yield (1)</w:t>
            </w:r>
          </w:p>
        </w:tc>
        <w:tc>
          <w:tcPr>
            <w:tcW w:w="3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10.37%</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8.69%</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6.14%</w:t>
            </w:r>
          </w:p>
        </w:tc>
        <w:tc>
          <w:tcPr>
            <w:tcW w:w="17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6.88%</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6.83%</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margin (2)</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7.22%</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6.52%</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4.34%</w:t>
            </w:r>
          </w:p>
        </w:tc>
        <w:tc>
          <w:tcPr>
            <w:tcW w:w="17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4.39%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4.85%</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4.90%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4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Yield spread (3)</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7.06%</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6.28%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3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3.72%</w:t>
            </w:r>
          </w:p>
        </w:tc>
        <w:tc>
          <w:tcPr>
            <w:tcW w:w="17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46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Times New Roman" w:cs="Times New Roman" w:eastAsia="Times New Roman" w:hAnsi="Times New Roman"/>
                <w:sz w:val="18"/>
                <w:szCs w:val="18"/>
                <w:color w:val="auto"/>
              </w:rPr>
              <w:t>4.27%</w:t>
            </w:r>
          </w:p>
        </w:tc>
        <w:tc>
          <w:tcPr>
            <w:tcW w:w="1720" w:type="dxa"/>
            <w:vAlign w:val="bottom"/>
            <w:shd w:val="clear" w:color="auto" w:fill="CCFFCC"/>
          </w:tcPr>
          <w:p>
            <w:pPr>
              <w:jc w:val="right"/>
              <w:ind w:right="550"/>
              <w:spacing w:after="0"/>
              <w:rPr>
                <w:sz w:val="20"/>
                <w:szCs w:val="20"/>
                <w:color w:val="auto"/>
              </w:rPr>
            </w:pPr>
            <w:r>
              <w:rPr>
                <w:rFonts w:ascii="Times New Roman" w:cs="Times New Roman" w:eastAsia="Times New Roman" w:hAnsi="Times New Roman"/>
                <w:sz w:val="18"/>
                <w:szCs w:val="18"/>
                <w:color w:val="auto"/>
              </w:rPr>
              <w:t>4.58%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yield is interest income divided by average interest-earning assets.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represents net interest income divided by average interest-earning assets.</w:t>
      </w:r>
    </w:p>
    <w:p>
      <w:pPr>
        <w:spacing w:after="0" w:line="27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spread, on a nominal basis, represents the difference between gross yield on average interest-earning assets and average cost of interest-bearing liabilities.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i w:val="1"/>
          <w:iCs w:val="1"/>
          <w:color w:val="auto"/>
        </w:rPr>
        <w:t>Interest-Earning Deposits With Other Banks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short-term funds deposited with other banks broken down by currency as of the dates indicated. Deposits held in countries other than Peru are denominated in several currencies; however, the substantial majority of such deposits are denominated in U.S. Dollars. These currencies were converted to U.S. Dollars using the applicable SBS exchange rate as of the date of relevant balance.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6"/>
          </w:tcPr>
          <w:p>
            <w:pPr>
              <w:jc w:val="center"/>
              <w:ind w:left="107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r>
              <w:rPr>
                <w:rFonts w:ascii="Times New Roman" w:cs="Times New Roman" w:eastAsia="Times New Roman" w:hAnsi="Times New Roman"/>
                <w:sz w:val="18"/>
                <w:szCs w:val="18"/>
                <w:color w:val="auto"/>
                <w:w w:val="99"/>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Nuevo Sol-denominated:</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Peruvian Central Bank</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17,142</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53,163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banks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55,941</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55,819</w:t>
            </w:r>
          </w:p>
        </w:tc>
        <w:tc>
          <w:tcPr>
            <w:tcW w:w="100" w:type="dxa"/>
            <w:vAlign w:val="bottom"/>
          </w:tcPr>
          <w:p>
            <w:pPr>
              <w:spacing w:after="0"/>
              <w:rPr>
                <w:sz w:val="21"/>
                <w:szCs w:val="21"/>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Nuevo Sol-denominated</w:t>
            </w:r>
          </w:p>
        </w:tc>
        <w:tc>
          <w:tcPr>
            <w:tcW w:w="14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48,521</w:t>
            </w:r>
          </w:p>
        </w:tc>
        <w:tc>
          <w:tcPr>
            <w:tcW w:w="18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57,165</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108,982</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Peruvian Central Bank (U.S. Dollars)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1,085,349</w:t>
            </w:r>
          </w:p>
        </w:tc>
        <w:tc>
          <w:tcPr>
            <w:tcW w:w="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1,597,929</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1.355,155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Dollars, other</w:t>
            </w: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455,178</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632,698</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739,028</w:t>
            </w:r>
          </w:p>
        </w:tc>
        <w:tc>
          <w:tcPr>
            <w:tcW w:w="100" w:type="dxa"/>
            <w:vAlign w:val="bottom"/>
          </w:tcPr>
          <w:p>
            <w:pPr>
              <w:spacing w:after="0"/>
              <w:rPr>
                <w:sz w:val="21"/>
                <w:szCs w:val="21"/>
                <w:color w:val="auto"/>
              </w:rPr>
            </w:pP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55,506</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2,238,703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2,149,689</w:t>
            </w:r>
          </w:p>
        </w:tc>
        <w:tc>
          <w:tcPr>
            <w:tcW w:w="100" w:type="dxa"/>
            <w:vAlign w:val="bottom"/>
          </w:tcPr>
          <w:p>
            <w:pPr>
              <w:spacing w:after="0"/>
              <w:rPr>
                <w:sz w:val="20"/>
                <w:szCs w:val="20"/>
                <w:color w:val="auto"/>
              </w:rPr>
            </w:pPr>
          </w:p>
        </w:tc>
      </w:tr>
      <w:tr>
        <w:trPr>
          <w:trHeight w:val="277"/>
        </w:trPr>
        <w:tc>
          <w:tcPr>
            <w:tcW w:w="6740" w:type="dxa"/>
            <w:vAlign w:val="bottom"/>
            <w:tcBorders>
              <w:bottom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1,593,900</w:t>
            </w:r>
          </w:p>
        </w:tc>
        <w:tc>
          <w:tcPr>
            <w:tcW w:w="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2,295,868</w:t>
            </w:r>
          </w:p>
        </w:tc>
        <w:tc>
          <w:tcPr>
            <w:tcW w:w="220" w:type="dxa"/>
            <w:vAlign w:val="bottom"/>
            <w:tcBorders>
              <w:bottom w:val="single" w:sz="8" w:color="CCFFCC"/>
            </w:tcBorders>
            <w:shd w:val="clear" w:color="auto" w:fill="CCFFCC"/>
          </w:tcPr>
          <w:p>
            <w:pPr>
              <w:spacing w:after="0"/>
              <w:rPr>
                <w:sz w:val="24"/>
                <w:szCs w:val="24"/>
                <w:color w:val="auto"/>
              </w:rPr>
            </w:pPr>
          </w:p>
        </w:tc>
        <w:tc>
          <w:tcPr>
            <w:tcW w:w="360" w:type="dxa"/>
            <w:vAlign w:val="bottom"/>
            <w:tcBorders>
              <w:bottom w:val="single" w:sz="8" w:color="auto"/>
            </w:tcBorders>
            <w:shd w:val="clear" w:color="auto" w:fill="CCFFCC"/>
          </w:tcPr>
          <w:p>
            <w:pPr>
              <w:spacing w:after="0"/>
              <w:rPr>
                <w:sz w:val="24"/>
                <w:szCs w:val="24"/>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2,258,671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0" w:lineRule="exact"/>
        <w:rPr>
          <w:sz w:val="20"/>
          <w:szCs w:val="20"/>
          <w:color w:val="auto"/>
        </w:rPr>
      </w:pPr>
    </w:p>
    <w:p>
      <w:pPr>
        <w:spacing w:after="0" w:line="318" w:lineRule="exact"/>
        <w:rPr>
          <w:sz w:val="20"/>
          <w:szCs w:val="20"/>
          <w:color w:val="auto"/>
        </w:rPr>
      </w:pPr>
    </w:p>
    <w:p>
      <w:pPr>
        <w:ind w:left="1140" w:hanging="484"/>
        <w:spacing w:after="0"/>
        <w:tabs>
          <w:tab w:leader="none" w:pos="11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Portfolio</w:t>
      </w:r>
    </w:p>
    <w:p>
      <w:pPr>
        <w:spacing w:after="0" w:line="3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Credicorp’s trading and available-for-sale investment securities by type at the dates indicated. See Notes 5 and 6 to the Credicorp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5"/>
          </w:tcPr>
          <w:p>
            <w:pPr>
              <w:jc w:val="center"/>
              <w:ind w:left="107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Nuevo Sol-denominated:</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56,594</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129,137</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156,890</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112,785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148,333</w:t>
            </w:r>
          </w:p>
        </w:tc>
      </w:tr>
      <w:tr>
        <w:trPr>
          <w:trHeight w:val="257"/>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67,878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91,065</w:t>
            </w: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74,010</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Peruvian Central Bank certif. notes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682,418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835,287</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1,277,613</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5,994</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40,287</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264,112</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Nuevo Sol-denominated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925,669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1,920,958</w:t>
            </w:r>
          </w:p>
        </w:tc>
      </w:tr>
      <w:tr>
        <w:trPr>
          <w:trHeight w:val="250"/>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Foreign Currency-denominated:</w:t>
            </w:r>
          </w:p>
        </w:tc>
        <w:tc>
          <w:tcPr>
            <w:tcW w:w="1380" w:type="dxa"/>
            <w:vAlign w:val="bottom"/>
            <w:tcBorders>
              <w:top w:val="single" w:sz="8" w:color="auto"/>
            </w:tcBorders>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tcBorders>
              <w:top w:val="single" w:sz="8" w:color="auto"/>
            </w:tcBorders>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tcBorders>
              <w:top w:val="single" w:sz="8" w:color="auto"/>
            </w:tcBorders>
            <w:shd w:val="clear" w:color="auto" w:fill="CCFFCC"/>
          </w:tcPr>
          <w:p>
            <w:pPr>
              <w:spacing w:after="0"/>
              <w:rPr>
                <w:sz w:val="21"/>
                <w:szCs w:val="21"/>
                <w:color w:val="auto"/>
              </w:rPr>
            </w:pPr>
          </w:p>
        </w:tc>
        <w:tc>
          <w:tcPr>
            <w:tcW w:w="1000" w:type="dxa"/>
            <w:vAlign w:val="bottom"/>
            <w:tcBorders>
              <w:top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68,573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63,332</w:t>
            </w: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102,543</w:t>
            </w:r>
          </w:p>
        </w:tc>
      </w:tr>
      <w:tr>
        <w:trPr>
          <w:trHeight w:val="257"/>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610,402</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891,666</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1,114,211</w:t>
            </w:r>
          </w:p>
        </w:tc>
      </w:tr>
      <w:tr>
        <w:trPr>
          <w:trHeight w:val="25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Peruvian debt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357,145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185,138</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268,235</w:t>
            </w:r>
          </w:p>
        </w:tc>
      </w:tr>
      <w:tr>
        <w:trPr>
          <w:trHeight w:val="257"/>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 Central Bank certif. notes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310,528</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257,458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163,894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61,634</w:t>
            </w: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1,293,578</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1,614,558</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top w:val="single" w:sz="8" w:color="auto"/>
              <w:bottom w:val="single" w:sz="8" w:color="auto"/>
            </w:tcBorders>
            <w:shd w:val="clear" w:color="auto" w:fill="CCFFCC"/>
          </w:tcPr>
          <w:p>
            <w:pPr>
              <w:spacing w:after="0"/>
              <w:rPr>
                <w:sz w:val="20"/>
                <w:szCs w:val="20"/>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1,546,623</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50"/>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43"/>
        </w:trPr>
        <w:tc>
          <w:tcPr>
            <w:tcW w:w="674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securities holdings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2,219,247</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2,855,253</w:t>
            </w:r>
          </w:p>
        </w:tc>
        <w:tc>
          <w:tcPr>
            <w:tcW w:w="2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3,467,581</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decline in value of marketable securities is debited from the value of each individual security.</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yield on Credicorp’s Nuevo Sol-denominated interest-earning investment securities was 3.8% in 2004, 4.2% in 2005, and 5.2% in 2006. The weighted-average yield on Credicorp’s foreign currency-denominated portfolio was 6.1% in 2004, 5.7% in 2005 and 2006. The total weighted-average yield of Credicorp’s investment securities was 5.4% in 2004, 5.0% in 2005, and 5.5% in 2006.</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yield on Credicorp’s Nuevo Sol-denominated dividend-earning assets was 0.8% in 2004, 3.5% in 2005, and 5.2% in 2006. The weighted-average yield on Credicorp’s foreign currency-denominated portfolio was 2.3% in 2004, 2.0% in 2005 and 2.7% in 2006. The total weighted-average yield of Credicorp’s dividend -earning assets was 1.4% in 2004, 2.7% in 2005 and 4.0% in 2006.</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The following table shows the maturities of Credicorp’s trading and available-for-sale investment securities by type at December 31, 2006: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Maturing</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After 3</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After 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After 1 year</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years but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years but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Within</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within 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After 10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1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3years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8"/>
          </w:tcPr>
          <w:p>
            <w:pPr>
              <w:ind w:left="780"/>
              <w:spacing w:after="0"/>
              <w:rPr>
                <w:sz w:val="20"/>
                <w:szCs w:val="20"/>
                <w:color w:val="auto"/>
              </w:rPr>
            </w:pPr>
            <w:r>
              <w:rPr>
                <w:rFonts w:ascii="Times New Roman" w:cs="Times New Roman" w:eastAsia="Times New Roman" w:hAnsi="Times New Roman"/>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Nuevo Sol-denominated: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1,725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6,845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36,212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29,816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82,292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156,890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148,333</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Bonds and debentures</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12,843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25,213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74,010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Peruvian Central Bank certif. notes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1,236,091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1,277,613</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241,681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5,718</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264,112</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Nuevo Sol-denominated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1,640,673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76,447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51,455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32,946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119,437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1,920,958</w:t>
            </w:r>
          </w:p>
        </w:tc>
      </w:tr>
      <w:tr>
        <w:trPr>
          <w:trHeight w:val="237"/>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Foreign Currency-denominated:</w:t>
            </w: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24,034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114,327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123,525</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268,235</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Equity securities (1)</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102,543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102,543</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 Peruvian Central Bank certificates notes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160,131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342,635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160,143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167,549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283,753</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1,114,211</w:t>
            </w:r>
          </w:p>
        </w:tc>
      </w:tr>
      <w:tr>
        <w:trPr>
          <w:trHeight w:val="250"/>
        </w:trPr>
        <w:tc>
          <w:tcPr>
            <w:tcW w:w="390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18,257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6,197</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12,334</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18,292</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61,634</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282,406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372,866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177,351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300,168</w:t>
            </w:r>
          </w:p>
        </w:tc>
        <w:tc>
          <w:tcPr>
            <w:tcW w:w="25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413,832</w:t>
            </w:r>
            <w:r>
              <w:rPr>
                <w:rFonts w:ascii="Times New Roman" w:cs="Times New Roman" w:eastAsia="Times New Roman" w:hAnsi="Times New Roman"/>
                <w:sz w:val="18"/>
                <w:szCs w:val="18"/>
                <w:color w:val="auto"/>
              </w:rPr>
              <w:t xml:space="preserve">   US$</w:t>
            </w:r>
            <w:r>
              <w:rPr>
                <w:rFonts w:ascii="Times New Roman" w:cs="Times New Roman" w:eastAsia="Times New Roman" w:hAnsi="Times New Roman"/>
                <w:sz w:val="17"/>
                <w:szCs w:val="17"/>
                <w:color w:val="auto"/>
              </w:rPr>
              <w:t>1,546,623</w:t>
            </w:r>
          </w:p>
        </w:tc>
      </w:tr>
      <w:tr>
        <w:trPr>
          <w:trHeight w:val="20"/>
        </w:trPr>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securities holdings:</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1,923,079</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449,313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228,806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333,114</w:t>
            </w:r>
          </w:p>
        </w:tc>
        <w:tc>
          <w:tcPr>
            <w:tcW w:w="2540" w:type="dxa"/>
            <w:vAlign w:val="bottom"/>
            <w:gridSpan w:val="4"/>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533,269</w:t>
            </w:r>
            <w:r>
              <w:rPr>
                <w:rFonts w:ascii="Times New Roman" w:cs="Times New Roman" w:eastAsia="Times New Roman" w:hAnsi="Times New Roman"/>
                <w:sz w:val="18"/>
                <w:szCs w:val="18"/>
                <w:color w:val="auto"/>
              </w:rPr>
              <w:t xml:space="preserve">   US$</w:t>
            </w:r>
            <w:r>
              <w:rPr>
                <w:rFonts w:ascii="Times New Roman" w:cs="Times New Roman" w:eastAsia="Times New Roman" w:hAnsi="Times New Roman"/>
                <w:sz w:val="17"/>
                <w:szCs w:val="17"/>
                <w:color w:val="auto"/>
              </w:rPr>
              <w:t>3,467,581</w:t>
            </w:r>
          </w:p>
        </w:tc>
      </w:tr>
      <w:tr>
        <w:trPr>
          <w:trHeight w:val="237"/>
        </w:trPr>
        <w:tc>
          <w:tcPr>
            <w:tcW w:w="39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yield</w:t>
            </w: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Equity securities in Credicorp’s trading account are categorized as maturing within one year.</w:t>
      </w:r>
    </w:p>
    <w:p>
      <w:pPr>
        <w:spacing w:after="0" w:line="279"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Maturities of Credicorp’s investments securities classified by trading and available for sale, as of December 31, 2006 are described in “Item 11. Quantitative and Qualitative Disclosures about Market Risk.”</w:t>
      </w:r>
    </w:p>
    <w:p>
      <w:pPr>
        <w:spacing w:after="0" w:line="216"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8" w:name="page79"/>
    <w:bookmarkEnd w:id="78"/>
    <w:p>
      <w:pPr>
        <w:ind w:left="1300" w:hanging="482"/>
        <w:spacing w:after="0"/>
        <w:tabs>
          <w:tab w:leader="none" w:pos="13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Portfolio</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Loans by Type of Loan</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Credicorp’s loans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400" w:type="dxa"/>
            <w:vAlign w:val="bottom"/>
          </w:tcPr>
          <w:p>
            <w:pPr>
              <w:spacing w:after="0"/>
              <w:rPr>
                <w:sz w:val="22"/>
                <w:szCs w:val="22"/>
                <w:color w:val="auto"/>
              </w:rPr>
            </w:pPr>
          </w:p>
        </w:tc>
        <w:tc>
          <w:tcPr>
            <w:tcW w:w="11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2002</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20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40" w:type="dxa"/>
            <w:vAlign w:val="bottom"/>
          </w:tcPr>
          <w:p>
            <w:pPr>
              <w:spacing w:after="0"/>
              <w:rPr>
                <w:sz w:val="22"/>
                <w:szCs w:val="22"/>
                <w:color w:val="auto"/>
              </w:rPr>
            </w:pPr>
          </w:p>
        </w:tc>
        <w:tc>
          <w:tcPr>
            <w:tcW w:w="12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20" w:type="dxa"/>
            <w:vAlign w:val="bottom"/>
          </w:tcPr>
          <w:p>
            <w:pPr>
              <w:spacing w:after="0"/>
              <w:rPr>
                <w:sz w:val="22"/>
                <w:szCs w:val="22"/>
                <w:color w:val="auto"/>
              </w:rPr>
            </w:pPr>
          </w:p>
        </w:tc>
      </w:tr>
      <w:tr>
        <w:trPr>
          <w:trHeight w:val="237"/>
        </w:trPr>
        <w:tc>
          <w:tcPr>
            <w:tcW w:w="4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w:t>
            </w:r>
          </w:p>
        </w:tc>
        <w:tc>
          <w:tcPr>
            <w:tcW w:w="1400" w:type="dxa"/>
            <w:vAlign w:val="bottom"/>
            <w:gridSpan w:val="2"/>
            <w:shd w:val="clear" w:color="auto" w:fill="CCFFCC"/>
          </w:tcPr>
          <w:p>
            <w:pPr>
              <w:jc w:val="center"/>
              <w:ind w:right="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3,268,103</w:t>
            </w:r>
          </w:p>
        </w:tc>
        <w:tc>
          <w:tcPr>
            <w:tcW w:w="140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3,284,141</w:t>
            </w:r>
          </w:p>
        </w:tc>
        <w:tc>
          <w:tcPr>
            <w:tcW w:w="142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3,507,831</w:t>
            </w:r>
          </w:p>
        </w:tc>
        <w:tc>
          <w:tcPr>
            <w:tcW w:w="1440" w:type="dxa"/>
            <w:vAlign w:val="bottom"/>
            <w:gridSpan w:val="2"/>
            <w:shd w:val="clear" w:color="auto" w:fill="CCFFCC"/>
          </w:tcPr>
          <w:p>
            <w:pPr>
              <w:jc w:val="center"/>
              <w:ind w:right="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3,865,643</w:t>
            </w:r>
          </w:p>
        </w:tc>
        <w:tc>
          <w:tcPr>
            <w:tcW w:w="1360" w:type="dxa"/>
            <w:vAlign w:val="bottom"/>
            <w:gridSpan w:val="2"/>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US$4,662,730</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491,666</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452,635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424,902</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564,575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675,804</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Discounted notes</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180,314</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176,991</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183,519</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213,232</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256,534</w:t>
            </w:r>
          </w:p>
        </w:tc>
        <w:tc>
          <w:tcPr>
            <w:tcW w:w="120" w:type="dxa"/>
            <w:vAlign w:val="bottom"/>
            <w:shd w:val="clear" w:color="auto" w:fill="CCFFCC"/>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Factoring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56,446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58,116</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87,757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89,171</w:t>
            </w:r>
          </w:p>
        </w:tc>
      </w:tr>
      <w:tr>
        <w:trPr>
          <w:trHeight w:val="243"/>
        </w:trPr>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Advances and overdrafts</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169,132</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45,827</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48,506</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49,283</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84,262</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Refinanced loans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330,842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296,116</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243,892</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175,211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126,006</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Past due loans</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406,135</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256,208</w:t>
            </w:r>
          </w:p>
        </w:tc>
        <w:tc>
          <w:tcPr>
            <w:tcW w:w="14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159,057</w:t>
            </w:r>
          </w:p>
        </w:tc>
        <w:tc>
          <w:tcPr>
            <w:tcW w:w="144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95,769</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76,770</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Unearned interest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(90,831)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(86,868)</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(66,805)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(78,495)</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(93,916)</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44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400" w:type="dxa"/>
            <w:vAlign w:val="bottom"/>
            <w:gridSpan w:val="2"/>
            <w:shd w:val="clear" w:color="auto" w:fill="CCFFCC"/>
          </w:tcPr>
          <w:p>
            <w:pPr>
              <w:jc w:val="center"/>
              <w:ind w:right="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4,817,663</w:t>
            </w:r>
          </w:p>
        </w:tc>
        <w:tc>
          <w:tcPr>
            <w:tcW w:w="140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142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1440" w:type="dxa"/>
            <w:vAlign w:val="bottom"/>
            <w:gridSpan w:val="2"/>
            <w:shd w:val="clear" w:color="auto" w:fill="CCFFCC"/>
          </w:tcPr>
          <w:p>
            <w:pPr>
              <w:jc w:val="center"/>
              <w:ind w:right="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1360" w:type="dxa"/>
            <w:vAlign w:val="bottom"/>
            <w:gridSpan w:val="2"/>
            <w:shd w:val="clear" w:color="auto" w:fill="CCFFCC"/>
          </w:tcPr>
          <w:p>
            <w:pPr>
              <w:jc w:val="center"/>
              <w:ind w:left="1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past due loans amounts</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(406,135)</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(256,208)</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(159,057)</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(95,769)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(76,770)</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4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performing loans</w:t>
            </w:r>
          </w:p>
        </w:tc>
        <w:tc>
          <w:tcPr>
            <w:tcW w:w="140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w w:val="99"/>
              </w:rPr>
              <w:t>US$</w:t>
            </w:r>
            <w:r>
              <w:rPr>
                <w:rFonts w:ascii="Times New Roman" w:cs="Times New Roman" w:eastAsia="Times New Roman" w:hAnsi="Times New Roman"/>
                <w:sz w:val="17"/>
                <w:szCs w:val="17"/>
                <w:color w:val="auto"/>
                <w:w w:val="99"/>
              </w:rPr>
              <w:t>4,411,528</w:t>
            </w:r>
          </w:p>
        </w:tc>
        <w:tc>
          <w:tcPr>
            <w:tcW w:w="140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4,225,288</w:t>
            </w:r>
          </w:p>
        </w:tc>
        <w:tc>
          <w:tcPr>
            <w:tcW w:w="1420" w:type="dxa"/>
            <w:vAlign w:val="bottom"/>
            <w:gridSpan w:val="2"/>
            <w:shd w:val="clear" w:color="auto" w:fill="CCFFCC"/>
          </w:tcPr>
          <w:p>
            <w:pPr>
              <w:jc w:val="center"/>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4,399,961</w:t>
            </w:r>
          </w:p>
        </w:tc>
        <w:tc>
          <w:tcPr>
            <w:tcW w:w="1440" w:type="dxa"/>
            <w:vAlign w:val="bottom"/>
            <w:gridSpan w:val="2"/>
            <w:shd w:val="clear" w:color="auto" w:fill="CCFFCC"/>
          </w:tcPr>
          <w:p>
            <w:pPr>
              <w:jc w:val="center"/>
              <w:ind w:right="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4,877,206</w:t>
            </w:r>
          </w:p>
        </w:tc>
        <w:tc>
          <w:tcPr>
            <w:tcW w:w="1360" w:type="dxa"/>
            <w:vAlign w:val="bottom"/>
            <w:gridSpan w:val="2"/>
            <w:shd w:val="clear" w:color="auto" w:fill="CCFFCC"/>
          </w:tcPr>
          <w:p>
            <w:pPr>
              <w:jc w:val="center"/>
              <w:ind w:left="1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5,800,591</w:t>
            </w:r>
          </w:p>
        </w:tc>
      </w:tr>
      <w:tr>
        <w:trPr>
          <w:trHeight w:val="20"/>
        </w:trPr>
        <w:tc>
          <w:tcPr>
            <w:tcW w:w="4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area set forth under “Item 4. Information on the Company—(B) Business Overview—(3) Commercial Banking.” Pursuant to the guidelines of the SBS, loans are categorized as follows:</w:t>
      </w:r>
    </w:p>
    <w:p>
      <w:pPr>
        <w:spacing w:after="0" w:line="23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Basic term loans documented by promissory notes and other extensions of credit, such as mortgage loans, credit cards and other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in various forms, including trade finance loans to importers and exporters on specialized terms adapted to the needs of the international trade transaction.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Leasing transactions: </w:t>
      </w:r>
      <w:r>
        <w:rPr>
          <w:rFonts w:ascii="Times New Roman" w:cs="Times New Roman" w:eastAsia="Times New Roman" w:hAnsi="Times New Roman"/>
          <w:sz w:val="18"/>
          <w:szCs w:val="18"/>
          <w:color w:val="auto"/>
        </w:rPr>
        <w:t>Involves the acquisition by Credicorp of an asset and the leasing of that asset to Credicorp’s client.</w:t>
      </w:r>
    </w:p>
    <w:p>
      <w:pPr>
        <w:spacing w:after="0" w:line="27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Discounted notes: </w:t>
      </w:r>
      <w:r>
        <w:rPr>
          <w:rFonts w:ascii="Times New Roman" w:cs="Times New Roman" w:eastAsia="Times New Roman" w:hAnsi="Times New Roman"/>
          <w:sz w:val="18"/>
          <w:szCs w:val="18"/>
          <w:color w:val="auto"/>
        </w:rPr>
        <w:t>Loans discounted at the outset (the client signs a promissory note or other evidence of indebtedness for the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at a future date). Discounted loans also include discounting of drafts, where Credicorp makes a loan supported by a draft signed by one party and discounted by another party, with recourse to both parties.</w:t>
      </w:r>
    </w:p>
    <w:p>
      <w:pPr>
        <w:spacing w:after="0" w:line="2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Factoring</w:t>
      </w:r>
      <w:r>
        <w:rPr>
          <w:rFonts w:ascii="Times New Roman" w:cs="Times New Roman" w:eastAsia="Times New Roman" w:hAnsi="Times New Roman"/>
          <w:sz w:val="18"/>
          <w:szCs w:val="18"/>
          <w:color w:val="auto"/>
        </w:rPr>
        <w:t>: Involves the sale of title of a company’s accounts receivables to a bank (or financial company). The receivables are sold without recourse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bank cannot turn to the seller in the event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3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Advances and overdrafts: </w:t>
      </w:r>
      <w:r>
        <w:rPr>
          <w:rFonts w:ascii="Times New Roman" w:cs="Times New Roman" w:eastAsia="Times New Roman" w:hAnsi="Times New Roman"/>
          <w:sz w:val="18"/>
          <w:szCs w:val="18"/>
          <w:color w:val="auto"/>
        </w:rPr>
        <w:t>Extensions of credit to clients by way of an overdraft facility in the client’s checking account. This category also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short-term advances.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Refinanced loans: </w:t>
      </w:r>
      <w:r>
        <w:rPr>
          <w:rFonts w:ascii="Times New Roman" w:cs="Times New Roman" w:eastAsia="Times New Roman" w:hAnsi="Times New Roman"/>
          <w:sz w:val="18"/>
          <w:szCs w:val="18"/>
          <w:color w:val="auto"/>
        </w:rPr>
        <w:t>Includes loans that were refinanced because the client was unable to pay at maturity. A loan is categorized as a refinanced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when a debtor is experiencing payment problems, unless the debtor is current on all interest payments and pays down at least 20% of the principal amount of the original loan. Since July 1999, Credicorp has distinguished a sub-group entitled </w:t>
      </w:r>
      <w:r>
        <w:rPr>
          <w:rFonts w:ascii="Times New Roman" w:cs="Times New Roman" w:eastAsia="Times New Roman" w:hAnsi="Times New Roman"/>
          <w:sz w:val="18"/>
          <w:szCs w:val="18"/>
          <w:i w:val="1"/>
          <w:iCs w:val="1"/>
          <w:color w:val="auto"/>
        </w:rPr>
        <w:t>Restructured Loans</w:t>
      </w:r>
      <w:r>
        <w:rPr>
          <w:rFonts w:ascii="Times New Roman" w:cs="Times New Roman" w:eastAsia="Times New Roman" w:hAnsi="Times New Roman"/>
          <w:sz w:val="18"/>
          <w:szCs w:val="18"/>
          <w:color w:val="auto"/>
        </w:rPr>
        <w:t>, defined as those loans extended under the bankruptcy protection procedures established in the Equity Restructuring Law.</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Past due loans: </w:t>
      </w:r>
      <w:r>
        <w:rPr>
          <w:rFonts w:ascii="Times New Roman" w:cs="Times New Roman" w:eastAsia="Times New Roman" w:hAnsi="Times New Roman"/>
          <w:sz w:val="18"/>
          <w:szCs w:val="18"/>
          <w:color w:val="auto"/>
        </w:rPr>
        <w:t>Includes overdue loans. See “— Past Due Loan Portfolio” for further detail.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i w:val="1"/>
          <w:iCs w:val="1"/>
          <w:color w:val="auto"/>
        </w:rPr>
        <w:t>Loans by Economic Activity</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Credicorp’s total loan portfolio composition, net of unearned interest, based on the borrower’s principal economic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2002</w:t>
            </w:r>
          </w:p>
        </w:tc>
        <w:tc>
          <w:tcPr>
            <w:tcW w:w="9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2003</w:t>
            </w:r>
          </w:p>
        </w:tc>
        <w:tc>
          <w:tcPr>
            <w:tcW w:w="9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Economic Activity</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Total</w:t>
            </w:r>
          </w:p>
        </w:tc>
        <w:tc>
          <w:tcPr>
            <w:tcW w:w="22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0"/>
          </w:tcPr>
          <w:p>
            <w:pPr>
              <w:jc w:val="center"/>
              <w:ind w:right="560"/>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560" w:type="dxa"/>
            <w:vAlign w:val="bottom"/>
            <w:gridSpan w:val="3"/>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1,592,191</w:t>
            </w:r>
          </w:p>
        </w:tc>
        <w:tc>
          <w:tcPr>
            <w:tcW w:w="11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33.05%</w:t>
            </w:r>
          </w:p>
        </w:tc>
        <w:tc>
          <w:tcPr>
            <w:tcW w:w="1560" w:type="dxa"/>
            <w:vAlign w:val="bottom"/>
            <w:gridSpan w:val="3"/>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1,461,350</w:t>
            </w:r>
          </w:p>
        </w:tc>
        <w:tc>
          <w:tcPr>
            <w:tcW w:w="120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32.61%</w:t>
            </w:r>
          </w:p>
        </w:tc>
        <w:tc>
          <w:tcPr>
            <w:tcW w:w="1580" w:type="dxa"/>
            <w:vAlign w:val="bottom"/>
            <w:gridSpan w:val="3"/>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1,376,874</w:t>
            </w:r>
          </w:p>
        </w:tc>
        <w:tc>
          <w:tcPr>
            <w:tcW w:w="122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30.20%</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Loans (1)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1,187,378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26.04</w:t>
            </w:r>
          </w:p>
        </w:tc>
      </w:tr>
      <w:tr>
        <w:trPr>
          <w:trHeight w:val="243"/>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Commerce</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617,491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12.82</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560,052</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523,574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11.48</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Realty Businesses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Leasing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233,506</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r>
      <w:tr>
        <w:trPr>
          <w:trHeight w:val="243"/>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Mining</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227,879</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233,355</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5.21</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194,022</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Communication, Storage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Transportation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189,612</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Electricity, Gas and Water</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302,976</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211,610</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248,571</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142,697</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Fishing</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104,604</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90,786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68,604</w:t>
            </w: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96,371</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90,042</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r>
      <w:tr>
        <w:trPr>
          <w:trHeight w:val="198"/>
        </w:trPr>
        <w:tc>
          <w:tcPr>
            <w:tcW w:w="3120" w:type="dxa"/>
            <w:vAlign w:val="bottom"/>
            <w:gridSpan w:val="2"/>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Education, Health and</w:t>
            </w: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34"/>
        </w:trPr>
        <w:tc>
          <w:tcPr>
            <w:tcW w:w="312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93,851</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99,702</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62,341</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70,676</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72,879</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Others (2)</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500,041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13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144,766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235,608</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r>
      <w:tr>
        <w:trPr>
          <w:trHeight w:val="270"/>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4,908,494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4,568,364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4,625,823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20" w:type="dxa"/>
            <w:vAlign w:val="bottom"/>
          </w:tcPr>
          <w:p>
            <w:pPr>
              <w:spacing w:after="0"/>
              <w:rPr>
                <w:sz w:val="23"/>
                <w:szCs w:val="23"/>
                <w:color w:val="auto"/>
              </w:rPr>
            </w:pPr>
          </w:p>
        </w:tc>
      </w:tr>
      <w:tr>
        <w:trPr>
          <w:trHeight w:val="237"/>
        </w:trPr>
        <w:tc>
          <w:tcPr>
            <w:tcW w:w="3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Unearned interest</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(90,831)</w:t>
            </w: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(86,868)</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3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(66,805)</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29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6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US$</w:t>
            </w:r>
            <w:r>
              <w:rPr>
                <w:rFonts w:ascii="Times New Roman" w:cs="Times New Roman" w:eastAsia="Times New Roman" w:hAnsi="Times New Roman"/>
                <w:sz w:val="17"/>
                <w:szCs w:val="17"/>
                <w:color w:val="auto"/>
                <w:w w:val="99"/>
              </w:rPr>
              <w:t>4,817,663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credit card and mortgage loans, other consumer loans and small business.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personal banking and small business loans and other sectors.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Economy Activity</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8"/>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820" w:type="dxa"/>
            <w:vAlign w:val="bottom"/>
            <w:gridSpan w:val="3"/>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1,430,559</w:t>
            </w:r>
          </w:p>
        </w:tc>
        <w:tc>
          <w:tcPr>
            <w:tcW w:w="1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28.77%</w:t>
            </w:r>
          </w:p>
        </w:tc>
        <w:tc>
          <w:tcPr>
            <w:tcW w:w="1780" w:type="dxa"/>
            <w:vAlign w:val="bottom"/>
            <w:gridSpan w:val="3"/>
            <w:shd w:val="clear" w:color="auto" w:fill="CCFFCC"/>
          </w:tcPr>
          <w:p>
            <w:pPr>
              <w:jc w:val="right"/>
              <w:ind w:right="4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1,624,765</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27.65%</w:t>
            </w: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Loans (1)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1,729,682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29.43</w:t>
            </w: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625,908</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12.59</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686,291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11.68</w:t>
            </w: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Realty Businesses and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Leasing Services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216,095</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236,445</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Mining</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223,156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303,238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4.36</w:t>
            </w: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Communication, Storage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Transportation</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210,002</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255,730</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Electricity, Gas and Water</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192,096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256,541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Agriculture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153,410</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150,020</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Fishing</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117,104</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152,538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105,484</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163,946</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r>
      <w:tr>
        <w:trPr>
          <w:trHeight w:val="198"/>
        </w:trPr>
        <w:tc>
          <w:tcPr>
            <w:tcW w:w="5160" w:type="dxa"/>
            <w:vAlign w:val="bottom"/>
            <w:gridSpan w:val="2"/>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Education, Health and</w:t>
            </w: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4"/>
        </w:trPr>
        <w:tc>
          <w:tcPr>
            <w:tcW w:w="51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69,468</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75,376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68,217</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Others (2)</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275,061</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262,223</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 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5,051,470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101.58</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5,971,277</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101.60</w:t>
            </w:r>
          </w:p>
        </w:tc>
      </w:tr>
      <w:tr>
        <w:trPr>
          <w:trHeight w:val="20"/>
        </w:trPr>
        <w:tc>
          <w:tcPr>
            <w:tcW w:w="51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Unearned interest</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(78,495)</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(93,916)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49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17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US$5,877,361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credit card and mortgage loans, other consumer loans and small business.</w:t>
      </w:r>
    </w:p>
    <w:p>
      <w:pPr>
        <w:spacing w:after="0" w:line="2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personal banking and small business loans and other sectors.</w:t>
      </w:r>
    </w:p>
    <w:p>
      <w:pPr>
        <w:spacing w:after="0" w:line="2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2006, 66.2% of the loan portfolio was concentrated in Lima and 91.79% was concentrated in Peru. An additional 6.76% of the loan portfolio was concentrated in Bolivia.</w:t>
      </w:r>
    </w:p>
    <w:p>
      <w:pPr>
        <w:sectPr>
          <w:pgSz w:w="11900" w:h="16838" w:orient="portrait"/>
          <w:cols w:equalWidth="0" w:num="1">
            <w:col w:w="11420"/>
          </w:cols>
          <w:pgMar w:left="240" w:top="362" w:right="239" w:bottom="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i w:val="1"/>
          <w:iCs w:val="1"/>
          <w:color w:val="auto"/>
        </w:rPr>
        <w:t>Concentrations of Loan Portfolio and Lending Limits</w:t>
      </w:r>
    </w:p>
    <w:p>
      <w:pPr>
        <w:spacing w:after="0" w:line="2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Credicorp’s loans and other contingent credits to the 20 customers (considered as economic groups) to which it had the largest exposure as of December 31, 2006 were US$1,255.9 million, of which US$1,086.2 million were outstanding loans representing 18.5% of the total loan portfolio. See “—</w:t>
      </w:r>
    </w:p>
    <w:p>
      <w:pPr>
        <w:jc w:val="both"/>
        <w:ind w:firstLine="8"/>
        <w:spacing w:after="0" w:line="253" w:lineRule="auto"/>
        <w:tabs>
          <w:tab w:leader="none" w:pos="3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and Regulation—(ii) BCP—Lending Activities” for the definition of economic group. Total loans and other contingent credits outstanding to these customers ranged from US$119.7 million to US$42.6 million, including fifteen customers with over US$50.0 million. Total loans and other contingent credits outstanding to Credicorp’s 20 largest customers were ranked in the following risk categories as of December 31, 2006: Class A (normal)—90.9%; Class B (potential problems)—8.9%; Class C (substandard)—0.2%; Class D (doubtful)—0%; and Class E (loss)—0%. See “—Classification of the Loan Portfolio.”</w:t>
      </w:r>
    </w:p>
    <w:p>
      <w:pPr>
        <w:spacing w:after="0" w:line="24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BCP’s loans to Directors and employees and relatives have a global limit of 7% of capital stock and reserves and an individual limit of 5% of such global limit.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Loans to individuals not resident in Peru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S/.2,335.9 million (US$730.9 million) at December 31, 2006 BCP’s legal lending limits vary from S/.116.8 million (US$36.5 million) to S/.1,168.0 million (US$365.4 million). Credicorp’s consolidated lending limits, based on its regulatory capital on a consolidated basis of US$1,008.0 million at December 31, 2006, would range from US$50.4 million to US$504.0 million. As of December 31, 2006, BCP was in compliance with all Law 26702 lending limits.</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Credicorp complied with the applicable legal lending limits in each of the jurisdictions where it operates.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Loan Portfolio Denomination</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Credicorp’s Nuevo Sol and foreign currency-denominated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35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2002</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2003</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2004</w:t>
            </w:r>
          </w:p>
        </w:tc>
        <w:tc>
          <w:tcPr>
            <w:tcW w:w="7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loan portfolio:</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Nuevo Sol-denominated</w:t>
            </w:r>
          </w:p>
        </w:tc>
        <w:tc>
          <w:tcPr>
            <w:tcW w:w="168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677,506</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940" w:type="dxa"/>
            <w:vAlign w:val="bottom"/>
            <w:gridSpan w:val="3"/>
            <w:shd w:val="clear" w:color="auto" w:fill="CCFFCC"/>
          </w:tcPr>
          <w:p>
            <w:pPr>
              <w:jc w:val="right"/>
              <w:ind w:right="7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723,955</w:t>
            </w:r>
          </w:p>
        </w:tc>
        <w:tc>
          <w:tcPr>
            <w:tcW w:w="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72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662,058</w:t>
            </w: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14.52%</w:t>
            </w: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3,896,960</w:t>
            </w: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85.48%</w:t>
            </w:r>
          </w:p>
        </w:tc>
      </w:tr>
      <w:tr>
        <w:trPr>
          <w:trHeight w:val="20"/>
        </w:trPr>
        <w:tc>
          <w:tcPr>
            <w:tcW w:w="3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35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168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4,817,663</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940" w:type="dxa"/>
            <w:vAlign w:val="bottom"/>
            <w:gridSpan w:val="3"/>
            <w:shd w:val="clear" w:color="auto" w:fill="CCFFCC"/>
          </w:tcPr>
          <w:p>
            <w:pPr>
              <w:jc w:val="right"/>
              <w:ind w:right="7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6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72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9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35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502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2005</w:t>
            </w:r>
          </w:p>
        </w:tc>
        <w:tc>
          <w:tcPr>
            <w:tcW w:w="9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2006</w:t>
            </w: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loan portfolio:</w:t>
            </w:r>
          </w:p>
        </w:tc>
        <w:tc>
          <w:tcPr>
            <w:tcW w:w="1360" w:type="dxa"/>
            <w:vAlign w:val="bottom"/>
          </w:tcPr>
          <w:p>
            <w:pPr>
              <w:spacing w:after="0"/>
              <w:rPr>
                <w:sz w:val="22"/>
                <w:szCs w:val="22"/>
                <w:color w:val="auto"/>
              </w:rPr>
            </w:pPr>
          </w:p>
        </w:tc>
        <w:tc>
          <w:tcPr>
            <w:tcW w:w="3960" w:type="dxa"/>
            <w:vAlign w:val="bottom"/>
            <w:gridSpan w:val="7"/>
          </w:tcPr>
          <w:p>
            <w:pPr>
              <w:jc w:val="center"/>
              <w:ind w:right="520"/>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0"/>
        </w:trPr>
        <w:tc>
          <w:tcPr>
            <w:tcW w:w="5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Nuevo Sol-denominated</w:t>
            </w:r>
          </w:p>
        </w:tc>
        <w:tc>
          <w:tcPr>
            <w:tcW w:w="2040" w:type="dxa"/>
            <w:vAlign w:val="bottom"/>
            <w:gridSpan w:val="3"/>
            <w:shd w:val="clear" w:color="auto" w:fill="CCFFCC"/>
          </w:tcPr>
          <w:p>
            <w:pPr>
              <w:jc w:val="right"/>
              <w:ind w:right="6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1,032,481</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2120" w:type="dxa"/>
            <w:vAlign w:val="bottom"/>
            <w:gridSpan w:val="3"/>
            <w:shd w:val="clear" w:color="auto" w:fill="CCFFCC"/>
          </w:tcPr>
          <w:p>
            <w:pPr>
              <w:jc w:val="right"/>
              <w:ind w:right="7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1,492,681</w:t>
            </w: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25.40%</w:t>
            </w:r>
          </w:p>
        </w:tc>
      </w:tr>
      <w:tr>
        <w:trPr>
          <w:trHeight w:val="24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3,940,494</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4,384,680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74.60%</w:t>
            </w:r>
          </w:p>
        </w:tc>
      </w:tr>
      <w:tr>
        <w:trPr>
          <w:trHeight w:val="20"/>
        </w:trPr>
        <w:tc>
          <w:tcPr>
            <w:tcW w:w="5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50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 loans</w:t>
            </w:r>
          </w:p>
        </w:tc>
        <w:tc>
          <w:tcPr>
            <w:tcW w:w="2040" w:type="dxa"/>
            <w:vAlign w:val="bottom"/>
            <w:gridSpan w:val="3"/>
            <w:shd w:val="clear" w:color="auto" w:fill="CCFFCC"/>
          </w:tcPr>
          <w:p>
            <w:pPr>
              <w:jc w:val="right"/>
              <w:ind w:right="6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2120" w:type="dxa"/>
            <w:vAlign w:val="bottom"/>
            <w:gridSpan w:val="3"/>
            <w:shd w:val="clear" w:color="auto" w:fill="CCFFCC"/>
          </w:tcPr>
          <w:p>
            <w:pPr>
              <w:jc w:val="right"/>
              <w:ind w:right="7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c>
          <w:tcPr>
            <w:tcW w:w="10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Maturity Composition of the Performing Loan Portfolio</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analysis of Credicorp’s performing loan portfolio at December 31, 2006, by type and by time remaining to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are stated before deduction of the reserves for loan losses.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Maturing</w:t>
            </w: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After 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at</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Within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After 1 year</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After 3 years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After 5</w:t>
            </w:r>
          </w:p>
        </w:tc>
      </w:tr>
      <w:tr>
        <w:trPr>
          <w:trHeight w:val="238"/>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w:t>
            </w:r>
          </w:p>
        </w:tc>
        <w:tc>
          <w:tcPr>
            <w:tcW w:w="1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4,662,730</w:t>
            </w:r>
          </w:p>
        </w:tc>
        <w:tc>
          <w:tcPr>
            <w:tcW w:w="2600" w:type="dxa"/>
            <w:vAlign w:val="bottom"/>
            <w:gridSpan w:val="4"/>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1,939,902</w:t>
            </w:r>
            <w:r>
              <w:rPr>
                <w:rFonts w:ascii="Times New Roman" w:cs="Times New Roman" w:eastAsia="Times New Roman" w:hAnsi="Times New Roman"/>
                <w:sz w:val="18"/>
                <w:szCs w:val="18"/>
                <w:color w:val="auto"/>
              </w:rPr>
              <w:t xml:space="preserve">   US$</w:t>
            </w:r>
            <w:r>
              <w:rPr>
                <w:rFonts w:ascii="Times New Roman" w:cs="Times New Roman" w:eastAsia="Times New Roman" w:hAnsi="Times New Roman"/>
                <w:sz w:val="17"/>
                <w:szCs w:val="17"/>
                <w:color w:val="auto"/>
              </w:rPr>
              <w:t>1,070,786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493,145</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354,986</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803,911</w:t>
            </w: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675,804</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135,036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137,211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276,230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97,490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29,837</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Discounted notes</w:t>
            </w: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256,534</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239,559</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16,663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Refinanced loans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126,006</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44,141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18,301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27,603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12,158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23,803</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Factoring</w:t>
            </w:r>
          </w:p>
        </w:tc>
        <w:tc>
          <w:tcPr>
            <w:tcW w:w="1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89,171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88,836</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Advances and overdrafts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81,375</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4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5,894,507</w:t>
            </w:r>
          </w:p>
        </w:tc>
        <w:tc>
          <w:tcPr>
            <w:tcW w:w="160" w:type="dxa"/>
            <w:vAlign w:val="bottom"/>
            <w:shd w:val="clear" w:color="auto" w:fill="CCFFCC"/>
          </w:tcPr>
          <w:p>
            <w:pPr>
              <w:spacing w:after="0"/>
              <w:rPr>
                <w:sz w:val="24"/>
                <w:szCs w:val="24"/>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2,528,849</w:t>
            </w:r>
          </w:p>
        </w:tc>
        <w:tc>
          <w:tcPr>
            <w:tcW w:w="160" w:type="dxa"/>
            <w:vAlign w:val="bottom"/>
            <w:shd w:val="clear" w:color="auto" w:fill="CCFFCC"/>
          </w:tcPr>
          <w:p>
            <w:pPr>
              <w:spacing w:after="0"/>
              <w:rPr>
                <w:sz w:val="24"/>
                <w:szCs w:val="24"/>
                <w:color w:val="auto"/>
              </w:rPr>
            </w:pP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1,245,862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797,458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464,718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857,620</w:t>
            </w:r>
          </w:p>
        </w:tc>
      </w:tr>
      <w:tr>
        <w:trPr>
          <w:trHeight w:val="178"/>
        </w:trPr>
        <w:tc>
          <w:tcPr>
            <w:tcW w:w="20" w:type="dxa"/>
            <w:vAlign w:val="bottom"/>
          </w:tcPr>
          <w:p>
            <w:pPr>
              <w:spacing w:after="0"/>
              <w:rPr>
                <w:sz w:val="15"/>
                <w:szCs w:val="15"/>
                <w:color w:val="auto"/>
              </w:rPr>
            </w:pPr>
          </w:p>
        </w:tc>
        <w:tc>
          <w:tcPr>
            <w:tcW w:w="3420" w:type="dxa"/>
            <w:vAlign w:val="bottom"/>
            <w:tcBorders>
              <w:top w:val="single" w:sz="8" w:color="CCFFCC"/>
            </w:tcBorders>
          </w:tcPr>
          <w:p>
            <w:pPr>
              <w:spacing w:after="0" w:line="178" w:lineRule="exact"/>
              <w:rPr>
                <w:sz w:val="20"/>
                <w:szCs w:val="20"/>
                <w:color w:val="auto"/>
              </w:rPr>
            </w:pPr>
            <w:r>
              <w:rPr>
                <w:rFonts w:ascii="Times New Roman" w:cs="Times New Roman" w:eastAsia="Times New Roman" w:hAnsi="Times New Roman"/>
                <w:sz w:val="18"/>
                <w:szCs w:val="18"/>
                <w:color w:val="auto"/>
              </w:rPr>
              <w:t>Percentage of total performing</w:t>
            </w:r>
          </w:p>
        </w:tc>
        <w:tc>
          <w:tcPr>
            <w:tcW w:w="13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portfolio</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14.55%</w:t>
            </w:r>
          </w:p>
        </w:tc>
      </w:tr>
      <w:tr>
        <w:trPr>
          <w:trHeight w:val="48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Sensitivity of the Loan Portfolio</w:t>
      </w:r>
    </w:p>
    <w:p>
      <w:pPr>
        <w:spacing w:after="0" w:line="2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rate sensitivity of the loan portfolio at December 31, 2006, by currency and by the time remaining to maturity over one year: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Maturing After 1</w:t>
            </w:r>
          </w:p>
        </w:tc>
      </w:tr>
      <w:tr>
        <w:trPr>
          <w:trHeight w:val="238"/>
        </w:trPr>
        <w:tc>
          <w:tcPr>
            <w:tcW w:w="8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r>
      <w:tr>
        <w:trPr>
          <w:trHeight w:val="237"/>
        </w:trPr>
        <w:tc>
          <w:tcPr>
            <w:tcW w:w="816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r>
      <w:tr>
        <w:trPr>
          <w:trHeight w:val="243"/>
        </w:trPr>
        <w:tc>
          <w:tcPr>
            <w:tcW w:w="8160" w:type="dxa"/>
            <w:vAlign w:val="bottom"/>
          </w:tcPr>
          <w:p>
            <w:pPr>
              <w:jc w:val="center"/>
              <w:ind w:right="7010"/>
              <w:spacing w:after="0"/>
              <w:rPr>
                <w:sz w:val="20"/>
                <w:szCs w:val="20"/>
                <w:color w:val="auto"/>
              </w:rPr>
            </w:pPr>
            <w:r>
              <w:rPr>
                <w:rFonts w:ascii="Times New Roman" w:cs="Times New Roman" w:eastAsia="Times New Roman" w:hAnsi="Times New Roman"/>
                <w:sz w:val="18"/>
                <w:szCs w:val="18"/>
                <w:b w:val="1"/>
                <w:bCs w:val="1"/>
                <w:color w:val="auto"/>
                <w:w w:val="98"/>
              </w:rPr>
              <w:t>Variable Rate</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8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1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82,035</w:t>
            </w:r>
          </w:p>
        </w:tc>
        <w:tc>
          <w:tcPr>
            <w:tcW w:w="15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109</w:t>
            </w:r>
          </w:p>
        </w:tc>
      </w:tr>
      <w:tr>
        <w:trPr>
          <w:trHeight w:val="24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860,633</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68,700</w:t>
            </w:r>
          </w:p>
        </w:tc>
        <w:tc>
          <w:tcPr>
            <w:tcW w:w="120" w:type="dxa"/>
            <w:vAlign w:val="bottom"/>
          </w:tcPr>
          <w:p>
            <w:pPr>
              <w:spacing w:after="0"/>
              <w:rPr>
                <w:sz w:val="21"/>
                <w:szCs w:val="21"/>
                <w:color w:val="auto"/>
              </w:rPr>
            </w:pPr>
          </w:p>
        </w:tc>
      </w:tr>
      <w:tr>
        <w:trPr>
          <w:trHeight w:val="237"/>
        </w:trPr>
        <w:tc>
          <w:tcPr>
            <w:tcW w:w="8160" w:type="dxa"/>
            <w:vAlign w:val="bottom"/>
            <w:shd w:val="clear" w:color="auto" w:fill="CCFFCC"/>
          </w:tcPr>
          <w:p>
            <w:pPr>
              <w:jc w:val="center"/>
              <w:ind w:right="7030"/>
              <w:spacing w:after="0"/>
              <w:rPr>
                <w:sz w:val="20"/>
                <w:szCs w:val="20"/>
                <w:color w:val="auto"/>
              </w:rPr>
            </w:pPr>
            <w:r>
              <w:rPr>
                <w:rFonts w:ascii="Times New Roman" w:cs="Times New Roman" w:eastAsia="Times New Roman" w:hAnsi="Times New Roman"/>
                <w:sz w:val="18"/>
                <w:szCs w:val="18"/>
                <w:color w:val="auto"/>
                <w:w w:val="94"/>
              </w:rPr>
              <w:t>Total</w:t>
            </w:r>
          </w:p>
        </w:tc>
        <w:tc>
          <w:tcPr>
            <w:tcW w:w="1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942,668</w:t>
            </w:r>
          </w:p>
        </w:tc>
        <w:tc>
          <w:tcPr>
            <w:tcW w:w="15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68,809</w:t>
            </w:r>
          </w:p>
        </w:tc>
      </w:tr>
      <w:tr>
        <w:trPr>
          <w:trHeight w:val="243"/>
        </w:trPr>
        <w:tc>
          <w:tcPr>
            <w:tcW w:w="8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60" w:type="dxa"/>
            <w:vAlign w:val="bottom"/>
            <w:shd w:val="clear" w:color="auto" w:fill="CCFFCC"/>
          </w:tcPr>
          <w:p>
            <w:pPr>
              <w:jc w:val="center"/>
              <w:ind w:right="6970"/>
              <w:spacing w:after="0"/>
              <w:rPr>
                <w:sz w:val="20"/>
                <w:szCs w:val="20"/>
                <w:color w:val="auto"/>
              </w:rPr>
            </w:pPr>
            <w:r>
              <w:rPr>
                <w:rFonts w:ascii="Times New Roman" w:cs="Times New Roman" w:eastAsia="Times New Roman" w:hAnsi="Times New Roman"/>
                <w:sz w:val="18"/>
                <w:szCs w:val="18"/>
                <w:b w:val="1"/>
                <w:bCs w:val="1"/>
                <w:color w:val="auto"/>
              </w:rPr>
              <w:t>Fixed Rate (2)</w:t>
            </w: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1,410,646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289,825</w:t>
            </w:r>
          </w:p>
        </w:tc>
        <w:tc>
          <w:tcPr>
            <w:tcW w:w="120" w:type="dxa"/>
            <w:vAlign w:val="bottom"/>
          </w:tcPr>
          <w:p>
            <w:pPr>
              <w:spacing w:after="0"/>
              <w:rPr>
                <w:sz w:val="21"/>
                <w:szCs w:val="21"/>
                <w:color w:val="auto"/>
              </w:rPr>
            </w:pPr>
          </w:p>
        </w:tc>
      </w:tr>
      <w:tr>
        <w:trPr>
          <w:trHeight w:val="243"/>
        </w:trPr>
        <w:tc>
          <w:tcPr>
            <w:tcW w:w="81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3,524,047</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1,761,162</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8160" w:type="dxa"/>
            <w:vAlign w:val="bottom"/>
          </w:tcPr>
          <w:p>
            <w:pPr>
              <w:jc w:val="center"/>
              <w:ind w:right="7030"/>
              <w:spacing w:after="0"/>
              <w:rPr>
                <w:sz w:val="20"/>
                <w:szCs w:val="20"/>
                <w:color w:val="auto"/>
              </w:rPr>
            </w:pPr>
            <w:r>
              <w:rPr>
                <w:rFonts w:ascii="Times New Roman" w:cs="Times New Roman" w:eastAsia="Times New Roman" w:hAnsi="Times New Roman"/>
                <w:sz w:val="18"/>
                <w:szCs w:val="18"/>
                <w:color w:val="auto"/>
                <w:w w:val="94"/>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4,934,693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2,050,987</w:t>
            </w:r>
          </w:p>
        </w:tc>
        <w:tc>
          <w:tcPr>
            <w:tcW w:w="120" w:type="dxa"/>
            <w:vAlign w:val="bottom"/>
          </w:tcPr>
          <w:p>
            <w:pPr>
              <w:spacing w:after="0"/>
              <w:rPr>
                <w:sz w:val="20"/>
                <w:szCs w:val="20"/>
                <w:color w:val="auto"/>
              </w:rPr>
            </w:pPr>
          </w:p>
        </w:tc>
      </w:tr>
      <w:tr>
        <w:trPr>
          <w:trHeight w:val="243"/>
        </w:trPr>
        <w:tc>
          <w:tcPr>
            <w:tcW w:w="816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(1)</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2,119,796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unearned interest</w:t>
      </w:r>
    </w:p>
    <w:p>
      <w:pPr>
        <w:spacing w:after="0" w:line="279" w:lineRule="exact"/>
        <w:rPr>
          <w:rFonts w:ascii="Times New Roman" w:cs="Times New Roman" w:eastAsia="Times New Roman" w:hAnsi="Times New Roman"/>
          <w:sz w:val="18"/>
          <w:szCs w:val="18"/>
          <w:color w:val="auto"/>
        </w:rPr>
      </w:pPr>
    </w:p>
    <w:p>
      <w:pPr>
        <w:ind w:left="660" w:right="360" w:hanging="652"/>
        <w:spacing w:after="0" w:line="563" w:lineRule="auto"/>
        <w:tabs>
          <w:tab w:leader="none" w:pos="3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Most of financial products with fixed rates can be switched to variable rates according to market conditions as specified on the contracts with clients. </w:t>
      </w:r>
      <w:r>
        <w:rPr>
          <w:rFonts w:ascii="Times New Roman" w:cs="Times New Roman" w:eastAsia="Times New Roman" w:hAnsi="Times New Roman"/>
          <w:sz w:val="18"/>
          <w:szCs w:val="18"/>
          <w:i w:val="1"/>
          <w:iCs w:val="1"/>
          <w:color w:val="auto"/>
        </w:rPr>
        <w:t>Classification of the Loan Portfolio</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4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losses not specifically identified on the loan portfolio.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4" w:name="page85"/>
    <w:bookmarkEnd w:id="8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the loan portfolio using the categories specified in SBS Resolution No. 808-2003 as of December 31 of each of the last five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48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3"/>
                <w:szCs w:val="23"/>
                <w:color w:val="auto"/>
              </w:rPr>
            </w:pPr>
          </w:p>
        </w:tc>
      </w:tr>
      <w:tr>
        <w:trPr>
          <w:trHeight w:val="237"/>
        </w:trPr>
        <w:tc>
          <w:tcPr>
            <w:tcW w:w="4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right"/>
              <w:ind w:right="10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3,659,762</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3,308,112</w:t>
            </w:r>
          </w:p>
        </w:tc>
        <w:tc>
          <w:tcPr>
            <w:tcW w:w="140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3,259,950</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3,252,018</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3,792,756</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205,696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251,785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283,410</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356,595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506,184</w:t>
            </w:r>
          </w:p>
        </w:tc>
        <w:tc>
          <w:tcPr>
            <w:tcW w:w="12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547,005</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549,220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649,930</w:t>
            </w: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844,892</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980,630</w:t>
            </w:r>
          </w:p>
        </w:tc>
        <w:tc>
          <w:tcPr>
            <w:tcW w:w="12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Leasing transactions (1)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405,200</w:t>
            </w:r>
          </w:p>
        </w:tc>
        <w:tc>
          <w:tcPr>
            <w:tcW w:w="1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372,379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365,728</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519,470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597,791</w:t>
            </w:r>
          </w:p>
        </w:tc>
        <w:tc>
          <w:tcPr>
            <w:tcW w:w="12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8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performing loans</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4,817,663</w:t>
            </w:r>
          </w:p>
        </w:tc>
        <w:tc>
          <w:tcPr>
            <w:tcW w:w="100" w:type="dxa"/>
            <w:vAlign w:val="bottom"/>
            <w:shd w:val="clear" w:color="auto" w:fill="CCFFCC"/>
          </w:tcPr>
          <w:p>
            <w:pPr>
              <w:spacing w:after="0"/>
              <w:rPr>
                <w:sz w:val="24"/>
                <w:szCs w:val="24"/>
                <w:color w:val="auto"/>
              </w:rPr>
            </w:pP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140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of unearned interest.</w:t>
      </w:r>
    </w:p>
    <w:p>
      <w:pPr>
        <w:spacing w:after="0" w:line="2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 does not currently track loan write-offs and recoveries of write-offs by loan categories specified by SBS Resolution N° 808-203.</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five loan risk categories have the following characteristics:</w:t>
      </w:r>
    </w:p>
    <w:p>
      <w:pPr>
        <w:spacing w:after="0" w:line="2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Class “A.” </w:t>
      </w:r>
      <w:r>
        <w:rPr>
          <w:rFonts w:ascii="Times New Roman" w:cs="Times New Roman" w:eastAsia="Times New Roman" w:hAnsi="Times New Roman"/>
          <w:sz w:val="18"/>
          <w:szCs w:val="18"/>
          <w:color w:val="auto"/>
        </w:rPr>
        <w:t>Loans or credits in this category are known as “normal” credits. Debtors of commercial loans or credits that fall into this category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losses not specifically identified of 1% of the total of such loans or credits outstanding. The required reserve may be reduced by up to 0.5% if certain conditions that ensure that the client has a low probability of default are met.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 “B.” </w:t>
      </w:r>
      <w:r>
        <w:rPr>
          <w:rFonts w:ascii="Times New Roman" w:cs="Times New Roman" w:eastAsia="Times New Roman" w:hAnsi="Times New Roman"/>
          <w:sz w:val="18"/>
          <w:szCs w:val="18"/>
          <w:color w:val="auto"/>
        </w:rPr>
        <w:t>Loans or credits in this category are known as credits with “potential problems.” Debtors of commercial loans or credits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 “C.” </w:t>
      </w:r>
      <w:r>
        <w:rPr>
          <w:rFonts w:ascii="Times New Roman" w:cs="Times New Roman" w:eastAsia="Times New Roman" w:hAnsi="Times New Roman"/>
          <w:sz w:val="18"/>
          <w:szCs w:val="18"/>
          <w:color w:val="auto"/>
        </w:rPr>
        <w:t>Loans or credits in this category are known as “substandard” credits. Debtors of commercial loans or credits whose loans or credits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and 6.25 % when secured with “highly liquid preferred” collateral).</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 “D.” </w:t>
      </w:r>
      <w:r>
        <w:rPr>
          <w:rFonts w:ascii="Times New Roman" w:cs="Times New Roman" w:eastAsia="Times New Roman" w:hAnsi="Times New Roman"/>
          <w:sz w:val="18"/>
          <w:szCs w:val="18"/>
          <w:color w:val="auto"/>
        </w:rPr>
        <w:t>Loans or credits included in this category are known as “doubtful” credits. Debtors of commercial loans or credits 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6" w:name="page87"/>
    <w:bookmarkEnd w:id="8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Class “E.” </w:t>
      </w:r>
      <w:r>
        <w:rPr>
          <w:rFonts w:ascii="Times New Roman" w:cs="Times New Roman" w:eastAsia="Times New Roman" w:hAnsi="Times New Roman"/>
          <w:sz w:val="18"/>
          <w:szCs w:val="18"/>
          <w:color w:val="auto"/>
        </w:rPr>
        <w:t>Loans or credits in this class are known as “loss” credits. Commercial loans or credits which are considered unrecoverable or which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record the allowance for loan losses, Credicorp uses IAS 39, for which all loans in Classes C, D and E are considered impaired, and they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incurred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Credicorp’s direct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3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2002</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2003</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2004</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Level of Risk Classification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0"/>
          </w:tcPr>
          <w:p>
            <w:pPr>
              <w:jc w:val="right"/>
              <w:ind w:right="980"/>
              <w:spacing w:after="0"/>
              <w:rPr>
                <w:sz w:val="20"/>
                <w:szCs w:val="20"/>
                <w:color w:val="auto"/>
              </w:rPr>
            </w:pPr>
            <w:r>
              <w:rPr>
                <w:rFonts w:ascii="Times New Roman" w:cs="Times New Roman" w:eastAsia="Times New Roman" w:hAnsi="Times New Roman"/>
                <w:sz w:val="18"/>
                <w:szCs w:val="18"/>
                <w:i w:val="1"/>
                <w:iCs w:val="1"/>
                <w:color w:val="auto"/>
              </w:rPr>
              <w:t>(U.S. Dollars in thousands, except percentages)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8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 Normal (1)</w:t>
            </w:r>
          </w:p>
        </w:tc>
        <w:tc>
          <w:tcPr>
            <w:tcW w:w="144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3,543,152</w:t>
            </w:r>
          </w:p>
        </w:tc>
        <w:tc>
          <w:tcPr>
            <w:tcW w:w="11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73.5%</w:t>
            </w:r>
          </w:p>
        </w:tc>
        <w:tc>
          <w:tcPr>
            <w:tcW w:w="144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3,393,833</w:t>
            </w:r>
          </w:p>
        </w:tc>
        <w:tc>
          <w:tcPr>
            <w:tcW w:w="11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1440" w:type="dxa"/>
            <w:vAlign w:val="bottom"/>
            <w:gridSpan w:val="3"/>
            <w:shd w:val="clear" w:color="auto" w:fill="CCFFCC"/>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3,719,973</w:t>
            </w:r>
          </w:p>
        </w:tc>
        <w:tc>
          <w:tcPr>
            <w:tcW w:w="11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Potential Problems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456,056</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38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 Substandard</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334,423</w:t>
            </w: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240,316</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195,062</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Doubtful</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239,101</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380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E: Loss</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244,931</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123,158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FFCC"/>
            </w:tcBorders>
            <w:shd w:val="clear" w:color="auto" w:fill="CCFFCC"/>
          </w:tcPr>
          <w:p>
            <w:pPr>
              <w:spacing w:after="0"/>
              <w:rPr>
                <w:sz w:val="21"/>
                <w:szCs w:val="21"/>
                <w:color w:val="auto"/>
              </w:rPr>
            </w:pPr>
          </w:p>
        </w:tc>
      </w:tr>
      <w:tr>
        <w:trPr>
          <w:trHeight w:val="264"/>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4,817,663</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C+D+E</w:t>
            </w:r>
          </w:p>
        </w:tc>
        <w:tc>
          <w:tcPr>
            <w:tcW w:w="2040" w:type="dxa"/>
            <w:vAlign w:val="bottom"/>
            <w:gridSpan w:val="3"/>
            <w:shd w:val="clear" w:color="auto" w:fill="CCFFCC"/>
          </w:tcPr>
          <w:p>
            <w:pPr>
              <w:ind w:left="10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818,455</w:t>
            </w: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6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649,981</w:t>
            </w:r>
          </w:p>
        </w:tc>
        <w:tc>
          <w:tcPr>
            <w:tcW w:w="19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14.5%   US$</w:t>
            </w:r>
            <w:r>
              <w:rPr>
                <w:rFonts w:ascii="Times New Roman" w:cs="Times New Roman" w:eastAsia="Times New Roman" w:hAnsi="Times New Roman"/>
                <w:sz w:val="17"/>
                <w:szCs w:val="17"/>
                <w:color w:val="auto"/>
              </w:rPr>
              <w:t>502,426</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783"/>
        </w:trPr>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right"/>
              <w:ind w:right="14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3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Level of Risk Classification</w:t>
            </w:r>
          </w:p>
        </w:tc>
        <w:tc>
          <w:tcPr>
            <w:tcW w:w="1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180" w:type="dxa"/>
            <w:vAlign w:val="bottom"/>
          </w:tcPr>
          <w:p>
            <w:pPr>
              <w:spacing w:after="0"/>
              <w:rPr>
                <w:sz w:val="20"/>
                <w:szCs w:val="20"/>
                <w:color w:val="auto"/>
              </w:rPr>
            </w:pPr>
          </w:p>
        </w:tc>
      </w:tr>
      <w:tr>
        <w:trPr>
          <w:trHeight w:val="264"/>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 Normal (1)</w:t>
            </w:r>
          </w:p>
        </w:tc>
        <w:tc>
          <w:tcPr>
            <w:tcW w:w="15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480" w:type="dxa"/>
            <w:vAlign w:val="bottom"/>
            <w:gridSpan w:val="3"/>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4,273,719</w:t>
            </w:r>
          </w:p>
        </w:tc>
        <w:tc>
          <w:tcPr>
            <w:tcW w:w="15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85.9%</w:t>
            </w:r>
          </w:p>
        </w:tc>
        <w:tc>
          <w:tcPr>
            <w:tcW w:w="1980" w:type="dxa"/>
            <w:vAlign w:val="bottom"/>
            <w:gridSpan w:val="3"/>
            <w:shd w:val="clear" w:color="auto" w:fill="CCFFCC"/>
          </w:tcPr>
          <w:p>
            <w:pPr>
              <w:jc w:val="right"/>
              <w:ind w:right="5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5,296,653</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90.1%</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 Potential Problems</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397,387</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337,497</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 Substandard</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82,858</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62,192</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 Doubtful</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146,898</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122,215</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 Loss</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72,113</w:t>
            </w:r>
          </w:p>
        </w:tc>
        <w:tc>
          <w:tcPr>
            <w:tcW w:w="2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58,804</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040" w:type="dxa"/>
            <w:vAlign w:val="bottom"/>
            <w:shd w:val="clear" w:color="auto" w:fill="CCFFCC"/>
          </w:tcPr>
          <w:p>
            <w:pPr>
              <w:spacing w:after="0" w:line="20" w:lineRule="exact"/>
              <w:rPr>
                <w:sz w:val="1"/>
                <w:szCs w:val="1"/>
                <w:color w:val="auto"/>
              </w:rPr>
            </w:pPr>
          </w:p>
        </w:tc>
        <w:tc>
          <w:tcPr>
            <w:tcW w:w="15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30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C+D+E</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80" w:type="dxa"/>
            <w:vAlign w:val="bottom"/>
            <w:gridSpan w:val="3"/>
            <w:shd w:val="clear" w:color="auto" w:fill="CCFFCC"/>
          </w:tcPr>
          <w:p>
            <w:pPr>
              <w:jc w:val="right"/>
              <w:ind w:righ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301,869</w:t>
            </w:r>
          </w:p>
        </w:tc>
        <w:tc>
          <w:tcPr>
            <w:tcW w:w="15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1980" w:type="dxa"/>
            <w:vAlign w:val="bottom"/>
            <w:gridSpan w:val="3"/>
            <w:shd w:val="clear" w:color="auto" w:fill="CCFFCC"/>
          </w:tcPr>
          <w:p>
            <w:pPr>
              <w:jc w:val="right"/>
              <w:ind w:right="5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243,211</w:t>
            </w:r>
          </w:p>
        </w:tc>
        <w:tc>
          <w:tcPr>
            <w:tcW w:w="13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of unearned interest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7" w:name="page88"/>
    <w:bookmarkEnd w:id="8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Classification of the Loan Portfolio Based on the Borrower’s Payment Performance</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considers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income is suspended when collection of loans becomes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US$15.0 million in 2002, US$11.0 million in 2003, US$6.2 million in 2004, US$5.5 million in 2005 and US$4.8 million in 2006.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8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6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i w:val="1"/>
                <w:iCs w:val="1"/>
                <w:color w:val="auto"/>
              </w:rPr>
              <w:t>(U.S. Dollars in thousands, except percentages)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Current</w:t>
            </w: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4,411,528</w:t>
            </w:r>
          </w:p>
        </w:tc>
        <w:tc>
          <w:tcPr>
            <w:tcW w:w="132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4,225,288</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4,399,961</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4,877,206</w:t>
            </w:r>
          </w:p>
        </w:tc>
        <w:tc>
          <w:tcPr>
            <w:tcW w:w="1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5,800,591</w:t>
            </w: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Past due:</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7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Overdue 16-119 days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82,259</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50,981</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11,572</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10,860</w:t>
            </w:r>
          </w:p>
        </w:tc>
        <w:tc>
          <w:tcPr>
            <w:tcW w:w="1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20,655</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Overdue 120 days or more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323,876</w:t>
            </w:r>
          </w:p>
        </w:tc>
        <w:tc>
          <w:tcPr>
            <w:tcW w:w="180" w:type="dxa"/>
            <w:vAlign w:val="bottom"/>
          </w:tcPr>
          <w:p>
            <w:pPr>
              <w:spacing w:after="0"/>
              <w:rPr>
                <w:sz w:val="21"/>
                <w:szCs w:val="21"/>
                <w:color w:val="auto"/>
              </w:rPr>
            </w:pP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205,227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147,485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84,909</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56,115</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47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Subtotal</w:t>
            </w:r>
          </w:p>
        </w:tc>
        <w:tc>
          <w:tcPr>
            <w:tcW w:w="1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406,135</w:t>
            </w:r>
          </w:p>
        </w:tc>
        <w:tc>
          <w:tcPr>
            <w:tcW w:w="1320" w:type="dxa"/>
            <w:vAlign w:val="bottom"/>
            <w:gridSpan w:val="2"/>
            <w:shd w:val="clear" w:color="auto" w:fill="CCFFCC"/>
          </w:tcPr>
          <w:p>
            <w:pPr>
              <w:jc w:val="right"/>
              <w:ind w:right="7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256,208</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159,057</w:t>
            </w:r>
          </w:p>
        </w:tc>
        <w:tc>
          <w:tcPr>
            <w:tcW w:w="13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95,769</w:t>
            </w:r>
          </w:p>
        </w:tc>
        <w:tc>
          <w:tcPr>
            <w:tcW w:w="13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76,770</w:t>
            </w:r>
          </w:p>
        </w:tc>
      </w:tr>
      <w:tr>
        <w:trPr>
          <w:trHeight w:val="20"/>
        </w:trPr>
        <w:tc>
          <w:tcPr>
            <w:tcW w:w="47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4,817,663</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4,481,496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4,559,018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4,972,975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5,877,361</w:t>
            </w:r>
          </w:p>
        </w:tc>
      </w:tr>
      <w:tr>
        <w:trPr>
          <w:trHeight w:val="20"/>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8"/>
        </w:trPr>
        <w:tc>
          <w:tcPr>
            <w:tcW w:w="4700" w:type="dxa"/>
            <w:vAlign w:val="bottom"/>
            <w:shd w:val="clear" w:color="auto" w:fill="CCFFCC"/>
          </w:tcPr>
          <w:p>
            <w:pPr>
              <w:spacing w:after="0" w:line="178" w:lineRule="exact"/>
              <w:rPr>
                <w:sz w:val="20"/>
                <w:szCs w:val="20"/>
                <w:color w:val="auto"/>
              </w:rPr>
            </w:pPr>
            <w:r>
              <w:rPr>
                <w:rFonts w:ascii="Times New Roman" w:cs="Times New Roman" w:eastAsia="Times New Roman" w:hAnsi="Times New Roman"/>
                <w:sz w:val="18"/>
                <w:szCs w:val="18"/>
                <w:color w:val="auto"/>
              </w:rPr>
              <w:t>Past due loan amounts as a</w:t>
            </w:r>
          </w:p>
        </w:tc>
        <w:tc>
          <w:tcPr>
            <w:tcW w:w="11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r>
      <w:tr>
        <w:trPr>
          <w:trHeight w:val="234"/>
        </w:trPr>
        <w:tc>
          <w:tcPr>
            <w:tcW w:w="47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percentage of total loans</w:t>
            </w:r>
          </w:p>
        </w:tc>
        <w:tc>
          <w:tcPr>
            <w:tcW w:w="13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3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3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i w:val="1"/>
          <w:iCs w:val="1"/>
          <w:color w:val="auto"/>
        </w:rPr>
        <w:t>Past Due Loan Portfolio</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analyzes Credicorp’s past due loan portfolio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Past due loan amounts: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center"/>
              <w:ind w:left="3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w:t>
            </w:r>
          </w:p>
        </w:tc>
        <w:tc>
          <w:tcPr>
            <w:tcW w:w="1300" w:type="dxa"/>
            <w:vAlign w:val="bottom"/>
            <w:gridSpan w:val="2"/>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322,179</w:t>
            </w:r>
          </w:p>
        </w:tc>
        <w:tc>
          <w:tcPr>
            <w:tcW w:w="132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194,761</w:t>
            </w:r>
          </w:p>
        </w:tc>
        <w:tc>
          <w:tcPr>
            <w:tcW w:w="146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85,467</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63,889</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57,345</w:t>
            </w: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notes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w:t>
            </w:r>
          </w:p>
        </w:tc>
      </w:tr>
      <w:tr>
        <w:trPr>
          <w:trHeight w:val="198"/>
        </w:trPr>
        <w:tc>
          <w:tcPr>
            <w:tcW w:w="20" w:type="dxa"/>
            <w:vAlign w:val="bottom"/>
          </w:tcPr>
          <w:p>
            <w:pPr>
              <w:spacing w:after="0"/>
              <w:rPr>
                <w:sz w:val="17"/>
                <w:szCs w:val="17"/>
                <w:color w:val="auto"/>
              </w:rPr>
            </w:pPr>
          </w:p>
        </w:tc>
        <w:tc>
          <w:tcPr>
            <w:tcW w:w="48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Advances and overdrafts in demand</w:t>
            </w: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7,892</w:t>
            </w: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3,400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4,157</w:t>
            </w:r>
          </w:p>
        </w:tc>
        <w:tc>
          <w:tcPr>
            <w:tcW w:w="16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3,412</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shd w:val="clear" w:color="auto" w:fill="CCFFCC"/>
          </w:tcPr>
          <w:p>
            <w:pPr>
              <w:spacing w:after="0"/>
              <w:rPr>
                <w:sz w:val="20"/>
                <w:szCs w:val="20"/>
                <w:color w:val="auto"/>
              </w:rPr>
            </w:pPr>
          </w:p>
        </w:tc>
      </w:tr>
      <w:tr>
        <w:trPr>
          <w:trHeight w:val="24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9,387</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Refinanced loans</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54,320</w:t>
            </w:r>
          </w:p>
        </w:tc>
        <w:tc>
          <w:tcPr>
            <w:tcW w:w="1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47,800</w:t>
            </w:r>
          </w:p>
        </w:tc>
        <w:tc>
          <w:tcPr>
            <w:tcW w:w="13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59,270</w:t>
            </w:r>
          </w:p>
        </w:tc>
        <w:tc>
          <w:tcPr>
            <w:tcW w:w="16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20,932</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20" w:type="dxa"/>
            <w:vAlign w:val="bottom"/>
            <w:shd w:val="clear" w:color="auto" w:fill="CCFFC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past due portfolio</w:t>
            </w:r>
          </w:p>
        </w:tc>
        <w:tc>
          <w:tcPr>
            <w:tcW w:w="1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406,135</w:t>
            </w:r>
          </w:p>
        </w:tc>
        <w:tc>
          <w:tcPr>
            <w:tcW w:w="100" w:type="dxa"/>
            <w:vAlign w:val="bottom"/>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256,208</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159,057</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95,769</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76,770</w:t>
            </w: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Reserves for loan losses(1)</w:t>
            </w:r>
          </w:p>
        </w:tc>
        <w:tc>
          <w:tcPr>
            <w:tcW w:w="1300" w:type="dxa"/>
            <w:vAlign w:val="bottom"/>
            <w:gridSpan w:val="2"/>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32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460" w:type="dxa"/>
            <w:vAlign w:val="bottom"/>
            <w:gridSpan w:val="3"/>
            <w:shd w:val="clear" w:color="auto" w:fill="CCFFCC"/>
          </w:tcPr>
          <w:p>
            <w:pPr>
              <w:jc w:val="right"/>
              <w:ind w:right="2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c>
          <w:tcPr>
            <w:tcW w:w="13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210,586</w:t>
            </w:r>
          </w:p>
        </w:tc>
      </w:tr>
      <w:tr>
        <w:trPr>
          <w:trHeight w:val="191"/>
        </w:trPr>
        <w:tc>
          <w:tcPr>
            <w:tcW w:w="20" w:type="dxa"/>
            <w:vAlign w:val="bottom"/>
          </w:tcPr>
          <w:p>
            <w:pPr>
              <w:spacing w:after="0"/>
              <w:rPr>
                <w:sz w:val="16"/>
                <w:szCs w:val="16"/>
                <w:color w:val="auto"/>
              </w:rPr>
            </w:pPr>
          </w:p>
        </w:tc>
        <w:tc>
          <w:tcPr>
            <w:tcW w:w="4800" w:type="dxa"/>
            <w:vAlign w:val="bottom"/>
            <w:tcBorders>
              <w:top w:val="single" w:sz="8" w:color="CCFFCC"/>
            </w:tcBorders>
          </w:tcPr>
          <w:p>
            <w:pPr>
              <w:spacing w:after="0" w:line="191" w:lineRule="exact"/>
              <w:rPr>
                <w:sz w:val="20"/>
                <w:szCs w:val="20"/>
                <w:color w:val="auto"/>
              </w:rPr>
            </w:pPr>
            <w:r>
              <w:rPr>
                <w:rFonts w:ascii="Times New Roman" w:cs="Times New Roman" w:eastAsia="Times New Roman" w:hAnsi="Times New Roman"/>
                <w:sz w:val="18"/>
                <w:szCs w:val="18"/>
                <w:color w:val="auto"/>
              </w:rPr>
              <w:t>Total past due portfolio net of</w:t>
            </w: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w:t>
            </w: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(US$17,896)</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(US$70,469)</w:t>
            </w:r>
          </w:p>
        </w:tc>
        <w:tc>
          <w:tcPr>
            <w:tcW w:w="1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(US$112,816)</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(US$122,867)</w:t>
            </w: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(US$133,816)</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220980</wp:posOffset>
            </wp:positionV>
            <wp:extent cx="85344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reserves for indirect credits (see -Loan Loss Reserves).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US$28.1 million and US$25.8 million as of December 31, 2006 and 2005, respectively.</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Loan Loss Reserves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changes in Credicorp’s reserves for loan losses and movements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398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2002</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2003</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398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Reserves for loan losses at</w:t>
            </w: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4"/>
        </w:trPr>
        <w:tc>
          <w:tcPr>
            <w:tcW w:w="39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the beginning of the year</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344,433</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820" w:type="dxa"/>
            <w:vAlign w:val="bottom"/>
            <w:gridSpan w:val="3"/>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1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provisions (reversals)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99,596</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66,421</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16,131</w:t>
            </w:r>
          </w:p>
        </w:tc>
        <w:tc>
          <w:tcPr>
            <w:tcW w:w="3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(6,356)</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(4,243)</w:t>
            </w:r>
          </w:p>
        </w:tc>
      </w:tr>
      <w:tr>
        <w:trPr>
          <w:trHeight w:val="243"/>
        </w:trPr>
        <w:tc>
          <w:tcPr>
            <w:tcW w:w="3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Acquisitions and transfers</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122,841</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FFC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(9,024)</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write-offs</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12,050</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17,416</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32,287</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35,032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44,284</w:t>
            </w:r>
          </w:p>
        </w:tc>
      </w:tr>
      <w:tr>
        <w:trPr>
          <w:trHeight w:val="243"/>
        </w:trPr>
        <w:tc>
          <w:tcPr>
            <w:tcW w:w="39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Write-offs</w:t>
            </w:r>
          </w:p>
        </w:tc>
        <w:tc>
          <w:tcPr>
            <w:tcW w:w="1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(150,102)</w:t>
            </w:r>
          </w:p>
        </w:tc>
        <w:tc>
          <w:tcPr>
            <w:tcW w:w="1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(185,688)</w:t>
            </w:r>
          </w:p>
        </w:tc>
        <w:tc>
          <w:tcPr>
            <w:tcW w:w="15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(105,267)</w:t>
            </w:r>
          </w:p>
        </w:tc>
        <w:tc>
          <w:tcPr>
            <w:tcW w:w="32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(71,405)</w:t>
            </w:r>
          </w:p>
        </w:tc>
        <w:tc>
          <w:tcPr>
            <w:tcW w:w="14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(49,859)</w:t>
            </w: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Monetary correction and</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(4,787)</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4,497</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w:t>
            </w: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Pr>
          <w:p>
            <w:pPr>
              <w:spacing w:after="0"/>
              <w:rPr>
                <w:sz w:val="22"/>
                <w:szCs w:val="22"/>
                <w:color w:val="auto"/>
              </w:rPr>
            </w:pPr>
          </w:p>
        </w:tc>
      </w:tr>
      <w:tr>
        <w:trPr>
          <w:trHeight w:val="191"/>
        </w:trPr>
        <w:tc>
          <w:tcPr>
            <w:tcW w:w="398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reserves for loan losses</w:t>
            </w: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3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54"/>
        </w:trPr>
        <w:tc>
          <w:tcPr>
            <w:tcW w:w="39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at the end of the year</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5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820" w:type="dxa"/>
            <w:vAlign w:val="bottom"/>
            <w:gridSpan w:val="3"/>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1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210,586</w:t>
            </w: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the risk elements in the loan portfolio and the factors considered in determining the amount of specific reserves, see “— Classification of the Loan Portfolio.”</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Reserves for loan losses as of December 31, 2006 include US$190.3 million of reserves for credit losses and US$20.3 million of reserves for indirect or contingent credit losses (US$197.5 million and US$21.1 million as of December 31, 2005, respectively). The reserves for indirect credit losses are included in the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caption of Credicorp’s consolidated balance sheet (see Notes 7(f) and 11(a) to the Credicorp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89" w:name="page90"/>
    <w:bookmarkEnd w:id="89"/>
    <w:p>
      <w:pPr>
        <w:jc w:val="center"/>
        <w:ind w:right="60"/>
        <w:spacing w:after="0"/>
        <w:rPr>
          <w:sz w:val="20"/>
          <w:szCs w:val="20"/>
          <w:color w:val="auto"/>
        </w:rPr>
      </w:pPr>
      <w:r>
        <w:rPr>
          <w:rFonts w:ascii="Times New Roman" w:cs="Times New Roman" w:eastAsia="Times New Roman" w:hAnsi="Times New Roman"/>
          <w:sz w:val="18"/>
          <w:szCs w:val="18"/>
          <w:color w:val="auto"/>
        </w:rPr>
        <w:t>The charge-off process is performed with prior approval of the Board of Directors and of SBS, which is considered on a case-by-case basis.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Allocation of Loan Loss Reserves</w:t>
      </w:r>
    </w:p>
    <w:p>
      <w:pPr>
        <w:spacing w:after="0" w:line="2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amounts of reserves for loan losses attributable to commercial, consumer and residential mortgage loans at the dates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40" w:type="dxa"/>
            <w:vAlign w:val="bottom"/>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126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1440" w:type="dxa"/>
            <w:vAlign w:val="bottom"/>
            <w:gridSpan w:val="2"/>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388,809</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283,470</w:t>
            </w:r>
          </w:p>
        </w:tc>
        <w:tc>
          <w:tcPr>
            <w:tcW w:w="1840" w:type="dxa"/>
            <w:vAlign w:val="bottom"/>
            <w:gridSpan w:val="3"/>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228,554</w:t>
            </w: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174,929</w:t>
            </w:r>
          </w:p>
        </w:tc>
        <w:tc>
          <w:tcPr>
            <w:tcW w:w="14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170,755</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14,879</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14,479</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14,079</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16,433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16,717</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13,521</w:t>
            </w:r>
          </w:p>
        </w:tc>
        <w:tc>
          <w:tcPr>
            <w:tcW w:w="144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24,414</w:t>
            </w:r>
          </w:p>
        </w:tc>
        <w:tc>
          <w:tcPr>
            <w:tcW w:w="14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21,375</w:t>
            </w:r>
          </w:p>
        </w:tc>
        <w:tc>
          <w:tcPr>
            <w:tcW w:w="4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14,291</w:t>
            </w:r>
          </w:p>
        </w:tc>
        <w:tc>
          <w:tcPr>
            <w:tcW w:w="14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20,522</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Leasing transactions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6,822</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7,865</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37"/>
        </w:trPr>
        <w:tc>
          <w:tcPr>
            <w:tcW w:w="4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reserves</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8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210,586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(iv)   Deposits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Credicorp’s deposit base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1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6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507,924</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725,878</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996,246</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1,242,353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1,075,436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1,796,187</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1,750,277</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1,801,314</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2,792,433</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403,579</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483,695</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610,292</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1,179,923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1,621,669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1,341,686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1,583,502</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2,105,364</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1,951,978</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431,741</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391,374</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862,901</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1,920,459</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2,068,533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2,355,256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2,352,200</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2,459,907</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3,218,157</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Bank Certificates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54,310</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46,378</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61,539</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Severance Indemnity Deposits (CTS):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47,986</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70,435</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103,282</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482,697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671,745</w:t>
            </w:r>
          </w:p>
        </w:tc>
      </w:tr>
      <w:tr>
        <w:trPr>
          <w:trHeight w:val="20"/>
        </w:trPr>
        <w:tc>
          <w:tcPr>
            <w:tcW w:w="4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530,683</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654,791</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775,027</w:t>
            </w:r>
          </w:p>
        </w:tc>
      </w:tr>
      <w:tr>
        <w:trPr>
          <w:trHeight w:val="24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1,391,230</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1,671,382</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2,572,721</w:t>
            </w:r>
          </w:p>
        </w:tc>
      </w:tr>
      <w:tr>
        <w:trPr>
          <w:trHeight w:val="24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4,879,742</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5,396,372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6,226,413</w:t>
            </w:r>
          </w:p>
        </w:tc>
        <w:tc>
          <w:tcPr>
            <w:tcW w:w="100" w:type="dxa"/>
            <w:vAlign w:val="bottom"/>
          </w:tcPr>
          <w:p>
            <w:pPr>
              <w:spacing w:after="0"/>
              <w:rPr>
                <w:sz w:val="21"/>
                <w:szCs w:val="21"/>
                <w:color w:val="auto"/>
              </w:rPr>
            </w:pPr>
          </w:p>
        </w:tc>
      </w:tr>
      <w:tr>
        <w:trPr>
          <w:trHeight w:val="304"/>
        </w:trPr>
        <w:tc>
          <w:tcPr>
            <w:tcW w:w="418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6,270,972</w:t>
            </w:r>
          </w:p>
        </w:tc>
        <w:tc>
          <w:tcPr>
            <w:tcW w:w="184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7,067,754</w:t>
            </w:r>
          </w:p>
        </w:tc>
        <w:tc>
          <w:tcPr>
            <w:tcW w:w="12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8,799,134</w:t>
            </w:r>
          </w:p>
        </w:tc>
      </w:tr>
      <w:tr>
        <w:trPr>
          <w:trHeight w:val="467"/>
        </w:trPr>
        <w:tc>
          <w:tcPr>
            <w:tcW w:w="4180" w:type="dxa"/>
            <w:vAlign w:val="bottom"/>
            <w:tcBorders>
              <w:top w:val="single" w:sz="8" w:color="CCFFCC"/>
            </w:tcBorders>
          </w:tcPr>
          <w:p>
            <w:pPr>
              <w:spacing w:after="0"/>
              <w:rPr>
                <w:sz w:val="24"/>
                <w:szCs w:val="24"/>
                <w:color w:val="auto"/>
              </w:rPr>
            </w:pPr>
          </w:p>
        </w:tc>
        <w:tc>
          <w:tcPr>
            <w:tcW w:w="2560" w:type="dxa"/>
            <w:vAlign w:val="bottom"/>
            <w:tcBorders>
              <w:top w:val="single" w:sz="8" w:color="CCFFCC"/>
            </w:tcBorders>
          </w:tcPr>
          <w:p>
            <w:pPr>
              <w:jc w:val="right"/>
              <w:ind w:right="85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0" w:name="page91"/>
    <w:bookmarkEnd w:id="90"/>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maturity of Credicorp’s time deposits in denominations of US$100,000 or more at December 31, 2006:</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Certificates of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within 30 days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180 but within 360 days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certificates of deposits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within 30 days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180 but within 360 days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time deposits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7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on Equity and Assets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December 31, 2006</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(U.S. 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-130810</wp:posOffset>
            </wp:positionV>
            <wp:extent cx="12261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thousands)</w:t>
      </w:r>
    </w:p>
    <w:p>
      <w:pPr>
        <w:spacing w:after="0" w:line="288"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32,474</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876</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5,122</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5.570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27,184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17145</wp:posOffset>
            </wp:positionV>
            <wp:extent cx="12261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71,226</w:t>
      </w:r>
    </w:p>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1,356,792</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378,776</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166,582</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321,409</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300,195</w:t>
      </w:r>
    </w:p>
    <w:p>
      <w:pPr>
        <w:spacing w:after="0" w:line="4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127,608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24765</wp:posOffset>
            </wp:positionV>
            <wp:extent cx="12261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2,651,362</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2,722,588</w:t>
      </w:r>
    </w:p>
    <w:p>
      <w:pPr>
        <w:spacing w:after="0" w:line="682" w:lineRule="exact"/>
        <w:rPr>
          <w:sz w:val="20"/>
          <w:szCs w:val="20"/>
          <w:color w:val="auto"/>
        </w:rPr>
      </w:pPr>
    </w:p>
    <w:p>
      <w:pPr>
        <w:sectPr>
          <w:pgSz w:w="11900" w:h="16838" w:orient="portrait"/>
          <w:cols w:equalWidth="0" w:num="2">
            <w:col w:w="8840" w:space="720"/>
            <w:col w:w="1860"/>
          </w:cols>
          <w:pgMar w:left="240" w:top="391" w:right="239" w:bottom="1440" w:gutter="0" w:footer="0" w:header="0"/>
          <w:type w:val="continuous"/>
        </w:sectPr>
      </w:pPr>
    </w:p>
    <w:p>
      <w:pPr>
        <w:spacing w:after="0" w:line="18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19685</wp:posOffset>
            </wp:positionV>
            <wp:extent cx="2864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ind w:left="7340"/>
              <w:spacing w:after="0"/>
              <w:rPr>
                <w:sz w:val="20"/>
                <w:szCs w:val="20"/>
                <w:color w:val="auto"/>
              </w:rPr>
            </w:pPr>
            <w:r>
              <w:rPr>
                <w:rFonts w:ascii="Times New Roman" w:cs="Times New Roman" w:eastAsia="Times New Roman" w:hAnsi="Times New Roman"/>
                <w:sz w:val="18"/>
                <w:szCs w:val="18"/>
                <w:b w:val="1"/>
                <w:bCs w:val="1"/>
                <w:color w:val="auto"/>
                <w:w w:val="94"/>
              </w:rPr>
              <w:t>2004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0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assets (1)</w:t>
            </w:r>
          </w:p>
        </w:tc>
        <w:tc>
          <w:tcPr>
            <w:tcW w:w="6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Return on equity (2)</w:t>
            </w:r>
          </w:p>
        </w:tc>
        <w:tc>
          <w:tcPr>
            <w:tcW w:w="6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13.55%</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16.39%</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18.47%</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Dividend payout ratio (3)</w:t>
            </w:r>
          </w:p>
        </w:tc>
        <w:tc>
          <w:tcPr>
            <w:tcW w:w="6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48.80%</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48.24%</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45.08%</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Credicorp's equity to assets ratio (4)</w:t>
            </w:r>
          </w:p>
        </w:tc>
        <w:tc>
          <w:tcPr>
            <w:tcW w:w="6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11.29%</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11.41%</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10.70%</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 to assets ratio (5)</w:t>
            </w:r>
          </w:p>
        </w:tc>
        <w:tc>
          <w:tcPr>
            <w:tcW w:w="6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10.46%</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right="26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equity holders of Credicorp as a percentage of average total assets, computed as the average of period beginning and period ending balances.</w:t>
      </w:r>
    </w:p>
    <w:p>
      <w:pPr>
        <w:spacing w:after="0" w:line="215"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equity holders of Credicorp as a percentage of average net equity attributable to Credicorp’s equity holders, computed as the average of monthly balances.</w:t>
      </w:r>
    </w:p>
    <w:p>
      <w:pPr>
        <w:spacing w:after="0" w:line="21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per share divided by net income attributable to Credicorp’s equity holders per share.</w:t>
      </w:r>
    </w:p>
    <w:p>
      <w:pPr>
        <w:spacing w:after="0" w:line="279"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equity attributable to Credicorp’s equity holders divided by average total assets, both averages computed as the average of month-ending balances.</w:t>
      </w:r>
    </w:p>
    <w:p>
      <w:pPr>
        <w:spacing w:after="0" w:line="215"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equity attributable to Credicorp’s equity shareholders divided by average total assets, both averages computed as the average of month-ending balances.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91" w:name="page92"/>
    <w:bookmarkEnd w:id="91"/>
    <w:p>
      <w:pPr>
        <w:ind w:left="1460" w:hanging="804"/>
        <w:spacing w:after="0"/>
        <w:tabs>
          <w:tab w:leader="none" w:pos="14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Borrowings</w:t>
      </w:r>
    </w:p>
    <w:p>
      <w:pPr>
        <w:spacing w:after="0" w:line="2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Credicorp’s short-term borrowings, other than deposits, amounted to US$234.0 million, US$878.2 million and US$360.8 million as of December 31, 2004, 2005 and 2006, respectively. Average balances of borrowed amounts remained at relatively low levels during 2004, 2005 and 2006 mostly due to excess liquidity at BCP. The outstanding balance at December, 31 2005 includes BCRP-Repo transactions entered into with the Central Bank, representing US$510.6 million, which earned annual interest rates between 3.23% and 3.32%, with 3 day maturities. As of December 31, 2006, no BCRP-Repo transactions exist in the outstanding balance.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following table sets forth Credicorp’s short-term borrowings: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4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4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Year-end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360,801</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Average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150,279</w:t>
            </w:r>
          </w:p>
        </w:tc>
        <w:tc>
          <w:tcPr>
            <w:tcW w:w="1880" w:type="dxa"/>
            <w:vAlign w:val="bottom"/>
            <w:gridSpan w:val="3"/>
            <w:shd w:val="clear" w:color="auto" w:fill="CCFFCC"/>
          </w:tcPr>
          <w:p>
            <w:pPr>
              <w:ind w:lef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307,930</w:t>
            </w:r>
          </w:p>
        </w:tc>
        <w:tc>
          <w:tcPr>
            <w:tcW w:w="120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479,657</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Maximum quarter-end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792,609</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Year-end interest rate</w:t>
            </w:r>
          </w:p>
        </w:tc>
        <w:tc>
          <w:tcPr>
            <w:tcW w:w="18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18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48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historically there has been substantial overlap among the shareholders of BCP, ASHC and PPS, for reasons related to the regulatory, political and economic environment in Peru,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r>
        <w:rPr>
          <w:rFonts w:ascii="Times New Roman" w:cs="Times New Roman" w:eastAsia="Times New Roman" w:hAnsi="Times New Roman"/>
          <w:sz w:val="12"/>
          <w:szCs w:val="12"/>
          <w:color w:val="auto"/>
        </w:rPr>
        <w: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BCP’s extensive branch network). Credicorp, through its subsidiaries, is the largest Peruvian provider of financial services in Peru.</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Peru,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16.01% of the Common Shares of Credicorp. See “Item 7. Major Shareholders and Related Party Transactions—(A) Major Shareholders.”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92" w:name="page93"/>
    <w:bookmarkEnd w:id="9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ASHC was incorporated in December 1981 as a wholly-owned subsidiary of BCP, under the name Crédito del Perú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owns 75.72% of PPS, which was formed in 1992 as a result of a merger between El Pacífico Compañía de Seguros y Reaseguros S.A. and Compañía de Seguros y Reaseguros Peruano-Suiza S.A., and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Credicorp owns 99.99% of Grupo Crédito S.A., which is the principal shareholder in Prima AFP and holds equity shares in Peruvian electric utilities and other non-financial companies.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Solución was spinned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3" w:name="page94"/>
    <w:bookmarkEnd w:id="9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March 2005, Credicorp completed the sale of Banco Tequendama to a Colombian bank. The effective date of the sale was January 1, 2005, and Credicorp did not record any significant gain as a result of the transaction. At December 31, 2004, Banco Tequendama had US$306.7 million in loans and US$290.5 million in deposits. Banco Tequendama was acquired by Credicorp in January 1997 from the </w:t>
      </w:r>
      <w:r>
        <w:rPr>
          <w:rFonts w:ascii="Times New Roman" w:cs="Times New Roman" w:eastAsia="Times New Roman" w:hAnsi="Times New Roman"/>
          <w:sz w:val="18"/>
          <w:szCs w:val="18"/>
          <w:i w:val="1"/>
          <w:iCs w:val="1"/>
          <w:color w:val="auto"/>
        </w:rPr>
        <w:t>Fondo de Garantía de Depósitos y Protección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Bancaria </w:t>
      </w:r>
      <w:r>
        <w:rPr>
          <w:rFonts w:ascii="Times New Roman" w:cs="Times New Roman" w:eastAsia="Times New Roman" w:hAnsi="Times New Roman"/>
          <w:sz w:val="18"/>
          <w:szCs w:val="18"/>
          <w:color w:val="auto"/>
        </w:rPr>
        <w:t>(“FOGADE”), the Venezuelan government entity responsible for the re-privatization of assets seized by that government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24, 2006, Credicorp, through its subsidiary Prima AFP, acquired from Grupo Santander Perú S.A. the shares that this company had in AFP Unión Vida S.A., a pension fund management company that operates in Peru, representing 99.97% of its capital stock and made a tender offer to the minority shareholders in order to acquire the remaining 0.03 percent of the capital stock. The total purchase price amounted to approximately US$141.5 million. At the general shareholder’s meeting of Prima AFP, held on September 6, 2006, the merger with AFP Unión Vida S.A. was approved, with effective date of December 1, 2006.</w:t>
      </w:r>
    </w:p>
    <w:p>
      <w:pPr>
        <w:spacing w:after="0" w:line="234"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2006, Credicorp had 339 branches, representative and similar offices, of which 137 were branch offices of BCP in Lima. Credicorp’s principal properties include the headquarters of BCP, at Calle Centenario 156, La Molina, Lima 12, Perú, and the headquarters of PPS at Juan de Arona 830, Lima, Perú. Credicorp owns these properties, with the exception of approximately 186 properties which it holds under leases. There are no material encumbrances on any of Credicorp’s properties.</w:t>
      </w:r>
    </w:p>
    <w:p>
      <w:pPr>
        <w:spacing w:after="0" w:line="27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93"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320" w:lineRule="exact"/>
        <w:rPr>
          <w:sz w:val="20"/>
          <w:szCs w:val="20"/>
          <w:color w:val="auto"/>
        </w:rPr>
      </w:pPr>
    </w:p>
    <w:p>
      <w:pPr>
        <w:ind w:left="1400" w:hanging="744"/>
        <w:spacing w:after="0"/>
        <w:tabs>
          <w:tab w:leader="none" w:pos="14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Policies</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29 to the Credicorp Consolidated Financial Statements describes certain significant differences between IFRS and U.S. GAAP. The following is a summary of those critical accounting policies.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4" w:name="page95"/>
    <w:bookmarkEnd w:id="9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allowance for credit loss is established if there is objective evidence that Credicorp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established based in the risk classifications and taking into consideration the guarantees and collateral obtained by Credicorp.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loans considered impaired (the ones classified as substandard, doubtful and loss) are analyzed by Credicorp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methodology and assumptions used for estimating future cash flows are reviewed regularly by Credicorp in order to reduce any differences between loss estimates and actual loss experience.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allowance for credit losses also covers the estimated losses for impaired loans not specifically identified.</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purchases and sales of investments are recognized at the date of the negotiation (trade date) that corresponds to the date in which Credicorp commits itself to buy or sell the assets.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5" w:name="page96"/>
    <w:bookmarkEnd w:id="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Trading:</w:t>
      </w:r>
    </w:p>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Most transactions with derivatives, while providing effective economic hedges under Credicorp’s risk management positions, do not qualify for hedge accounting under the specific rules of IAS 39 and are therefore treated as trading derivatives.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income statements.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Hedges: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qualify as a hedge, a derivate must be highly effective in offsetting the risk designated as being hedged. Credicorp documents, at the inception of the transaction, the relationship between hedging instruments and hedged items, as well as its risk management objective and strategy for undertaking the hedge transactions.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Credicorp has only one derivative that qualifies for hedge purposes, which is an interest rate swap, classified as a cash flow hedge. See Note 20(d) to the Credicorp Financial Statements, which is an interest rate swap, classified as a cash flow hedge. The effective portion of changes in the fair value of this derivative is recognized in equity, and the gain or loss relating to the ineffective portion is recognized immediately in the consolidated income statement. Amounts accumulated in equity are recycled to the income statement in the periods in which the hedged item affects profit or loss.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Embedded derivates:</w:t>
      </w:r>
    </w:p>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2006, Credicorp has acquired certificates indexed to its share price that will be settled in cash (see Note 11(c) to the Credicorp Consolidated Financial Statements). These instruments reduce the liability exposure for the stock appreciation rights granted to employees. These instruments have been accounted at their fair value and are presented in the caption “Other assets” of the consolidated balance sheets.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Credicorp’s principal operations and transactions are established and liquidated in U.S. Dollars, and, as a result, Credicorp considers the U.S. Dollar to be its functional and presentation currency. See Note 3(c) to the Credicorp Consolidated Financial Statements.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of each of Credicorp’s subsidiaries are prepared using the currency of the country in which such subsidiary operates. The financial statements are then translated into U.S. Dollars as follows:</w:t>
      </w:r>
    </w:p>
    <w:p>
      <w:pPr>
        <w:spacing w:after="0" w:line="25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Monetary assets and liabilities for each balance sheet presented are translated at the free market exchange rate at the date of that balance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sheet.</w:t>
      </w:r>
    </w:p>
    <w:p>
      <w:pPr>
        <w:spacing w:after="0" w:line="315" w:lineRule="exact"/>
        <w:rPr>
          <w:sz w:val="20"/>
          <w:szCs w:val="20"/>
          <w:color w:val="auto"/>
        </w:rPr>
      </w:pPr>
    </w:p>
    <w:p>
      <w:pPr>
        <w:ind w:left="1420" w:hanging="764"/>
        <w:spacing w:after="0"/>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Non-monetary accounts for each balance sheet presented are translated at the free market exchange rate at the date of the transactions.</w:t>
      </w:r>
    </w:p>
    <w:p>
      <w:pPr>
        <w:spacing w:after="0" w:line="333" w:lineRule="exact"/>
        <w:rPr>
          <w:rFonts w:ascii="Times New Roman" w:cs="Times New Roman" w:eastAsia="Times New Roman" w:hAnsi="Times New Roman"/>
          <w:sz w:val="18"/>
          <w:szCs w:val="18"/>
          <w:color w:val="auto"/>
        </w:rPr>
      </w:pPr>
    </w:p>
    <w:p>
      <w:pPr>
        <w:ind w:firstLine="656"/>
        <w:spacing w:after="0" w:line="298" w:lineRule="auto"/>
        <w:tabs>
          <w:tab w:leader="none" w:pos="14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resulting translation differences are recognized in the consolidated income statement.</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and expense recognition from banking activities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and expense are recognized in the income statement for all instruments measured at amortized cost using the effective interest method. The effective interest method is a method of calculating the amortized cost of a financial assets or liability and allocating the interest income or expense over the relevant period on an accrual basis. Interest rates are determined based on negotiations with clients.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income is suspended when collection of loans become doubtful, such as when overdue by more than 90 days or, if earlier, upon the borrower’s or securities’ issuer’s default, and such income is excluded from interest income until received. Uncollected income on such loans is reversed against income. When the management determines that the debtor’s financial condition has improved, the recording of interest thereon is reestablished on an accrual basis.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7" w:name="page98"/>
    <w:bookmarkEnd w:id="9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income is recognized on an accrual basis when earned. All other revenues and expenses are recognized on an accrual basis as earned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Recognition of income and expenses of insurance activities</w:t>
      </w:r>
    </w:p>
    <w:p>
      <w:pPr>
        <w:spacing w:after="0" w:line="2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premiums related to life and other insurance policies, of both long and short duration, are recognized as income when they accrue. A reserve for unearned premiums is recorded for the unexpired portion of the premiums.</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claims reserves are constituted under different methodologies depending on the type of reserve, line of business, type of product and type of coverage.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case of life insurance products, the claims reserves are calculated based on an estimation of the mortality (for life insurance), survival (for life annuities, death and disability pension system insurance and complementary insurance for work risk), or incidence (for personal injury) adjusting to the interest established when the product was designed. The reserves are calculated at the present value of the probable cash flows for pension payments, using mortality tables for the policyholders, beneficiaries and disabled who are covered at the date of the consolidated balance sheet adjusted based on interest rates determined based on the performance of the corresponding portfolio of investments.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reserves corresponding to the universal life insurance policies form part of the technical life insurance reserves. The additional benefits granted to the policyholders originating from this type of policy are shown in the footnote to the net premiums earned for life and health insurance contract (See Note 21 to the Credicorp Consolidated Financial Statements) which include the surplus and interest accrued during the period which are credited to the balance of the policyholder.</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insurance claims are recorded when reported. The IBNR are estimated and reflected as provisions (liabilities). The reserves for IBNR at December 31, 2006 and 2005 have been estimated using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liabilities for IBNR occurred during 2006 and 2005.</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determine the reserves for life, property and casualty and health insurance, Credicorp carries out a continuous review of its overall position, its reserving techniques and its reinsurance. The provisions are reviewed periodically by qualified actuaries contracted by Credicorp. In those cases where, upon further consideration it is determined that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Changes to estimated reserves are included in the results of operations for the period.</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is reviewed annually.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Based on periodic review of the client portfolio, the management determines the provision for bad debt related to premiums and quotas receivable.</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271" w:lineRule="exact"/>
        <w:rPr>
          <w:sz w:val="20"/>
          <w:szCs w:val="20"/>
          <w:color w:val="auto"/>
        </w:rPr>
      </w:pPr>
    </w:p>
    <w:p>
      <w:pPr>
        <w:ind w:left="1400" w:hanging="744"/>
        <w:spacing w:after="0"/>
        <w:tabs>
          <w:tab w:leader="none" w:pos="1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Historical Discussion and Analysis</w:t>
      </w:r>
    </w:p>
    <w:p>
      <w:pPr>
        <w:spacing w:after="0" w:line="2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information and discussion and analysis presented below for 2004, 2005 and 2006 reflect the financial position and results of operations for 2004, 2005 and 2006 of Credicorp’s subsidiaries. See “Item 3. Key Information—(A) Selected Financial Data.”</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2006, approximately 70.8% of Credicorp’s deposits and 74.6%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i w:val="1"/>
          <w:iCs w:val="1"/>
          <w:color w:val="auto"/>
        </w:rPr>
        <w:t>Results of Operations for the Three Years Ended December 31, 2006</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years 2004, 2005 and 2006, the principal components of Credicorp’s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542,842</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612,432</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782,002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(160,298)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(173,159)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(283.478)</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382,544</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439,273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498,524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(16,131)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Net interest income after Provision</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366,413</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445,629</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502,767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243,879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338,894</w:t>
            </w:r>
          </w:p>
        </w:tc>
      </w:tr>
      <w:tr>
        <w:trPr>
          <w:trHeight w:val="198"/>
        </w:trPr>
        <w:tc>
          <w:tcPr>
            <w:tcW w:w="6740" w:type="dxa"/>
            <w:vAlign w:val="bottom"/>
            <w:shd w:val="clear" w:color="auto" w:fill="CCFFCC"/>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premiums earned net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claims on insurance activities</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38,347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43,455</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64,739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(459,928)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(477,073)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(585,058)</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Merger costs</w:t>
            </w:r>
          </w:p>
        </w:tc>
        <w:tc>
          <w:tcPr>
            <w:tcW w:w="1620" w:type="dxa"/>
            <w:vAlign w:val="bottom"/>
            <w:gridSpan w:val="2"/>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color w:val="auto"/>
              </w:rPr>
              <w:t>(3,742)</w:t>
            </w: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(5,706)</w:t>
            </w:r>
          </w:p>
        </w:tc>
      </w:tr>
      <w:tr>
        <w:trPr>
          <w:trHeight w:val="228"/>
        </w:trPr>
        <w:tc>
          <w:tcPr>
            <w:tcW w:w="6740" w:type="dxa"/>
            <w:vAlign w:val="bottom"/>
            <w:tcBorders>
              <w:top w:val="single" w:sz="8" w:color="CCFFCC"/>
            </w:tcBorders>
          </w:tcPr>
          <w:p>
            <w:pPr>
              <w:ind w:left="340"/>
              <w:spacing w:after="0"/>
              <w:rPr>
                <w:sz w:val="20"/>
                <w:szCs w:val="20"/>
                <w:color w:val="auto"/>
              </w:rPr>
            </w:pPr>
            <w:r>
              <w:rPr>
                <w:rFonts w:ascii="Times New Roman" w:cs="Times New Roman" w:eastAsia="Times New Roman" w:hAnsi="Times New Roman"/>
                <w:sz w:val="18"/>
                <w:szCs w:val="18"/>
                <w:color w:val="auto"/>
              </w:rPr>
              <w:t>Income before translation result and income tax</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79"/>
        </w:trPr>
        <w:tc>
          <w:tcPr>
            <w:tcW w:w="6740" w:type="dxa"/>
            <w:vAlign w:val="bottom"/>
          </w:tcPr>
          <w:p>
            <w:pPr>
              <w:spacing w:after="0"/>
              <w:rPr>
                <w:sz w:val="24"/>
                <w:szCs w:val="24"/>
                <w:color w:val="auto"/>
              </w:rPr>
            </w:pP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184,969</w:t>
            </w:r>
          </w:p>
        </w:tc>
        <w:tc>
          <w:tcPr>
            <w:tcW w:w="19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277,996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315,636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Translation result (loss) gain</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2,040</w:t>
            </w:r>
          </w:p>
        </w:tc>
        <w:tc>
          <w:tcPr>
            <w:tcW w:w="1900" w:type="dxa"/>
            <w:vAlign w:val="bottom"/>
            <w:gridSpan w:val="3"/>
            <w:shd w:val="clear" w:color="auto" w:fill="CCFFCC"/>
          </w:tcPr>
          <w:p>
            <w:pPr>
              <w:ind w:left="6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(9,597</w:t>
            </w: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15,216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(45,497)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(73,546)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(83,587)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740" w:type="dxa"/>
            <w:vAlign w:val="bottom"/>
            <w:shd w:val="clear" w:color="auto" w:fill="CCFFCC"/>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247,265</w:t>
            </w:r>
          </w:p>
        </w:tc>
      </w:tr>
      <w:tr>
        <w:trPr>
          <w:trHeight w:val="224"/>
        </w:trPr>
        <w:tc>
          <w:tcPr>
            <w:tcW w:w="6740" w:type="dxa"/>
            <w:vAlign w:val="bottom"/>
            <w:tcBorders>
              <w:top w:val="single" w:sz="8" w:color="CCFFCC"/>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Credicorp´s shareholders</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130,747</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181,885</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230,013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Minority interests</w:t>
            </w:r>
          </w:p>
        </w:tc>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10,765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17,252</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247,265</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net income attributable to Credicorp’s shareholders increased from US$181.9 million in 2005 to US$230.0 million in 2006. Credicorp’s consolidated net income increased from 2005 to 2006 principally due to: (i) higher average volumes in interest-earning assets mainly as a consequence of the strong expansion in the BCP banking business with the robust loan growth and the restructuring of the portfolio; (ii) lower loan loss provisions; (iii) greater commissions for financial services and higher gains on foreign exchange transactions and sale of securities; and (iv) a gain on translation result in 2006 versus a loss in 2005.</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other hand, operating expenses increased 22.6% in 2006 to US$585.1 million, principally as a result of increased expense on salaries and benefits. The increase in personnel expenses during 2006 was principally due to increases in salaries and stock appreciation rights (see Note 19 to the Credicorp Consolidated Financial Statements). The merger between Prima AFP and Unión Vida in December 2006 was another contributor to the rise in expenses.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interest income represents the difference between interest income on interest-earning assets and the interest paid on interest bearing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interest income: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Loans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426,537</w:t>
            </w:r>
          </w:p>
        </w:tc>
        <w:tc>
          <w:tcPr>
            <w:tcW w:w="240" w:type="dxa"/>
            <w:vAlign w:val="bottom"/>
            <w:shd w:val="clear" w:color="auto" w:fill="CCFFCC"/>
          </w:tcPr>
          <w:p>
            <w:pPr>
              <w:spacing w:after="0"/>
              <w:rPr>
                <w:sz w:val="23"/>
                <w:szCs w:val="23"/>
                <w:color w:val="auto"/>
              </w:rPr>
            </w:pP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447,392</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537,670</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in banks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13,073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36,916</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Deposits in Central Bank</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24,054</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56,970</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securities and others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141,305</w:t>
            </w:r>
          </w:p>
        </w:tc>
      </w:tr>
      <w:tr>
        <w:trPr>
          <w:trHeight w:val="243"/>
        </w:trPr>
        <w:tc>
          <w:tcPr>
            <w:tcW w:w="6740" w:type="dxa"/>
            <w:vAlign w:val="bottom"/>
            <w:tcBorders>
              <w:bottom w:val="single" w:sz="8" w:color="CCFFCC"/>
            </w:tcBorders>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Dividends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542,842</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612,432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782,002</w:t>
            </w:r>
          </w:p>
        </w:tc>
      </w:tr>
      <w:tr>
        <w:trPr>
          <w:trHeight w:val="243"/>
        </w:trPr>
        <w:tc>
          <w:tcPr>
            <w:tcW w:w="67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Saving deposits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6,216</w:t>
            </w:r>
          </w:p>
        </w:tc>
        <w:tc>
          <w:tcPr>
            <w:tcW w:w="240" w:type="dxa"/>
            <w:vAlign w:val="bottom"/>
          </w:tcPr>
          <w:p>
            <w:pPr>
              <w:spacing w:after="0"/>
              <w:rPr>
                <w:sz w:val="23"/>
                <w:szCs w:val="23"/>
                <w:color w:val="auto"/>
              </w:rPr>
            </w:pP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9,234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12,836</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84,965</w:t>
            </w:r>
          </w:p>
        </w:tc>
        <w:tc>
          <w:tcPr>
            <w:tcW w:w="16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101,254</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160,565</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bonds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24,332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25,283</w:t>
            </w: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Borrowing from other financial institutions and others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36,682</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21,422</w:t>
            </w:r>
          </w:p>
        </w:tc>
        <w:tc>
          <w:tcPr>
            <w:tcW w:w="300" w:type="dxa"/>
            <w:vAlign w:val="bottom"/>
            <w:shd w:val="clear" w:color="auto" w:fill="CCFFCC"/>
          </w:tcPr>
          <w:p>
            <w:pPr>
              <w:spacing w:after="0"/>
              <w:rPr>
                <w:sz w:val="23"/>
                <w:szCs w:val="23"/>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60,013</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Demand deposits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100" w:type="dxa"/>
            <w:vAlign w:val="bottom"/>
          </w:tcPr>
          <w:p>
            <w:pPr>
              <w:spacing w:after="0"/>
              <w:rPr>
                <w:sz w:val="21"/>
                <w:szCs w:val="21"/>
                <w:color w:val="auto"/>
              </w:rPr>
            </w:pPr>
          </w:p>
        </w:tc>
      </w:tr>
      <w:tr>
        <w:trPr>
          <w:trHeight w:val="264"/>
        </w:trPr>
        <w:tc>
          <w:tcPr>
            <w:tcW w:w="6740" w:type="dxa"/>
            <w:vAlign w:val="bottom"/>
            <w:tcBorders>
              <w:bottom w:val="single" w:sz="8" w:color="CCFFCC"/>
            </w:tcBorders>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Total interest expense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160,298</w:t>
            </w:r>
          </w:p>
        </w:tc>
        <w:tc>
          <w:tcPr>
            <w:tcW w:w="2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173,159</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283,478</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64"/>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interest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382,544</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439,273</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498,524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Credicorp’s net interest income increased 13.5% in 2006 compared to 2005, which in turn increased 14.8% compared to 2004.</w:t>
      </w:r>
    </w:p>
    <w:p>
      <w:pPr>
        <w:spacing w:after="0" w:line="2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increased 27.7% in 2006, after increasing 12.8% in 2005 compared to 2004. The increase in 2006 was principally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higher averages volumes in loans and deposits in the Central Bank. An important factor that contributed to the increase was higher loan volumes in wholesale banking since companies took loans to assure future liquidity given the uncertainty that preceded the presidential elections. See “Item 4. Information on the Company—(B) Business Overview—(12) Selected Statistical Information.”</w:t>
      </w:r>
    </w:p>
    <w:p>
      <w:pPr>
        <w:spacing w:after="0" w:line="2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Average nominal interest rates earned by Credicorp on its loans increased to 9.9% in 2006 from 9.5% in both 2005 and 2004. The average nominal interest rate for foreign currency-denominated loans increased from 8.0% in 2004 to 8.1% in 2005 and to 8.8% in 2006. Interest rates for Nuevo Sol-denominated loans decreased from 17.3% in 2004 to 16.0% in 2005 and further to 13.7% in 2006.</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average balance of Credicorp’s foreign currency-denominated loan portfolio increased 5.6% to US$4,104.5 million in 2006 from US$3,888.6 million in 2005, which in turn increased 1.7% from US$3,823.4 million in 2004. The average balance of Credicorp’s Nuevo Sol-denominated loan portfolio increased 20.2% from US$691.7 million in 2004 to US$831.4 million in 2005, and by 57.3% to US$1,307.8 million in 2006. Credicorp’s excess liquidity has continued through 2006. During 2006, an increasing proportion of loans went to commerce, small business, manufacturing and consumer sectors presenting higher risk, but these sectors also yielded higher margins. See “Item 4. Information on the Company—(B) Business Overview—(12) Selected Statistical Information.”</w:t>
      </w:r>
    </w:p>
    <w:p>
      <w:pPr>
        <w:spacing w:after="0" w:line="24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63.7% in 2006 compared to 2005, and 8.0% in 2005 compared to 2004. Higher interest expense in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2005 were principally due to increases in the volume of deposits and variable market rates on deposits. Average nominal interest rates paid on foreign currency-denominated deposits increased from 1.8% in 2004 to 1.9% in 2005, and further to 2.6% in 2006. Average nominal interest paid on Nuevo Sol-denominated deposits decreased from 2.1% in 2004 to 2.0% in 2005, but increased to 2.5% in 2006. The higher increase in the average nominal interest rate paid in foreign currency-denominated deposits indicates that there is still greater preference for dollar denominated deposits. See “Item 4. Information on the Company—(B) Business Overview—(8) Competition” and “—(12) Selected Statistical Information.”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Credicorp’s average foreign currency-denominated deposits increased 16.7% to US$5,820.1 million in 2006 from US$4,989.4 million in 2005, which in turn increased 24.9% from US$3,993.8 million in 2004. Credicorp’s average Nuevo Sol-denominated deposits increased 21.0% in 2006 to US$2,005.0 million from US$1,656.9 million in 2005, which in turn increased 57.4% from US$1,052.7 million in 2004. See “Item 4. Information on the Company—(B) Business Overview—(12) Selected Statistical Information.”</w:t>
      </w:r>
    </w:p>
    <w:p>
      <w:pPr>
        <w:spacing w:after="0" w:line="232"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interest margin. </w:t>
      </w:r>
      <w:r>
        <w:rPr>
          <w:rFonts w:ascii="Times New Roman" w:cs="Times New Roman" w:eastAsia="Times New Roman" w:hAnsi="Times New Roman"/>
          <w:sz w:val="18"/>
          <w:szCs w:val="18"/>
          <w:color w:val="auto"/>
        </w:rPr>
        <w:t>Credicorp’s net interest margin (net interest income divided by average interest-earning assets) decreased to 4.64% in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4.90% in 2005 and 2004 as returns declined on interest-earning assets, mainly securities and Nuevo Sol-denominated loans, while funding costs remained relatively unchanged. See ”Item 4. Information on the Company—(B) Business Overview—(12) Selected Statistical Information.”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Provision for Loan Losses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movements in Credicorp’s reserve for loan losses: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5"/>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2003</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Reserves for loan losses at the beginning of the year</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344,433</w:t>
            </w: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99,596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66,421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(6,356)</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(4,243)</w:t>
            </w:r>
          </w:p>
        </w:tc>
      </w:tr>
      <w:tr>
        <w:trPr>
          <w:trHeight w:val="243"/>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Acquisitions and sales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122,841</w:t>
            </w:r>
          </w:p>
        </w:tc>
        <w:tc>
          <w:tcPr>
            <w:tcW w:w="120" w:type="dxa"/>
            <w:vAlign w:val="bottom"/>
            <w:shd w:val="clear" w:color="auto" w:fill="CCFFCC"/>
          </w:tcPr>
          <w:p>
            <w:pPr>
              <w:spacing w:after="0"/>
              <w:rPr>
                <w:sz w:val="21"/>
                <w:szCs w:val="21"/>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(9,024)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Recoveries of write-offs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12,050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32,287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35,032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44,284</w:t>
            </w:r>
          </w:p>
        </w:tc>
      </w:tr>
      <w:tr>
        <w:trPr>
          <w:trHeight w:val="243"/>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(150,102)</w:t>
            </w:r>
          </w:p>
        </w:tc>
        <w:tc>
          <w:tcPr>
            <w:tcW w:w="1260" w:type="dxa"/>
            <w:vAlign w:val="bottom"/>
            <w:tcBorders>
              <w:right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(185,688)</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(105,267)</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(71,405)</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(49,859)</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Monetary Correction and Other</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(4,787)</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Reserves for loan losses at the End of the year</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424,031</w:t>
            </w:r>
          </w:p>
        </w:tc>
        <w:tc>
          <w:tcPr>
            <w:tcW w:w="120" w:type="dxa"/>
            <w:vAlign w:val="bottom"/>
            <w:shd w:val="clear" w:color="auto" w:fill="CCFFCC"/>
          </w:tcPr>
          <w:p>
            <w:pPr>
              <w:spacing w:after="0"/>
              <w:rPr>
                <w:sz w:val="24"/>
                <w:szCs w:val="24"/>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271,873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218,636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US$210,586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for loan losses, charged against income net of recoveries, decreased 33.3% in 2006 (US$4.2 million). Total recoveries of write-offs reached US$44.3 and US$49.9 million, respectively, increasing 26.4% and decreasing 30.2% from 2005, respectively. Provision expense in 2006 included US$2.5 million required by BCB (compared to US$2.1 million in 2005). The lower provision expense in 2006 and 2005 was principally due to improved loan quality, particularly with respect to BCP’s loan portfolio, higher recoveries of charged-off accounts (mainly recoveries of clients of the retail group, which are small amounts recoveries) and a substantial improvement in the Peruvian economy. Balance of recoveries of previously charged-off accounts in 2006 amounted to US$44.3 million (compared to US$35.0 million in 2005). The middle market and small business sectors continued to require a majority of the provisions made during 2006 and 2005. Provisions net of recoveries for middle market and small businesses were US$16.8 million in 2006 and US$13.5 million in 2005.</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reserves, which amounted to US$210.6 million in 2006, include the allowance for direct and indirect credits for approximately US$190.3 million and US$20.3 million, respectively.</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effects of the increase in provisions were partly offset by write-offs of loans amounting to US$49.9 million in 2006, a 30.2% decrease from US$71.4 million in 2005, which in turn decreased 32.2% from US$105.3 million in 2004. The loans charged off are primarily attributable to the removal of loans that were fully provided for and considered unrecoverable (see “Item 4. Information on the Company—(B) Business Overview—(12) Selected Statistical Information—(iii) Loan Portfolio—Loan Loss Reserves”).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Noninterest income</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components of Credicorp’s noninterest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3480" w:type="dxa"/>
            <w:vAlign w:val="bottom"/>
            <w:tcBorders>
              <w:bottom w:val="single" w:sz="8" w:color="auto"/>
            </w:tcBorders>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80" w:type="dxa"/>
            <w:vAlign w:val="bottom"/>
            <w:gridSpan w:val="5"/>
          </w:tcPr>
          <w:p>
            <w:pPr>
              <w:ind w:left="13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Fees and commissions from banking services</w:t>
            </w:r>
          </w:p>
        </w:tc>
        <w:tc>
          <w:tcPr>
            <w:tcW w:w="162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201,474</w:t>
            </w:r>
          </w:p>
        </w:tc>
        <w:tc>
          <w:tcPr>
            <w:tcW w:w="186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206,163</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243,778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gains from sales of securities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10,135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27,281</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gains on foreign exchange transactions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24,165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29,286</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41,638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8,105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21,571</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26,197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62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243,879</w:t>
            </w:r>
          </w:p>
        </w:tc>
        <w:tc>
          <w:tcPr>
            <w:tcW w:w="186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265,985</w:t>
            </w: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338,894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Credicorp’s noninterest income, without including net premiums earned, increased 27.4% to US$338.9 million in 2006 from US$266.0 million in 2005, which in turn increased 9.1% from US$243.9 million in 2004. Revenue increase in 2006 was principally due to an increase in fees and commissions from banking services, net gains from sales of securities and net gains on foreign exchange transactions.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Fees and commissions income from banking services increased 18.2% to US$243.8 million in 2006 from US$206.2 million in 2005, following a 2.3% increase in 2005 from US$201.5 million in 2004. The increase in fees and commissions income from banking services in 2006 was principally due to growth in account maintenance, credit card and debit card fees, commissions for money orders and transfers and current and saving accounts. In 2005, growth in fees and commissions income was principally due to growth in credit card fees, fund transfer fees and collections.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from sales of securities increased 204.3% to US$27.3 million in 2006 from US$9.0 million in 2005, following a decrease in 2005 from US$10.1 million in 2004. The increase in 2006 was principally due to gains from market value fluctuation on sales of investments due to high returns on the Lima Stock Exchange.</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gains on foreign exchange transactions increased 42.2% to US$41.6 million in 2006 from US$29.3 million in 2005, which in turn increased 21.2% from US$24.2 million in 2004. Net gains from foreign exchange transactions are not attributable to proprietary trading on the part of Credicorp. Higher gains in 2006 and 2005 were principally due to an increase in trading volume and higher spreads between buy and sell transactions.</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income increased 21.4% to US$26.2 million in 2006 from US$21.6 million in 2005, after increasing 166.1% from US$8.1 million in 2004. Other income principally consists of sales of assets seized, recoveries of other accounts receivable and other assets and other income. The increase in other income in 2006 was mainly due to revenues from the sale of assets seized (a gain of US$9.2 million in 2006 compared to a gain of US$6.2 million in 2005), net of recoveries of other accounts receivable and other assets (US$1.8 million in 2006 compared to US$4.5 million in 2005). Other income returned to a more regular level in 2004, mainly due to losses on the sale of foreclosed assets and lower other income. See Note 23 to Credicorp’s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18"/>
          <w:szCs w:val="18"/>
          <w:i w:val="1"/>
          <w:iCs w:val="1"/>
          <w:color w:val="auto"/>
        </w:rPr>
        <w:t>Insurance premiums and claims on insurance activities</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premiums earned and claims incurred in connection with Credicorp’s insurance activities: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80" w:type="dxa"/>
            <w:vAlign w:val="bottom"/>
            <w:gridSpan w:val="5"/>
          </w:tcPr>
          <w:p>
            <w:pPr>
              <w:ind w:left="138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192,672</w:t>
            </w:r>
          </w:p>
        </w:tc>
        <w:tc>
          <w:tcPr>
            <w:tcW w:w="2060" w:type="dxa"/>
            <w:vAlign w:val="bottom"/>
            <w:gridSpan w:val="3"/>
            <w:shd w:val="clear" w:color="auto" w:fill="CCFFCC"/>
          </w:tcPr>
          <w:p>
            <w:pPr>
              <w:jc w:val="right"/>
              <w:ind w:right="6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218,955</w:t>
            </w:r>
          </w:p>
        </w:tc>
        <w:tc>
          <w:tcPr>
            <w:tcW w:w="10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251,261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claims incurred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(34,791)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(42,569)</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(46,587)</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Increase in costs for future benefits for life and health policies</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(119,534)</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(132,931)</w:t>
            </w:r>
          </w:p>
        </w:tc>
        <w:tc>
          <w:tcPr>
            <w:tcW w:w="4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(139,935)</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premiums and claims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38,347</w:t>
            </w:r>
          </w:p>
        </w:tc>
        <w:tc>
          <w:tcPr>
            <w:tcW w:w="20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43,455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64,739</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premiums and claims show significant increases in 2006 compared to 2005 and in turn compared to 2004. See “Item 4. Information on the Company—(B) Business Overview—(6) Pacífico Peruano Suiza.” Net premiums increased 14.8% to US$251.3 million in 2006 from US$219.0 million in 2005.</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for general insurance lines, which accounted for 48.0% of total premiums, increased 3.2% in 2006 after a 7.8% increase in 2005.</w:t>
      </w: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premiums (including premium transfer and reserve adjustments) increased 3.8% to US$372.6 million in 2006 from US$359.0 million in 2005 after increasing 4.2% from 2004. The increase in 2006 was principally due to a 6.1% increase in the life and pension insurance lines which reached US$117.2 of gross premiums in 2006 compared to US$110.1 million in 2005. On the other hand, the increase in 2005 was due to a 7.8% increase in the general insurance lines. Security and property insurance (48.0% of total premiums) increased 3.2% in 2006 after increasing 7.8% in 2005. Furthermore, fire insurance (27.7% of total premiums) decreased 11.9% in 2006 after increasing 1.8% in 2005.</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Life insurance (31.0% of total premiums) increased 6.1% in 2006 after increasing 1.8% in 2005. The higher increase in 2006 was principally due to an increase in the volume in all life insurance branches except life annuities, which decreased 24.0% in 2006 due to conservative investment policies. Provisional insurance increased 28% in 2006, after an increase of 30% in 2005 and a decrease of 7% in 2004.</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2006, claims on insurance activities increased by 6.3% to US$186.5 million from US$175.5 million in 2005, mainly due to an increase in the total gross premiums. In 2005, net claims increased 13.7% from US$154.3 million in 2004 mainly due to an increase in claims in the marine hull business. However, the net loss ratio, defined as net claims paid as a percentage of net premiums earned, decreased to 72.0% in 2006 from 78.9% in 2005, and was similar to that of 2004 (72.4%).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6"/>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Other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components of Credicorp’s other expenses: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ind w:left="138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202,729</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236,347</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303,332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153,096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172,304</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46,595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38,728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50,317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16,959</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42,869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46,745</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52,718</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costs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3,742</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5,706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other expenses and merger costs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463,670</w:t>
            </w:r>
          </w:p>
        </w:tc>
        <w:tc>
          <w:tcPr>
            <w:tcW w:w="1900" w:type="dxa"/>
            <w:vAlign w:val="bottom"/>
            <w:gridSpan w:val="3"/>
            <w:shd w:val="clear" w:color="auto" w:fill="CCFFCC"/>
          </w:tcPr>
          <w:p>
            <w:pPr>
              <w:ind w:left="4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477,073</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US$590,764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Personnel expenses increased 28.3% in 2006 compared to 2005, after a 16.6% increase in 2005, compared to 2004. The number of Credicorp personnel increased to 11,532 in 2006 from 9,544 in 2005, which in turn increased from 9,558 in 2004. Considering only BCP, the number of personnel increased to 8,243 in 2006 from 7,568 in 2005, which in turn decreased from 7,694 in 2004. The increase in personnel expenses during 2006 was principally due to increases in salaries and stock appreciation rights (see Note 19 to the Credicorp Consolidated Financial Statements). Certain salaries are based on local currency, and therefore a revaluation of Nuevo Soles results in a higher amount when translated into U.S. Dollars.</w:t>
      </w:r>
    </w:p>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Credicorp’s general and administrative expenses (which include taxes other than income taxes) increased 24.6% in 2006 compared to 2005, which in turn decreased 9.7% compared to 2004. Lower expenses in 2005 resulted from decreases in systems, maintenance and institutional expenses, while higher expenses in 2006 were principally the result of increases in marketing expenses for ad campaigns and customer loyalty-building programs, system expenses, such as maintenance, licenses and projects, and transportation expenses. Aditionally, after the merger with Unión Vida, Prima AFP incurred higher expenses in respect of its sales force. It is worth mentioning that Banco Tequendama was not consolidated into Credicorp’s financial statements as of March 2005.</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 for assets seized decreased 62.3% to US$6.4 million in 2006 from US$17.0 million in 2005. This decrease was due to higher rotation in seizing and sales of assets.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expenses increased 12.8% to US$52.7 million in 2006, after an increase of 9.0% in 2005, compared to 2004. Other expenses increased during 2006 principally due to commissions in insurance (US$25.6 million in 2006 compared to US$19.3 million in 2005) and sundry technical insurance expense (US$10.9 million in 2006 compared to US$8.2 million in 2005). In 2006, Credicorp recorded US$5.7 million as merger costs following the acquisition of AFP Unión Vida by Creditcorp Ltd.’s subsidiary Prima AFP.</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Translation Result</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translation result reflects exposure to revaluation of net monetary positions in Nuevo Soles. Credicorp recognized a US$15.2 million translation gain in 2006, a US$9.6 million translation loss in 2005 and a US$2.0 million translation loss in 2004. In 2006 translation gain was mainly due to gains recorded from exposure to the Nuevo Sol which strengthened against U.S. Dollar. In 2005, translation loss was the result of Credicorp’s net asset positions in Nuevo Soles weakening against the U.S. Dollar.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Credicorp’s Peruvian subsidiaries, including BCP, are subject to corporate taxation on income under the Peruvian tax law. The statutory income tax rate payable in Peru in 2003 was 27% of taxable income, which includes the result of exposure to inflation. Since 2004, the statutory income tax rate payable in Peru is 30% of taxable profits. An additional 4.1% withholding tax is applied on dividends, which Credicorp registers as income tax based on the liquid amount received from BCP and PPS.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Peruvian tax legislation is applicable to legal entities established in Peru, and on an individual (not consolidated) basis. Credicorp’s non-Peruvian subsidiaries are not subject to taxation in Peru and their assets are not included in the calculation of the Peruvian extraordinary tax on net assets.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by Credicorp increased to US$83.6 million in 2006 from US$73.5 million in 2005, which in turn increased from US$45.5 million in 2004. Income tax growth in these periods reflects increases in Credicorp’s taxable income. Since 1994, Credicorp has paid the Peruvian income tax at the statutory rate. The effective tax rates in 2004, 2005 and 2006 were 24.32%, 27.40%, and 25.26%, respectively.</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Financial Condition</w:t>
      </w: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Assets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Credicorp had total assets of US$12.9 billion, increasing 16.7% compared to total assets of US$11.0 billion as of December 31, 2005, with cash and due from banks increasing 2.7%, investments increasing 21.7% and loans, net of provisions, increasing 19.1%. From December 31, 2005 through December 31, 2006, the Peruvian financial system grew 15.6% in terms of deposits and 23.9% in terms of total loans, comparing balances translated to U.S. Dollars, while GDP grew 8.0%. The ratio of financial intermediation, as measured by the sum of currency in circulation, bank deposits and other bank obligations to the public, divided by GDP, was 5.2% in 1990 and, although this ratio reached approximately 25.5% in 2001 and 2002, it declined to 23.1% in 2004, and in turn increased to 23.5% in 2005. In 2006, the ratio of financial intermediation decreased slightly to 22.6%. Although the ratio of financial intermediation is still below the 26.7% peak in the early 1970s, Credicorp expects the rate of growth in total assets to remain at moderate levels.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06" w:name="page107"/>
    <w:bookmarkEnd w:id="1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3.7% in 2004 to 1.9% in 2005 and further to 1.3% in 2006. BCP’s coverage ratios also improved significantly in recent years from 159.8% in 2004 to 207.7% in 2005 and further to 249.5% in 2006, despite lower increases in provisions due to improving loan portfolio quality.</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2006, Credicorp’s total loans were US$5,927.1 million, which represented 46.0% of total assets, and net of reserves for loan losses, loans were US$5,736.8 million. As of December 31, 2005, Credicorp’s total loans were US$5,014.3 million, which represented 45.4% of total assets, and net of reserves for loan losses, loans were US$4,816.7 million. Credicorp’s total loans increased from December 31, 2005 to December 31, 2006 by 18.2%, and net of loan loss reserves by 19.1% in the same period.</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Credicorp’s total deposits with the Central Bank decreased from US$1,599.2 million as of December 31, 2005 to US$1,405.9 million as of December 31, 2006. Credicorp’s securities holdings (which include marketable securities and investments) increased 21.7% to US$3,495.8 million at December 31, 2006 from US$2,871.5 million at December 31, 2005. The securities portfolio increase in 2006 was principally due to increased investments in Central Bank certificates, corporate, leasing subordinated bonds and in treasury bonds of various governments.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Total Liabilities</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2006, Credicorp had total liabilities of US$11.3 billion, a 16.5% increase from total liabilities of US$9.7 billion as of December 31, 2005. As of December 31, 2006, Credicorp had total deposits of US$8,839.0 million, a 24.6% increase from total deposits of US$7,093.4 million at December 31, 2005. Credicorp believes that its extensive branch network and reputation in the Peruvian market have allowed it to compete effectively for new deposits and to attract stable, low cost savings deposits.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Credicorp’s funding strategy has been structured around maintaining a diversified deposit base. During 2006, demand deposits grew by 55.0% and time deposits by 30.8%, while saving deposits decreased by 7.3%. As of December 31, 2006, Credicorp, through BCP unconsolidated, had 42.1% of total savings deposits in the Peruvian banking system, 43.6% of demand deposits and 36.2% of total deposits, the highest of any Peruvian bank in all three categories. An important characteristic of Credicorp’s deposit base is that, as of December 31, 2006, it included 57.2% of the entire Peruvian banking system’s CTS deposits, decreasing from 57.9% as of December 31, 2005. Credicorp believes that it traditionally has attracted a high percentage of the savings and CTS deposit market because of its reputation as a sound institution, its extensive branch network and the quality of its service. Credicorp’s core deposits (time, savings, CTS and demand deposits) accounted for 96.7% of its total deposits as of December 31, 2006.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b w:val="1"/>
          <w:bCs w:val="1"/>
          <w:color w:val="auto"/>
        </w:rPr>
        <w:t>(4) Reconciliation of Differences Between IFRS and U.S. GAAP</w:t>
      </w:r>
    </w:p>
    <w:p>
      <w:pPr>
        <w:spacing w:after="0" w:line="3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Credicorp Consolidated Financial Statements have been prepared in accordance with IFRS, which differ in certain aspects respects from U.S. GAAP, as presented in Note 29, as restated, to the Consolidated Financial Statements. The principal differences between IFRS and U.S. GAAP, insofar as they relate to Credicorp, is that under IFRS changes in amortized cost of debt securities available-for-sale resulting from movements in foreign currency exchange rates are reflected in the income statement. Under U.S. GAAP (EITF 96-15, as amended by SFAS 133), changes in the amortized cost of instruments available-for-sale due to changes in foreign currency exchange rates are considered part of the changes in fair value and, as a result, recorded in “Other comprehensive income” in shareholder’s equity and transferred to income upon the maturity or sale of the instrument.</w:t>
      </w:r>
    </w:p>
    <w:p>
      <w:pPr>
        <w:spacing w:after="0" w:line="24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Another difference is that under IFRS, income tax is recorded in accordance with IAS12, “Income Taxes.” This provision requires the recognition of deferred taxes on income resulting from the differences in measurment of local currency converted into the functional currency, due to changes in exchange rates. Meanwhile, under U.S. GAAP, Credicorp follows guidelines established in SFAS 109 “Accounting for income taxes.” These guidelines do not permit recognition of deferred taxes on differences in assets and liabilities remeasured upon conversion from local currency into the functional currency as a result from changes in exchange rates. In prior years, the differences between IFRS and U.S. GAAP calculations have been immaterial and hence no reconciliation item has been reported for 2004 and 2005. In 2006, however, the amount of these differences amounted to US$5.1 million, as of December 31, 2006 (the amount from previous years amounted to US$1.4 million). This item is presented to reconcile the net income and the shareholder’s equity, see Note 29 (h) and (i) to the Credicorp Consolidated Financial Statements.</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Another difference is the disclosure of minority interest in the balance sheet. Under IFRS, minority interest is disclosed as part of net equity while under U.S. GAAP it is disclosed between liabilities and shareholders’ equity. In the profit and loss statement, annual profit is disclosed in profit attributable to equity holders of the parent (US$230,013, US$181,885 and US$130,747 as of December 31, 2006, 2005 and 2004, respectively) and profit attributable to minority interests (US$17,252, US$12,968 and US$10,765 as of December 31, 2006, 2005 and 2004, respectively).</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63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gridSpan w:val="5"/>
          </w:tcPr>
          <w:p>
            <w:pPr>
              <w:ind w:left="280"/>
              <w:spacing w:after="0"/>
              <w:rPr>
                <w:sz w:val="20"/>
                <w:szCs w:val="20"/>
                <w:color w:val="auto"/>
              </w:rPr>
            </w:pPr>
            <w:r>
              <w:rPr>
                <w:rFonts w:ascii="Times New Roman" w:cs="Times New Roman" w:eastAsia="Times New Roman" w:hAnsi="Times New Roman"/>
                <w:sz w:val="18"/>
                <w:szCs w:val="18"/>
                <w:i w:val="1"/>
                <w:iCs w:val="1"/>
                <w:color w:val="auto"/>
              </w:rPr>
              <w:t>Regulatory Capital and Capital Adequacy Ratios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 Dollars in thousands, except percentages)</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539,498</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539,498</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539,498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Legal and other reserves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269,527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269,527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479,902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stock, reserves and retained earnings of minority interest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46,767</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61,251</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37,281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Accepted Provisions for loan losses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43,946</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49,169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58,562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43,891</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31,276</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140,086</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943,629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950,721</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1,255,329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color w:val="auto"/>
              </w:rPr>
              <w:t>Less: investment in multilateral organizations, banks and insurance companies</w:t>
            </w:r>
          </w:p>
        </w:tc>
        <w:tc>
          <w:tcPr>
            <w:tcW w:w="16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(32,360)</w:t>
            </w:r>
          </w:p>
        </w:tc>
        <w:tc>
          <w:tcPr>
            <w:tcW w:w="156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color w:val="auto"/>
              </w:rPr>
              <w:t>(35,697)</w:t>
            </w:r>
          </w:p>
        </w:tc>
        <w:tc>
          <w:tcPr>
            <w:tcW w:w="15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(30,075)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60" w:type="dxa"/>
            <w:vAlign w:val="bottom"/>
            <w:gridSpan w:val="5"/>
          </w:tcPr>
          <w:p>
            <w:pPr>
              <w:ind w:left="120"/>
              <w:spacing w:after="0" w:line="256" w:lineRule="exact"/>
              <w:rPr>
                <w:sz w:val="20"/>
                <w:szCs w:val="20"/>
                <w:color w:val="auto"/>
              </w:rPr>
            </w:pPr>
            <w:r>
              <w:rPr>
                <w:rFonts w:ascii="Times New Roman" w:cs="Times New Roman" w:eastAsia="Times New Roman" w:hAnsi="Times New Roman"/>
                <w:sz w:val="18"/>
                <w:szCs w:val="18"/>
                <w:color w:val="auto"/>
              </w:rPr>
              <w:t>Total Regulatory Capital</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911,269</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915,024</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1,225,254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FFCC"/>
            </w:tcBorders>
            <w:shd w:val="clear" w:color="auto" w:fill="CCFFCC"/>
          </w:tcPr>
          <w:p>
            <w:pPr>
              <w:spacing w:after="0"/>
              <w:rPr>
                <w:sz w:val="19"/>
                <w:szCs w:val="19"/>
                <w:color w:val="auto"/>
              </w:rPr>
            </w:pPr>
          </w:p>
        </w:tc>
        <w:tc>
          <w:tcPr>
            <w:tcW w:w="2200" w:type="dxa"/>
            <w:vAlign w:val="bottom"/>
            <w:tcBorders>
              <w:bottom w:val="single" w:sz="8" w:color="auto"/>
            </w:tcBorders>
            <w:gridSpan w:val="2"/>
            <w:shd w:val="clear" w:color="auto" w:fill="CCFFCC"/>
          </w:tcPr>
          <w:p>
            <w:pPr>
              <w:spacing w:after="0" w:line="202" w:lineRule="exact"/>
              <w:rPr>
                <w:sz w:val="20"/>
                <w:szCs w:val="20"/>
                <w:color w:val="auto"/>
              </w:rPr>
            </w:pPr>
            <w:r>
              <w:rPr>
                <w:rFonts w:ascii="Times New Roman" w:cs="Times New Roman" w:eastAsia="Times New Roman" w:hAnsi="Times New Roman"/>
                <w:sz w:val="18"/>
                <w:szCs w:val="18"/>
                <w:color w:val="auto"/>
                <w:w w:val="96"/>
              </w:rPr>
              <w:t>Financial Entities Capital Ratio</w:t>
            </w:r>
          </w:p>
        </w:tc>
        <w:tc>
          <w:tcPr>
            <w:tcW w:w="4360" w:type="dxa"/>
            <w:vAlign w:val="bottom"/>
            <w:tcBorders>
              <w:bottom w:val="single" w:sz="8" w:color="CCFFCC"/>
            </w:tcBorders>
            <w:gridSpan w:val="4"/>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right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Times New Roman" w:cs="Times New Roman" w:eastAsia="Times New Roman" w:hAnsi="Times New Roman"/>
                <w:sz w:val="18"/>
                <w:szCs w:val="18"/>
                <w:color w:val="auto"/>
              </w:rPr>
              <w:t>Regulatory Capital attributable to Financial Entities</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776,202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761,342</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871,377</w:t>
            </w:r>
          </w:p>
        </w:tc>
        <w:tc>
          <w:tcPr>
            <w:tcW w:w="0" w:type="dxa"/>
            <w:vAlign w:val="bottom"/>
          </w:tcPr>
          <w:p>
            <w:pPr>
              <w:spacing w:after="0"/>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Times New Roman" w:cs="Times New Roman" w:eastAsia="Times New Roman" w:hAnsi="Times New Roman"/>
                <w:sz w:val="18"/>
                <w:szCs w:val="18"/>
                <w:color w:val="auto"/>
              </w:rPr>
              <w:t>Risk-weighted Assets From Financial Entities</w:t>
            </w:r>
            <w:r>
              <w:rPr>
                <w:rFonts w:ascii="Times New Roman" w:cs="Times New Roman" w:eastAsia="Times New Roman" w:hAnsi="Times New Roman"/>
                <w:sz w:val="29"/>
                <w:szCs w:val="29"/>
                <w:color w:val="auto"/>
                <w:vertAlign w:val="superscript"/>
              </w:rPr>
              <w:t>(3)</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5,529,440</w:t>
            </w:r>
          </w:p>
        </w:tc>
        <w:tc>
          <w:tcPr>
            <w:tcW w:w="220" w:type="dxa"/>
            <w:vAlign w:val="bottom"/>
            <w:tcBorders>
              <w:right w:val="single" w:sz="8" w:color="CCFFCC"/>
            </w:tcBorders>
            <w:shd w:val="clear" w:color="auto" w:fill="CCFFCC"/>
          </w:tcPr>
          <w:p>
            <w:pPr>
              <w:spacing w:after="0"/>
              <w:rPr>
                <w:sz w:val="22"/>
                <w:szCs w:val="22"/>
                <w:color w:val="auto"/>
              </w:rPr>
            </w:pP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5,810,046</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7,273,023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 Ratio for Financial Entities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13.10%</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2200" w:type="dxa"/>
            <w:vAlign w:val="bottom"/>
            <w:gridSpan w:val="2"/>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8"/>
              </w:rPr>
              <w:t>Minimum Regulatory Capital Required (MRCR)</w:t>
            </w:r>
          </w:p>
        </w:tc>
        <w:tc>
          <w:tcPr>
            <w:tcW w:w="1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w w:val="97"/>
              </w:rPr>
              <w:t>(2)</w:t>
            </w:r>
          </w:p>
        </w:tc>
        <w:tc>
          <w:tcPr>
            <w:tcW w:w="288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3500" w:type="dxa"/>
            <w:vAlign w:val="bottom"/>
            <w:gridSpan w:val="3"/>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88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Times New Roman" w:cs="Times New Roman" w:eastAsia="Times New Roman" w:hAnsi="Times New Roman"/>
                <w:sz w:val="18"/>
                <w:szCs w:val="18"/>
                <w:color w:val="auto"/>
              </w:rPr>
              <w:t>MRCR for Financial Entities</w:t>
            </w:r>
            <w:r>
              <w:rPr>
                <w:rFonts w:ascii="Times New Roman" w:cs="Times New Roman" w:eastAsia="Times New Roman" w:hAnsi="Times New Roman"/>
                <w:sz w:val="29"/>
                <w:szCs w:val="29"/>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499,512</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559,074</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690,045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Times New Roman" w:cs="Times New Roman" w:eastAsia="Times New Roman" w:hAnsi="Times New Roman"/>
                <w:sz w:val="18"/>
                <w:szCs w:val="18"/>
                <w:color w:val="auto"/>
              </w:rPr>
              <w:t>MRCR for Insurance Entities</w:t>
            </w:r>
            <w:r>
              <w:rPr>
                <w:rFonts w:ascii="Times New Roman" w:cs="Times New Roman" w:eastAsia="Times New Roman" w:hAnsi="Times New Roman"/>
                <w:sz w:val="29"/>
                <w:szCs w:val="29"/>
                <w:color w:val="auto"/>
                <w:vertAlign w:val="superscript"/>
              </w:rPr>
              <w:t>(3)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42,110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88,019</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100,447</w:t>
            </w:r>
          </w:p>
        </w:tc>
        <w:tc>
          <w:tcPr>
            <w:tcW w:w="0" w:type="dxa"/>
            <w:vAlign w:val="bottom"/>
          </w:tcPr>
          <w:p>
            <w:pPr>
              <w:spacing w:after="0"/>
              <w:rPr>
                <w:sz w:val="1"/>
                <w:szCs w:val="1"/>
                <w:color w:val="auto"/>
              </w:rPr>
            </w:pPr>
          </w:p>
        </w:tc>
      </w:tr>
      <w:tr>
        <w:trPr>
          <w:trHeight w:val="284"/>
        </w:trPr>
        <w:tc>
          <w:tcPr>
            <w:tcW w:w="180" w:type="dxa"/>
            <w:vAlign w:val="bottom"/>
            <w:shd w:val="clear" w:color="auto" w:fill="CCFFCC"/>
          </w:tcPr>
          <w:p>
            <w:pPr>
              <w:spacing w:after="0"/>
              <w:rPr>
                <w:sz w:val="24"/>
                <w:szCs w:val="24"/>
                <w:color w:val="auto"/>
              </w:rPr>
            </w:pPr>
          </w:p>
        </w:tc>
        <w:tc>
          <w:tcPr>
            <w:tcW w:w="6560" w:type="dxa"/>
            <w:vAlign w:val="bottom"/>
            <w:gridSpan w:val="6"/>
            <w:shd w:val="clear" w:color="auto" w:fill="CCFFCC"/>
          </w:tcPr>
          <w:p>
            <w:pPr>
              <w:spacing w:after="0" w:line="284" w:lineRule="exact"/>
              <w:rPr>
                <w:sz w:val="20"/>
                <w:szCs w:val="20"/>
                <w:color w:val="auto"/>
              </w:rPr>
            </w:pPr>
            <w:r>
              <w:rPr>
                <w:rFonts w:ascii="Times New Roman" w:cs="Times New Roman" w:eastAsia="Times New Roman" w:hAnsi="Times New Roman"/>
                <w:sz w:val="18"/>
                <w:szCs w:val="18"/>
                <w:color w:val="auto"/>
              </w:rPr>
              <w:t>MRCR for Other Entities</w:t>
            </w:r>
            <w:r>
              <w:rPr>
                <w:rFonts w:ascii="Times New Roman" w:cs="Times New Roman" w:eastAsia="Times New Roman" w:hAnsi="Times New Roman"/>
                <w:sz w:val="30"/>
                <w:szCs w:val="30"/>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31,536</w:t>
            </w:r>
          </w:p>
        </w:tc>
        <w:tc>
          <w:tcPr>
            <w:tcW w:w="156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101,348</w:t>
            </w:r>
          </w:p>
        </w:tc>
        <w:tc>
          <w:tcPr>
            <w:tcW w:w="152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60,437</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Minimum Regulatory Capital Required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573,158</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748,441</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850,959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Times New Roman" w:cs="Times New Roman" w:eastAsia="Times New Roman" w:hAnsi="Times New Roman"/>
                <w:sz w:val="18"/>
                <w:szCs w:val="18"/>
                <w:color w:val="auto"/>
              </w:rPr>
              <w:t>Regulatory capital as percentage of Minimum Regulatory Capital Required</w:t>
            </w:r>
          </w:p>
        </w:tc>
        <w:tc>
          <w:tcPr>
            <w:tcW w:w="1600" w:type="dxa"/>
            <w:vAlign w:val="bottom"/>
            <w:tcBorders>
              <w:right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158.99%</w:t>
            </w:r>
          </w:p>
        </w:tc>
        <w:tc>
          <w:tcPr>
            <w:tcW w:w="15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122.26%</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line="282"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Regulatory Capital and Financial Entities Regulatory Capital is prepared under the guidelines of the BIS I Accord (by the Basel Committee) as adopted by the SBS.</w:t>
      </w:r>
    </w:p>
    <w:p>
      <w:pPr>
        <w:spacing w:after="0" w:line="21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30"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3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09" w:name="page110"/>
    <w:bookmarkEnd w:id="10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growth of Credicorp’s deposit base over the past years has enabled Credicorp to increase significantly its lending activity. BCP is subject to SBS Resolution No. 622-98, enacted in July 1998,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2006 were 56.91% and 51.99% for Nuevos Soles and foreign exchange-based transactions, respectively (45.2% and 57.8%, respectively, in December 2005), demonstrating Credicorp’s continuing excess liquidity. Credicorp has never defaulted on any of its debt or been forced to reschedule any of its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Group and ASHC’s Private Banking Group, and premiums and amounts earned on invested assets at PPS. Credicorp believes that funds from its deposit-taking operations generally will continue to meet Credicorp’s liquidity needs for the foreseeable future.</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BCP’s Retail Banking Group has developed a diversified and stable deposit base and the Private Banking Group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13 and 14 to Credicorp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0" w:name="page111"/>
    <w:bookmarkEnd w:id="110"/>
    <w:p>
      <w:pPr>
        <w:ind w:left="820"/>
        <w:spacing w:after="0"/>
        <w:rPr>
          <w:sz w:val="20"/>
          <w:szCs w:val="20"/>
          <w:color w:val="auto"/>
        </w:rPr>
      </w:pPr>
      <w:r>
        <w:rPr>
          <w:rFonts w:ascii="Times New Roman" w:cs="Times New Roman" w:eastAsia="Times New Roman" w:hAnsi="Times New Roman"/>
          <w:sz w:val="18"/>
          <w:szCs w:val="18"/>
          <w:color w:val="auto"/>
        </w:rPr>
        <w:t>The following table presents Credicorp’s core deposits, other deposits and other sources of funds: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360" w:type="dxa"/>
            <w:vAlign w:val="bottom"/>
            <w:gridSpan w:val="5"/>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Core Deposits</w:t>
            </w: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Demand deposits</w:t>
            </w:r>
          </w:p>
        </w:tc>
        <w:tc>
          <w:tcPr>
            <w:tcW w:w="15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1,750,277</w:t>
            </w:r>
          </w:p>
        </w:tc>
        <w:tc>
          <w:tcPr>
            <w:tcW w:w="1780" w:type="dxa"/>
            <w:vAlign w:val="bottom"/>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1,801,314</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2,792,433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1,583,502</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1,951,978</w:t>
            </w: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Severance indemnity deposits</w:t>
            </w:r>
          </w:p>
        </w:tc>
        <w:tc>
          <w:tcPr>
            <w:tcW w:w="15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530,683</w:t>
            </w:r>
          </w:p>
        </w:tc>
        <w:tc>
          <w:tcPr>
            <w:tcW w:w="15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654,791</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775,027</w:t>
            </w: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core deposits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3,864,462</w:t>
            </w:r>
          </w:p>
        </w:tc>
        <w:tc>
          <w:tcPr>
            <w:tcW w:w="17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4,561,469</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5,519,438</w:t>
            </w:r>
          </w:p>
        </w:tc>
      </w:tr>
      <w:tr>
        <w:trPr>
          <w:trHeight w:val="243"/>
        </w:trPr>
        <w:tc>
          <w:tcPr>
            <w:tcW w:w="67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Deposits</w:t>
            </w:r>
            <w:r>
              <w:rPr>
                <w:rFonts w:ascii="Times New Roman" w:cs="Times New Roman" w:eastAsia="Times New Roman" w:hAnsi="Times New Roman"/>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2,352,200</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2,459,907</w:t>
            </w: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3,218,157</w:t>
            </w: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certificates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46,378</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61,539</w:t>
            </w:r>
          </w:p>
        </w:tc>
      </w:tr>
      <w:tr>
        <w:trPr>
          <w:trHeight w:val="20"/>
        </w:trPr>
        <w:tc>
          <w:tcPr>
            <w:tcW w:w="6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6,270,972</w:t>
            </w:r>
          </w:p>
        </w:tc>
        <w:tc>
          <w:tcPr>
            <w:tcW w:w="220" w:type="dxa"/>
            <w:vAlign w:val="bottom"/>
            <w:shd w:val="clear" w:color="auto" w:fill="CCFFCC"/>
          </w:tcPr>
          <w:p>
            <w:pPr>
              <w:spacing w:after="0"/>
              <w:rPr>
                <w:sz w:val="22"/>
                <w:szCs w:val="22"/>
                <w:color w:val="auto"/>
              </w:rPr>
            </w:pPr>
          </w:p>
        </w:tc>
        <w:tc>
          <w:tcPr>
            <w:tcW w:w="1780" w:type="dxa"/>
            <w:vAlign w:val="bottom"/>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7,067,754</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8,799,134</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15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431,052</w:t>
            </w:r>
          </w:p>
        </w:tc>
        <w:tc>
          <w:tcPr>
            <w:tcW w:w="1780" w:type="dxa"/>
            <w:vAlign w:val="bottom"/>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1,303,371</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941,601</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Issued bonds</w:t>
            </w:r>
          </w:p>
        </w:tc>
        <w:tc>
          <w:tcPr>
            <w:tcW w:w="15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423,977</w:t>
            </w:r>
          </w:p>
        </w:tc>
        <w:tc>
          <w:tcPr>
            <w:tcW w:w="15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429,224</w:t>
            </w:r>
          </w:p>
        </w:tc>
        <w:tc>
          <w:tcPr>
            <w:tcW w:w="220" w:type="dxa"/>
            <w:vAlign w:val="bottom"/>
            <w:shd w:val="clear" w:color="auto" w:fill="CCFFCC"/>
          </w:tcPr>
          <w:p>
            <w:pPr>
              <w:spacing w:after="0"/>
              <w:rPr>
                <w:sz w:val="23"/>
                <w:szCs w:val="23"/>
                <w:color w:val="auto"/>
              </w:rPr>
            </w:pP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512,572</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sources of liquid funds</w:t>
            </w:r>
          </w:p>
        </w:tc>
        <w:tc>
          <w:tcPr>
            <w:tcW w:w="15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7,126,001</w:t>
            </w:r>
          </w:p>
        </w:tc>
        <w:tc>
          <w:tcPr>
            <w:tcW w:w="1780" w:type="dxa"/>
            <w:vAlign w:val="bottom"/>
            <w:gridSpan w:val="3"/>
            <w:shd w:val="clear" w:color="auto" w:fill="CCFFCC"/>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8,800,349</w:t>
            </w:r>
          </w:p>
        </w:tc>
        <w:tc>
          <w:tcPr>
            <w:tcW w:w="13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10,253,307</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Core deposits as a percent of total deposits</w:t>
            </w:r>
          </w:p>
        </w:tc>
        <w:tc>
          <w:tcPr>
            <w:tcW w:w="15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61.6%</w:t>
            </w:r>
          </w:p>
        </w:tc>
        <w:tc>
          <w:tcPr>
            <w:tcW w:w="15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64.5%</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Core deposits as a percent of total sources of liquid funds</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51.8%</w:t>
            </w: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53.8%</w:t>
            </w:r>
          </w:p>
        </w:tc>
      </w:tr>
    </w:tbl>
    <w:p>
      <w:pPr>
        <w:spacing w:after="0" w:line="200" w:lineRule="exact"/>
        <w:rPr>
          <w:sz w:val="20"/>
          <w:szCs w:val="20"/>
          <w:color w:val="auto"/>
        </w:rPr>
      </w:pPr>
    </w:p>
    <w:p>
      <w:pPr>
        <w:spacing w:after="0" w:line="322"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32.7%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Credicorp’s deposits at the Central Bank, and its investments in Central Bank certificates: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20" w:type="dxa"/>
            <w:vAlign w:val="bottom"/>
            <w:gridSpan w:val="5"/>
          </w:tcPr>
          <w:p>
            <w:pPr>
              <w:jc w:val="center"/>
              <w:ind w:left="119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Funds at Central Bank</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1,100,450</w:t>
            </w:r>
          </w:p>
        </w:tc>
        <w:tc>
          <w:tcPr>
            <w:tcW w:w="182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1,599,153</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1,405,853</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682,418</w:t>
            </w:r>
          </w:p>
        </w:tc>
        <w:tc>
          <w:tcPr>
            <w:tcW w:w="182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554,530</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1,110,002</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BCRP-Repo Transactions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591,285</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167,611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funds at Central Bank</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1,782,868</w:t>
            </w:r>
          </w:p>
        </w:tc>
        <w:tc>
          <w:tcPr>
            <w:tcW w:w="1820" w:type="dxa"/>
            <w:vAlign w:val="bottom"/>
            <w:gridSpan w:val="3"/>
            <w:shd w:val="clear" w:color="auto" w:fill="CCFFCC"/>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2,744,968</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2,683,466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funds at Central Bank of Perú as a percent of total deposits</w:t>
            </w: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1" w:name="page112"/>
    <w:bookmarkEnd w:id="1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December 31, 2006, Credicorp had uncommitted credit lines with various banks, including long-term facilities that are mainly used for project financing, of which no significant amount was drawn down. The long-term facilities include funding from COFIDE, Banco Interamericano de Desarrollo (Inter-American Development Bank or IDB) and other international lenders. The transactions relating to these credit lines include import and export transactions and average annual rates (including Libor) vary from 5.65% to 7.90%. In 1998 and 2001, 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 of diversified payment rights, which amounted to US$280.0 million. See Note 14(b) to the Credicorp Consolidated Financial Statements. As of December 31, 2006, borrowed funds amounted to US$941.6 million as compared to US$1,303.4 million in 2005 and US$429.4 million in 2004.</w:t>
      </w:r>
    </w:p>
    <w:p>
      <w:pPr>
        <w:spacing w:after="0" w:line="23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2006, BCP had US$23.6 million of outstanding mortgage bonds and notes (US$27.6 million in 2005 and US$28.4 million in 2004). A source of funds specific to leasing operations are leasing bonds issued by lease financing companies, the terms of which are specified in the Peruvian leasing regulations. As of December 31, 2006, BCP had US$178.0 million of outstanding leasing bonds (US$219.6 million in 2005 and US$220.5 million in 2004). These bonds have maturities extending from three to five years and bear the same interest as 360-day time deposits. See Note 16 to the Credicorp Consolidated Financial Statements for a detailed breakdown of Credicorp’s issued bonds.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Credicorp’s issued bonds:</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3600" w:type="dxa"/>
            <w:vAlign w:val="bottom"/>
            <w:tcBorders>
              <w:bottom w:val="single" w:sz="8" w:color="auto"/>
            </w:tcBorders>
            <w:gridSpan w:val="6"/>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(U.S. Dollars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 bonds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35.2</w:t>
            </w:r>
          </w:p>
        </w:tc>
        <w:tc>
          <w:tcPr>
            <w:tcW w:w="200" w:type="dxa"/>
            <w:vAlign w:val="bottom"/>
            <w:shd w:val="clear" w:color="auto" w:fill="CCFFCC"/>
          </w:tcPr>
          <w:p>
            <w:pPr>
              <w:spacing w:after="0"/>
              <w:rPr>
                <w:sz w:val="23"/>
                <w:szCs w:val="23"/>
                <w:color w:val="auto"/>
              </w:rPr>
            </w:pPr>
          </w:p>
        </w:tc>
        <w:tc>
          <w:tcPr>
            <w:tcW w:w="1980" w:type="dxa"/>
            <w:vAlign w:val="bottom"/>
            <w:gridSpan w:val="3"/>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35.0</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47.2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Leasing Bonds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1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Subordinated debt</w:t>
            </w: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5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7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issuance</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49.3</w:t>
            </w:r>
          </w:p>
        </w:tc>
        <w:tc>
          <w:tcPr>
            <w:tcW w:w="200" w:type="dxa"/>
            <w:vAlign w:val="bottom"/>
          </w:tcPr>
          <w:p>
            <w:pPr>
              <w:spacing w:after="0"/>
              <w:rPr>
                <w:sz w:val="23"/>
                <w:szCs w:val="23"/>
                <w:color w:val="auto"/>
              </w:rPr>
            </w:pPr>
          </w:p>
        </w:tc>
        <w:tc>
          <w:tcPr>
            <w:tcW w:w="19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75.0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167.2</w:t>
            </w: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2006, the Board or Directors of BCP approved the issuance on local and international markets of subordinated debt of up to US$175 million, with a view to meeting the requirement of the regulatory capital of BCP in Peru. The issuance was partly realized in 2006 and will continue in 2007.</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Thus, in November 2006, BCP, through its Panama branch, issued on the international market subordinated negotiable certificates notes due 2021 in the aggregate amount of US$120 million. These Notes accrue a fixed annual interest rate of 6.95% for the first 10 years (until November 2016), with interest payments every six months. After the first 10 years, the interest rate will change to a variable interest rate, established as Libor plus 2.79%, with quarterly interest payments. At the end of the first 10 years, the Bank can redeem 100% of the debt without penalty. This subordinated debt certificates include certain financial and operating covenants. In Credicorp management’s opinion, BCP is not in violation of any of these covenants as of the date of the consolidated balance sheet date.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2" w:name="page113"/>
    <w:bookmarkEnd w:id="1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34" w:lineRule="exact"/>
        <w:rPr>
          <w:sz w:val="20"/>
          <w:szCs w:val="20"/>
          <w:color w:val="auto"/>
        </w:rPr>
      </w:pPr>
    </w:p>
    <w:p>
      <w:pPr>
        <w:ind w:left="660" w:right="6580" w:hanging="652"/>
        <w:spacing w:after="0" w:line="563" w:lineRule="auto"/>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Patents and Licenses, Etc.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expects that 2007 will continue the positive trend in light of the trust in the current government’s economic and monetary policies, the strengthening domestic demand and the positive international environment. In particular, Credicorp expects that financial income will increase, mainly as a result of prioritizing retail operations with individuals and small companies. In addition, credit risk is expected to remain low and provision expense from loan losses is expected to remain low due to continued improvement of portfolio quality. See “Item 4. Information on the Company—(B) Business Overview—(1) Introduction - Review of 2006” and “—(2) Strategy.”</w:t>
      </w:r>
    </w:p>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Bolivia, Credicorp expects that BCB will continue to increase its profitability as a result of increased deposits and loans and the expansion into the personal banking niche. The economic policies of the new Bolivian government, however, may impair business conditions in the country and negatively affect BCB’s financial results.</w:t>
      </w:r>
    </w:p>
    <w:p>
      <w:pPr>
        <w:spacing w:after="0" w:line="2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Credicorp expects that in 2007, ASHC will maintain its low-risk investment strategy. Credicorp expects continued growth of the assets under management.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its insurance business, Credicorp expects to complete the restructuring started in 2006. In addition, new mass products are expected to be launched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2007.</w:t>
      </w:r>
    </w:p>
    <w:p>
      <w:pPr>
        <w:spacing w:after="0" w:line="26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Prima AFP is expected to continue to grow in terms of customers and affiliations. In 2006, such growth was reflected in 115,000 new customers from transfers and 23,000 customers for affiliations due to the merger with AFP Unión.</w:t>
      </w:r>
    </w:p>
    <w:p>
      <w:pPr>
        <w:spacing w:after="0" w:line="212"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Off-Balance Sheet Arrangements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the notional amount of short-term market movements in the equity and bond markets and in currency and interest rates, in the case of derivatives and swaps.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The following table reflects Credicorp’s off-balance sheet arrangements as of December 31, 2004, 2005 and 2006:</w:t>
      </w:r>
    </w:p>
    <w:p>
      <w:pPr>
        <w:spacing w:after="0" w:line="31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19685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3" w:lineRule="exact"/>
        <w:rPr>
          <w:sz w:val="20"/>
          <w:szCs w:val="20"/>
          <w:color w:val="auto"/>
        </w:rPr>
      </w:pPr>
    </w:p>
    <w:p>
      <w:pPr>
        <w:jc w:val="both"/>
        <w:ind w:left="7320"/>
        <w:spacing w:after="0"/>
        <w:tabs>
          <w:tab w:leader="none" w:pos="8900" w:val="left"/>
          <w:tab w:leader="none" w:pos="10500" w:val="left"/>
        </w:tabs>
        <w:rPr>
          <w:sz w:val="20"/>
          <w:szCs w:val="20"/>
          <w:color w:val="auto"/>
        </w:rPr>
      </w:pPr>
      <w:r>
        <w:rPr>
          <w:rFonts w:ascii="Times New Roman" w:cs="Times New Roman" w:eastAsia="Times New Roman" w:hAnsi="Times New Roman"/>
          <w:sz w:val="18"/>
          <w:szCs w:val="18"/>
          <w:b w:val="1"/>
          <w:bCs w:val="1"/>
          <w:color w:val="auto"/>
        </w:rPr>
        <w:t>2004</w:t>
      </w:r>
      <w:r>
        <w:rPr>
          <w:sz w:val="20"/>
          <w:szCs w:val="20"/>
          <w:color w:val="auto"/>
        </w:rPr>
        <w:tab/>
      </w:r>
      <w:r>
        <w:rPr>
          <w:rFonts w:ascii="Times New Roman" w:cs="Times New Roman" w:eastAsia="Times New Roman" w:hAnsi="Times New Roman"/>
          <w:sz w:val="18"/>
          <w:szCs w:val="18"/>
          <w:b w:val="1"/>
          <w:bCs w:val="1"/>
          <w:color w:val="auto"/>
        </w:rPr>
        <w:t>2005</w:t>
      </w:r>
      <w:r>
        <w:rPr>
          <w:sz w:val="20"/>
          <w:szCs w:val="20"/>
          <w:color w:val="auto"/>
        </w:rPr>
        <w:tab/>
      </w:r>
      <w:r>
        <w:rPr>
          <w:rFonts w:ascii="Times New Roman" w:cs="Times New Roman" w:eastAsia="Times New Roman" w:hAnsi="Times New Roman"/>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28575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9"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i w:val="1"/>
          <w:iCs w:val="1"/>
          <w:color w:val="auto"/>
        </w:rPr>
        <w:t>(U.S. Dollars in thousands)</w:t>
      </w:r>
    </w:p>
    <w:p>
      <w:pPr>
        <w:spacing w:after="0" w:line="2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Contingent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Guarantees and stand by letters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Import and export letters of credit</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Sub Total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655,313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982,044</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US$1,204,500</w:t>
            </w:r>
          </w:p>
        </w:tc>
      </w:tr>
      <w:tr>
        <w:trPr>
          <w:trHeight w:val="243"/>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233,806</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238,902</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250,876</w:t>
            </w:r>
          </w:p>
        </w:tc>
        <w:tc>
          <w:tcPr>
            <w:tcW w:w="100" w:type="dxa"/>
            <w:vAlign w:val="bottom"/>
          </w:tcPr>
          <w:p>
            <w:pPr>
              <w:spacing w:after="0"/>
              <w:rPr>
                <w:sz w:val="21"/>
                <w:szCs w:val="21"/>
                <w:color w:val="auto"/>
              </w:rPr>
            </w:pPr>
          </w:p>
        </w:tc>
      </w:tr>
      <w:tr>
        <w:trPr>
          <w:trHeight w:val="237"/>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889,119</w:t>
            </w:r>
          </w:p>
        </w:tc>
        <w:tc>
          <w:tcPr>
            <w:tcW w:w="24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1,220,946</w:t>
            </w:r>
          </w:p>
        </w:tc>
        <w:tc>
          <w:tcPr>
            <w:tcW w:w="22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1,455,376</w:t>
            </w:r>
          </w:p>
        </w:tc>
        <w:tc>
          <w:tcPr>
            <w:tcW w:w="100" w:type="dxa"/>
            <w:vAlign w:val="bottom"/>
            <w:tcBorders>
              <w:bottom w:val="single" w:sz="8" w:color="CCFFC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-162560</wp:posOffset>
            </wp:positionV>
            <wp:extent cx="72466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432"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Responsibilities under credit line agreements</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569,332</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531,816</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814,746</w:t>
            </w:r>
          </w:p>
        </w:tc>
      </w:tr>
      <w:tr>
        <w:trPr>
          <w:trHeight w:val="24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derivative contracts, net</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211,520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310,944</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(30,970)</w:t>
            </w:r>
          </w:p>
        </w:tc>
      </w:tr>
      <w:tr>
        <w:trPr>
          <w:trHeight w:val="243"/>
        </w:trPr>
        <w:tc>
          <w:tcPr>
            <w:tcW w:w="65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Swap contracts</w:t>
            </w:r>
          </w:p>
        </w:tc>
        <w:tc>
          <w:tcPr>
            <w:tcW w:w="22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212,417</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572,160</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543,041</w:t>
            </w:r>
          </w:p>
        </w:tc>
      </w:tr>
      <w:tr>
        <w:trPr>
          <w:trHeight w:val="237"/>
        </w:trPr>
        <w:tc>
          <w:tcPr>
            <w:tcW w:w="65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90"/>
        </w:trPr>
        <w:tc>
          <w:tcPr>
            <w:tcW w:w="652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1,882,388</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2,635,866</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US$2,782,193</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its business, Credicorp’s banking subsidiaries are party to transactions with off-balance sheet risk. These transactions expose Credicorp’s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Credicorp is under no commitment to extend credit. Credicorp applies the same credit policies in making commitments and conditional obligations as it does for on-balance sheet instruments, including the requirement to obtain collateral to support off-balance sheet financial instruments (see Note 7(a) to the Credicorp Consolidated Financial Statement) when it is deemed necessary. Collateral held varies, but may include deposits held in financial institutions, securities or other assets.</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Due to the fact that many of the contingent transactions are expected to expire without any payment being required from Credicorp, the total committed amounts do not necessarily represent future cash requirements.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and 2005, Credicorp had foreign currency forward derivatives.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Credicorp has a minor position on options for exchange rates totaling US$8.7 million. As of December 31, 2006 and 2005, forward foreign currency purchase and sale agreements referred to above included nominal amounts of approximately US$1,153.2 million and US$998.7 million, respectively, which have maturities of less than a year. These agreements are executed to satisfy client requirements and are recorded by Credicorp in the financial statements at fair market value. The forward contracts net position as of December 31, 2006 and 2005 was an overbuy of approximately US$31.0 million and an oversell of approximately US$310.9 million, respectively.</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outstanding interest rate swap contracts was approximately US$543.0 million (approximately US$572.2 million as of December 31, 2005). These contracts are recorded by Credicorp at fair market value, recording both realized and unrealized gains and losses in the consolidated income statements.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14" w:name="page115"/>
    <w:bookmarkEnd w:id="11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Credicorp held one interest rate swap contract for a notional amount of US$196.0 million designated as a cash flow hedge, because it reduces the exposure to the variable interest rate risk of a portion of the loan transaction entered into by Credicorp in November 2005 (See Note 14(b) to the Credicorp Consolidated Financial Statements). In accordance with the hedge operation, which matures in November 2012, Credicorp pays a fixed rate of 4.57% and receives a variable rate equal to the monthly Libor interest rate over the notional amount and the settlements are made on a monthly basis. The loan and the interest rate swap have the same critical terms.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asset and liability forward contracts and swaps as of December 31, 2006 amounted to approximately US$19.1 million and US$7.8 million, respectively (approximately US$8.8 million and US$8.0 million as of December 31, 2005), and are included under the caption “Other assets and other liabilities” of the consolidated balance sheet, respectively, see Note 11 to Credicorp Consolidated Financial Statements. As of December 31, 2006 and 2005, the fair value of the cash flow hedge amounted to US$2.9 and US$1.6 million, respectively, and it is included in the net equity.</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responsibilities under credit line agreements do not correspond to commitment to grant credit and include credit lines and other consumer loans that are cancelable upon notification to the consumer.</w:t>
      </w:r>
    </w:p>
    <w:p>
      <w:pPr>
        <w:spacing w:after="0" w:line="21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Tabular Disclosure of Contractual Obligations</w:t>
      </w:r>
    </w:p>
    <w:p>
      <w:pPr>
        <w:spacing w:after="0" w:line="283"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8"/>
          <w:szCs w:val="18"/>
          <w:color w:val="auto"/>
        </w:rPr>
        <w:t>Credicorp enters into various contractual obligations that may require future cash payments. The following table summarizes Credicorp’s contractual obligations by remaining maturity as of December 31, 2006. See ”Item 4. Information on the Company—(B) Business Overview—(1) Introduction - Review</w:t>
      </w:r>
    </w:p>
    <w:p>
      <w:pPr>
        <w:spacing w:after="0"/>
        <w:rPr>
          <w:sz w:val="20"/>
          <w:szCs w:val="20"/>
          <w:color w:val="auto"/>
        </w:rPr>
      </w:pPr>
      <w:r>
        <w:rPr>
          <w:rFonts w:ascii="Times New Roman" w:cs="Times New Roman" w:eastAsia="Times New Roman" w:hAnsi="Times New Roman"/>
          <w:sz w:val="18"/>
          <w:szCs w:val="18"/>
          <w:color w:val="auto"/>
        </w:rPr>
        <w:t>of 2006.”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160" w:type="dxa"/>
            <w:vAlign w:val="bottom"/>
          </w:tcPr>
          <w:p>
            <w:pPr>
              <w:spacing w:after="0"/>
              <w:rPr>
                <w:sz w:val="16"/>
                <w:szCs w:val="16"/>
                <w:color w:val="auto"/>
              </w:rPr>
            </w:pPr>
          </w:p>
        </w:tc>
        <w:tc>
          <w:tcPr>
            <w:tcW w:w="14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at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1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20"/>
                <w:szCs w:val="20"/>
                <w:color w:val="auto"/>
              </w:rPr>
            </w:pPr>
          </w:p>
        </w:tc>
        <w:tc>
          <w:tcPr>
            <w:tcW w:w="12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More than</w:t>
            </w: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Pr>
          <w:p>
            <w:pPr>
              <w:spacing w:after="0"/>
              <w:rPr>
                <w:sz w:val="22"/>
                <w:szCs w:val="22"/>
                <w:color w:val="auto"/>
              </w:rPr>
            </w:pPr>
          </w:p>
        </w:tc>
      </w:tr>
      <w:tr>
        <w:trPr>
          <w:trHeight w:val="243"/>
        </w:trPr>
        <w:tc>
          <w:tcPr>
            <w:tcW w:w="5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Borrowed funds</w:t>
            </w:r>
          </w:p>
        </w:tc>
        <w:tc>
          <w:tcPr>
            <w:tcW w:w="1400" w:type="dxa"/>
            <w:vAlign w:val="bottom"/>
            <w:gridSpan w:val="3"/>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717,557</w:t>
            </w: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343,101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65,061</w:t>
            </w:r>
          </w:p>
        </w:tc>
        <w:tc>
          <w:tcPr>
            <w:tcW w:w="1240" w:type="dxa"/>
            <w:vAlign w:val="bottom"/>
            <w:gridSpan w:val="2"/>
            <w:shd w:val="clear" w:color="auto" w:fill="CCFFCC"/>
          </w:tcPr>
          <w:p>
            <w:pPr>
              <w:jc w:val="center"/>
              <w:ind w:left="3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166,817</w:t>
            </w:r>
          </w:p>
        </w:tc>
        <w:tc>
          <w:tcPr>
            <w:tcW w:w="1240" w:type="dxa"/>
            <w:vAlign w:val="bottom"/>
            <w:gridSpan w:val="2"/>
            <w:shd w:val="clear" w:color="auto" w:fill="CCFFCC"/>
          </w:tcPr>
          <w:p>
            <w:pPr>
              <w:jc w:val="center"/>
              <w:ind w:left="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142,578</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Promotional credit lines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22,071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19,613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114,215</w:t>
            </w:r>
          </w:p>
        </w:tc>
      </w:tr>
      <w:tr>
        <w:trPr>
          <w:trHeight w:val="243"/>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Interbank funds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41,077</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41,077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3,019,532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163,283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6,116</w:t>
            </w:r>
          </w:p>
        </w:tc>
      </w:tr>
      <w:tr>
        <w:trPr>
          <w:trHeight w:val="243"/>
        </w:trPr>
        <w:tc>
          <w:tcPr>
            <w:tcW w:w="51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12,243</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2,957</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5,323</w:t>
            </w:r>
          </w:p>
        </w:tc>
      </w:tr>
      <w:tr>
        <w:trPr>
          <w:trHeight w:val="20"/>
        </w:trPr>
        <w:tc>
          <w:tcPr>
            <w:tcW w:w="5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4,166,934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US$</w:t>
            </w:r>
            <w:r>
              <w:rPr>
                <w:rFonts w:ascii="Times New Roman" w:cs="Times New Roman" w:eastAsia="Times New Roman" w:hAnsi="Times New Roman"/>
                <w:sz w:val="17"/>
                <w:szCs w:val="17"/>
                <w:color w:val="auto"/>
                <w:w w:val="99"/>
              </w:rPr>
              <w:t>3,428,371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250,914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219,417</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268,232</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 of the “Borrowed funds” caption in the table above corresponds to “borrowed funds” and “International funds and others”:</w:t>
      </w:r>
    </w:p>
    <w:p>
      <w:pPr>
        <w:spacing w:after="0" w:line="279" w:lineRule="exact"/>
        <w:rPr>
          <w:sz w:val="20"/>
          <w:szCs w:val="20"/>
          <w:color w:val="auto"/>
        </w:rPr>
      </w:pPr>
    </w:p>
    <w:p>
      <w:pPr>
        <w:jc w:val="both"/>
        <w:ind w:left="660" w:hanging="328"/>
        <w:spacing w:after="0" w:line="254"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2005 BCP entered into a loan transaction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the corresponding bank to make payments to beneficiaries that are not financial institutions. In this transaction, Wilmington Trust Company acted as trustee under the trust agreement and The Bank of New York acted as indenture trustee and administrator of the contract. The certificates bear a variable interest rate of one month Libor plus 0.21% for the 2005-A Series and one month Libor plus 0.60% for the Series 2005-B. As of December 31, 2006 and 2005, the balance of this obligation amounted to US$280.0 million. A portion (70%), of the loan, subject to variable interest rate risk, has been hedged through an interest rate swap hedge operation for a notional amount of US$196.0 million (see Note 20(d) to the Credicorp Consolidated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5" w:name="page116"/>
    <w:bookmarkEnd w:id="115"/>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March 2006, BCP entered into a loan transaction for US$100.0 million, related to Series 2006-A Floating Rate Certificates due 2016. Like the November 2005 loan, the loan is secured by the future inflows from electronic messages sent through the Society for Worldwide Interbank Financial Telecommunications network instruct the corresponding bank to make payments to beneficiaries that are not financial institutions. Wilmington Trust Company acted as Trustee under the trust agreement and The Bank of New York acted as indenture trustee and administrator of the contract. The certificates bear a variable interest rate of one month Libor plus 0.29%, as of December 31, 2006, and the balance of this obligation amounts to US$90.6 million.</w:t>
      </w:r>
    </w:p>
    <w:p>
      <w:pPr>
        <w:spacing w:after="0" w:line="24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For the US$100.0 million loan related to the Series 2006-A and the US$230.0 million related to the Series 2005-A, BCP has signed an insurance policy with AMBAC Assurance Corporation which guarantees the timely payment of scheduled principal and certain interest monthly payments through November 2016 and November 2012, respectively. The insurance policy cost is equivalent to an annual fixed interest rate of 0.80% and 0.75% of the principal that is recorded as part of interest costs. In management’s opinion, as of the date of the consolidated balance sheet Credicorp is not in violation of the covenants included in these loan agreements.</w:t>
      </w:r>
    </w:p>
    <w:p>
      <w:pPr>
        <w:spacing w:after="0" w:line="23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“international funds and others” received by Credicorp are loans used mainly for financing foreign trade operations and working capital. As of December 31, 2006, these loans have maturities between January 2007 and May 2007. The interest rates range between 3.73% and 5.76%. As of December 31, 2006, the balance of these obligations is US$346.9 million (See Note 14 (a) to the Credicorp Consolidated Financial Statements).</w:t>
      </w:r>
    </w:p>
    <w:p>
      <w:pPr>
        <w:spacing w:after="0" w:line="230" w:lineRule="exact"/>
        <w:rPr>
          <w:sz w:val="20"/>
          <w:szCs w:val="20"/>
          <w:color w:val="auto"/>
        </w:rPr>
      </w:pPr>
    </w:p>
    <w:p>
      <w:pPr>
        <w:jc w:val="both"/>
        <w:ind w:left="660" w:hanging="328"/>
        <w:spacing w:after="0" w:line="25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promotional credit lines represent loans granted to BCP by Corporación Financiera de Desarrollo (COFIDE) and Banco Interamericano de Desarrollo (Inter-American Development Bank or IDB), to promote the development of Peru, have maturities between January 2007 and December 2021 and their interest rates range between 5.65 and 7.90%. These credit lines are secured by a loan portfolio totaling US$177.9 million and US$212.1 million as of December 31, 2006 and December 31, 2005, respectively. These lines include covenants specifying the use of the funds, financial conditions that the borrower must maintain and other administrative matters. In Management’s opinion, these covenants do not limit Credicorp’s operations and at the balance sheet date, Credicorp is not in violation of these covenants.</w:t>
      </w:r>
    </w:p>
    <w:p>
      <w:pPr>
        <w:spacing w:after="0" w:line="200" w:lineRule="exact"/>
        <w:rPr>
          <w:sz w:val="20"/>
          <w:szCs w:val="20"/>
          <w:color w:val="auto"/>
        </w:rPr>
      </w:pPr>
    </w:p>
    <w:p>
      <w:pPr>
        <w:spacing w:after="0" w:line="3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79" w:lineRule="exact"/>
        <w:rPr>
          <w:sz w:val="20"/>
          <w:szCs w:val="20"/>
          <w:color w:val="auto"/>
        </w:rPr>
      </w:pPr>
    </w:p>
    <w:p>
      <w:pPr>
        <w:ind w:left="660" w:right="8120" w:hanging="652"/>
        <w:spacing w:after="0" w:line="597" w:lineRule="auto"/>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Directors and Senior Management </w:t>
      </w:r>
      <w:r>
        <w:rPr>
          <w:rFonts w:ascii="Times New Roman" w:cs="Times New Roman" w:eastAsia="Times New Roman" w:hAnsi="Times New Roman"/>
          <w:sz w:val="18"/>
          <w:szCs w:val="18"/>
          <w:b w:val="1"/>
          <w:bCs w:val="1"/>
          <w:i w:val="1"/>
          <w:iCs w:val="1"/>
          <w:color w:val="auto"/>
        </w:rPr>
        <w:t>Board of Directors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current Directors of Credicorp.</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52"/>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1"/>
                <w:szCs w:val="21"/>
                <w:color w:val="auto"/>
              </w:rPr>
            </w:pPr>
          </w:p>
        </w:tc>
        <w:tc>
          <w:tcPr>
            <w:tcW w:w="57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Years served as a Director</w:t>
            </w:r>
            <w:r>
              <w:rPr>
                <w:rFonts w:ascii="Times New Roman" w:cs="Times New Roman" w:eastAsia="Times New Roman" w:hAnsi="Times New Roman"/>
                <w:sz w:val="18"/>
                <w:szCs w:val="18"/>
                <w:color w:val="auto"/>
              </w:rPr>
              <w:t>(1)</w:t>
            </w:r>
          </w:p>
        </w:tc>
      </w:tr>
      <w:tr>
        <w:trPr>
          <w:trHeight w:val="21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Dionisio Romero</w:t>
            </w:r>
          </w:p>
        </w:tc>
        <w:tc>
          <w:tcPr>
            <w:tcW w:w="1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10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Luis Nicolini</w:t>
            </w: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Deputy Chairman</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31</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Fernando Fort</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Reynaldo Llosa</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Juan Carlos Verme</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Luis Enrique Yarur</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Felipe Ortiz de Zevallos</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Germán Suárez</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5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8877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Credicorp, its subsidiaries and their predecessors as of December 31, 2006.</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at the Annual General Shareholders’ Meeting on March 31, 2005.</w:t>
      </w:r>
    </w:p>
    <w:p>
      <w:pPr>
        <w:spacing w:after="0" w:line="3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Dionisio Romero </w:t>
      </w:r>
      <w:r>
        <w:rPr>
          <w:rFonts w:ascii="Times New Roman" w:cs="Times New Roman" w:eastAsia="Times New Roman" w:hAnsi="Times New Roman"/>
          <w:sz w:val="18"/>
          <w:szCs w:val="18"/>
          <w:color w:val="auto"/>
        </w:rPr>
        <w:t>is an economist with a Masters degree in Business Administration from Stanford University in the United States of America.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Romero was the Chairman of 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23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Luis Nicolini</w:t>
      </w:r>
      <w:r>
        <w:rPr>
          <w:rFonts w:ascii="Times New Roman" w:cs="Times New Roman" w:eastAsia="Times New Roman" w:hAnsi="Times New Roman"/>
          <w:sz w:val="18"/>
          <w:szCs w:val="18"/>
          <w:color w:val="auto"/>
        </w:rPr>
        <w:t>, an industrial banker by profession, has served as Vice Chairman of Banco de Crédito del Perú since August 1995, is also a Director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Boards of Inversiones Centenario, Alicorp, PPS, and is Chairman of the textile company Fábrica de Tejidos La Bellota. He has been Deputy Chairman of Credicorp since August 1995 and of ASB. He is also Deputy Chairman and Director of BCB and BCP’s subsidiaries.</w:t>
      </w:r>
    </w:p>
    <w:p>
      <w:pPr>
        <w:spacing w:after="0" w:line="22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Fernando Fort </w:t>
      </w:r>
      <w:r>
        <w:rPr>
          <w:rFonts w:ascii="Times New Roman" w:cs="Times New Roman" w:eastAsia="Times New Roman" w:hAnsi="Times New Roman"/>
          <w:sz w:val="18"/>
          <w:szCs w:val="18"/>
          <w:color w:val="auto"/>
        </w:rPr>
        <w:t>is a lawyer and Partner at the law firm of Fort, Bertorini Godoy Pollari &amp; Carcelen Abogados S.A. Mr. Fort has served as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22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Reynaldo Llosa </w:t>
      </w:r>
      <w:r>
        <w:rPr>
          <w:rFonts w:ascii="Times New Roman" w:cs="Times New Roman" w:eastAsia="Times New Roman" w:hAnsi="Times New Roman"/>
          <w:sz w:val="18"/>
          <w:szCs w:val="18"/>
          <w:color w:val="auto"/>
        </w:rPr>
        <w:t>is a business manager and has served as a Director of Banco de Crédito del Perú’s from 1980 to October 1987 and from March 1990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Juan Carlos Verme </w:t>
      </w:r>
      <w:r>
        <w:rPr>
          <w:rFonts w:ascii="Times New Roman" w:cs="Times New Roman" w:eastAsia="Times New Roman" w:hAnsi="Times New Roman"/>
          <w:sz w:val="18"/>
          <w:szCs w:val="18"/>
          <w:color w:val="auto"/>
        </w:rPr>
        <w:t>is a businessman and has served as Director of Banco de Crédito del Perú since March 1990 and as a Director of Credicorp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1995. He is also Director, Banco de Crédito de Bolivia, Atlantic Security Bank and BCP’s subsidiaries. Mr. Verme is a Chairman of Inversiones Antencinio and also serves as a Director on the Boards of various other companies. He is a member of the Asamblea General de Asociados del Patronato del Museo de Arte de Lima and Vice President of Asociación Cultural Filarmonía.</w:t>
      </w:r>
    </w:p>
    <w:p>
      <w:pPr>
        <w:spacing w:after="0" w:line="23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Luis Enrique Yarur </w:t>
      </w:r>
      <w:r>
        <w:rPr>
          <w:rFonts w:ascii="Times New Roman" w:cs="Times New Roman" w:eastAsia="Times New Roman" w:hAnsi="Times New Roman"/>
          <w:sz w:val="18"/>
          <w:szCs w:val="18"/>
          <w:color w:val="auto"/>
        </w:rPr>
        <w:t>is a businessman with an undergraduate degree in law and graduate degrees in economics and management. He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Banco de Crédito del Perú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17" w:name="page118"/>
    <w:bookmarkEnd w:id="117"/>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Felipe Ortiz de Zevallos </w:t>
      </w:r>
      <w:r>
        <w:rPr>
          <w:rFonts w:ascii="Times New Roman" w:cs="Times New Roman" w:eastAsia="Times New Roman" w:hAnsi="Times New Roman"/>
          <w:sz w:val="18"/>
          <w:szCs w:val="18"/>
          <w:color w:val="auto"/>
        </w:rPr>
        <w:t>is an industrial engineer with a Masters degree in Management Science from Rochester University and a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degree from Harvard Business School. Mr. Ortiz de Zevallos became a Director of Credicorp on March 31, 2005. Mr. Ortiz de Zevallos serves as Director on the Boards of various other companies, among which are Grupo Apoyo (Chairman), Compañía de Minas Buenaventura S.A. and Universia. Felipe Ortiz de Zevallos is currently Peru’s Ambassador to the United States. Until he was appointed as Peru’s Ambassador to the United States, Mr. Zevallos served as the President of Universidad del Pacífico in Lima (elected for the period 2004-2009).</w:t>
      </w:r>
    </w:p>
    <w:p>
      <w:pPr>
        <w:spacing w:after="0" w:line="23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Germán Suárez </w:t>
      </w:r>
      <w:r>
        <w:rPr>
          <w:rFonts w:ascii="Times New Roman" w:cs="Times New Roman" w:eastAsia="Times New Roman" w:hAnsi="Times New Roman"/>
          <w:sz w:val="18"/>
          <w:szCs w:val="18"/>
          <w:color w:val="auto"/>
        </w:rPr>
        <w:t>is an economist, and received his Masters degree in economics from Columbia University. Mr. Suárez became a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Credicorp on 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Secretary of Credicorp is Dawna L. Ferguson. The Assistant Secretary of Credicorp is Fernando Palao. The Resident Representative of Credicorp in Bermuda is Nicholas G. Trollope.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 Served as</w:t>
            </w:r>
          </w:p>
        </w:tc>
      </w:tr>
      <w:tr>
        <w:trPr>
          <w:trHeight w:val="238"/>
        </w:trPr>
        <w:tc>
          <w:tcPr>
            <w:tcW w:w="2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 Officer</w:t>
            </w:r>
            <w:r>
              <w:rPr>
                <w:rFonts w:ascii="Times New Roman" w:cs="Times New Roman" w:eastAsia="Times New Roman" w:hAnsi="Times New Roman"/>
                <w:sz w:val="18"/>
                <w:szCs w:val="18"/>
                <w:color w:val="auto"/>
              </w:rPr>
              <w:t>(1)</w:t>
            </w:r>
          </w:p>
        </w:tc>
      </w:tr>
      <w:tr>
        <w:trPr>
          <w:trHeight w:val="24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Dionisio Romero</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37(2)</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Raimundo Morales</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Carlos Muñoz</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w:t>
            </w: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Walter Bayly</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and Accounting Officer</w:t>
            </w: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José Luis Gagliardi</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Administration and Human Resources</w:t>
            </w: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26(3)</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David Saettone</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Insurance</w:t>
            </w:r>
          </w:p>
        </w:tc>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255270</wp:posOffset>
            </wp:positionV>
            <wp:extent cx="81851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215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760" w:hanging="266"/>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Credicorp, its subsidiaries and their predecessors as of December 31, 2006.</w:t>
      </w:r>
    </w:p>
    <w:p>
      <w:pPr>
        <w:spacing w:after="0" w:line="63" w:lineRule="exact"/>
        <w:rPr>
          <w:rFonts w:ascii="Times New Roman" w:cs="Times New Roman" w:eastAsia="Times New Roman" w:hAnsi="Times New Roman"/>
          <w:sz w:val="18"/>
          <w:szCs w:val="18"/>
          <w:color w:val="auto"/>
        </w:rPr>
      </w:pPr>
    </w:p>
    <w:p>
      <w:pPr>
        <w:ind w:left="760" w:hanging="266"/>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Romero served as an officer of BCP from 1966 through 1987 and from 1990 to the present. Mr. Romero has been an officer of PPS since 1972.</w:t>
      </w:r>
    </w:p>
    <w:p>
      <w:pPr>
        <w:spacing w:after="0" w:line="63" w:lineRule="exact"/>
        <w:rPr>
          <w:rFonts w:ascii="Times New Roman" w:cs="Times New Roman" w:eastAsia="Times New Roman" w:hAnsi="Times New Roman"/>
          <w:sz w:val="18"/>
          <w:szCs w:val="18"/>
          <w:color w:val="auto"/>
        </w:rPr>
      </w:pPr>
    </w:p>
    <w:p>
      <w:pPr>
        <w:ind w:left="760" w:hanging="266"/>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Gagliardi served as an officer of BCP from 1981 through 1988.</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i w:val="1"/>
          <w:iCs w:val="1"/>
          <w:color w:val="auto"/>
        </w:rPr>
        <w:t>Dionisio Romero</w:t>
      </w:r>
      <w:r>
        <w:rPr>
          <w:rFonts w:ascii="Times New Roman" w:cs="Times New Roman" w:eastAsia="Times New Roman" w:hAnsi="Times New Roman"/>
          <w:sz w:val="18"/>
          <w:szCs w:val="18"/>
          <w:color w:val="auto"/>
        </w:rPr>
        <w:t>, the Chief Executive Officer of Credicorp, also serves on Credicorp’s Board of Directors. See “—Directors.”</w:t>
      </w:r>
    </w:p>
    <w:p>
      <w:pPr>
        <w:spacing w:after="0" w:line="2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Raimundo Morales</w:t>
      </w:r>
      <w:r>
        <w:rPr>
          <w:rFonts w:ascii="Times New Roman" w:cs="Times New Roman" w:eastAsia="Times New Roman" w:hAnsi="Times New Roman"/>
          <w:sz w:val="18"/>
          <w:szCs w:val="18"/>
          <w:color w:val="auto"/>
        </w:rPr>
        <w:t>, the Chief Operating Officer of Credicorp, is also the General Manager of Banco de Crédito del Perú, having joined BCP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23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Carlos Muñoz</w:t>
      </w:r>
      <w:r>
        <w:rPr>
          <w:rFonts w:ascii="Times New Roman" w:cs="Times New Roman" w:eastAsia="Times New Roman" w:hAnsi="Times New Roman"/>
          <w:sz w:val="18"/>
          <w:szCs w:val="18"/>
          <w:color w:val="auto"/>
        </w:rPr>
        <w:t>, the Executive Vice President of Credicorp, is also the Deputy General Manager of Banco de Crédito del Perú and the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ASB. He previously served as Senior Vice President and Manager of BCP’s Metropolitan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Walter Bayly </w:t>
      </w:r>
      <w:r>
        <w:rPr>
          <w:rFonts w:ascii="Times New Roman" w:cs="Times New Roman" w:eastAsia="Times New Roman" w:hAnsi="Times New Roman"/>
          <w:sz w:val="18"/>
          <w:szCs w:val="18"/>
          <w:color w:val="auto"/>
        </w:rPr>
        <w:t>was appointed Chief Financial and Accounting Officer of Credicorp and Executive Vice President of Planning and Finance of Banco 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Crédito del Perú in April 2004. Previously, Mr. Bayly held various other management positions within BCP, having managed the Wholesale Banking Group as well as various Areas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José Luis Gagliardi</w:t>
      </w:r>
      <w:r>
        <w:rPr>
          <w:rFonts w:ascii="Times New Roman" w:cs="Times New Roman" w:eastAsia="Times New Roman" w:hAnsi="Times New Roman"/>
          <w:sz w:val="18"/>
          <w:szCs w:val="18"/>
          <w:color w:val="auto"/>
        </w:rPr>
        <w:t>, the Senior Vice President, Administration and Human Resources of Credicorp and Executive Vice President of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Banco de Crédito del Perú, first joined BCP in 1981. From March 1981 until December 1988 he served as the Manager of Human Resources and Central Manager of Resources and Administration. In 1988, Mr. Gagliardi left BCP to manage Human Resources for Bank of America’s Latin American Group. He rejoined BCP in November 1990.</w:t>
      </w:r>
    </w:p>
    <w:p>
      <w:pPr>
        <w:spacing w:after="0" w:line="23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David Saettone </w:t>
      </w:r>
      <w:r>
        <w:rPr>
          <w:rFonts w:ascii="Times New Roman" w:cs="Times New Roman" w:eastAsia="Times New Roman" w:hAnsi="Times New Roman"/>
          <w:sz w:val="18"/>
          <w:szCs w:val="18"/>
          <w:color w:val="auto"/>
        </w:rPr>
        <w:t>is the Senior Vice President, Insurance of Credicorp and the General Manager of PPS. He is an economist with a Masters degree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PhD from Princeton University in the United States. He was the General Manager of BCB and Chief of the Gabinete de Asesores y Unidad de Coordinación de Préstamos Sectoriales of the Economy and Finance Office, Perú. He was also Manager of the Corporate Finance Area of BCP.</w:t>
      </w:r>
    </w:p>
    <w:p>
      <w:pPr>
        <w:spacing w:after="0" w:line="226" w:lineRule="exact"/>
        <w:rPr>
          <w:sz w:val="20"/>
          <w:szCs w:val="20"/>
          <w:color w:val="auto"/>
        </w:rPr>
      </w:pPr>
    </w:p>
    <w:p>
      <w:pPr>
        <w:ind w:left="660" w:hanging="607"/>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amount of compensation paid by Credicorp to all Directors and executive officers for 2006 was US$36.2 million. Credicorp does not disclose to its shareholders or otherwise make available to the public information as to the compensation of its individual directors or executive officers.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and through 2006.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The following table shows the number of SARs granted and corresponding exercise price for each year.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35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Number of Outstanding SARs granted</w:t>
            </w:r>
          </w:p>
        </w:tc>
        <w:tc>
          <w:tcPr>
            <w:tcW w:w="220" w:type="dxa"/>
            <w:vAlign w:val="bottom"/>
          </w:tcPr>
          <w:p>
            <w:pPr>
              <w:spacing w:after="0"/>
              <w:rPr>
                <w:sz w:val="20"/>
                <w:szCs w:val="20"/>
                <w:color w:val="auto"/>
              </w:rPr>
            </w:pPr>
          </w:p>
        </w:tc>
        <w:tc>
          <w:tcPr>
            <w:tcW w:w="36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Exercise price in US$</w:t>
            </w:r>
          </w:p>
        </w:tc>
        <w:tc>
          <w:tcPr>
            <w:tcW w:w="100" w:type="dxa"/>
            <w:vAlign w:val="bottom"/>
          </w:tcPr>
          <w:p>
            <w:pPr>
              <w:spacing w:after="0"/>
              <w:rPr>
                <w:sz w:val="20"/>
                <w:szCs w:val="20"/>
                <w:color w:val="auto"/>
              </w:rPr>
            </w:pPr>
          </w:p>
        </w:tc>
      </w:tr>
      <w:tr>
        <w:trPr>
          <w:trHeight w:val="237"/>
        </w:trPr>
        <w:tc>
          <w:tcPr>
            <w:tcW w:w="3540" w:type="dxa"/>
            <w:vAlign w:val="bottom"/>
            <w:shd w:val="clear" w:color="auto" w:fill="CCFFCC"/>
          </w:tcPr>
          <w:p>
            <w:pPr>
              <w:ind w:left="1600"/>
              <w:spacing w:after="0"/>
              <w:rPr>
                <w:sz w:val="20"/>
                <w:szCs w:val="20"/>
                <w:color w:val="auto"/>
              </w:rPr>
            </w:pPr>
            <w:r>
              <w:rPr>
                <w:rFonts w:ascii="Times New Roman" w:cs="Times New Roman" w:eastAsia="Times New Roman" w:hAnsi="Times New Roman"/>
                <w:sz w:val="18"/>
                <w:szCs w:val="18"/>
                <w:color w:val="auto"/>
              </w:rPr>
              <w:t>2000</w:t>
            </w:r>
          </w:p>
        </w:tc>
        <w:tc>
          <w:tcPr>
            <w:tcW w:w="3900" w:type="dxa"/>
            <w:vAlign w:val="bottom"/>
            <w:gridSpan w:val="2"/>
            <w:shd w:val="clear" w:color="auto" w:fill="CCFFCC"/>
          </w:tcPr>
          <w:p>
            <w:pPr>
              <w:jc w:val="right"/>
              <w:ind w:right="1390"/>
              <w:spacing w:after="0"/>
              <w:rPr>
                <w:sz w:val="20"/>
                <w:szCs w:val="20"/>
                <w:color w:val="auto"/>
              </w:rPr>
            </w:pPr>
            <w:r>
              <w:rPr>
                <w:rFonts w:ascii="Times New Roman" w:cs="Times New Roman" w:eastAsia="Times New Roman" w:hAnsi="Times New Roman"/>
                <w:sz w:val="18"/>
                <w:szCs w:val="18"/>
                <w:color w:val="auto"/>
              </w:rPr>
              <w:t>509,000</w:t>
            </w:r>
          </w:p>
        </w:tc>
        <w:tc>
          <w:tcPr>
            <w:tcW w:w="388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FFCC"/>
          </w:tcPr>
          <w:p>
            <w:pPr>
              <w:spacing w:after="0"/>
              <w:rPr>
                <w:sz w:val="20"/>
                <w:szCs w:val="20"/>
                <w:color w:val="auto"/>
              </w:rPr>
            </w:pPr>
          </w:p>
        </w:tc>
      </w:tr>
      <w:tr>
        <w:trPr>
          <w:trHeight w:val="243"/>
        </w:trPr>
        <w:tc>
          <w:tcPr>
            <w:tcW w:w="35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2001</w:t>
            </w:r>
          </w:p>
        </w:tc>
        <w:tc>
          <w:tcPr>
            <w:tcW w:w="39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555,000</w:t>
            </w: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Times New Roman" w:cs="Times New Roman" w:eastAsia="Times New Roman" w:hAnsi="Times New Roman"/>
                <w:sz w:val="18"/>
                <w:szCs w:val="18"/>
                <w:color w:val="auto"/>
              </w:rPr>
              <w:t>2002</w:t>
            </w:r>
          </w:p>
        </w:tc>
        <w:tc>
          <w:tcPr>
            <w:tcW w:w="3900" w:type="dxa"/>
            <w:vAlign w:val="bottom"/>
            <w:gridSpan w:val="2"/>
            <w:shd w:val="clear" w:color="auto" w:fill="CCFFCC"/>
          </w:tcPr>
          <w:p>
            <w:pPr>
              <w:jc w:val="right"/>
              <w:ind w:right="1390"/>
              <w:spacing w:after="0"/>
              <w:rPr>
                <w:sz w:val="20"/>
                <w:szCs w:val="20"/>
                <w:color w:val="auto"/>
              </w:rPr>
            </w:pPr>
            <w:r>
              <w:rPr>
                <w:rFonts w:ascii="Times New Roman" w:cs="Times New Roman" w:eastAsia="Times New Roman" w:hAnsi="Times New Roman"/>
                <w:sz w:val="18"/>
                <w:szCs w:val="18"/>
                <w:color w:val="auto"/>
              </w:rPr>
              <w:t>558,750</w:t>
            </w:r>
          </w:p>
        </w:tc>
        <w:tc>
          <w:tcPr>
            <w:tcW w:w="388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2003</w:t>
            </w:r>
          </w:p>
        </w:tc>
        <w:tc>
          <w:tcPr>
            <w:tcW w:w="39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562,500</w:t>
            </w: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Times New Roman" w:cs="Times New Roman" w:eastAsia="Times New Roman" w:hAnsi="Times New Roman"/>
                <w:sz w:val="18"/>
                <w:szCs w:val="18"/>
                <w:color w:val="auto"/>
              </w:rPr>
              <w:t>2004</w:t>
            </w:r>
          </w:p>
        </w:tc>
        <w:tc>
          <w:tcPr>
            <w:tcW w:w="3900" w:type="dxa"/>
            <w:vAlign w:val="bottom"/>
            <w:gridSpan w:val="2"/>
            <w:shd w:val="clear" w:color="auto" w:fill="CCFFCC"/>
          </w:tcPr>
          <w:p>
            <w:pPr>
              <w:jc w:val="right"/>
              <w:ind w:right="1390"/>
              <w:spacing w:after="0"/>
              <w:rPr>
                <w:sz w:val="20"/>
                <w:szCs w:val="20"/>
                <w:color w:val="auto"/>
              </w:rPr>
            </w:pPr>
            <w:r>
              <w:rPr>
                <w:rFonts w:ascii="Times New Roman" w:cs="Times New Roman" w:eastAsia="Times New Roman" w:hAnsi="Times New Roman"/>
                <w:sz w:val="18"/>
                <w:szCs w:val="18"/>
                <w:color w:val="auto"/>
              </w:rPr>
              <w:t>570,000</w:t>
            </w:r>
          </w:p>
        </w:tc>
        <w:tc>
          <w:tcPr>
            <w:tcW w:w="388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2005</w:t>
            </w:r>
          </w:p>
        </w:tc>
        <w:tc>
          <w:tcPr>
            <w:tcW w:w="390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585,000</w:t>
            </w: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Times New Roman" w:cs="Times New Roman" w:eastAsia="Times New Roman" w:hAnsi="Times New Roman"/>
                <w:sz w:val="18"/>
                <w:szCs w:val="18"/>
                <w:color w:val="auto"/>
              </w:rPr>
              <w:t>2006</w:t>
            </w:r>
          </w:p>
        </w:tc>
        <w:tc>
          <w:tcPr>
            <w:tcW w:w="3900" w:type="dxa"/>
            <w:vAlign w:val="bottom"/>
            <w:gridSpan w:val="2"/>
            <w:shd w:val="clear" w:color="auto" w:fill="CCFFCC"/>
          </w:tcPr>
          <w:p>
            <w:pPr>
              <w:jc w:val="right"/>
              <w:ind w:right="1390"/>
              <w:spacing w:after="0"/>
              <w:rPr>
                <w:sz w:val="20"/>
                <w:szCs w:val="20"/>
                <w:color w:val="auto"/>
              </w:rPr>
            </w:pPr>
            <w:r>
              <w:rPr>
                <w:rFonts w:ascii="Times New Roman" w:cs="Times New Roman" w:eastAsia="Times New Roman" w:hAnsi="Times New Roman"/>
                <w:sz w:val="18"/>
                <w:szCs w:val="18"/>
                <w:color w:val="auto"/>
              </w:rPr>
              <w:t>621,000</w:t>
            </w:r>
          </w:p>
        </w:tc>
        <w:tc>
          <w:tcPr>
            <w:tcW w:w="388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FFCC"/>
          </w:tcPr>
          <w:p>
            <w:pPr>
              <w:spacing w:after="0"/>
              <w:rPr>
                <w:sz w:val="21"/>
                <w:szCs w:val="2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2003, 2004, 2005 and 2006, prices of the SARs were modified. The exercise prices of the SARs are reduced by an amount equal to the excess over US$0.70 of total dividends paid per share in a given year. As of December 31, 2006, Options on 948,925 Common Shares had been exercised (662,200 as of December 31, 2005) for an approximate amount of US$29.3 million in 2006 (US$9.6 million in 2005). See Note 19 to Credicorp Consolidated Financial Statements.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2006, Credicorp has signed a contract to acquire certificates indexed to the performance of Credicorp’s stocks as a means to hedging the SARs delivered to the executives of Credicorp. See Note 11 to Credicorp Consolidated 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movement of the SARs for the periods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9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Vested SARs</w:t>
            </w:r>
          </w:p>
        </w:tc>
        <w:tc>
          <w:tcPr>
            <w:tcW w:w="100" w:type="dxa"/>
            <w:vAlign w:val="bottom"/>
          </w:tcPr>
          <w:p>
            <w:pPr>
              <w:spacing w:after="0"/>
              <w:rPr>
                <w:sz w:val="20"/>
                <w:szCs w:val="20"/>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r>
      <w:tr>
        <w:trPr>
          <w:trHeight w:val="257"/>
        </w:trPr>
        <w:tc>
          <w:tcPr>
            <w:tcW w:w="3900" w:type="dxa"/>
            <w:vAlign w:val="bottom"/>
            <w:shd w:val="clear" w:color="auto" w:fill="CCFFCC"/>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29"/>
                <w:szCs w:val="29"/>
                <w:b w:val="1"/>
                <w:bCs w:val="1"/>
                <w:color w:val="auto"/>
                <w:vertAlign w:val="superscript"/>
              </w:rPr>
              <w:t>st</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2,278,475</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11,700</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vested</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621,000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600,046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7,448</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(29,292)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(662,200)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(662,200)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the option fair value</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32,634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13,279</w:t>
            </w:r>
          </w:p>
        </w:tc>
      </w:tr>
      <w:tr>
        <w:trPr>
          <w:trHeight w:val="20"/>
        </w:trPr>
        <w:tc>
          <w:tcPr>
            <w:tcW w:w="39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1,858,350</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1,301,928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38,761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2,201,275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1,658,932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22,813</w:t>
            </w:r>
          </w:p>
        </w:tc>
      </w:tr>
      <w:tr>
        <w:trPr>
          <w:trHeight w:val="20"/>
        </w:trPr>
        <w:tc>
          <w:tcPr>
            <w:tcW w:w="3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The following table sets forth the number of SARs vested and the price of such SARs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of</w:t>
            </w: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SARs as of</w:t>
            </w:r>
          </w:p>
        </w:tc>
        <w:tc>
          <w:tcPr>
            <w:tcW w:w="3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Vested SARs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2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2006</w:t>
            </w:r>
          </w:p>
        </w:tc>
        <w:tc>
          <w:tcPr>
            <w:tcW w:w="3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2006</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US$</w:t>
            </w:r>
          </w:p>
        </w:tc>
      </w:tr>
      <w:tr>
        <w:trPr>
          <w:trHeight w:val="243"/>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17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8.34</w:t>
            </w:r>
          </w:p>
        </w:tc>
      </w:tr>
      <w:tr>
        <w:trPr>
          <w:trHeight w:val="24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68,750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68,750</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187,250</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2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8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81,500</w:t>
            </w:r>
          </w:p>
        </w:tc>
        <w:tc>
          <w:tcPr>
            <w:tcW w:w="1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81,500</w:t>
            </w:r>
          </w:p>
        </w:tc>
        <w:tc>
          <w:tcPr>
            <w:tcW w:w="16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192,550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117,500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117,500</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285,225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2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18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p>
        </w:tc>
        <w:tc>
          <w:tcPr>
            <w:tcW w:w="1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p>
        </w:tc>
        <w:tc>
          <w:tcPr>
            <w:tcW w:w="16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359,844</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9.17</w:t>
            </w:r>
          </w:p>
        </w:tc>
      </w:tr>
      <w:tr>
        <w:trPr>
          <w:trHeight w:val="243"/>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352,750</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317,984</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294,375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w:t>
            </w:r>
          </w:p>
        </w:tc>
      </w:tr>
      <w:tr>
        <w:trPr>
          <w:trHeight w:val="198"/>
        </w:trPr>
        <w:tc>
          <w:tcPr>
            <w:tcW w:w="2960" w:type="dxa"/>
            <w:vAlign w:val="bottom"/>
            <w:shd w:val="clear" w:color="auto" w:fill="CCFFC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2005</w:t>
            </w:r>
          </w:p>
        </w:tc>
        <w:tc>
          <w:tcPr>
            <w:tcW w:w="1860" w:type="dxa"/>
            <w:vAlign w:val="bottom"/>
            <w:gridSpan w:val="3"/>
            <w:shd w:val="clear" w:color="auto" w:fill="CCFFC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457,600</w:t>
            </w:r>
          </w:p>
        </w:tc>
        <w:tc>
          <w:tcPr>
            <w:tcW w:w="1640" w:type="dxa"/>
            <w:vAlign w:val="bottom"/>
            <w:gridSpan w:val="2"/>
            <w:shd w:val="clear" w:color="auto" w:fill="CCFFC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281,038</w:t>
            </w:r>
          </w:p>
        </w:tc>
        <w:tc>
          <w:tcPr>
            <w:tcW w:w="1620" w:type="dxa"/>
            <w:vAlign w:val="bottom"/>
            <w:gridSpan w:val="2"/>
            <w:shd w:val="clear" w:color="auto" w:fill="CCFFCC"/>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229,688</w:t>
            </w:r>
          </w:p>
        </w:tc>
        <w:tc>
          <w:tcPr>
            <w:tcW w:w="10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16.30</w:t>
            </w:r>
          </w:p>
        </w:tc>
        <w:tc>
          <w:tcPr>
            <w:tcW w:w="54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198" w:lineRule="exact"/>
              <w:rPr>
                <w:sz w:val="20"/>
                <w:szCs w:val="20"/>
                <w:color w:val="auto"/>
              </w:rPr>
            </w:pPr>
            <w:r>
              <w:rPr>
                <w:rFonts w:ascii="Times New Roman" w:cs="Times New Roman" w:eastAsia="Times New Roman" w:hAnsi="Times New Roman"/>
                <w:sz w:val="18"/>
                <w:szCs w:val="18"/>
                <w:color w:val="auto"/>
              </w:rPr>
              <w:t>17.00</w:t>
            </w:r>
          </w:p>
        </w:tc>
        <w:tc>
          <w:tcPr>
            <w:tcW w:w="120" w:type="dxa"/>
            <w:vAlign w:val="bottom"/>
            <w:shd w:val="clear" w:color="auto" w:fill="CCFFCC"/>
          </w:tcPr>
          <w:p>
            <w:pPr>
              <w:spacing w:after="0"/>
              <w:rPr>
                <w:sz w:val="17"/>
                <w:szCs w:val="17"/>
                <w:color w:val="auto"/>
              </w:rPr>
            </w:pPr>
          </w:p>
        </w:tc>
      </w:tr>
      <w:tr>
        <w:trPr>
          <w:trHeight w:val="261"/>
        </w:trPr>
        <w:tc>
          <w:tcPr>
            <w:tcW w:w="29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2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560,250</w:t>
            </w:r>
          </w:p>
        </w:tc>
        <w:tc>
          <w:tcPr>
            <w:tcW w:w="1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215,156</w:t>
            </w:r>
          </w:p>
        </w:tc>
        <w:tc>
          <w:tcPr>
            <w:tcW w:w="16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FFCC"/>
          </w:tcPr>
          <w:p>
            <w:pPr>
              <w:spacing w:after="0"/>
              <w:rPr>
                <w:sz w:val="22"/>
                <w:szCs w:val="22"/>
                <w:color w:val="auto"/>
              </w:rPr>
            </w:pPr>
          </w:p>
        </w:tc>
        <w:tc>
          <w:tcPr>
            <w:tcW w:w="6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25.62</w:t>
            </w:r>
          </w:p>
        </w:tc>
        <w:tc>
          <w:tcPr>
            <w:tcW w:w="54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2"/>
                <w:szCs w:val="22"/>
                <w:color w:val="auto"/>
              </w:rPr>
            </w:pPr>
          </w:p>
        </w:tc>
      </w:tr>
      <w:tr>
        <w:trPr>
          <w:trHeight w:val="20"/>
        </w:trPr>
        <w:tc>
          <w:tcPr>
            <w:tcW w:w="29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1,858,350</w:t>
            </w:r>
          </w:p>
        </w:tc>
        <w:tc>
          <w:tcPr>
            <w:tcW w:w="12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1,301,928</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1,658,932</w:t>
            </w: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The date of expiration of the current Board is March 31, 2008. Credicorp’s current Directors have no benefits in addition to the remuneration agreed at the Annual General Shareholders’ Meetings, nor benefits that could be enjoyed at the termination of their service terms.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1" w:name="page122"/>
    <w:bookmarkEnd w:id="121"/>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32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2006, Credicorp had 13,090 full time employees, distributed as set forth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At December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69"/>
        </w:trPr>
        <w:tc>
          <w:tcPr>
            <w:tcW w:w="6740" w:type="dxa"/>
            <w:vAlign w:val="bottom"/>
          </w:tcPr>
          <w:p>
            <w:pPr>
              <w:spacing w:after="0"/>
              <w:rPr>
                <w:sz w:val="23"/>
                <w:szCs w:val="23"/>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3"/>
                <w:szCs w:val="23"/>
                <w:color w:val="auto"/>
              </w:rPr>
            </w:pPr>
          </w:p>
        </w:tc>
      </w:tr>
      <w:tr>
        <w:trPr>
          <w:trHeight w:val="258"/>
        </w:trPr>
        <w:tc>
          <w:tcPr>
            <w:tcW w:w="67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i w:val="1"/>
                <w:iCs w:val="1"/>
                <w:color w:val="auto"/>
                <w:w w:val="99"/>
              </w:rPr>
              <w:t>(Full-time employees)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BCP</w:t>
            </w:r>
          </w:p>
        </w:tc>
        <w:tc>
          <w:tcPr>
            <w:tcW w:w="15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7,694</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8,243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Banco Tequendama</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PPS</w:t>
            </w:r>
          </w:p>
        </w:tc>
        <w:tc>
          <w:tcPr>
            <w:tcW w:w="15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1,093</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1,159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ASHC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198"/>
        </w:trPr>
        <w:tc>
          <w:tcPr>
            <w:tcW w:w="6740" w:type="dxa"/>
            <w:vAlign w:val="bottom"/>
            <w:shd w:val="clear" w:color="auto" w:fill="CCFFCC"/>
          </w:tcPr>
          <w:p>
            <w:pPr>
              <w:ind w:left="180"/>
              <w:spacing w:after="0" w:line="198" w:lineRule="exact"/>
              <w:rPr>
                <w:sz w:val="20"/>
                <w:szCs w:val="20"/>
                <w:color w:val="auto"/>
              </w:rPr>
            </w:pPr>
            <w:r>
              <w:rPr>
                <w:rFonts w:ascii="Times New Roman" w:cs="Times New Roman" w:eastAsia="Times New Roman" w:hAnsi="Times New Roman"/>
                <w:sz w:val="18"/>
                <w:szCs w:val="18"/>
                <w:color w:val="auto"/>
              </w:rPr>
              <w:t>Prima AFP</w:t>
            </w:r>
          </w:p>
        </w:tc>
        <w:tc>
          <w:tcPr>
            <w:tcW w:w="1500" w:type="dxa"/>
            <w:vAlign w:val="bottom"/>
            <w:gridSpan w:val="2"/>
            <w:shd w:val="clear" w:color="auto" w:fill="CCFFC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FFCC"/>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457</w:t>
            </w:r>
          </w:p>
        </w:tc>
        <w:tc>
          <w:tcPr>
            <w:tcW w:w="1460" w:type="dxa"/>
            <w:vAlign w:val="bottom"/>
            <w:gridSpan w:val="2"/>
            <w:shd w:val="clear" w:color="auto" w:fill="CCFFCC"/>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1,729</w:t>
            </w:r>
          </w:p>
        </w:tc>
      </w:tr>
      <w:tr>
        <w:trPr>
          <w:trHeight w:val="261"/>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7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Total Credicorp</w:t>
            </w:r>
          </w:p>
        </w:tc>
        <w:tc>
          <w:tcPr>
            <w:tcW w:w="15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9,558</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employees of banks in Peru are given the option of belonging to an employee union, and such employee unions are collectively represented by the </w:t>
      </w:r>
      <w:r>
        <w:rPr>
          <w:rFonts w:ascii="Times New Roman" w:cs="Times New Roman" w:eastAsia="Times New Roman" w:hAnsi="Times New Roman"/>
          <w:sz w:val="18"/>
          <w:szCs w:val="18"/>
          <w:i w:val="1"/>
          <w:iCs w:val="1"/>
          <w:color w:val="auto"/>
        </w:rPr>
        <w:t>Federación de Empleados Bancarios</w:t>
      </w:r>
      <w:r>
        <w:rPr>
          <w:rFonts w:ascii="Times New Roman" w:cs="Times New Roman" w:eastAsia="Times New Roman" w:hAnsi="Times New Roman"/>
          <w:sz w:val="18"/>
          <w:szCs w:val="18"/>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BCP was granted permission by the Peruvian Ministry of Labor to cancel the registration of BCP’s union in 1996 due to limited participation. As of December 31, 2006, no BCP employees belonged to a union. The last strike by union employees occurred in 1991 and did not interfere with BCP’s operations.</w:t>
      </w:r>
    </w:p>
    <w:p>
      <w:pPr>
        <w:spacing w:after="0" w:line="226"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2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2006, Grupo Romero owned 15.1 million (16.0%)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79"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2006,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color w:val="auto"/>
        </w:rPr>
        <w:t>The table below provides details about the percentage of Common Shares owned by holders of 5% or more of Common Shares, of April 30, 2007.</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70"/>
        </w:trPr>
        <w:tc>
          <w:tcPr>
            <w:tcW w:w="8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90"/>
              </w:rPr>
              <w:t>Class</w:t>
            </w:r>
            <w:r>
              <w:rPr>
                <w:rFonts w:ascii="Times New Roman" w:cs="Times New Roman" w:eastAsia="Times New Roman" w:hAnsi="Times New Roman"/>
                <w:sz w:val="30"/>
                <w:szCs w:val="30"/>
                <w:color w:val="auto"/>
                <w:w w:val="90"/>
                <w:vertAlign w:val="superscript"/>
              </w:rPr>
              <w:t>(1)</w:t>
            </w:r>
          </w:p>
        </w:tc>
        <w:tc>
          <w:tcPr>
            <w:tcW w:w="160" w:type="dxa"/>
            <w:vAlign w:val="bottom"/>
          </w:tcPr>
          <w:p>
            <w:pPr>
              <w:spacing w:after="0"/>
              <w:rPr>
                <w:sz w:val="23"/>
                <w:szCs w:val="23"/>
                <w:color w:val="auto"/>
              </w:rPr>
            </w:pPr>
          </w:p>
        </w:tc>
      </w:tr>
      <w:tr>
        <w:trPr>
          <w:trHeight w:val="250"/>
        </w:trPr>
        <w:tc>
          <w:tcPr>
            <w:tcW w:w="8120" w:type="dxa"/>
            <w:vAlign w:val="bottom"/>
            <w:shd w:val="clear" w:color="auto" w:fill="CCFFCC"/>
          </w:tcPr>
          <w:p>
            <w:pPr>
              <w:ind w:left="340"/>
              <w:spacing w:after="0" w:line="250" w:lineRule="exact"/>
              <w:rPr>
                <w:sz w:val="20"/>
                <w:szCs w:val="20"/>
                <w:color w:val="auto"/>
              </w:rPr>
            </w:pPr>
            <w:r>
              <w:rPr>
                <w:rFonts w:ascii="Times New Roman" w:cs="Times New Roman" w:eastAsia="Times New Roman" w:hAnsi="Times New Roman"/>
                <w:sz w:val="17"/>
                <w:szCs w:val="17"/>
                <w:color w:val="auto"/>
              </w:rPr>
              <w:t>Romero family</w:t>
            </w:r>
            <w:r>
              <w:rPr>
                <w:rFonts w:ascii="Times New Roman" w:cs="Times New Roman" w:eastAsia="Times New Roman" w:hAnsi="Times New Roman"/>
                <w:sz w:val="28"/>
                <w:szCs w:val="28"/>
                <w:color w:val="auto"/>
                <w:vertAlign w:val="superscript"/>
              </w:rPr>
              <w:t>(2)</w:t>
            </w:r>
          </w:p>
        </w:tc>
        <w:tc>
          <w:tcPr>
            <w:tcW w:w="17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15,106,752</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16.01%</w:t>
            </w:r>
          </w:p>
        </w:tc>
      </w:tr>
      <w:tr>
        <w:trPr>
          <w:trHeight w:val="243"/>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Atlantic Security Holding Corporation</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14,620,842</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15.49%</w:t>
            </w:r>
          </w:p>
        </w:tc>
      </w:tr>
      <w:tr>
        <w:trPr>
          <w:trHeight w:val="243"/>
        </w:trPr>
        <w:tc>
          <w:tcPr>
            <w:tcW w:w="81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AFP Integra</w:t>
            </w:r>
          </w:p>
        </w:tc>
        <w:tc>
          <w:tcPr>
            <w:tcW w:w="17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9,439,882</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AFP Horizonte</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6,583,769</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r>
      <w:tr>
        <w:trPr>
          <w:trHeight w:val="243"/>
        </w:trPr>
        <w:tc>
          <w:tcPr>
            <w:tcW w:w="81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AFP Prima</w:t>
            </w:r>
          </w:p>
        </w:tc>
        <w:tc>
          <w:tcPr>
            <w:tcW w:w="1780" w:type="dxa"/>
            <w:vAlign w:val="bottom"/>
            <w:gridSpan w:val="3"/>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8,810,060</w:t>
            </w:r>
          </w:p>
        </w:tc>
        <w:tc>
          <w:tcPr>
            <w:tcW w:w="15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8877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00" w:hanging="492"/>
        <w:spacing w:after="0"/>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issued and outstanding shares (including shares held by BCP, ASHC and PPS).</w:t>
      </w:r>
    </w:p>
    <w:p>
      <w:pPr>
        <w:spacing w:after="0" w:line="27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Common Shares directly or indirectly owned by Dionisio Romero and his family or companies owned or controlled by him. Mr. Romero is the Chairman and Chief Executive Officer of Credicorp.</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Approximately 29.14% of the total issued and outstanding Common Shares of Credicorp are currently held in 1,984 individual accounts with Cavali, a Peruvian securities clearing company.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2007, 79,761,475 Common Shares of Credicorp (excluding the 14,620,842 shares held by ASHC) were outstanding, of which approximately 55% were held in the United States. As of such date, there were 112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234"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79" w:lineRule="exact"/>
        <w:rPr>
          <w:rFonts w:ascii="Times New Roman" w:cs="Times New Roman" w:eastAsia="Times New Roman" w:hAnsi="Times New Roman"/>
          <w:sz w:val="18"/>
          <w:szCs w:val="18"/>
          <w:b w:val="1"/>
          <w:bCs w:val="1"/>
          <w:color w:val="auto"/>
        </w:rPr>
      </w:pPr>
    </w:p>
    <w:p>
      <w:pPr>
        <w:ind w:left="1500" w:hanging="844"/>
        <w:spacing w:after="0"/>
        <w:tabs>
          <w:tab w:leader="none" w:pos="1500" w:val="left"/>
        </w:tabs>
        <w:numPr>
          <w:ilvl w:val="1"/>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Credicorp</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Credicorp as of December 31, 2006 and 2005 include the transactions with related parties of the companies mentioned in Note 3(b) to Credicorp Consolidated Financial Statements. For its 2006 and 2005 financial statements, Credicorp defines related parties as related companies, the members of the Board of Directors, Credicorp’s key executives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management of Credicorp Ltd.) and enterprises that are controlled by these individuals or entities through majority shareholding or their role as chairman or principal executive officers.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color w:val="auto"/>
        </w:rPr>
        <w:t>The following table shows the main transactions with related companies as of December 31, 2006 and 2005:</w:t>
      </w:r>
    </w:p>
    <w:p>
      <w:pPr>
        <w:spacing w:after="0" w:line="32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Related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19685</wp:posOffset>
            </wp:positionV>
            <wp:extent cx="1886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Direct loans</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w w:val="96"/>
              </w:rPr>
              <w:t>70,636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48,533</w:t>
            </w:r>
          </w:p>
        </w:tc>
      </w:tr>
      <w:tr>
        <w:trPr>
          <w:trHeight w:val="243"/>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gain from investments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34,226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23,393</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Investments available por sale</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w w:val="96"/>
              </w:rPr>
              <w:t>27,899</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21,815</w:t>
            </w:r>
          </w:p>
        </w:tc>
      </w:tr>
      <w:tr>
        <w:trPr>
          <w:trHeight w:val="243"/>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25,074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21,305</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Contingent operations</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w w:val="96"/>
              </w:rPr>
              <w:t>13,925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8,379</w:t>
            </w:r>
          </w:p>
        </w:tc>
      </w:tr>
      <w:tr>
        <w:trPr>
          <w:trHeight w:val="243"/>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 related to loans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Interest expense related to deposits</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Derivatives (market value)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72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bl>
    <w:p>
      <w:pPr>
        <w:spacing w:after="0" w:line="2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loans, contingent operations and derivative contracts with related parties were made in the ordinary course of business, on substantially the same terms prevailing at the time they were made for comparable transactions with other persons, including with respect to interest and collateral, and did not involve more than the normal risk of collectability or present other unfavorable features. The loans to related companies as of December 31, 2006 had a maturity between January 2007 and August 2012 and an accrued interest average of 7.71%. As of December 31, 2006, the provision for doubtful debts due to related parties amounts to US$0.1 million (US$1.4 million as of December 31, 2005). This amount is calculated based on a continuous assessment of the financial position of the related party and the market in which it operates.</w:t>
      </w:r>
    </w:p>
    <w:p>
      <w:pPr>
        <w:spacing w:after="0" w:line="2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and 2005, directors, officers and employees of Credicorp have been involved, directly and indirectly, in credit transactions with certain subsidiaries of Credicorp, as permitted by Peruvian Law Nº26702, which regulates certain transactions with employees, directors and officers of banks and insurance companies in Peru. As of December 31, 2006 and 2005, direct loans to employees, directors and officers amounted to US$59.5 and US$25.1 million, respectively. These loans are repaid monthly and accrue interest at market rates. Credicorp does not grant loans to the directors and key personnel where shares of Credicorp or other companies within the Group are used as guarantee.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reflects Credicorp’s subsidiaries key executives compensation as of December 31, 2006 and 2005: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Times New Roman" w:cs="Times New Roman" w:eastAsia="Times New Roman" w:hAnsi="Times New Roman"/>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6"/>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7,284</w:t>
            </w:r>
          </w:p>
        </w:tc>
      </w:tr>
      <w:tr>
        <w:trPr>
          <w:trHeight w:val="243"/>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Salaries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w:t>
            </w:r>
          </w:p>
        </w:tc>
      </w:tr>
      <w:tr>
        <w:trPr>
          <w:trHeight w:val="243"/>
        </w:trPr>
        <w:tc>
          <w:tcPr>
            <w:tcW w:w="922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Directors compensations</w:t>
            </w:r>
          </w:p>
        </w:tc>
        <w:tc>
          <w:tcPr>
            <w:tcW w:w="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70"/>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23"/>
                <w:szCs w:val="23"/>
                <w:color w:val="auto"/>
              </w:rPr>
            </w:pPr>
          </w:p>
        </w:tc>
      </w:tr>
      <w:tr>
        <w:trPr>
          <w:trHeight w:val="264"/>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36,165</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14,941</w:t>
            </w:r>
          </w:p>
        </w:tc>
      </w:tr>
      <w:tr>
        <w:trPr>
          <w:trHeight w:val="480"/>
        </w:trPr>
        <w:tc>
          <w:tcPr>
            <w:tcW w:w="83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119</w:t>
            </w: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Credicorp’s subsidiaries key executives compensation comprises all the payments received by them, including taxes, which are assumed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57" w:lineRule="exact"/>
        <w:rPr>
          <w:sz w:val="20"/>
          <w:szCs w:val="20"/>
          <w:color w:val="auto"/>
        </w:rPr>
      </w:pPr>
    </w:p>
    <w:p>
      <w:pPr>
        <w:ind w:left="660" w:right="8260" w:hanging="652"/>
        <w:spacing w:after="0" w:line="563" w:lineRule="auto"/>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ind w:left="660" w:right="6260" w:hanging="652"/>
        <w:spacing w:after="0" w:line="566" w:lineRule="auto"/>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Consolidated Statements and Other Financial Information </w:t>
      </w:r>
      <w:r>
        <w:rPr>
          <w:rFonts w:ascii="Times New Roman" w:cs="Times New Roman" w:eastAsia="Times New Roman" w:hAnsi="Times New Roman"/>
          <w:sz w:val="18"/>
          <w:szCs w:val="18"/>
          <w:b w:val="1"/>
          <w:bCs w:val="1"/>
          <w:i w:val="1"/>
          <w:iCs w:val="1"/>
          <w:color w:val="auto"/>
        </w:rPr>
        <w:t>Consolidated Financial Statements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19. Exhibits” for a list of financial statements filed under Item 18.</w:t>
      </w:r>
    </w:p>
    <w:p>
      <w:pPr>
        <w:spacing w:after="0" w:line="2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Investigations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 and its subsidiaries are not involved in government investigations.</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The following table shows cash and stock dividends paid by Credicorp in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Shares Entitled</w:t>
            </w:r>
          </w:p>
        </w:tc>
        <w:tc>
          <w:tcPr>
            <w:tcW w:w="2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Cash Dividends</w:t>
            </w:r>
          </w:p>
        </w:tc>
        <w:tc>
          <w:tcPr>
            <w:tcW w:w="220" w:type="dxa"/>
            <w:vAlign w:val="bottom"/>
          </w:tcPr>
          <w:p>
            <w:pPr>
              <w:spacing w:after="0"/>
              <w:rPr>
                <w:sz w:val="18"/>
                <w:szCs w:val="18"/>
                <w:color w:val="auto"/>
              </w:rPr>
            </w:pPr>
          </w:p>
        </w:tc>
        <w:tc>
          <w:tcPr>
            <w:tcW w:w="22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Stock Dividends</w:t>
            </w: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Dividends</w:t>
            </w:r>
          </w:p>
        </w:tc>
        <w:tc>
          <w:tcPr>
            <w:tcW w:w="240" w:type="dxa"/>
            <w:vAlign w:val="bottom"/>
          </w:tcPr>
          <w:p>
            <w:pPr>
              <w:spacing w:after="0"/>
              <w:rPr>
                <w:sz w:val="20"/>
                <w:szCs w:val="20"/>
                <w:color w:val="auto"/>
              </w:rPr>
            </w:pPr>
          </w:p>
        </w:tc>
        <w:tc>
          <w:tcPr>
            <w:tcW w:w="21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r>
      <w:tr>
        <w:trPr>
          <w:trHeight w:val="264"/>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1999</w:t>
            </w:r>
          </w:p>
        </w:tc>
        <w:tc>
          <w:tcPr>
            <w:tcW w:w="26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US$0.20</w:t>
            </w:r>
          </w:p>
        </w:tc>
        <w:tc>
          <w:tcPr>
            <w:tcW w:w="24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2000</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US$0.10</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2001</w:t>
            </w:r>
          </w:p>
        </w:tc>
        <w:tc>
          <w:tcPr>
            <w:tcW w:w="26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US$0.10</w:t>
            </w:r>
          </w:p>
        </w:tc>
        <w:tc>
          <w:tcPr>
            <w:tcW w:w="24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2002</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US$0.40</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2003</w:t>
            </w:r>
          </w:p>
        </w:tc>
        <w:tc>
          <w:tcPr>
            <w:tcW w:w="26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US$0.30</w:t>
            </w:r>
          </w:p>
        </w:tc>
        <w:tc>
          <w:tcPr>
            <w:tcW w:w="24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2004</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US$0.40</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2005</w:t>
            </w:r>
          </w:p>
        </w:tc>
        <w:tc>
          <w:tcPr>
            <w:tcW w:w="26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shd w:val="clear" w:color="auto" w:fill="CCFFCC"/>
          </w:tcPr>
          <w:p>
            <w:pPr>
              <w:ind w:left="820"/>
              <w:spacing w:after="0"/>
              <w:rPr>
                <w:sz w:val="20"/>
                <w:szCs w:val="20"/>
                <w:color w:val="auto"/>
              </w:rPr>
            </w:pPr>
            <w:r>
              <w:rPr>
                <w:rFonts w:ascii="Times New Roman" w:cs="Times New Roman" w:eastAsia="Times New Roman" w:hAnsi="Times New Roman"/>
                <w:sz w:val="18"/>
                <w:szCs w:val="18"/>
                <w:color w:val="auto"/>
              </w:rPr>
              <w:t>US$0.80</w:t>
            </w:r>
          </w:p>
        </w:tc>
        <w:tc>
          <w:tcPr>
            <w:tcW w:w="24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2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2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US$1.10</w:t>
            </w:r>
          </w:p>
        </w:tc>
        <w:tc>
          <w:tcPr>
            <w:tcW w:w="2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28, 2007, the Board declared a cash dividend of US$1.30 per Common Share held at the close of business on April 9, 2007, which was distributed on May 7, 2007 and approved by the Annual General Meeting held on March 30, 2007.</w:t>
      </w:r>
    </w:p>
    <w:p>
      <w:pPr>
        <w:spacing w:after="0" w:line="212"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 and the financial expert requirements of the Audit Committee pursuant to the U.S. Sarbanes-Oxley Act of 2002.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6" w:name="page127"/>
    <w:bookmarkEnd w:id="126"/>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93"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2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Price History of Credicorp’s Stock</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Daily</w:t>
            </w:r>
          </w:p>
        </w:tc>
      </w:t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High</w:t>
            </w: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Low</w:t>
            </w: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2002</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10.10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US$6.91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38,371</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US$13.38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US$9.35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41,931</w:t>
            </w:r>
          </w:p>
        </w:tc>
      </w:tr>
      <w:tr>
        <w:trPr>
          <w:trHeight w:val="270"/>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2004</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US$15.87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US$12.00</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22,184</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US$28.81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US$14.41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82,338</w:t>
            </w:r>
          </w:p>
        </w:tc>
      </w:tr>
      <w:tr>
        <w:trPr>
          <w:trHeight w:val="270"/>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2006</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US$45.42</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176,388</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US$17.71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US$14.41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w:t>
            </w: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US$19.09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US$16.70</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32,672</w:t>
            </w: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US$27.43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US$19.00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46,200</w:t>
            </w: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US$28.81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231,554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145,969</w:t>
            </w: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US$29.21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US$24.81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178.809</w:t>
            </w: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US$41.17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US$28.13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206,243</w:t>
            </w: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US$45.42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US$38.42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154,515</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US$51.68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US$38.80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283,922</w:t>
            </w:r>
          </w:p>
        </w:tc>
      </w:tr>
      <w:tr>
        <w:trPr>
          <w:trHeight w:val="270"/>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Second quarter (through June 8)</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US$61.95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US$47.92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277,383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 Bloomberg</w:t>
      </w:r>
    </w:p>
    <w:p>
      <w:pPr>
        <w:spacing w:after="0" w:line="279" w:lineRule="exact"/>
        <w:rPr>
          <w:sz w:val="20"/>
          <w:szCs w:val="20"/>
          <w:color w:val="auto"/>
        </w:rPr>
      </w:pPr>
    </w:p>
    <w:p>
      <w:pPr>
        <w:jc w:val="both"/>
        <w:ind w:left="660" w:hanging="652"/>
        <w:spacing w:after="0" w:line="266"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27" w:name="page128"/>
    <w:bookmarkEnd w:id="127"/>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periods indicated, the reported high and low closing prices and average daily trading volume for the Common Shares on the Lima Stock Exchange.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Daily</w:t>
            </w:r>
          </w:p>
        </w:tc>
      </w:tr>
      <w:tr>
        <w:trPr>
          <w:trHeight w:val="238"/>
        </w:trPr>
        <w:tc>
          <w:tcPr>
            <w:tcW w:w="6740" w:type="dxa"/>
            <w:vAlign w:val="bottom"/>
          </w:tcPr>
          <w:p>
            <w:pPr>
              <w:spacing w:after="0"/>
              <w:rPr>
                <w:sz w:val="20"/>
                <w:szCs w:val="20"/>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High</w:t>
            </w:r>
            <w:r>
              <w:rPr>
                <w:rFonts w:ascii="Times New Roman" w:cs="Times New Roman" w:eastAsia="Times New Roman" w:hAnsi="Times New Roman"/>
                <w:sz w:val="18"/>
                <w:szCs w:val="18"/>
                <w:color w:val="auto"/>
              </w:rPr>
              <w:t>(1)</w:t>
            </w: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Low</w:t>
            </w:r>
            <w:r>
              <w:rPr>
                <w:rFonts w:ascii="Times New Roman" w:cs="Times New Roman" w:eastAsia="Times New Roman" w:hAnsi="Times New Roman"/>
                <w:sz w:val="18"/>
                <w:szCs w:val="18"/>
                <w:color w:val="auto"/>
              </w:rPr>
              <w:t>(1)</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Volume</w:t>
            </w:r>
          </w:p>
        </w:tc>
      </w:tr>
      <w:tr>
        <w:trPr>
          <w:trHeight w:val="237"/>
        </w:trPr>
        <w:tc>
          <w:tcPr>
            <w:tcW w:w="67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2002</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US$10.06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US$7.01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39,355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2003</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US$12.60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US$9.38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29,701</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2004</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US$15.70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US$12.08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21,564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2005</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US$28.99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US$14.33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15,744</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2006</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US$45.58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US$38.27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16,950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US$17.62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US$14.33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11,153</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US$19.01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US$15.97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19,616</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US$27.45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US$18.74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10,742</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US$21.90</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21,472</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US$22.41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9,277</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Second quarter</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US$28.96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US$24.83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19,336</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Third quarter</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US$40.95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US$27.96</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11,625</w:t>
            </w: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Fourth quarter</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US$45.58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US$38.27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27,562</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quarter</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US$51.68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US$39.00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14,553</w:t>
            </w:r>
          </w:p>
        </w:tc>
      </w:tr>
      <w:tr>
        <w:trPr>
          <w:trHeight w:val="243"/>
        </w:trPr>
        <w:tc>
          <w:tcPr>
            <w:tcW w:w="67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Second quarter (through June 8)</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US$61.80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US$47.93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8"/>
          <w:szCs w:val="18"/>
          <w:color w:val="auto"/>
        </w:rPr>
        <w:t>Bloomberg</w:t>
      </w:r>
    </w:p>
    <w:p>
      <w:pPr>
        <w:spacing w:after="0" w:line="293" w:lineRule="exact"/>
        <w:rPr>
          <w:sz w:val="20"/>
          <w:szCs w:val="20"/>
          <w:color w:val="auto"/>
        </w:rPr>
      </w:pPr>
    </w:p>
    <w:p>
      <w:pPr>
        <w:jc w:val="both"/>
        <w:ind w:left="66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indicated months, the reported high and low closing prices for the Common Shares on the New York Stock Exchange.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4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48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1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December</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US$42.00</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US$39.04</w:t>
            </w:r>
          </w:p>
        </w:tc>
      </w:tr>
      <w:tr>
        <w:trPr>
          <w:trHeight w:val="243"/>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2007</w:t>
            </w:r>
          </w:p>
        </w:tc>
        <w:tc>
          <w:tcPr>
            <w:tcW w:w="280" w:type="dxa"/>
            <w:vAlign w:val="bottom"/>
            <w:shd w:val="clear" w:color="auto" w:fill="CCFFCC"/>
          </w:tcPr>
          <w:p>
            <w:pPr>
              <w:spacing w:after="0"/>
              <w:rPr>
                <w:sz w:val="21"/>
                <w:szCs w:val="21"/>
                <w:color w:val="auto"/>
              </w:rPr>
            </w:pPr>
          </w:p>
        </w:tc>
        <w:tc>
          <w:tcPr>
            <w:tcW w:w="2360" w:type="dxa"/>
            <w:vAlign w:val="bottom"/>
            <w:shd w:val="clear" w:color="auto" w:fill="CCFFCC"/>
          </w:tcPr>
          <w:p>
            <w:pPr>
              <w:spacing w:after="0"/>
              <w:rPr>
                <w:sz w:val="21"/>
                <w:szCs w:val="21"/>
                <w:color w:val="auto"/>
              </w:rPr>
            </w:pPr>
          </w:p>
        </w:tc>
        <w:tc>
          <w:tcPr>
            <w:tcW w:w="45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January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US$41.67</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US$38.80</w:t>
            </w:r>
          </w:p>
        </w:tc>
      </w:tr>
      <w:tr>
        <w:trPr>
          <w:trHeight w:val="270"/>
        </w:trPr>
        <w:tc>
          <w:tcPr>
            <w:tcW w:w="11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February</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US$51.68</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US$42.45</w:t>
            </w:r>
          </w:p>
        </w:tc>
      </w:tr>
      <w:tr>
        <w:trPr>
          <w:trHeight w:val="270"/>
        </w:trPr>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US$48.17</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US$43.02</w:t>
            </w:r>
          </w:p>
        </w:tc>
      </w:tr>
      <w:tr>
        <w:trPr>
          <w:trHeight w:val="270"/>
        </w:trPr>
        <w:tc>
          <w:tcPr>
            <w:tcW w:w="112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April</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US$52.61</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US$47.92</w:t>
            </w:r>
          </w:p>
        </w:tc>
      </w:tr>
      <w:tr>
        <w:trPr>
          <w:trHeight w:val="270"/>
        </w:trPr>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US$61.95</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US$53.15</w:t>
            </w:r>
          </w:p>
        </w:tc>
      </w:tr>
      <w:tr>
        <w:trPr>
          <w:trHeight w:val="270"/>
        </w:trPr>
        <w:tc>
          <w:tcPr>
            <w:tcW w:w="3760" w:type="dxa"/>
            <w:vAlign w:val="bottom"/>
            <w:gridSpan w:val="3"/>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June (through June 8)</w:t>
            </w: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US$58.04</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US$55.49</w:t>
            </w:r>
          </w:p>
        </w:tc>
      </w:tr>
      <w:tr>
        <w:trPr>
          <w:trHeight w:val="388"/>
        </w:trPr>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Source:</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Bloomberg</w:t>
            </w: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-648970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The table below sets forth, for the indicated months, the reported high and low closing prices for the Common Shares on the Lima Stock Exchange.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14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48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December</w:t>
            </w: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US$41.83</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US$39.00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January</w:t>
            </w: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US$41.15</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US$39.00</w:t>
            </w:r>
          </w:p>
        </w:tc>
      </w:tr>
      <w:tr>
        <w:trPr>
          <w:trHeight w:val="270"/>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February</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US$51.68</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US$42.07</w:t>
            </w:r>
          </w:p>
        </w:tc>
      </w:tr>
      <w:tr>
        <w:trPr>
          <w:trHeight w:val="270"/>
        </w:trPr>
        <w:tc>
          <w:tcPr>
            <w:tcW w:w="83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March</w:t>
            </w: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US$48.26</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US$43.10</w:t>
            </w:r>
          </w:p>
        </w:tc>
      </w:tr>
      <w:tr>
        <w:trPr>
          <w:trHeight w:val="270"/>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US$52.81</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US$47.93</w:t>
            </w:r>
          </w:p>
        </w:tc>
      </w:tr>
      <w:tr>
        <w:trPr>
          <w:trHeight w:val="270"/>
        </w:trPr>
        <w:tc>
          <w:tcPr>
            <w:tcW w:w="83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May</w:t>
            </w:r>
          </w:p>
        </w:tc>
        <w:tc>
          <w:tcPr>
            <w:tcW w:w="160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US$61.80</w:t>
            </w:r>
          </w:p>
        </w:tc>
        <w:tc>
          <w:tcPr>
            <w:tcW w:w="148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US$54.50</w:t>
            </w:r>
          </w:p>
        </w:tc>
      </w:tr>
      <w:tr>
        <w:trPr>
          <w:trHeight w:val="270"/>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(through June 9)</w:t>
            </w:r>
          </w:p>
        </w:tc>
        <w:tc>
          <w:tcPr>
            <w:tcW w:w="16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US$58.15</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US$55.50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
        <w:spacing w:after="0"/>
        <w:tabs>
          <w:tab w:leader="none" w:pos="1140" w:val="left"/>
        </w:tabs>
        <w:rPr>
          <w:sz w:val="20"/>
          <w:szCs w:val="20"/>
          <w:color w:val="auto"/>
        </w:rPr>
      </w:pPr>
      <w:r>
        <w:rPr>
          <w:rFonts w:ascii="Times New Roman" w:cs="Times New Roman" w:eastAsia="Times New Roman" w:hAnsi="Times New Roman"/>
          <w:sz w:val="18"/>
          <w:szCs w:val="18"/>
          <w:color w:val="auto"/>
        </w:rPr>
        <w:t>Source:</w:t>
      </w:r>
      <w:r>
        <w:rPr>
          <w:sz w:val="20"/>
          <w:szCs w:val="20"/>
          <w:color w:val="auto"/>
        </w:rPr>
        <w:tab/>
      </w:r>
      <w:r>
        <w:rPr>
          <w:rFonts w:ascii="Times New Roman" w:cs="Times New Roman" w:eastAsia="Times New Roman" w:hAnsi="Times New Roman"/>
          <w:sz w:val="18"/>
          <w:szCs w:val="18"/>
          <w:color w:val="auto"/>
        </w:rPr>
        <w:t>Bloomberg</w:t>
      </w:r>
    </w:p>
    <w:p>
      <w:pPr>
        <w:spacing w:after="0" w:line="2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27, 2007, the last sale price of the Common Shares on the New York Stock Exchange was US$59.63 per share. On June 27, 2007, the closing price of the Common Shares on the Lima Stock Exchange was US$59.80.</w:t>
      </w:r>
    </w:p>
    <w:p>
      <w:pPr>
        <w:spacing w:after="0" w:line="212" w:lineRule="exact"/>
        <w:rPr>
          <w:sz w:val="20"/>
          <w:szCs w:val="20"/>
          <w:color w:val="auto"/>
        </w:rPr>
      </w:pPr>
    </w:p>
    <w:p>
      <w:pPr>
        <w:ind w:left="660" w:right="9240" w:hanging="652"/>
        <w:spacing w:after="0" w:line="596" w:lineRule="auto"/>
        <w:tabs>
          <w:tab w:leader="none" w:pos="66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Lima Stock Exchange</w:t>
      </w:r>
    </w:p>
    <w:p>
      <w:pPr>
        <w:spacing w:after="0" w:line="279"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w:t>
      </w:r>
    </w:p>
    <w:p>
      <w:pPr>
        <w:spacing w:after="0" w:line="3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As of December 2006, there were 241 companies listed on the </w:t>
      </w:r>
      <w:r>
        <w:rPr>
          <w:rFonts w:ascii="Times New Roman" w:cs="Times New Roman" w:eastAsia="Times New Roman" w:hAnsi="Times New Roman"/>
          <w:sz w:val="18"/>
          <w:szCs w:val="18"/>
          <w:i w:val="1"/>
          <w:iCs w:val="1"/>
          <w:color w:val="auto"/>
        </w:rPr>
        <w:t>Bolsa de Valores de Lima</w:t>
      </w:r>
      <w:r>
        <w:rPr>
          <w:rFonts w:ascii="Times New Roman" w:cs="Times New Roman" w:eastAsia="Times New Roman" w:hAnsi="Times New Roman"/>
          <w:sz w:val="18"/>
          <w:szCs w:val="18"/>
          <w:color w:val="auto"/>
        </w:rPr>
        <w:t xml:space="preserve"> (Lima Stock Exchange), Peru’s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Peruvian stock market capitalization increased, in U.S. Dollar terms, by 15.9% in 2002, 27.7% in 2003, 25.0% in 2004, 80.0% in 2005 and 65.8% in 2006. Volume in the Peruvian market is highly concentrated, with the 10 most actively traded companies representing approximately 65.95% of total traded value of equity securities during 2005. Total traded volume was US$2.9 billion in 2002, and declined to US$2.3 billion in 2003, but increased to US$2.5 billion in 2004, to US$3.6 billion in 2005 and further to US$6.3 billion in 2006. Average daily traded volume was US$11.7 million in 2002, declined to US$9.0 million in 2003, but increased to US$9.9 million in 2004, to US$14.5 million in 2005 and further to US$25.1 million in 2006.</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9" w:name="page130"/>
    <w:bookmarkEnd w:id="129"/>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Indice General de la Bolsa de Valores de Lima</w:t>
      </w:r>
      <w:r>
        <w:rPr>
          <w:rFonts w:ascii="Times New Roman" w:cs="Times New Roman" w:eastAsia="Times New Roman" w:hAnsi="Times New Roman"/>
          <w:sz w:val="18"/>
          <w:szCs w:val="18"/>
          <w:color w:val="auto"/>
        </w:rPr>
        <w:t xml:space="preserve"> (the General Index of the Lima Stock Exchange (IGBVL)) increased, in U.S. Dollar terms, 16.3% in 2002, 76.3% in 2003, 52.4% in 2004, 29.4% in 2005 and 186.9% in 2006. The 2006 results make the Lima Stock Exchange the most profitable stock market in the world in terms of growth in U.S. Dollar terms.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(ii)Market Regulation</w:t>
      </w:r>
    </w:p>
    <w:p>
      <w:pPr>
        <w:spacing w:after="0" w:line="2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Peru’s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CONASEV is governed by a nine-member board appointed by the government. CONASEV has broad regulatory powers, including supervision of all companies incorporated in Peru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Peru by entities organized outside of Peru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S/.19 million (US$5.98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34" w:lineRule="exact"/>
        <w:rPr>
          <w:sz w:val="20"/>
          <w:szCs w:val="20"/>
          <w:color w:val="auto"/>
        </w:rPr>
      </w:pPr>
    </w:p>
    <w:p>
      <w:pPr>
        <w:ind w:left="660" w:right="9180" w:hanging="652"/>
        <w:spacing w:after="0" w:line="599" w:lineRule="auto"/>
        <w:tabs>
          <w:tab w:leader="none" w:pos="66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30" w:name="page131"/>
    <w:bookmarkEnd w:id="130"/>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75" w:lineRule="exact"/>
        <w:rPr>
          <w:rFonts w:ascii="Times New Roman" w:cs="Times New Roman" w:eastAsia="Times New Roman" w:hAnsi="Times New Roman"/>
          <w:sz w:val="18"/>
          <w:szCs w:val="18"/>
          <w:b w:val="1"/>
          <w:bCs w:val="1"/>
          <w:color w:val="auto"/>
        </w:rPr>
      </w:pPr>
    </w:p>
    <w:p>
      <w:pPr>
        <w:ind w:left="660" w:right="9160" w:hanging="652"/>
        <w:spacing w:after="0" w:line="563" w:lineRule="auto"/>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79" w:lineRule="exact"/>
        <w:rPr>
          <w:sz w:val="20"/>
          <w:szCs w:val="20"/>
          <w:color w:val="auto"/>
        </w:rPr>
      </w:pPr>
    </w:p>
    <w:p>
      <w:pPr>
        <w:jc w:val="both"/>
        <w:ind w:left="660" w:right="9660" w:hanging="652"/>
        <w:spacing w:after="0" w:line="596" w:lineRule="auto"/>
        <w:tabs>
          <w:tab w:leader="none" w:pos="66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2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“Item 10. Additional Information—Memorandum and Articles of Incorporation” from Credicorp’s Annual Report on Form 20-F dated June 27, 2003 is incorporated herein by reference.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38"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date hereof, there are no material contracts entered into by Credicorp and/or its subsidiaries.</w:t>
      </w:r>
    </w:p>
    <w:p>
      <w:pPr>
        <w:spacing w:after="0" w:line="2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31" w:name="page132"/>
    <w:bookmarkEnd w:id="1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substantially all of the customers of BCP, ASHC and PPS are located in Peru, as of December 31, 2006, approximately 73% of BCP’s loan portfolio, 100% of ASHC’s loan portfolio and 61.6%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 denominated obligations or that Peru will not devalue its currency should its foreign reserves decline. See “Item 4. Information on the Company—(B) Business Overview—(9) Peruvian Government and Economy.”</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March 1991, there have been no exchange controls in Peru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239"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2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24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an exempted company, Credicorp is liable to pay in Bermuda an annual government fee based upon its authorized share capital and the premium on its issued Common Shares, which amounted to the approximate equivalent of US$16,695 in 2006, remaining unchanged from the amount paid in 2005.</w:t>
      </w:r>
    </w:p>
    <w:p>
      <w:pPr>
        <w:spacing w:after="0" w:line="212" w:lineRule="exact"/>
        <w:rPr>
          <w:sz w:val="20"/>
          <w:szCs w:val="20"/>
          <w:color w:val="auto"/>
        </w:rPr>
      </w:pPr>
    </w:p>
    <w:p>
      <w:pPr>
        <w:ind w:left="660" w:right="8500" w:hanging="652"/>
        <w:spacing w:after="0" w:line="563" w:lineRule="auto"/>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9100" w:hanging="652"/>
        <w:spacing w:after="0" w:line="599" w:lineRule="auto"/>
        <w:tabs>
          <w:tab w:leader="none" w:pos="66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2" w:name="page133"/>
    <w:bookmarkEnd w:id="132"/>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documents referred to in this Annual Report are available for inspection at the Registered Office of the Company.</w:t>
      </w:r>
    </w:p>
    <w:p>
      <w:pPr>
        <w:spacing w:after="0" w:line="275" w:lineRule="exact"/>
        <w:rPr>
          <w:rFonts w:ascii="Times New Roman" w:cs="Times New Roman" w:eastAsia="Times New Roman" w:hAnsi="Times New Roman"/>
          <w:sz w:val="18"/>
          <w:szCs w:val="18"/>
          <w:b w:val="1"/>
          <w:bCs w:val="1"/>
          <w:color w:val="auto"/>
        </w:rPr>
      </w:pPr>
    </w:p>
    <w:p>
      <w:pPr>
        <w:ind w:left="660" w:right="8940" w:hanging="652"/>
        <w:spacing w:after="0" w:line="587" w:lineRule="auto"/>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 Management of Operational Risk”).</w:t>
      </w:r>
    </w:p>
    <w:p>
      <w:pPr>
        <w:spacing w:after="0" w:line="2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objective of market risk management is to avoid excessive exposure of earnings and equity to loss and to reduce the volatility inherent in financial instruments.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 and Liability Management</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areas, applies non-statistical and statistical models, such as the Value-at-Risk (“VaR”) methodology, for the ALM tasks.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BCP, decisions regarding management of liquidity, interest rate policy, foreign exchange position and other significant ALM matters are made by the Market Risk Committee which is composed of seven members, including the five members of the Executive Committee of the Board of Directors, BCP’s General Manager and the Head of the Market Risk Area. The Market Risk Committee meets monthly. Additionally BCP has an Asset and Liability Committee (“ALCO”) that meets monthly to review the overall risk exposure and to decide on strategies to improve its financial structure. Also, BCP’s Capital Markets Group has an Investment Committee, that makes decisions on positions held on all possible types of securities.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33" w:name="page134"/>
    <w:bookmarkEnd w:id="1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Day-to-day ALM decisions are made by the Central Manager of Finance and the Treasury Department and reviewed in the weekly senior management meeting. The Market Risk Area is in charge of the measurement, control and follow-up of all positions that involve market risk exposure.</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ASHC, decisions regarding asset and liability management are made by the President,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2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24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VaR, in its historical simulation version, is applied to products managed by the Capital Markets Group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22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Additionally, the risk analysis of the investment portfolio is complemented by various indicators including the </w:t>
      </w:r>
      <w:r>
        <w:rPr>
          <w:rFonts w:ascii="Times New Roman" w:cs="Times New Roman" w:eastAsia="Times New Roman" w:hAnsi="Times New Roman"/>
          <w:sz w:val="18"/>
          <w:szCs w:val="18"/>
          <w:i w:val="1"/>
          <w:iCs w:val="1"/>
          <w:color w:val="auto"/>
        </w:rPr>
        <w:t>Degree of Portfolio Diversification</w:t>
      </w:r>
      <w:r>
        <w:rPr>
          <w:rFonts w:ascii="Times New Roman" w:cs="Times New Roman" w:eastAsia="Times New Roman" w:hAnsi="Times New Roman"/>
          <w:sz w:val="18"/>
          <w:szCs w:val="18"/>
          <w:color w:val="auto"/>
        </w:rPr>
        <w:t>, which measures the concentration of investments taking into account their risk factors, and VaR as a percentage of the investment, which measures the risk level assumed in a specific segment of the portfolio. As of year-end 2006, BCP maintains a Degree of Portfolio Diversification of 45% (36% in 2005) and a ratio of VaR over total portfolio of 0.13% (0.25% in 2005). BCP has established VaR limits and Stop-loss limit alerts as a function of the maximum potential losses in unfavorable market scenarios that it is willing to assume in the portfolio of each type of security.</w:t>
      </w:r>
    </w:p>
    <w:p>
      <w:pPr>
        <w:spacing w:after="0" w:line="2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BCP’s Market Risk Area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Area and senior management, are important elements of the risk management process.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maturities of Credicorp’s trading securities by type at December 31, 2006. See ”Item 4. Information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Company—(B) Business Overview—(12) Selected Statistical Information—(ii) Investment Portfolio”: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After 3 months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22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 months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Dollars in thousands, except percentages)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Nuevo Sol-denominated:</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Borders>
              <w:left w:val="single" w:sz="8" w:color="CCFFCC"/>
            </w:tcBorders>
            <w:shd w:val="clear" w:color="auto" w:fill="CCFFCC"/>
          </w:tcPr>
          <w:p>
            <w:pPr>
              <w:spacing w:after="0"/>
              <w:rPr>
                <w:sz w:val="23"/>
                <w:szCs w:val="23"/>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w:t>
            </w: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w:t>
            </w: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30,800</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43"/>
        </w:trPr>
        <w:tc>
          <w:tcPr>
            <w:tcW w:w="51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Bonds and debentures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Peruvian Central Bank certificates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Nuevo Sol-denominated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US$30,800</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US$30,800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US$30,800</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380" w:type="dxa"/>
            <w:vAlign w:val="bottom"/>
            <w:shd w:val="clear" w:color="auto" w:fill="CCFFCC"/>
          </w:tcPr>
          <w:p>
            <w:pPr>
              <w:spacing w:after="0"/>
              <w:rPr>
                <w:sz w:val="21"/>
                <w:szCs w:val="21"/>
                <w:color w:val="auto"/>
              </w:rPr>
            </w:pP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3,892</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3,892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3,892</w:t>
            </w:r>
          </w:p>
        </w:tc>
      </w:tr>
      <w:tr>
        <w:trPr>
          <w:trHeight w:val="243"/>
        </w:trPr>
        <w:tc>
          <w:tcPr>
            <w:tcW w:w="51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Bonds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20" w:type="dxa"/>
            <w:vAlign w:val="bottom"/>
            <w:tcBorders>
              <w:left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1,729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2,260</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2,260</w:t>
            </w:r>
          </w:p>
        </w:tc>
      </w:tr>
      <w:tr>
        <w:trPr>
          <w:trHeight w:val="24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Peruvian debt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8,182</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8,182</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11,757</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2,577</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14,334</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14,334</w:t>
            </w:r>
          </w:p>
        </w:tc>
      </w:tr>
      <w:tr>
        <w:trPr>
          <w:trHeight w:val="20"/>
        </w:trPr>
        <w:tc>
          <w:tcPr>
            <w:tcW w:w="5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securities holdings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42,557</w:t>
            </w:r>
          </w:p>
        </w:tc>
        <w:tc>
          <w:tcPr>
            <w:tcW w:w="220" w:type="dxa"/>
            <w:vAlign w:val="bottom"/>
            <w:tcBorders>
              <w:left w:val="single" w:sz="8" w:color="CCFFCC"/>
            </w:tcBorders>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2,577</w:t>
            </w:r>
          </w:p>
        </w:tc>
        <w:tc>
          <w:tcPr>
            <w:tcW w:w="220" w:type="dxa"/>
            <w:vAlign w:val="bottom"/>
            <w:shd w:val="clear" w:color="auto" w:fill="CCFFCC"/>
          </w:tcPr>
          <w:p>
            <w:pPr>
              <w:spacing w:after="0"/>
              <w:rPr>
                <w:sz w:val="24"/>
                <w:szCs w:val="24"/>
                <w:color w:val="auto"/>
              </w:rPr>
            </w:pPr>
          </w:p>
        </w:tc>
        <w:tc>
          <w:tcPr>
            <w:tcW w:w="1900" w:type="dxa"/>
            <w:vAlign w:val="bottom"/>
            <w:gridSpan w:val="3"/>
            <w:shd w:val="clear" w:color="auto" w:fill="CCFFCC"/>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45,134</w:t>
            </w:r>
          </w:p>
        </w:tc>
        <w:tc>
          <w:tcPr>
            <w:tcW w:w="11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7"/>
                <w:szCs w:val="17"/>
                <w:color w:val="auto"/>
              </w:rPr>
              <w:t>45,134</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“Foreign Currency-denominated Other investments,” US$8.2 million in the preceding table, are principally composed of US$6.5 million of shares in mutual funds.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in turn facilitates the management of their position.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5" w:name="page136"/>
    <w:bookmarkEnd w:id="135"/>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maturities of Credicorp’s available-for-sale investment securities by type at their fair value as of December 31, 2006. See ”Item 4. Information on the Company—(B) Business Overview—(12) Selected Statistical Information—(ii) Investment Portfolio”: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 1 year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 3 years</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after 5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Within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but within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but within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but within</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Fair</w:t>
            </w:r>
          </w:p>
        </w:tc>
      </w:tr>
      <w:tr>
        <w:trPr>
          <w:trHeight w:val="238"/>
        </w:trPr>
        <w:tc>
          <w:tcPr>
            <w:tcW w:w="3900" w:type="dxa"/>
            <w:vAlign w:val="bottom"/>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10 years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i w:val="1"/>
                <w:iCs w:val="1"/>
                <w:color w:val="auto"/>
              </w:rPr>
              <w:t>(U.S. Dollars in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Nuevo Sol-denominated: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US$1,725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US$6,845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US$36,212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US$29,816</w:t>
            </w:r>
          </w:p>
        </w:tc>
        <w:tc>
          <w:tcPr>
            <w:tcW w:w="1260" w:type="dxa"/>
            <w:vAlign w:val="bottom"/>
            <w:gridSpan w:val="2"/>
            <w:shd w:val="clear" w:color="auto" w:fill="CCFFCC"/>
          </w:tcPr>
          <w:p>
            <w:pPr>
              <w:ind w:left="320"/>
              <w:spacing w:after="0"/>
              <w:rPr>
                <w:sz w:val="20"/>
                <w:szCs w:val="20"/>
                <w:color w:val="auto"/>
              </w:rPr>
            </w:pPr>
            <w:r>
              <w:rPr>
                <w:rFonts w:ascii="Times New Roman" w:cs="Times New Roman" w:eastAsia="Times New Roman" w:hAnsi="Times New Roman"/>
                <w:sz w:val="18"/>
                <w:szCs w:val="18"/>
                <w:color w:val="auto"/>
              </w:rPr>
              <w:t>US$82,292</w:t>
            </w: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US$156,890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117,533</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Bonds and debentures</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12,843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25,213</w:t>
            </w: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74,010</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Peruvian Central Bank Certificates Notes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1,236,091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1,277,613</w:t>
            </w:r>
          </w:p>
        </w:tc>
      </w:tr>
      <w:tr>
        <w:trPr>
          <w:trHeight w:val="243"/>
        </w:trPr>
        <w:tc>
          <w:tcPr>
            <w:tcW w:w="390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241,682</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264,113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Nuevo Sol-denominated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1,609,874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US$76,447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US$51,455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US$32,946</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US$119,437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US$1,890,159</w:t>
            </w:r>
          </w:p>
        </w:tc>
      </w:tr>
      <w:tr>
        <w:trPr>
          <w:trHeight w:val="243"/>
        </w:trPr>
        <w:tc>
          <w:tcPr>
            <w:tcW w:w="39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US$1,475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US$24,034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US$4,874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US$114,327</w:t>
            </w:r>
          </w:p>
        </w:tc>
        <w:tc>
          <w:tcPr>
            <w:tcW w:w="12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123,525</w:t>
            </w: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US$268,235</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98,651</w:t>
            </w:r>
          </w:p>
        </w:tc>
      </w:tr>
      <w:tr>
        <w:trPr>
          <w:trHeight w:val="243"/>
        </w:trPr>
        <w:tc>
          <w:tcPr>
            <w:tcW w:w="390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157,871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342,635</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160,143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167,549</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283,753</w:t>
            </w:r>
          </w:p>
        </w:tc>
        <w:tc>
          <w:tcPr>
            <w:tcW w:w="1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1,111,951</w:t>
            </w: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12,334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53,451</w:t>
            </w:r>
          </w:p>
        </w:tc>
      </w:tr>
      <w:tr>
        <w:trPr>
          <w:trHeight w:val="270"/>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US$268,071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US$372,866</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US$177,351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US$300,168</w:t>
            </w:r>
          </w:p>
        </w:tc>
        <w:tc>
          <w:tcPr>
            <w:tcW w:w="100" w:type="dxa"/>
            <w:vAlign w:val="bottom"/>
            <w:shd w:val="clear" w:color="auto" w:fill="CCFFCC"/>
          </w:tcPr>
          <w:p>
            <w:pPr>
              <w:spacing w:after="0"/>
              <w:rPr>
                <w:sz w:val="23"/>
                <w:szCs w:val="23"/>
                <w:color w:val="auto"/>
              </w:rPr>
            </w:pPr>
          </w:p>
        </w:tc>
        <w:tc>
          <w:tcPr>
            <w:tcW w:w="2520" w:type="dxa"/>
            <w:vAlign w:val="bottom"/>
            <w:gridSpan w:val="4"/>
            <w:shd w:val="clear" w:color="auto" w:fill="CCFFCC"/>
          </w:tcPr>
          <w:p>
            <w:pPr>
              <w:ind w:left="240"/>
              <w:spacing w:after="0"/>
              <w:rPr>
                <w:sz w:val="20"/>
                <w:szCs w:val="20"/>
                <w:color w:val="auto"/>
              </w:rPr>
            </w:pPr>
            <w:r>
              <w:rPr>
                <w:rFonts w:ascii="Times New Roman" w:cs="Times New Roman" w:eastAsia="Times New Roman" w:hAnsi="Times New Roman"/>
                <w:sz w:val="18"/>
                <w:szCs w:val="18"/>
                <w:color w:val="auto"/>
              </w:rPr>
              <w:t xml:space="preserve">US$413,832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1,532,288</w:t>
            </w:r>
          </w:p>
        </w:tc>
      </w:tr>
      <w:tr>
        <w:trPr>
          <w:trHeight w:val="20"/>
        </w:trPr>
        <w:tc>
          <w:tcPr>
            <w:tcW w:w="39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securities holding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1,877,945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US$449,313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US$228,806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US$333,114</w:t>
            </w:r>
          </w:p>
        </w:tc>
        <w:tc>
          <w:tcPr>
            <w:tcW w:w="10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US$533,269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3,422,447</w:t>
            </w:r>
          </w:p>
        </w:tc>
      </w:tr>
      <w:tr>
        <w:trPr>
          <w:trHeight w:val="20"/>
        </w:trPr>
        <w:tc>
          <w:tcPr>
            <w:tcW w:w="3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120" w:hanging="328"/>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in Credicorp’s trading account are categorized as maturing within one year, while other equity securities are categorized according to their maturity.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Foreign Currency-denominated Other Investments, US$199.8 million in the preceding table, are principally composed of US$96.2 million of participation units in various mutual funds, US$15.7 million of commercial paper and US$51.2 million in required deposits reserves managed by the Bolivian Central Bank in the </w:t>
      </w:r>
      <w:r>
        <w:rPr>
          <w:rFonts w:ascii="Times New Roman" w:cs="Times New Roman" w:eastAsia="Times New Roman" w:hAnsi="Times New Roman"/>
          <w:sz w:val="18"/>
          <w:szCs w:val="18"/>
          <w:i w:val="1"/>
          <w:iCs w:val="1"/>
          <w:color w:val="auto"/>
        </w:rPr>
        <w:t>Fondo RAL</w:t>
      </w:r>
      <w:r>
        <w:rPr>
          <w:rFonts w:ascii="Times New Roman" w:cs="Times New Roman" w:eastAsia="Times New Roman" w:hAnsi="Times New Roman"/>
          <w:sz w:val="18"/>
          <w:szCs w:val="18"/>
          <w:color w:val="auto"/>
        </w:rPr>
        <w:t xml:space="preserve"> and US$28.0 million in other investments.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Rate Risk Management</w:t>
      </w:r>
    </w:p>
    <w:p>
      <w:pPr>
        <w:spacing w:after="0" w:line="2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2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6" w:name="page137"/>
    <w:bookmarkEnd w:id="13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reflects, according to maturity, repricing and by currency, the interest-earning assets and interest-bearing liabilities of Credicorp as of December 31, 2006,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2006, Credicorp believes that a significant increase or decrease in interest rates would not reasonably be expected to have a material effect on Credicorp’s financial condition or results of operations.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xml:space="preserve">Earliest Repricing Interval at December 31, 2006 </w:t>
            </w:r>
            <w:r>
              <w:rPr>
                <w:rFonts w:ascii="Times New Roman" w:cs="Times New Roman" w:eastAsia="Times New Roman" w:hAnsi="Times New Roman"/>
                <w:sz w:val="18"/>
                <w:szCs w:val="18"/>
                <w:color w:val="auto"/>
              </w:rPr>
              <w:t>(2)</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680" w:type="dxa"/>
            <w:vAlign w:val="bottom"/>
          </w:tcPr>
          <w:p>
            <w:pPr>
              <w:spacing w:after="0"/>
              <w:rPr>
                <w:sz w:val="16"/>
                <w:szCs w:val="16"/>
                <w:color w:val="auto"/>
              </w:rPr>
            </w:pPr>
          </w:p>
        </w:tc>
        <w:tc>
          <w:tcPr>
            <w:tcW w:w="1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Overnight to</w:t>
            </w:r>
          </w:p>
        </w:tc>
        <w:tc>
          <w:tcPr>
            <w:tcW w:w="1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Over 3 to</w:t>
            </w:r>
          </w:p>
        </w:tc>
        <w:tc>
          <w:tcPr>
            <w:tcW w:w="130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Total within</w:t>
            </w:r>
          </w:p>
        </w:tc>
        <w:tc>
          <w:tcPr>
            <w:tcW w:w="1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Over 1</w:t>
            </w:r>
          </w:p>
        </w:tc>
        <w:tc>
          <w:tcPr>
            <w:tcW w:w="1300" w:type="dxa"/>
            <w:vAlign w:val="bottom"/>
            <w:gridSpan w:val="2"/>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Over 5</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8"/>
        </w:trPr>
        <w:tc>
          <w:tcPr>
            <w:tcW w:w="3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8"/>
          </w:tcPr>
          <w:p>
            <w:pPr>
              <w:jc w:val="right"/>
              <w:ind w:right="920"/>
              <w:spacing w:after="0"/>
              <w:rPr>
                <w:sz w:val="20"/>
                <w:szCs w:val="20"/>
                <w:color w:val="auto"/>
              </w:rPr>
            </w:pPr>
            <w:r>
              <w:rPr>
                <w:rFonts w:ascii="Times New Roman" w:cs="Times New Roman" w:eastAsia="Times New Roman" w:hAnsi="Times New Roman"/>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Nuevo Sol-denominated:</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926,736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260,750</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1,187,486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277,431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19,160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1,484,077</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514,419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744,133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1,258,552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114,532</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50,978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1,424,061</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Deposits in other banks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46,697</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7,011</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53,708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53,708</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Off-Balance debit accounts, Forwards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280.794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275,614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556,408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560,058</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1,287,508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395,598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70,151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3,521,903</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921,572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182,055</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1,103,627</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9,803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1,113,430</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738,432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233,460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971,892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972,159</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Interbank deposits received</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58,405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8,855</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67,260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6,691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73,951</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Bonds and other liabilities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10,825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24,937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35,761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130,916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177,996</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Off-Balance credit accounts, Forwards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545,580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31,000</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576,580</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20,450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597,030</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2,274,814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480,307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2,755,120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168,127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2,934,566</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(506,168)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807,201</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301,034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227,471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58,832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587,337</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(506,168)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301,034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301,034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528,504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587,337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587,337</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3,056,154</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3,451,752</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3,521,903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3,521,903</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Foreign Currency-denominated:</w:t>
            </w: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2,149,194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1,242,188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3,391,382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787,563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290,311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4,469,256</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353,935</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103,163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457,098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367,019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328,107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1,152,225</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Deposits in other banks, and Other instruments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975,254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1,298,272</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2,273,527</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5,948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6,117</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2,285,592</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Off-Balance debit accounts, Forwards Swaps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745,704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85,157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830,861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66,579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13,081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910,520</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2,728,781</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1,227,109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637,616</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8,817,594</w:t>
            </w:r>
          </w:p>
        </w:tc>
      </w:tr>
      <w:tr>
        <w:trPr>
          <w:trHeight w:val="243"/>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1,942,655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698,877</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2,641,533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57,001</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2,698,534</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1,861,562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811,864</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2,673,426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241,305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196,836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3,111,568</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Interbank deposits received and Borrowings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319,942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71,747</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391,689</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85,729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128,408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605,827</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Bonds and mortgage notes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41,670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45,628</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87,298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179,046</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274,120</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Off-Balance credit accounts, Forwards Swaps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385,255</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327,839</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713,094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125,668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39,143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877,904</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4,551,084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1,955,956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6,507,039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688,749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372,164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7,567,952</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(326,996)</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772,825</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445,829</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538,360</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265,453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1,249,641</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(326,996)</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445,829</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445,829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984,189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1,249,641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1,249,641</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6,952,868</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8,179,977</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8,817,594</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8,817,594</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14.17%</w:t>
            </w:r>
          </w:p>
        </w:tc>
      </w:tr>
      <w:tr>
        <w:trPr>
          <w:trHeight w:val="270"/>
        </w:trPr>
        <w:tc>
          <w:tcPr>
            <w:tcW w:w="36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sensitivity gap</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(833,164)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1,580,027</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746,862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765,831</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324,285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1,836,978</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Cumulative interest sensitivity gap</w:t>
            </w:r>
          </w:p>
        </w:tc>
        <w:tc>
          <w:tcPr>
            <w:tcW w:w="12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(833,164)</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746,862</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746,862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1,512,693</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1,836,978</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1,836,978</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interest-earning assets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5,992,733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4,016,289</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10,009,022</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1,622,708</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707,767</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12,339,497</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5,992,733</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10,009,022</w:t>
            </w:r>
          </w:p>
        </w:tc>
        <w:tc>
          <w:tcPr>
            <w:tcW w:w="13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10,009,022</w:t>
            </w:r>
          </w:p>
        </w:tc>
        <w:tc>
          <w:tcPr>
            <w:tcW w:w="12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11,631,729</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12,339,497</w:t>
            </w:r>
          </w:p>
        </w:tc>
        <w:tc>
          <w:tcPr>
            <w:tcW w:w="13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12,339,497</w:t>
            </w:r>
          </w:p>
        </w:tc>
      </w:tr>
      <w:tr>
        <w:trPr>
          <w:trHeight w:val="194"/>
        </w:trPr>
        <w:tc>
          <w:tcPr>
            <w:tcW w:w="3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Cumulative interest sensitivity gap as a</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percentage of cumulative interest-earning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severance indemnity deposits</w:t>
      </w:r>
    </w:p>
    <w:p>
      <w:pPr>
        <w:spacing w:after="0" w:line="279"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has been elaborated for administration on the bases of diverse assumptions, and is based on management figures, which do not necessarily conform to the figures on Credicorp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792" w:gutter="0" w:footer="0" w:header="0"/>
        </w:sectPr>
      </w:pPr>
    </w:p>
    <w:bookmarkStart w:id="137" w:name="page138"/>
    <w:bookmarkEnd w:id="13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static gap position, BCP employs a simulation analysis to measure the degree of short-term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reprising interval and interest yields or costs. Simulations are run using shocks of +/- 100 basis points on the interest rates to determine potential changes to future earnings.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simulation results reflect changes between a most likely to occur interest rate base case scenario. Interest rate scenarios are separately devised for U.S. Dollar- and Nuevos Soles-denominated rates. As of December 31, 2006, Credicorp’s banking subsidiaries had a very short-term cumulative gap with US$833.2 million more liabilities than assets reprising within three months. This represents 13.90% of cumulative interest-earning assets which changes to a positive cumulative gap with US$746.9 million more assets than liabilities reprising within one year, or 7.46% of cumulative interest-earning assets.</w:t>
      </w:r>
    </w:p>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Considering that the consensus in the market is for a continued generalized increase in interest rates, the base case scenario analyzes the effect on financial margins in the next 12 months of a 100 basis points increase in Nuevos Soles-denominated interest rates as well as in U.S. Dollar-denominated rates. The base case scenario shows an impact of these variations resulting, for the next 12 months, in a decrease of pre-tax net interest income of approximately US$0.48 million, or 0.1% of net interest income in 2006, which is the outcome of a shorter reprising period for liabilities with respect to assets.</w:t>
      </w:r>
    </w:p>
    <w:p>
      <w:pPr>
        <w:spacing w:after="0" w:line="2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areas. Furthermore, more than 50% of Credicorp’s interest-bearing deposits can be unilaterally modified, causing difficulties in establishing the expected reprising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i w:val="1"/>
          <w:iCs w:val="1"/>
          <w:color w:val="auto"/>
        </w:rPr>
        <w:t>Exchange Rate Sensitivity</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 net liability position in Nuevos Soles, the translation gains are recognized when the exposure to the Nuevo Sol is weakened against the U.S. Dollar. In case such exposure is strengthened against the U.S. Dollar, a translation loss is recognized. On the other hand, in a net asset position, if the exposition of Nuevo Sol is weakened against the U.S. Dollar, a translation loss is recognized, if it has strengthened against the U.S. Dollar, a translation gain is recognized.</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Earnings sensitivity is estimated by directly applying expected foreign currency devaluation or revaluation rates on the above net positions. The Nuevos Soles net asset position results in exchange gains whenever the Peruvian currency raises its value against the U.S. Dollar, while a devaluation would generate exchange losses. A 10% change in the Nuevo Sol exchange rate would generate a US$4.6 million gain in case of devaluation (in net liability position in Nuevos Soles) or revaluation (in net asset position in Nuevos Soles), respectively. Also, a 10% change in the Nuevo Sol exchange rate would generate a US$4.6 million loss in case of devaluation (in net asset position in Nuevos Soles) or revaluation (in net liability position in Nuevos Soles), respectively. Given the evolution of the exchange rate in past years, a significant devaluation scenario for the Nuevo Sol is very unlikely for the next 12 months, unless certain political instability scenarios generate such devaluation. See “Item 3. Key Information—(A) Selected Financial Data—Exchange Controls.”</w:t>
      </w:r>
    </w:p>
    <w:p>
      <w:pPr>
        <w:spacing w:after="0" w:line="24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Considering foreign currency forward contracts, the Nuevos Soles exposure increases to a net asset position of US$732.7 million at December 31, 2006, and a net asset position of US$31.2 million in other currencies. See Note 26 to the Credicorp Consolidated Financial Statements.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asset position in other currencies different from Nuevo Sol is principally composed of Bolivian Bolivianos with a total of US$31.2 million. Credicorp management expects that the exchange risk in this currency will be significant, due to the political, social and/or economic instability that may result from the policies adopted by the new Bolivian government. In particular, the nationalization of hydrocarbons, by the Bolivian government represents increased risks for all related activities.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2006, Credicorp’s total U.S. Dollar-denominated monetary assets were US$8,208.4 million and its U.S. Dollar-denominated liabilities were US$7,979.7 million, resulting in a net U.S. Dollar asset position of US$228.6 million (US$973.2 million at December 31, 2005). Of such amount, approximately 20%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the policy of maintaining the sum of its net U.S. Dollar assets, real estate assets and investments in equity securities at least equal to shareholders’ equity.</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 —(11) Supervision and Regulation—(ii) BCP—Capital Adequacy Requirements.”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i w:val="1"/>
          <w:iCs w:val="1"/>
          <w:color w:val="auto"/>
        </w:rPr>
        <w:t>Derivatives Trading Activities</w:t>
      </w:r>
    </w:p>
    <w:p>
      <w:pPr>
        <w:spacing w:after="0" w:line="2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2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for foreign currency forward commitments and interest rate swaps, Credicorp does not enter into derivative transactions or options (in March 2006, currency swap operations were initiated and are expected to include forward rate agreement-FRAs).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2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2006, the nominal amount of outstanding forward contracts was approximately US$1,153.2 million (US$998.7 million as of December 31, 2005), with maturities for periods less than a year. All of those contracts were signed solely to serve customer needs. Interest rate swap operations at year-end 2006 amounted approximately to US$543.0 million (US$572.2 million in 2005). These contracts are recorded at fair value, recording both realized and unrealized gains and losses in the consolidated income statements. In addition, the cross currency swap operations amounted approximately to US$48.9 million.</w:t>
      </w:r>
    </w:p>
    <w:p>
      <w:pPr>
        <w:spacing w:after="0" w:line="2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79"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Defaults</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Credicorp and its subsidiaries have never defaulted on any of its debt or been forced to reschedule any of its obligations.</w:t>
      </w:r>
    </w:p>
    <w:p>
      <w:pPr>
        <w:spacing w:after="0" w:line="275" w:lineRule="exact"/>
        <w:rPr>
          <w:rFonts w:ascii="Times New Roman" w:cs="Times New Roman" w:eastAsia="Times New Roman" w:hAnsi="Times New Roman"/>
          <w:sz w:val="18"/>
          <w:szCs w:val="18"/>
          <w:b w:val="1"/>
          <w:bCs w:val="1"/>
          <w:color w:val="auto"/>
        </w:rPr>
      </w:pPr>
    </w:p>
    <w:p>
      <w:pPr>
        <w:ind w:left="660" w:right="7700" w:hanging="652"/>
        <w:spacing w:after="0" w:line="563" w:lineRule="auto"/>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Arrearages and Delinquencies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tab/>
        <w:t>CONTROLS AND PROCEDURES</w:t>
      </w:r>
    </w:p>
    <w:p>
      <w:pPr>
        <w:spacing w:after="0" w:line="279"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Credicorp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2006. Based on that evaluation, Credicorp management, its principal executive officer and its principal financial officer have concluded that Credicorp’s disclosure controls and procedures are effective in ensuring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40" w:name="page141"/>
    <w:bookmarkEnd w:id="140"/>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and management of Credicorp Ltd. and Subsidiaries (Credicorp) are responsible for establishing and maintaining adequate internal control over financial reporting. Credicorp’s internal control over financial reporting is designed to provide reasonable assurance regarding the preparation and fair presentation of published financial statements in accordance with International Financial Reporting Standards (IFRS) including a reconciliation of net profit and equity attributable to Credicorp shareholders to U.S. generally accepted accounting principles (U.S GAAP).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Credicorp’s internal control over financial reporting includes those policies and procedures that:</w:t>
      </w:r>
    </w:p>
    <w:p>
      <w:pPr>
        <w:spacing w:after="0" w:line="279"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transactions and dispositions of assets;</w:t>
      </w:r>
    </w:p>
    <w:p>
      <w:pPr>
        <w:spacing w:after="0" w:line="2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and fair presentation of financial statements, and the receipts and expenditures of the company are being made only in accordance with authorizations of Credicorp management; and</w:t>
      </w:r>
    </w:p>
    <w:p>
      <w:pPr>
        <w:spacing w:after="0" w:line="2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Credicorp management assessed the effectiveness of Credicorp’s internal control over financial reporting as of December 31, 2006 based on the criteria set forth by the Committee of Sponsoring Organizations of the Treadway Commission (COSO) in Internal Control-Integrated Framework. Based on this assessment, management believes that, as of December 31, 2006, Credicorp’s internal control over financial reporting was effective. Credicorp management also found no material weaknesses in Credicorp internal control over financial reporting and therefore no corrective actions were taken.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assessment of the effectiveness of Credicorp’s internal control over financial reporting as of December 31, 2006 has been audited by Medina, Zaldívar, Paredes &amp; Asociados, (member firm of Ernst &amp; Young Global), Credicorp’s independent registered public accounting firm, as stated in their report included herein, and expressed unqualified opinions on management’s assessment and on the effectiveness of Credicorp’s internal control over financial reporting as of December 31, 2006.</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 DIONISIO ROMERO</w:t>
            </w:r>
          </w:p>
        </w:tc>
        <w:tc>
          <w:tcPr>
            <w:tcW w:w="288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WALTER BAYLY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Name: Dionisio Romero</w:t>
            </w:r>
          </w:p>
        </w:tc>
        <w:tc>
          <w:tcPr>
            <w:tcW w:w="288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Walter Bayly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288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Chief Financial and Accounting Officer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8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35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June 28, 2007</w:t>
            </w: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25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-1060450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-1060450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-1060450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1" w:name="page142"/>
    <w:bookmarkEnd w:id="141"/>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182689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363220</wp:posOffset>
            </wp:positionV>
            <wp:extent cx="1492250" cy="300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922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Credicorp Ltd.</w:t>
      </w:r>
    </w:p>
    <w:p>
      <w:pPr>
        <w:spacing w:after="0" w:line="27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We have audited management’s assessment, included in the Management’s Report on Internal Control Over Financial Reporting, that Credicorp Ltd. and Subsidiaries (Credicorp) maintained effective internal control over financial reporting as of December 31, 2006, based on criteria established in Internal Control- Integrated Framework issued by the Committee of Sponsoring Organizations of the Tread way Commission (the COSO criteria). Credicorp’s management is responsible for maintaining effective internal control over financial reporting and for its assessment of the effectiveness of internal control over financial reporting. Our responsibility is to express and opinion on management’s assessment and an opinion on the effectiveness of the company’s internal control over financial reporting based on our audit.</w:t>
      </w:r>
    </w:p>
    <w:p>
      <w:pPr>
        <w:spacing w:after="0" w:line="2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and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 of the assets of the company; (2) provide reasonable assurance that transaction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 on Internal Control Over Financial Reporting (continued)</w:t>
      </w:r>
    </w:p>
    <w:p>
      <w:pPr>
        <w:spacing w:after="0" w:line="2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 in conditions, or that the degree of compliance with the policies of procedures may deteriorate.</w:t>
      </w:r>
    </w:p>
    <w:p>
      <w:pPr>
        <w:spacing w:after="0" w:line="23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our opinion, management’s assessment that Credicorp Ltd. maintained effective internal control over financial reporting as of December 31, 2006, is fairly stated, in all material respects, based on the COSO criteria. Also, in our opinion, Credicorp Ltd. maintained, in all material respects, effective internal control over financial reporting as of December 31, 2006, based on the COSO criteria.</w:t>
      </w:r>
    </w:p>
    <w:p>
      <w:pPr>
        <w:spacing w:after="0" w:line="2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of America), the consolidated balance sheets of Credicorp Ltd and Subsidiaries as of December 31, 2006 and 2005, and the related consolidated statements of income, changes in equity and cash flows for each of the three years in the period ended December 31, 2006 and our report dated June 27, 2007, expressed an unqualified opinion on those Consolidated Financial Statements.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046480" cy="943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189230</wp:posOffset>
            </wp:positionV>
            <wp:extent cx="2315210" cy="1037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Juan Paredes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C.P.C. Register Nº22220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2007</w:t>
      </w:r>
    </w:p>
    <w:p>
      <w:pPr>
        <w:spacing w:after="0" w:line="257"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no changes were made to Credicorp’s internal controls over financial reporting that have materially affected, or are likely to materially affect, internal controls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Credicorp’s Board of Directors has determined that Mr. Luis Enrique Yarur is an audit committee financial expert, as that term is defined in the instructions to Item 16A of Form 20-F. Credicorp Board of Directors has determined that Mr. Yarur is “independent” as defined in Rule 10A-3 under the Exchange Act and in Section 303A.02 of The NYSE Listed Company Manual.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Credicorp has adopted a code of ethics (</w:t>
      </w:r>
      <w:r>
        <w:rPr>
          <w:rFonts w:ascii="Times New Roman" w:cs="Times New Roman" w:eastAsia="Times New Roman" w:hAnsi="Times New Roman"/>
          <w:sz w:val="18"/>
          <w:szCs w:val="18"/>
          <w:i w:val="1"/>
          <w:iCs w:val="1"/>
          <w:color w:val="auto"/>
        </w:rPr>
        <w:t>Código de Etica</w:t>
      </w:r>
      <w:r>
        <w:rPr>
          <w:rFonts w:ascii="Times New Roman" w:cs="Times New Roman" w:eastAsia="Times New Roman" w:hAnsi="Times New Roman"/>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Times New Roman" w:cs="Times New Roman" w:eastAsia="Times New Roman" w:hAnsi="Times New Roman"/>
          <w:sz w:val="18"/>
          <w:szCs w:val="18"/>
          <w:i w:val="1"/>
          <w:iCs w:val="1"/>
          <w:color w:val="auto"/>
        </w:rPr>
        <w:t>Código de Etica Para Profesionales con Responsibilidad Financiera</w:t>
      </w:r>
      <w:r>
        <w:rPr>
          <w:rFonts w:ascii="Times New Roman" w:cs="Times New Roman" w:eastAsia="Times New Roman" w:hAnsi="Times New Roman"/>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Times New Roman" w:cs="Times New Roman" w:eastAsia="Times New Roman" w:hAnsi="Times New Roman"/>
          <w:sz w:val="18"/>
          <w:szCs w:val="18"/>
          <w:u w:val="single" w:color="auto"/>
          <w:color w:val="auto"/>
        </w:rPr>
        <w:t>http://www.credicorpnet.com</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2004, 2005 and 2006, respectively. The Audit Committee recommends the appointment of the independent auditor every fiscal year, and the auditor is appointed at the Annual General Shareholders’ Meeting.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0" w:type="dxa"/>
            <w:vAlign w:val="bottom"/>
            <w:tcBorders>
              <w:bottom w:val="single" w:sz="8" w:color="auto"/>
            </w:tcBorders>
            <w:gridSpan w:val="5"/>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0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i w:val="1"/>
                <w:iCs w:val="1"/>
                <w:color w:val="auto"/>
                <w:w w:val="99"/>
              </w:rPr>
              <w:t>(U.S. 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Audit</w:t>
            </w:r>
          </w:p>
        </w:tc>
        <w:tc>
          <w:tcPr>
            <w:tcW w:w="16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US$1,132</w:t>
            </w:r>
          </w:p>
        </w:tc>
        <w:tc>
          <w:tcPr>
            <w:tcW w:w="1980" w:type="dxa"/>
            <w:vAlign w:val="bottom"/>
            <w:gridSpan w:val="3"/>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US$1,293</w:t>
            </w: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US$1,779</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Audit - Related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19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Tax</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US$1,287</w:t>
            </w:r>
          </w:p>
        </w:tc>
        <w:tc>
          <w:tcPr>
            <w:tcW w:w="198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US$1,871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US$1,884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correspond to audit services performed (i) in the review of Credicorp’s consolidated financial statements, (ii) establishing the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independent auditor needs to perform in order to form an opinion about Credicorp’s consolidated financial statements, and (iii) to comply with the statutory requirements applicable to Credicorp’s subsidiaries. Audit fees also include expenses related to the audit work and comfort letters in connection with the issuance of long term debt. In 2006, Credicorp’s independent auditors performed tasks related to the delivery of a comfort letter in connection with the issuance of long term debt by BCP with fees accounting to US$100,000. All fees were approved by the Audit Committee.</w:t>
      </w:r>
    </w:p>
    <w:p>
      <w:pPr>
        <w:spacing w:after="0" w:line="23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relate to services that are similar to the execution of an audit or a review of Credicorp’s financial statements and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traditionally performed by the independent auditor. Such audit-related services include; assistance in the understanding of new accounting and financial rules established by regulatory entities; audit related procedures on accounting matters previously agreed with Credicorp management; and special audit reviews of internal control procedures. Audit-related fees during 2006 in the amount of US$58,000 included fees in connection with a “due diligence” task related to the acquisition of AFP Unión Vida performed by Credicorp’s independent auditors. The fees were approved by the Audit Committee.</w:t>
      </w:r>
    </w:p>
    <w:p>
      <w:pPr>
        <w:spacing w:after="0" w:line="23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relate to tax services which include all services performed by Credicorp’s independent auditor’s tax personnel, except those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related to the review and preparation of Credicorp’s financial statements, and consisted principally of tax compliance and advisory services approved by the Audit Committee.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include mainly some expenses related to training courses prepared for the insurance company by the independent auditors.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i w:val="1"/>
          <w:iCs w:val="1"/>
          <w:color w:val="auto"/>
        </w:rPr>
        <w:t>Audit Committee Pre-Approval Policies and Procedures</w:t>
      </w:r>
    </w:p>
    <w:p>
      <w:pPr>
        <w:spacing w:after="0" w:line="2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23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requires that all tax services provided by the independent auditors be brought to its approval, following the rules promulgated by the SEC.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Credicorp Consolidated Financial Statements and the report of independent public accounting firm in connection therewith are filed as part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20-F, as noted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Page</w:t>
            </w:r>
          </w:p>
        </w:tc>
        <w:tc>
          <w:tcPr>
            <w:tcW w:w="100" w:type="dxa"/>
            <w:vAlign w:val="bottom"/>
          </w:tcPr>
          <w:p>
            <w:pPr>
              <w:spacing w:after="0"/>
              <w:rPr>
                <w:sz w:val="20"/>
                <w:szCs w:val="20"/>
                <w:color w:val="auto"/>
              </w:rPr>
            </w:pPr>
          </w:p>
        </w:tc>
      </w:tr>
      <w:tr>
        <w:trPr>
          <w:trHeight w:val="237"/>
        </w:trPr>
        <w:tc>
          <w:tcPr>
            <w:tcW w:w="99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Credicorp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60"/>
              <w:spacing w:after="0"/>
              <w:rPr>
                <w:sz w:val="20"/>
                <w:szCs w:val="20"/>
                <w:color w:val="auto"/>
              </w:rPr>
            </w:pPr>
            <w:r>
              <w:rPr>
                <w:rFonts w:ascii="Times New Roman" w:cs="Times New Roman" w:eastAsia="Times New Roman" w:hAnsi="Times New Roman"/>
                <w:sz w:val="18"/>
                <w:szCs w:val="18"/>
                <w:color w:val="auto"/>
              </w:rPr>
              <w:t>Index to Financial Statements and Schedules</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F-2</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Report of Medina, Zaldívar, Paredes &amp; Asociados, members of Ernst &amp; Young Global, Independent Public Accountants</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F-3</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Consolidated Balance Sheets as of December 31, 2006 and 2005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F-5</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Consolidated Income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F-7</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Changes in Equity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F-9</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Consolidated Cash Flow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F-11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F-13</w:t>
            </w:r>
          </w:p>
        </w:tc>
      </w:tr>
    </w:tbl>
    <w:p>
      <w:pPr>
        <w:spacing w:after="0" w:line="25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6" w:name="page147"/>
    <w:bookmarkEnd w:id="14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19.</w:t>
        <w:tab/>
        <w:t>EXHIBITS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Index to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Bye-Laws of Credicorp Ltd., incorporated herein by reference to Exhibit 1.1 to Credicorp’s Annual Report on Form 20-F dated June 30, 2005</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Memorandum of Association of Credicorp Ltd., incorporated herein by reference to Exhibit 1.2 to Credicorp’s Annual Report on Form 20-F</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dated June 27, 2003</w:t>
      </w:r>
    </w:p>
    <w:p>
      <w:pPr>
        <w:spacing w:after="0" w:line="234" w:lineRule="exact"/>
        <w:rPr>
          <w:sz w:val="20"/>
          <w:szCs w:val="20"/>
          <w:color w:val="auto"/>
        </w:rPr>
      </w:pPr>
    </w:p>
    <w:p>
      <w:pPr>
        <w:ind w:left="960" w:hanging="952"/>
        <w:spacing w:after="0"/>
        <w:tabs>
          <w:tab w:leader="none" w:pos="9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Subsidiaries, incorporated herein by reference to Exhibit 8 to Credicorp’s Annual Report on Form 20-F dated June 27, 2003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12.1</w:t>
            </w:r>
          </w:p>
        </w:tc>
        <w:tc>
          <w:tcPr>
            <w:tcW w:w="10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12.2</w:t>
            </w:r>
          </w:p>
        </w:tc>
        <w:tc>
          <w:tcPr>
            <w:tcW w:w="10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by the Chief Financial and Accounting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13.1</w:t>
            </w:r>
          </w:p>
        </w:tc>
        <w:tc>
          <w:tcPr>
            <w:tcW w:w="10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Section 906 of the U.S. Sarbanes-Oxley Act of 2002</w:t>
            </w:r>
          </w:p>
        </w:tc>
      </w:tr>
      <w:tr>
        <w:trPr>
          <w:trHeight w:val="459"/>
        </w:trPr>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5"/>
              </w:rPr>
              <w:t>13.2</w:t>
            </w:r>
          </w:p>
        </w:tc>
        <w:tc>
          <w:tcPr>
            <w:tcW w:w="10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by the Chief Financial and Accounting Officer Pursuant to Section 906 of the U.S. Sarbanes-Oxley Act of 2002</w:t>
            </w:r>
          </w:p>
        </w:tc>
      </w:tr>
      <w:tr>
        <w:trPr>
          <w:trHeight w:val="486"/>
        </w:trPr>
        <w:tc>
          <w:tcPr>
            <w:tcW w:w="640" w:type="dxa"/>
            <w:vAlign w:val="bottom"/>
          </w:tcPr>
          <w:p>
            <w:pPr>
              <w:spacing w:after="0"/>
              <w:rPr>
                <w:sz w:val="24"/>
                <w:szCs w:val="24"/>
                <w:color w:val="auto"/>
              </w:rPr>
            </w:pPr>
          </w:p>
        </w:tc>
        <w:tc>
          <w:tcPr>
            <w:tcW w:w="1078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142</w:t>
            </w:r>
          </w:p>
        </w:tc>
      </w:tr>
      <w:tr>
        <w:trPr>
          <w:trHeight w:val="118"/>
        </w:trPr>
        <w:tc>
          <w:tcPr>
            <w:tcW w:w="640" w:type="dxa"/>
            <w:vAlign w:val="bottom"/>
            <w:tcBorders>
              <w:bottom w:val="single" w:sz="8" w:color="808080"/>
            </w:tcBorders>
          </w:tcPr>
          <w:p>
            <w:pPr>
              <w:spacing w:after="0"/>
              <w:rPr>
                <w:sz w:val="10"/>
                <w:szCs w:val="10"/>
                <w:color w:val="auto"/>
              </w:rPr>
            </w:pPr>
          </w:p>
        </w:tc>
        <w:tc>
          <w:tcPr>
            <w:tcW w:w="10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7" w:name="page148"/>
    <w:bookmarkEnd w:id="1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 WALTER BAYLY</w:t>
            </w:r>
          </w:p>
        </w:tc>
      </w:tr>
      <w:tr>
        <w:trPr>
          <w:trHeight w:val="132"/>
        </w:trPr>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r>
      <w:tr>
        <w:trPr>
          <w:trHeight w:val="361"/>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Walter Bayly</w:t>
            </w:r>
          </w:p>
        </w:tc>
      </w:tr>
      <w:tr>
        <w:trPr>
          <w:trHeight w:val="27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-415290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-415290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2007</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8" w:name="page149"/>
    <w:bookmarkEnd w:id="14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CREDICORP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182689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Credicorp Ltd. and Subsidiaries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rPr>
          <w:sz w:val="20"/>
          <w:szCs w:val="20"/>
          <w:color w:val="auto"/>
        </w:rPr>
      </w:pPr>
      <w:r>
        <w:rPr>
          <w:rFonts w:ascii="Times New Roman" w:cs="Times New Roman" w:eastAsia="Times New Roman" w:hAnsi="Times New Roman"/>
          <w:sz w:val="18"/>
          <w:szCs w:val="18"/>
          <w:b w:val="1"/>
          <w:bCs w:val="1"/>
          <w:color w:val="auto"/>
        </w:rPr>
        <w:t>Content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tc>
        <w:tc>
          <w:tcPr>
            <w:tcW w:w="6360" w:type="dxa"/>
            <w:vAlign w:val="bottom"/>
          </w:tcPr>
          <w:p>
            <w:pPr>
              <w:spacing w:after="0"/>
              <w:rPr>
                <w:sz w:val="20"/>
                <w:szCs w:val="20"/>
                <w:color w:val="auto"/>
              </w:rPr>
            </w:pPr>
          </w:p>
        </w:tc>
      </w:tr>
      <w:tr>
        <w:trPr>
          <w:trHeight w:val="48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360" w:type="dxa"/>
            <w:vAlign w:val="bottom"/>
          </w:tcPr>
          <w:p>
            <w:pPr>
              <w:spacing w:after="0"/>
              <w:rPr>
                <w:sz w:val="24"/>
                <w:szCs w:val="24"/>
                <w:color w:val="auto"/>
              </w:rPr>
            </w:pPr>
          </w:p>
        </w:tc>
      </w:tr>
      <w:tr>
        <w:trPr>
          <w:trHeight w:val="270"/>
        </w:trPr>
        <w:tc>
          <w:tcPr>
            <w:tcW w:w="506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5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36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income statements</w:t>
            </w:r>
          </w:p>
        </w:tc>
        <w:tc>
          <w:tcPr>
            <w:tcW w:w="6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5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636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F-8</w:t>
            </w: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cash flows statements</w:t>
            </w:r>
          </w:p>
        </w:tc>
        <w:tc>
          <w:tcPr>
            <w:tcW w:w="6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F-10</w:t>
            </w:r>
          </w:p>
        </w:tc>
      </w:tr>
      <w:tr>
        <w:trPr>
          <w:trHeight w:val="243"/>
        </w:trPr>
        <w:tc>
          <w:tcPr>
            <w:tcW w:w="5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36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F-12</w:t>
            </w:r>
          </w:p>
        </w:tc>
      </w:tr>
      <w:tr>
        <w:trPr>
          <w:trHeight w:val="486"/>
        </w:trPr>
        <w:tc>
          <w:tcPr>
            <w:tcW w:w="5060" w:type="dxa"/>
            <w:vAlign w:val="bottom"/>
          </w:tcPr>
          <w:p>
            <w:pPr>
              <w:spacing w:after="0"/>
              <w:rPr>
                <w:sz w:val="24"/>
                <w:szCs w:val="24"/>
                <w:color w:val="auto"/>
              </w:rPr>
            </w:pPr>
          </w:p>
        </w:tc>
        <w:tc>
          <w:tcPr>
            <w:tcW w:w="6360" w:type="dxa"/>
            <w:vAlign w:val="bottom"/>
          </w:tcPr>
          <w:p>
            <w:pPr>
              <w:jc w:val="right"/>
              <w:ind w:right="5491"/>
              <w:spacing w:after="0"/>
              <w:rPr>
                <w:sz w:val="20"/>
                <w:szCs w:val="20"/>
                <w:color w:val="auto"/>
              </w:rPr>
            </w:pPr>
            <w:r>
              <w:rPr>
                <w:rFonts w:ascii="Times New Roman" w:cs="Times New Roman" w:eastAsia="Times New Roman" w:hAnsi="Times New Roman"/>
                <w:sz w:val="18"/>
                <w:szCs w:val="18"/>
                <w:color w:val="auto"/>
              </w:rPr>
              <w:t>F-2</w:t>
            </w:r>
          </w:p>
        </w:tc>
      </w:tr>
      <w:tr>
        <w:trPr>
          <w:trHeight w:val="118"/>
        </w:trPr>
        <w:tc>
          <w:tcPr>
            <w:tcW w:w="506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Credicorp Ltd.</w:t>
      </w:r>
    </w:p>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Credicorp Ltd. and Subsidiaries as of December 31, 2006 and 2005, and the related consolidated statements of income, changes in equity, and cash flows for each of the three years in the period ended December 31, 2006. These consolidated financial statements are the responsibility of the Company’s management. Our responsibility is to express an opinion on these consolidated financial statements based on our audits.</w:t>
      </w:r>
    </w:p>
    <w:p>
      <w:pPr>
        <w:spacing w:after="0" w:line="2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Our audits include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Credicorp Ltd. and Subsidiaries at December 31, 2006 and 2005, and the consolidated results of their operations and their cash flows for each of the three years in the period ended December 31, 2006 in conformity with International Financial Reporting Standards (IFRS), which differ in certain respects from United States generally accepted accounting principles (see Note 29, as restated).</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of America), the effectiveness of Credicorp Ltd’s internal control over financial reporting as of December 31, 2006, based on criteria established in Internal Control-Integrated Framework issued by the Committee of Sponsoring Organizations of the Treadway Commission and our report dated June 27, 2007 expressed an unqualified opinion thereon.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046480" cy="943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188595</wp:posOffset>
            </wp:positionV>
            <wp:extent cx="2315210" cy="1037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Juan Paredes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C.P.C. Register Nº 22220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177165</wp:posOffset>
            </wp:positionV>
            <wp:extent cx="339598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959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06"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balance sheets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2006 and 2005</w:t>
      </w:r>
    </w:p>
    <w:p>
      <w:pPr>
        <w:spacing w:after="0" w:line="312" w:lineRule="exact"/>
        <w:rPr>
          <w:sz w:val="20"/>
          <w:szCs w:val="20"/>
          <w:color w:val="auto"/>
        </w:rPr>
      </w:pPr>
    </w:p>
    <w:tbl>
      <w:tblPr>
        <w:tblLayout w:type="fixed"/>
        <w:tblInd w:w="6740" w:type="dxa"/>
        <w:tblCellMar>
          <w:top w:w="0" w:type="dxa"/>
          <w:left w:w="0" w:type="dxa"/>
          <w:bottom w:w="0" w:type="dxa"/>
          <w:right w:w="0" w:type="dxa"/>
        </w:tblCellMar>
      </w:tblPr>
      <w:tr>
        <w:trPr>
          <w:trHeight w:val="238"/>
        </w:trPr>
        <w:tc>
          <w:tcPr>
            <w:tcW w:w="13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6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5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r>
      <w:tr>
        <w:trPr>
          <w:trHeight w:val="237"/>
        </w:trPr>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due from banks:</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Non-interest bearing</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bearing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jc w:val="both"/>
        <w:ind w:left="1100"/>
        <w:spacing w:after="0"/>
        <w:tabs>
          <w:tab w:leader="none" w:pos="2660" w:val="left"/>
        </w:tabs>
        <w:rPr>
          <w:sz w:val="20"/>
          <w:szCs w:val="20"/>
          <w:color w:val="auto"/>
        </w:rPr>
      </w:pPr>
      <w:r>
        <w:rPr>
          <w:rFonts w:ascii="Times New Roman" w:cs="Times New Roman" w:eastAsia="Times New Roman" w:hAnsi="Times New Roman"/>
          <w:sz w:val="18"/>
          <w:szCs w:val="18"/>
          <w:color w:val="auto"/>
        </w:rPr>
        <w:t>474,859</w:t>
      </w:r>
      <w:r>
        <w:rPr>
          <w:sz w:val="20"/>
          <w:szCs w:val="20"/>
          <w:color w:val="auto"/>
        </w:rPr>
        <w:tab/>
      </w:r>
      <w:r>
        <w:rPr>
          <w:rFonts w:ascii="Times New Roman" w:cs="Times New Roman" w:eastAsia="Times New Roman" w:hAnsi="Times New Roman"/>
          <w:sz w:val="18"/>
          <w:szCs w:val="18"/>
          <w:color w:val="auto"/>
        </w:rPr>
        <w:t>364,947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17145</wp:posOffset>
            </wp:positionV>
            <wp:extent cx="724662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jc w:val="both"/>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2,258,671</w:t>
      </w:r>
      <w:r>
        <w:rPr>
          <w:sz w:val="20"/>
          <w:szCs w:val="20"/>
          <w:color w:val="auto"/>
        </w:rPr>
        <w:tab/>
      </w:r>
      <w:r>
        <w:rPr>
          <w:rFonts w:ascii="Times New Roman" w:cs="Times New Roman" w:eastAsia="Times New Roman" w:hAnsi="Times New Roman"/>
          <w:sz w:val="18"/>
          <w:szCs w:val="18"/>
          <w:color w:val="auto"/>
        </w:rPr>
        <w:t>2,295,868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189230</wp:posOffset>
            </wp:positionV>
            <wp:extent cx="724662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360" w:right="239" w:bottom="1440" w:gutter="0" w:footer="0" w:header="0"/>
          <w:type w:val="continuous"/>
        </w:sectPr>
      </w:pPr>
    </w:p>
    <w:p>
      <w:pPr>
        <w:spacing w:after="0" w:line="120" w:lineRule="exact"/>
        <w:rPr>
          <w:sz w:val="20"/>
          <w:szCs w:val="20"/>
          <w:color w:val="auto"/>
        </w:rPr>
      </w:pPr>
    </w:p>
    <w:p>
      <w:pPr>
        <w:ind w:left="9020"/>
        <w:spacing w:after="0"/>
        <w:tabs>
          <w:tab w:leader="none" w:pos="10580" w:val="left"/>
        </w:tabs>
        <w:rPr>
          <w:sz w:val="20"/>
          <w:szCs w:val="20"/>
          <w:color w:val="auto"/>
        </w:rPr>
      </w:pPr>
      <w:r>
        <w:rPr>
          <w:rFonts w:ascii="Times New Roman" w:cs="Times New Roman" w:eastAsia="Times New Roman" w:hAnsi="Times New Roman"/>
          <w:sz w:val="18"/>
          <w:szCs w:val="18"/>
          <w:color w:val="auto"/>
        </w:rPr>
        <w:t>2,733,530</w:t>
      </w:r>
      <w:r>
        <w:rPr>
          <w:sz w:val="20"/>
          <w:szCs w:val="20"/>
          <w:color w:val="auto"/>
        </w:rPr>
        <w:tab/>
      </w:r>
      <w:r>
        <w:rPr>
          <w:rFonts w:ascii="Times New Roman" w:cs="Times New Roman" w:eastAsia="Times New Roman" w:hAnsi="Times New Roman"/>
          <w:sz w:val="18"/>
          <w:szCs w:val="18"/>
          <w:color w:val="auto"/>
        </w:rPr>
        <w:t>2,660,815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Trading securities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Investments available-for-sale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45,136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60,785</w:t>
            </w:r>
          </w:p>
        </w:tc>
      </w:tr>
      <w:tr>
        <w:trPr>
          <w:trHeight w:val="270"/>
        </w:trPr>
        <w:tc>
          <w:tcPr>
            <w:tcW w:w="1840" w:type="dxa"/>
            <w:vAlign w:val="bottom"/>
            <w:tcBorders>
              <w:bottom w:val="single" w:sz="8" w:color="CCFFCC"/>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3,450,711</w:t>
            </w:r>
          </w:p>
        </w:tc>
        <w:tc>
          <w:tcPr>
            <w:tcW w:w="220" w:type="dxa"/>
            <w:vAlign w:val="bottom"/>
            <w:tcBorders>
              <w:bottom w:val="single" w:sz="8" w:color="CCFFCC"/>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2,810,705</w:t>
            </w:r>
          </w:p>
        </w:tc>
        <w:tc>
          <w:tcPr>
            <w:tcW w:w="100" w:type="dxa"/>
            <w:vAlign w:val="bottom"/>
            <w:tcBorders>
              <w:bottom w:val="single" w:sz="8" w:color="CCFFCC"/>
            </w:tcBorders>
          </w:tcPr>
          <w:p>
            <w:pPr>
              <w:spacing w:after="0"/>
              <w:rPr>
                <w:sz w:val="23"/>
                <w:szCs w:val="23"/>
                <w:color w:val="auto"/>
              </w:rPr>
            </w:pPr>
          </w:p>
        </w:tc>
      </w:tr>
      <w:tr>
        <w:trPr>
          <w:trHeight w:val="250"/>
        </w:trPr>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3,495,847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2,871,490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-342265</wp:posOffset>
            </wp:positionV>
            <wp:extent cx="724662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163195</wp:posOffset>
            </wp:positionV>
            <wp:extent cx="72466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360" w:right="2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net:</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Loans, net of unearned income</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50" w:lineRule="exact"/>
        <w:rPr>
          <w:sz w:val="20"/>
          <w:szCs w:val="20"/>
          <w:color w:val="auto"/>
        </w:rPr>
      </w:pPr>
    </w:p>
    <w:p>
      <w:pPr>
        <w:ind w:left="980"/>
        <w:spacing w:after="0"/>
        <w:tabs>
          <w:tab w:leader="none" w:pos="2540" w:val="left"/>
        </w:tabs>
        <w:rPr>
          <w:sz w:val="20"/>
          <w:szCs w:val="20"/>
          <w:color w:val="auto"/>
        </w:rPr>
      </w:pPr>
      <w:r>
        <w:rPr>
          <w:rFonts w:ascii="Times New Roman" w:cs="Times New Roman" w:eastAsia="Times New Roman" w:hAnsi="Times New Roman"/>
          <w:sz w:val="18"/>
          <w:szCs w:val="18"/>
          <w:color w:val="auto"/>
        </w:rPr>
        <w:t>5,927,101</w:t>
      </w:r>
      <w:r>
        <w:rPr>
          <w:sz w:val="20"/>
          <w:szCs w:val="20"/>
          <w:color w:val="auto"/>
        </w:rPr>
        <w:tab/>
      </w:r>
      <w:r>
        <w:rPr>
          <w:rFonts w:ascii="Times New Roman" w:cs="Times New Roman" w:eastAsia="Times New Roman" w:hAnsi="Times New Roman"/>
          <w:sz w:val="18"/>
          <w:szCs w:val="18"/>
          <w:color w:val="auto"/>
        </w:rPr>
        <w:t>5,014,255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17145</wp:posOffset>
            </wp:positionV>
            <wp:extent cx="724662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6" w:lineRule="exact"/>
        <w:rPr>
          <w:sz w:val="20"/>
          <w:szCs w:val="20"/>
          <w:color w:val="auto"/>
        </w:rPr>
      </w:pPr>
    </w:p>
    <w:p>
      <w:pPr>
        <w:jc w:val="right"/>
        <w:ind w:right="40"/>
        <w:spacing w:after="0"/>
        <w:tabs>
          <w:tab w:leader="none" w:pos="700" w:val="left"/>
        </w:tabs>
        <w:rPr>
          <w:sz w:val="20"/>
          <w:szCs w:val="20"/>
          <w:color w:val="auto"/>
        </w:rPr>
      </w:pPr>
      <w:r>
        <w:rPr>
          <w:rFonts w:ascii="Times New Roman" w:cs="Times New Roman" w:eastAsia="Times New Roman" w:hAnsi="Times New Roman"/>
          <w:sz w:val="18"/>
          <w:szCs w:val="18"/>
          <w:color w:val="auto"/>
        </w:rPr>
        <w:t>(190,278)</w:t>
      </w:r>
      <w:r>
        <w:rPr>
          <w:sz w:val="20"/>
          <w:szCs w:val="20"/>
          <w:color w:val="auto"/>
        </w:rPr>
        <w:tab/>
      </w:r>
      <w:r>
        <w:rPr>
          <w:rFonts w:ascii="Times New Roman" w:cs="Times New Roman" w:eastAsia="Times New Roman" w:hAnsi="Times New Roman"/>
          <w:sz w:val="18"/>
          <w:szCs w:val="18"/>
          <w:color w:val="auto"/>
        </w:rPr>
        <w:t>(197,495)</w:t>
      </w:r>
    </w:p>
    <w:p>
      <w:pPr>
        <w:spacing w:after="0" w:line="200" w:lineRule="exact"/>
        <w:rPr>
          <w:sz w:val="20"/>
          <w:szCs w:val="20"/>
          <w:color w:val="auto"/>
        </w:rPr>
      </w:pPr>
    </w:p>
    <w:p>
      <w:pPr>
        <w:sectPr>
          <w:pgSz w:w="11900" w:h="16838" w:orient="portrait"/>
          <w:cols w:equalWidth="0" w:num="2">
            <w:col w:w="7320" w:space="720"/>
            <w:col w:w="3380"/>
          </w:cols>
          <w:pgMar w:left="240" w:top="360"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20" w:type="dxa"/>
            <w:vAlign w:val="bottom"/>
            <w:shd w:val="clear" w:color="auto" w:fill="CCFFCC"/>
          </w:tcPr>
          <w:p>
            <w:pPr>
              <w:spacing w:after="0"/>
              <w:rPr>
                <w:sz w:val="22"/>
                <w:szCs w:val="22"/>
                <w:color w:val="auto"/>
              </w:rPr>
            </w:pP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5,736,823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4,816,760</w:t>
            </w:r>
          </w:p>
        </w:tc>
      </w:tr>
      <w:tr>
        <w:trPr>
          <w:trHeight w:val="257"/>
        </w:trPr>
        <w:tc>
          <w:tcPr>
            <w:tcW w:w="47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Premiums and other policies receivable</w:t>
            </w: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61,279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57,301</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from re-insurers and co-insurers</w:t>
            </w:r>
          </w:p>
        </w:tc>
        <w:tc>
          <w:tcPr>
            <w:tcW w:w="3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35,181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35,288</w:t>
            </w:r>
          </w:p>
        </w:tc>
      </w:tr>
      <w:tr>
        <w:trPr>
          <w:trHeight w:val="257"/>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Property, furniture and equipment, net</w:t>
            </w:r>
          </w:p>
        </w:tc>
        <w:tc>
          <w:tcPr>
            <w:tcW w:w="36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255,478</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248,299</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Due from customers on acceptances</w:t>
            </w: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45,129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45,423</w:t>
            </w:r>
          </w:p>
        </w:tc>
      </w:tr>
      <w:tr>
        <w:trPr>
          <w:trHeight w:val="257"/>
        </w:trPr>
        <w:tc>
          <w:tcPr>
            <w:tcW w:w="4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Assets seized, net</w:t>
            </w:r>
          </w:p>
        </w:tc>
        <w:tc>
          <w:tcPr>
            <w:tcW w:w="36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29,427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39,373</w:t>
            </w:r>
          </w:p>
        </w:tc>
      </w:tr>
      <w:tr>
        <w:trPr>
          <w:trHeight w:val="257"/>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and goodwill, net</w:t>
            </w:r>
          </w:p>
        </w:tc>
        <w:tc>
          <w:tcPr>
            <w:tcW w:w="3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215,647</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58,217</w:t>
            </w:r>
          </w:p>
        </w:tc>
      </w:tr>
      <w:tr>
        <w:trPr>
          <w:trHeight w:val="275"/>
        </w:trPr>
        <w:tc>
          <w:tcPr>
            <w:tcW w:w="47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40" w:type="dxa"/>
            <w:vAlign w:val="bottom"/>
            <w:tcBorders>
              <w:bottom w:val="single" w:sz="8" w:color="CCFFCC"/>
            </w:tcBorders>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273,188</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203,109</w:t>
            </w:r>
          </w:p>
        </w:tc>
      </w:tr>
      <w:tr>
        <w:trPr>
          <w:trHeight w:val="250"/>
        </w:trPr>
        <w:tc>
          <w:tcPr>
            <w:tcW w:w="4720" w:type="dxa"/>
            <w:vAlign w:val="bottom"/>
            <w:tcBorders>
              <w:top w:val="single" w:sz="8" w:color="CCFFCC"/>
            </w:tcBorders>
          </w:tcPr>
          <w:p>
            <w:pPr>
              <w:spacing w:after="0"/>
              <w:rPr>
                <w:sz w:val="21"/>
                <w:szCs w:val="21"/>
                <w:color w:val="auto"/>
              </w:rPr>
            </w:pPr>
          </w:p>
        </w:tc>
        <w:tc>
          <w:tcPr>
            <w:tcW w:w="3640" w:type="dxa"/>
            <w:vAlign w:val="bottom"/>
            <w:tcBorders>
              <w:top w:val="single" w:sz="8" w:color="CCFFC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r>
      <w:tr>
        <w:trPr>
          <w:trHeight w:val="283"/>
        </w:trPr>
        <w:tc>
          <w:tcPr>
            <w:tcW w:w="47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40" w:type="dxa"/>
            <w:vAlign w:val="bottom"/>
            <w:tcBorders>
              <w:bottom w:val="single" w:sz="8" w:color="CCFFCC"/>
            </w:tcBorders>
            <w:shd w:val="clear" w:color="auto" w:fill="CCFFCC"/>
          </w:tcPr>
          <w:p>
            <w:pPr>
              <w:spacing w:after="0"/>
              <w:rPr>
                <w:sz w:val="24"/>
                <w:szCs w:val="24"/>
                <w:color w:val="auto"/>
              </w:rPr>
            </w:pPr>
          </w:p>
        </w:tc>
        <w:tc>
          <w:tcPr>
            <w:tcW w:w="520" w:type="dxa"/>
            <w:vAlign w:val="bottom"/>
            <w:tcBorders>
              <w:bottom w:val="single" w:sz="8" w:color="auto"/>
            </w:tcBorders>
            <w:shd w:val="clear" w:color="auto" w:fill="CCFFCC"/>
          </w:tcPr>
          <w:p>
            <w:pPr>
              <w:spacing w:after="0"/>
              <w:rPr>
                <w:sz w:val="24"/>
                <w:szCs w:val="24"/>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12,881,529</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11,036,075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8880" w:type="dxa"/>
            <w:vAlign w:val="bottom"/>
            <w:gridSpan w:val="3"/>
          </w:tcPr>
          <w:p>
            <w:pPr>
              <w:jc w:val="center"/>
              <w:ind w:left="24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720" w:type="dxa"/>
            <w:vAlign w:val="bottom"/>
          </w:tcPr>
          <w:p>
            <w:pPr>
              <w:spacing w:after="0"/>
              <w:rPr>
                <w:sz w:val="24"/>
                <w:szCs w:val="24"/>
                <w:color w:val="auto"/>
              </w:rPr>
            </w:pPr>
          </w:p>
        </w:tc>
        <w:tc>
          <w:tcPr>
            <w:tcW w:w="416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rPr>
              <w:t>F-4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 xml:space="preserve">Consolidated balance sheets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3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shd w:val="clear" w:color="auto" w:fill="CCFFCC"/>
          </w:tcPr>
          <w:p>
            <w:pPr>
              <w:jc w:val="right"/>
              <w:ind w:right="38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Non-interest bearing</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1,989,564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1,671,621</w:t>
            </w:r>
          </w:p>
        </w:tc>
      </w:tr>
      <w:tr>
        <w:trPr>
          <w:trHeight w:val="270"/>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bearing</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6,849,427</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5,421,807</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8,838,991</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7,093,428</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570,989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1,023,371</w:t>
            </w: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Bankers’ acceptances outstanding</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45,129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45,423</w:t>
            </w:r>
          </w:p>
        </w:tc>
      </w:tr>
      <w:tr>
        <w:trPr>
          <w:trHeight w:val="243"/>
        </w:trPr>
        <w:tc>
          <w:tcPr>
            <w:tcW w:w="7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Accounts payable to re-insurers and co-insurers</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25,134</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36,580</w:t>
            </w: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insurance claims reserves and reserves for unearned premiums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628,221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546,094</w:t>
            </w:r>
          </w:p>
        </w:tc>
      </w:tr>
      <w:tr>
        <w:trPr>
          <w:trHeight w:val="243"/>
        </w:trPr>
        <w:tc>
          <w:tcPr>
            <w:tcW w:w="7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370,612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 and subordinated notes issued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512,572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429,224</w:t>
            </w: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356,113</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290,000</w:t>
            </w:r>
          </w:p>
        </w:tc>
      </w:tr>
      <w:tr>
        <w:trPr>
          <w:trHeight w:val="237"/>
        </w:trPr>
        <w:tc>
          <w:tcPr>
            <w:tcW w:w="7780" w:type="dxa"/>
            <w:vAlign w:val="bottom"/>
            <w:tcBorders>
              <w:top w:val="single" w:sz="8" w:color="CCFFCC"/>
            </w:tcBorders>
            <w:gridSpan w:val="2"/>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11,347,761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9,744,120</w:t>
            </w:r>
          </w:p>
        </w:tc>
      </w:tr>
      <w:tr>
        <w:trPr>
          <w:trHeight w:val="237"/>
        </w:trPr>
        <w:tc>
          <w:tcPr>
            <w:tcW w:w="6740" w:type="dxa"/>
            <w:vAlign w:val="bottom"/>
            <w:tcBorders>
              <w:top w:val="single" w:sz="8" w:color="CCFFCC"/>
            </w:tcBorders>
          </w:tcPr>
          <w:p>
            <w:pPr>
              <w:spacing w:after="0"/>
              <w:rPr>
                <w:sz w:val="20"/>
                <w:szCs w:val="20"/>
                <w:color w:val="auto"/>
              </w:rPr>
            </w:pPr>
          </w:p>
        </w:tc>
        <w:tc>
          <w:tcPr>
            <w:tcW w:w="1040" w:type="dxa"/>
            <w:vAlign w:val="bottom"/>
            <w:tcBorders>
              <w:top w:val="single" w:sz="8" w:color="CCFFCC"/>
            </w:tcBorders>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and reserves attributable to Credicorp’s equity holders: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Capital stock</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471,912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471,912</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(73,107)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(73,107)</w:t>
            </w:r>
          </w:p>
        </w:tc>
      </w:tr>
      <w:tr>
        <w:trPr>
          <w:trHeight w:val="243"/>
        </w:trPr>
        <w:tc>
          <w:tcPr>
            <w:tcW w:w="7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Capital surplus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140,693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140,693</w:t>
            </w:r>
          </w:p>
        </w:tc>
      </w:tr>
      <w:tr>
        <w:trPr>
          <w:trHeight w:val="243"/>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479,902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269,527</w:t>
            </w:r>
          </w:p>
        </w:tc>
      </w:tr>
      <w:tr>
        <w:trPr>
          <w:trHeight w:val="243"/>
        </w:trPr>
        <w:tc>
          <w:tcPr>
            <w:tcW w:w="778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147,409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83,302</w:t>
            </w:r>
          </w:p>
        </w:tc>
      </w:tr>
      <w:tr>
        <w:trPr>
          <w:trHeight w:val="270"/>
        </w:trPr>
        <w:tc>
          <w:tcPr>
            <w:tcW w:w="7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230,013</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298,113</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1,396,822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1,190,440</w:t>
            </w:r>
          </w:p>
        </w:tc>
      </w:tr>
      <w:tr>
        <w:trPr>
          <w:trHeight w:val="243"/>
        </w:trPr>
        <w:tc>
          <w:tcPr>
            <w:tcW w:w="67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136,946</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101,515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1,533,768</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1,291,955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12,881,529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11,036,075</w:t>
            </w:r>
          </w:p>
        </w:tc>
        <w:tc>
          <w:tcPr>
            <w:tcW w:w="100" w:type="dxa"/>
            <w:vAlign w:val="bottom"/>
          </w:tcPr>
          <w:p>
            <w:pPr>
              <w:spacing w:after="0"/>
              <w:rPr>
                <w:sz w:val="21"/>
                <w:szCs w:val="21"/>
                <w:color w:val="auto"/>
              </w:rPr>
            </w:pPr>
          </w:p>
        </w:tc>
      </w:tr>
      <w:tr>
        <w:trPr>
          <w:trHeight w:val="20"/>
        </w:trPr>
        <w:tc>
          <w:tcPr>
            <w:tcW w:w="836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8"/>
        </w:trPr>
        <w:tc>
          <w:tcPr>
            <w:tcW w:w="8720" w:type="dxa"/>
            <w:vAlign w:val="bottom"/>
            <w:gridSpan w:val="5"/>
          </w:tcPr>
          <w:p>
            <w:pPr>
              <w:ind w:left="284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balance sheets.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8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F-5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8"/>
        </w:trPr>
        <w:tc>
          <w:tcPr>
            <w:tcW w:w="67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income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2006, 2005 and 2004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500"/>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48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38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loans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537,671</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447,392</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426,537</w:t>
            </w: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on deposits in banks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93,886</w:t>
            </w: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37,127</w:t>
            </w:r>
          </w:p>
        </w:tc>
        <w:tc>
          <w:tcPr>
            <w:tcW w:w="14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20,146</w:t>
            </w: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from trading securities and investments available-for-sale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135,705</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117,242</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81,276</w:t>
            </w: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3,553</w:t>
            </w:r>
          </w:p>
        </w:tc>
        <w:tc>
          <w:tcPr>
            <w:tcW w:w="14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7,118</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12,627</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interest and dividend income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782,002</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612,432</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542,842</w:t>
            </w:r>
          </w:p>
        </w:tc>
      </w:tr>
      <w:tr>
        <w:trPr>
          <w:trHeight w:val="237"/>
        </w:trPr>
        <w:tc>
          <w:tcPr>
            <w:tcW w:w="6180" w:type="dxa"/>
            <w:vAlign w:val="bottom"/>
            <w:tcBorders>
              <w:top w:val="single" w:sz="8" w:color="CCFFC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on deposits and obligations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(189,552)</w:t>
            </w:r>
          </w:p>
        </w:tc>
        <w:tc>
          <w:tcPr>
            <w:tcW w:w="160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(119,138)</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(95,965)</w:t>
            </w: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bonds and subordinated notes issued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(25,282)</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(24,332)</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(27,651)</w:t>
            </w: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on due to banks and correspondents and borrowed funds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(56,634)</w:t>
            </w:r>
          </w:p>
        </w:tc>
        <w:tc>
          <w:tcPr>
            <w:tcW w:w="1600" w:type="dxa"/>
            <w:vAlign w:val="bottom"/>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(20,288)</w:t>
            </w:r>
          </w:p>
        </w:tc>
        <w:tc>
          <w:tcPr>
            <w:tcW w:w="146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(16,366)</w:t>
            </w: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(12,010)</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(9,401)</w:t>
            </w: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(20,316)</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(283,478)</w:t>
            </w:r>
          </w:p>
        </w:tc>
        <w:tc>
          <w:tcPr>
            <w:tcW w:w="160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(173,159)</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(160,298)</w:t>
            </w:r>
          </w:p>
        </w:tc>
      </w:tr>
      <w:tr>
        <w:trPr>
          <w:trHeight w:val="237"/>
        </w:trPr>
        <w:tc>
          <w:tcPr>
            <w:tcW w:w="5160" w:type="dxa"/>
            <w:vAlign w:val="bottom"/>
            <w:tcBorders>
              <w:top w:val="single" w:sz="8" w:color="CCFFCC"/>
            </w:tcBorders>
          </w:tcPr>
          <w:p>
            <w:pPr>
              <w:spacing w:after="0"/>
              <w:rPr>
                <w:sz w:val="20"/>
                <w:szCs w:val="20"/>
                <w:color w:val="auto"/>
              </w:rPr>
            </w:pPr>
          </w:p>
        </w:tc>
        <w:tc>
          <w:tcPr>
            <w:tcW w:w="102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498,524</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439,273</w:t>
            </w:r>
          </w:p>
        </w:tc>
        <w:tc>
          <w:tcPr>
            <w:tcW w:w="14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382,544</w:t>
            </w:r>
          </w:p>
        </w:tc>
      </w:tr>
      <w:tr>
        <w:trPr>
          <w:trHeight w:val="243"/>
        </w:trPr>
        <w:tc>
          <w:tcPr>
            <w:tcW w:w="618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3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spacing w:after="0"/>
              <w:rPr>
                <w:sz w:val="21"/>
                <w:szCs w:val="21"/>
                <w:color w:val="auto"/>
              </w:rPr>
            </w:pPr>
          </w:p>
        </w:tc>
        <w:tc>
          <w:tcPr>
            <w:tcW w:w="1460" w:type="dxa"/>
            <w:vAlign w:val="bottom"/>
            <w:gridSpan w:val="3"/>
          </w:tcPr>
          <w:p>
            <w:pPr>
              <w:spacing w:after="0"/>
              <w:rPr>
                <w:sz w:val="21"/>
                <w:szCs w:val="21"/>
                <w:color w:val="auto"/>
              </w:rPr>
            </w:pP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580" w:type="dxa"/>
            <w:vAlign w:val="bottom"/>
            <w:tcBorders>
              <w:bottom w:val="single" w:sz="8" w:color="CCFFCC"/>
            </w:tcBorders>
            <w:gridSpan w:val="2"/>
            <w:shd w:val="clear" w:color="auto" w:fill="CCFFCC"/>
          </w:tcPr>
          <w:p>
            <w:pPr>
              <w:jc w:val="center"/>
              <w:ind w:right="20"/>
              <w:spacing w:after="0"/>
              <w:rPr>
                <w:sz w:val="20"/>
                <w:szCs w:val="20"/>
                <w:color w:val="auto"/>
              </w:rPr>
            </w:pPr>
            <w:r>
              <w:rPr>
                <w:rFonts w:ascii="Times New Roman" w:cs="Times New Roman" w:eastAsia="Times New Roman" w:hAnsi="Times New Roman"/>
                <w:sz w:val="18"/>
                <w:szCs w:val="18"/>
                <w:color w:val="auto"/>
              </w:rPr>
              <w:t>7(f)</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6,356</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(16,131)</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interest and dividend income after provision for loan losses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502,767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445,629</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366,413</w:t>
            </w:r>
          </w:p>
        </w:tc>
      </w:tr>
      <w:tr>
        <w:trPr>
          <w:trHeight w:val="237"/>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Banking services commissions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243,778</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206,163</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201,474</w:t>
            </w:r>
          </w:p>
        </w:tc>
      </w:tr>
      <w:tr>
        <w:trPr>
          <w:trHeight w:val="243"/>
        </w:trPr>
        <w:tc>
          <w:tcPr>
            <w:tcW w:w="61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foreign exchange transactions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41,638</w:t>
            </w:r>
          </w:p>
        </w:tc>
        <w:tc>
          <w:tcPr>
            <w:tcW w:w="16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29,286</w:t>
            </w:r>
          </w:p>
        </w:tc>
        <w:tc>
          <w:tcPr>
            <w:tcW w:w="14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24,165</w:t>
            </w:r>
          </w:p>
        </w:tc>
      </w:tr>
      <w:tr>
        <w:trPr>
          <w:trHeight w:val="24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gain on sales of securities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27,281</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8,965</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10,135</w:t>
            </w: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26,197</w:t>
            </w: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21,571</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8,105</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338,894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265,985</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243,879</w:t>
            </w: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2"/>
          <w:szCs w:val="22"/>
          <w:color w:val="auto"/>
        </w:rPr>
        <w:t xml:space="preserve">Consolidated income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48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 premiums and claims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380" w:type="dxa"/>
            <w:vAlign w:val="bottom"/>
            <w:shd w:val="clear" w:color="auto" w:fill="CCFFCC"/>
          </w:tcPr>
          <w:p>
            <w:pPr>
              <w:jc w:val="center"/>
              <w:ind w:left="1110"/>
              <w:spacing w:after="0"/>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251,261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218,955</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192,672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claims incurred for property and casualty insurance contracts</w:t>
            </w:r>
          </w:p>
        </w:tc>
        <w:tc>
          <w:tcPr>
            <w:tcW w:w="138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(46,587)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(42,569)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claims incurred for life and health insurance contracts</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Times New Roman" w:cs="Times New Roman" w:eastAsia="Times New Roman" w:hAnsi="Times New Roman"/>
                <w:sz w:val="18"/>
                <w:szCs w:val="18"/>
                <w:color w:val="auto"/>
                <w:w w:val="99"/>
              </w:rPr>
              <w:t>22</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(139,935)</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(132,931)</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premiums earned less claims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64,739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43,455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Salaries and employees benefits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(303,332)</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(236,347)</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(202,729)</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(172,304)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(138,294)</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8(a) and 10(a)</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(50,317)</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(38,728)</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(41,742)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assets seized</w:t>
            </w:r>
          </w:p>
        </w:tc>
        <w:tc>
          <w:tcPr>
            <w:tcW w:w="160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9(b)</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Merger expenses</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2(a) and (d)</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(5,706)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amortization</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10(b)</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Times New Roman" w:cs="Times New Roman" w:eastAsia="Times New Roman" w:hAnsi="Times New Roman"/>
                <w:sz w:val="18"/>
                <w:szCs w:val="18"/>
                <w:color w:val="auto"/>
                <w:w w:val="99"/>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(52,718)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(46,745)</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(590,764)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(477,073)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translation result and income tax</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315,636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277,996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15,216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(9,597)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18(b)</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(83,587)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(73,546)</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247,265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194,853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holders of Credicorp</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230,013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181,885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3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17,252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12,968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247,265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194,853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5140" w:type="dxa"/>
            <w:vAlign w:val="bottom"/>
            <w:shd w:val="clear" w:color="auto" w:fill="CCFFCC"/>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Basic and diluted earnings per share for net income</w:t>
            </w: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attributable to equity holders of Credicorp (in United States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1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380" w:type="dxa"/>
            <w:vAlign w:val="bottom"/>
            <w:shd w:val="clear" w:color="auto" w:fill="CCFFCC"/>
          </w:tcPr>
          <w:p>
            <w:pPr>
              <w:jc w:val="center"/>
              <w:ind w:left="1110"/>
              <w:spacing w:after="0"/>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statements of changes in equity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2006, 2005 and 2004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1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Attributable to the equity holders of Credicorp</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40" w:type="dxa"/>
            <w:vAlign w:val="bottom"/>
            <w:gridSpan w:val="2"/>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Minority</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note 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Reserves</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thousands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of units)</w:t>
            </w:r>
          </w:p>
        </w:tc>
        <w:tc>
          <w:tcPr>
            <w:tcW w:w="4920" w:type="dxa"/>
            <w:vAlign w:val="bottom"/>
            <w:gridSpan w:val="13"/>
          </w:tcPr>
          <w:p>
            <w:pPr>
              <w:jc w:val="right"/>
              <w:ind w:right="100"/>
              <w:spacing w:after="0"/>
              <w:rPr>
                <w:sz w:val="20"/>
                <w:szCs w:val="20"/>
                <w:color w:val="auto"/>
              </w:rPr>
            </w:pPr>
            <w:r>
              <w:rPr>
                <w:rFonts w:ascii="Times New Roman" w:cs="Times New Roman" w:eastAsia="Times New Roman" w:hAnsi="Times New Roman"/>
                <w:sz w:val="18"/>
                <w:szCs w:val="18"/>
                <w:color w:val="auto"/>
              </w:rPr>
              <w:t>US$(000) US$(000) US$(000) US$(000) US$(000) US$(000)</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US$(000) US$(000)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40" w:type="dxa"/>
            <w:vAlign w:val="bottom"/>
            <w:shd w:val="clear" w:color="auto" w:fill="CCFFCC"/>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Balances as of January 1</w:t>
            </w:r>
            <w:r>
              <w:rPr>
                <w:rFonts w:ascii="Times New Roman" w:cs="Times New Roman" w:eastAsia="Times New Roman" w:hAnsi="Times New Roman"/>
                <w:sz w:val="28"/>
                <w:szCs w:val="28"/>
                <w:b w:val="1"/>
                <w:bCs w:val="1"/>
                <w:color w:val="auto"/>
                <w:vertAlign w:val="superscript"/>
              </w:rPr>
              <w:t>st</w:t>
            </w:r>
            <w:r>
              <w:rPr>
                <w:rFonts w:ascii="Times New Roman" w:cs="Times New Roman" w:eastAsia="Times New Roman" w:hAnsi="Times New Roman"/>
                <w:sz w:val="17"/>
                <w:szCs w:val="17"/>
                <w:b w:val="1"/>
                <w:bCs w:val="1"/>
                <w:color w:val="auto"/>
              </w:rPr>
              <w:t>, 2004</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(73,177)</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140,500</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20,750</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81,218</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910,730</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72,841</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983,571</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equity for 2004 -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gains from</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investments available-for-sale, note</w:t>
            </w: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6(c)</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56,746</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56,746</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9,762</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66,508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note 6(c)</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Income for the year recognized</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directly in equity</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55,381</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55,381</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9,815</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recognized income for the</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55,381</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186,128</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20,580</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206,708</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treasury stock</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dividends, note 17(d)</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(31,900)</w:t>
            </w: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(31,900)</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Dividends of subsidiaries and other</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(8,168)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2004</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(73,107)</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140,693</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76,131</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180,041</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1,065,197</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85,253</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1,150,450</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equity for 2005 -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 from investments</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available-for-sale, note 6(c)</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7,121</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7,121</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4,764</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11,885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(1,572)</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note 6(c)</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Net gain on cash flow hedge, note</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20(d)</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Borders>
              <w:top w:val="single" w:sz="8" w:color="CCFFCC"/>
            </w:tcBorders>
          </w:tcPr>
          <w:p>
            <w:pPr>
              <w:spacing w:after="0" w:line="191" w:lineRule="exact"/>
              <w:rPr>
                <w:sz w:val="20"/>
                <w:szCs w:val="20"/>
                <w:color w:val="auto"/>
              </w:rPr>
            </w:pPr>
            <w:r>
              <w:rPr>
                <w:rFonts w:ascii="Times New Roman" w:cs="Times New Roman" w:eastAsia="Times New Roman" w:hAnsi="Times New Roman"/>
                <w:sz w:val="18"/>
                <w:szCs w:val="18"/>
                <w:color w:val="auto"/>
              </w:rPr>
              <w:t>Income for the year recognized</w:t>
            </w: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directly in equity</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 xml:space="preserve">Consolidated income statements </w:t>
      </w:r>
      <w:r>
        <w:rPr>
          <w:rFonts w:ascii="Times New Roman" w:cs="Times New Roman" w:eastAsia="Times New Roman" w:hAnsi="Times New Roman"/>
          <w:sz w:val="18"/>
          <w:szCs w:val="18"/>
          <w:color w:val="auto"/>
        </w:rPr>
        <w:t>(continued)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gridSpan w:val="1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Attributable to the equity holders of Credicorp</w:t>
            </w: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Minority</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note 24</w:t>
            </w: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940" w:type="dxa"/>
            <w:vAlign w:val="bottom"/>
            <w:gridSpan w:val="2"/>
            <w:vMerge w:val="continue"/>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w:t>
            </w: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US$(000)   US$(000)</w:t>
            </w:r>
          </w:p>
        </w:tc>
        <w:tc>
          <w:tcPr>
            <w:tcW w:w="17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US$(000)   US$(000)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of units)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US$(000)</w:t>
            </w:r>
          </w:p>
        </w:tc>
        <w:tc>
          <w:tcPr>
            <w:tcW w:w="328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US$(000) US$(000) US$(000) US$(000)</w:t>
            </w:r>
          </w:p>
        </w:tc>
        <w:tc>
          <w:tcPr>
            <w:tcW w:w="1800" w:type="dxa"/>
            <w:vAlign w:val="bottom"/>
            <w:gridSpan w:val="4"/>
            <w:vMerge w:val="continue"/>
          </w:tcPr>
          <w:p>
            <w:pPr>
              <w:spacing w:after="0"/>
              <w:rPr>
                <w:sz w:val="20"/>
                <w:szCs w:val="20"/>
                <w:color w:val="auto"/>
              </w:rPr>
            </w:pPr>
          </w:p>
        </w:tc>
        <w:tc>
          <w:tcPr>
            <w:tcW w:w="17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181,885</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181,885</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12,968</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194,853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tcBorders>
              <w:top w:val="single" w:sz="8" w:color="CCFFCC"/>
            </w:tcBorders>
          </w:tcPr>
          <w:p>
            <w:pPr>
              <w:spacing w:after="0" w:line="191" w:lineRule="exact"/>
              <w:rPr>
                <w:sz w:val="20"/>
                <w:szCs w:val="20"/>
                <w:color w:val="auto"/>
              </w:rPr>
            </w:pPr>
            <w:r>
              <w:rPr>
                <w:rFonts w:ascii="Times New Roman" w:cs="Times New Roman" w:eastAsia="Times New Roman" w:hAnsi="Times New Roman"/>
                <w:sz w:val="18"/>
                <w:szCs w:val="18"/>
                <w:color w:val="auto"/>
              </w:rPr>
              <w:t>Total recognized income for the</w:t>
            </w:r>
          </w:p>
        </w:tc>
        <w:tc>
          <w:tcPr>
            <w:tcW w:w="9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181,885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189,056</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(63,810)</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(63,810)</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(63,810)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Dividends of subsidiaries and other</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FFC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Balances as of December 31, 2005</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(73,107)</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269,527</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83,302</w:t>
            </w: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298,113</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1,190,440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101,515</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1,291,955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Changes in equity for 2006 -</w:t>
            </w:r>
          </w:p>
        </w:tc>
        <w:tc>
          <w:tcPr>
            <w:tcW w:w="980" w:type="dxa"/>
            <w:vAlign w:val="bottom"/>
            <w:tcBorders>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 from</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 6(c)</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69,411</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20,728</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Transfer of net realized gain the</w:t>
            </w:r>
          </w:p>
        </w:tc>
        <w:tc>
          <w:tcPr>
            <w:tcW w:w="98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operations results, net of realized</w:t>
            </w:r>
          </w:p>
        </w:tc>
        <w:tc>
          <w:tcPr>
            <w:tcW w:w="98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gains, note 6(c)</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(6,620)</w:t>
            </w: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(6,620)</w:t>
            </w:r>
          </w:p>
        </w:tc>
        <w:tc>
          <w:tcPr>
            <w:tcW w:w="8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(6,999)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gain on cash flow hedge, note</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20(d)</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Income for the year recognized</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directly in equity</w:t>
            </w:r>
          </w:p>
        </w:tc>
        <w:tc>
          <w:tcPr>
            <w:tcW w:w="98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64,107</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20,349</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84,456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230,013</w:t>
            </w: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247,265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recognized income for the</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230,013</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294,120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37,601</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331,721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retained earnings to</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 note 17(c)</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210,375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(210,375)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(87,738)</w:t>
            </w:r>
          </w:p>
        </w:tc>
        <w:tc>
          <w:tcPr>
            <w:tcW w:w="9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(87,738)</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(87,738)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Dividends of subsidiaries and other</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FFC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Balances as of December 31, 2006</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(73,107)</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479,902</w:t>
            </w:r>
          </w:p>
        </w:tc>
        <w:tc>
          <w:tcPr>
            <w:tcW w:w="100" w:type="dxa"/>
            <w:vAlign w:val="bottom"/>
            <w:shd w:val="clear" w:color="auto" w:fill="CCFFCC"/>
          </w:tcPr>
          <w:p>
            <w:pPr>
              <w:spacing w:after="0"/>
              <w:rPr>
                <w:sz w:val="22"/>
                <w:szCs w:val="22"/>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147,409</w:t>
            </w:r>
          </w:p>
        </w:tc>
        <w:tc>
          <w:tcPr>
            <w:tcW w:w="100" w:type="dxa"/>
            <w:vAlign w:val="bottom"/>
            <w:shd w:val="clear" w:color="auto" w:fill="CCFFCC"/>
          </w:tcPr>
          <w:p>
            <w:pPr>
              <w:spacing w:after="0"/>
              <w:rPr>
                <w:sz w:val="22"/>
                <w:szCs w:val="22"/>
                <w:color w:val="auto"/>
              </w:rPr>
            </w:pPr>
          </w:p>
        </w:tc>
        <w:tc>
          <w:tcPr>
            <w:tcW w:w="8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230,013</w:t>
            </w: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1,396,822</w:t>
            </w:r>
          </w:p>
        </w:tc>
        <w:tc>
          <w:tcPr>
            <w:tcW w:w="1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136,946</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1,533,768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Consolidated cash flows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2006, 2005 and 2004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247,265</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141,512</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(deduct)</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(4,243)</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(6,356)</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16,131</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50,317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38,728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41,742</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Amortization of goodwill</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4,853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6,387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14,639</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for sundry risks, note 23</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6,461</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9,819</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note 18(b)</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(4,786)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(6,325)</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gain on securities available-for-sale</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(27,281)</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(8,965)</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(10,135)</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sales of property, furniture and equipment, note 23</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(15,216)</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(2,040)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 (sale) of trading securities, net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15,649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(3,788)</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Purchase of loan portfolio, note 2(b)</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(353,769)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(decrease) in loans, net</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(871,970)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90,521</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(142,316)</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(104,091)</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52,049</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deposits and obligations, net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1,632,960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648,648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296,094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due to banks and correspondents, net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(455,381)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540,824</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130,369</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(decrease) in other liabilities, net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114,717</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149,920</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139,626</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590,619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1,320,931</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686,755</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Acquisition of subsidiaries net of cash received, notes 2(a) and (d)</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(140,085)</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(4,900)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Disposal of subsidiaries, net of cash disposed, note 2(c)</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purchase of investments available-for-sale</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(433,702)</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(712,879)</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(410,693)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furniture and equipment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(43,973)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(48,769)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(41,087)</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Sales of property, furniture and equipment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19,448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(610,214)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(724,223)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(448,892)</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color w:val="auto"/>
        </w:rPr>
        <w:t xml:space="preserve">Consolidated cash flows statements </w:t>
      </w:r>
      <w:r>
        <w:rPr>
          <w:rFonts w:ascii="Times New Roman" w:cs="Times New Roman" w:eastAsia="Times New Roman" w:hAnsi="Times New Roman"/>
          <w:sz w:val="17"/>
          <w:szCs w:val="17"/>
          <w:color w:val="auto"/>
        </w:rPr>
        <w:t>(continued)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bonds and subordinated notes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167,247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74,985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35,235</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Redemption of bonds and subordinated notes</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(91,925)</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(57,469)</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(30,719)</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Sales of treasury stocks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borrowed funds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90,612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348,500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140,500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Payments of borrowed funds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(68,500)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(114,054)</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(87,738)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(63,810)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(31,900)</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78,196</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233,706</w:t>
            </w:r>
          </w:p>
        </w:tc>
        <w:tc>
          <w:tcPr>
            <w:tcW w:w="22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Translation gain (loss) on cash and cash equivalents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14,114</w:t>
            </w:r>
          </w:p>
        </w:tc>
        <w:tc>
          <w:tcPr>
            <w:tcW w:w="240" w:type="dxa"/>
            <w:vAlign w:val="bottom"/>
            <w:tcBorders>
              <w:bottom w:val="single" w:sz="8" w:color="CCFFCC"/>
            </w:tcBorders>
            <w:shd w:val="clear" w:color="auto" w:fill="CCFFCC"/>
          </w:tcPr>
          <w:p>
            <w:pPr>
              <w:spacing w:after="0"/>
              <w:rPr>
                <w:sz w:val="22"/>
                <w:szCs w:val="22"/>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(15,060)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(6,787)</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815,354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230,401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r>
      <w:tr>
        <w:trPr>
          <w:trHeight w:val="275"/>
        </w:trPr>
        <w:tc>
          <w:tcPr>
            <w:tcW w:w="6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2,660,815</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1,845,461</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1,615,060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2,733,530</w:t>
            </w:r>
          </w:p>
        </w:tc>
        <w:tc>
          <w:tcPr>
            <w:tcW w:w="24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2,660,815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1,845,461</w:t>
            </w:r>
          </w:p>
        </w:tc>
      </w:tr>
      <w:tr>
        <w:trPr>
          <w:trHeight w:val="224"/>
        </w:trPr>
        <w:tc>
          <w:tcPr>
            <w:tcW w:w="67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flows information:</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during the year for -</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265,838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171,495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158,414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47,760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43,866</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Cash received during the year for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810,266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628,508</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554,205</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Notes to the consolidated financial statements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2006 and 2005</w:t>
      </w:r>
    </w:p>
    <w:p>
      <w:pPr>
        <w:spacing w:after="0" w:line="258"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Operations</w:t>
      </w:r>
    </w:p>
    <w:p>
      <w:pPr>
        <w:spacing w:after="0" w:line="256" w:lineRule="exact"/>
        <w:rPr>
          <w:rFonts w:ascii="Times New Roman" w:cs="Times New Roman" w:eastAsia="Times New Roman" w:hAnsi="Times New Roman"/>
          <w:sz w:val="18"/>
          <w:szCs w:val="18"/>
          <w:b w:val="1"/>
          <w:bCs w:val="1"/>
          <w:color w:val="auto"/>
        </w:rPr>
      </w:pPr>
    </w:p>
    <w:p>
      <w:pPr>
        <w:ind w:left="6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Credicorp Ltd. (hereinafter “Credicorp” or “the Group”) is a limited liability company incorporated in Bermuda in 1995 to act as a holding company and to coordinate the policy and administration of its subsidiaries. It is also engaged in investing activities.</w:t>
      </w:r>
    </w:p>
    <w:p>
      <w:pPr>
        <w:spacing w:after="0" w:line="215" w:lineRule="exact"/>
        <w:rPr>
          <w:rFonts w:ascii="Times New Roman" w:cs="Times New Roman" w:eastAsia="Times New Roman" w:hAnsi="Times New Roman"/>
          <w:sz w:val="18"/>
          <w:szCs w:val="18"/>
          <w:b w:val="1"/>
          <w:bCs w:val="1"/>
          <w:color w:val="auto"/>
        </w:rPr>
      </w:pPr>
    </w:p>
    <w:p>
      <w:pPr>
        <w:ind w:left="66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Credicorp Ltd., through its banking and non-banking subsidiaries, provides a wide range of financial services and products throughout Peru and in selected international markets. At December 31, 2006, the major subsidiary of the Group is Banco de Crédito del Perú (hereinafter “BCP” or the “Bank”), a Peruvian universal bank. The address of Credicorp’s main office is Claredon House 2 Church Street Hamilton, Bermuda; likewise, the Management and its administration offices are located in Calle Centenario Nº156, La Molina, Lima, Peru.</w:t>
      </w:r>
    </w:p>
    <w:p>
      <w:pPr>
        <w:spacing w:after="0" w:line="23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Credicorp is listing in both Lima and the New York Stock Exchanges.</w:t>
      </w:r>
    </w:p>
    <w:p>
      <w:pPr>
        <w:spacing w:after="0" w:line="279"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as of and for the year ended December 31, 2005 have been approved in the General Shareholders’ Meeting dated March 31, 2006. The accompanying consolidated financial statements as of and for the year ended December 31, 2006, have been approved by the Board of Directors Meeting dated February 28, 2007 and by the General Shareholders’ Meeting dated March 30, 2007, without modifications.</w:t>
      </w:r>
    </w:p>
    <w:p>
      <w:pPr>
        <w:spacing w:after="0" w:line="22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developments</w:t>
      </w:r>
    </w:p>
    <w:p>
      <w:pPr>
        <w:spacing w:after="0" w:line="2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2006 and 2005, the Group incorporated new companies; acquired subsidiaries recorded as business combinations, according to the guidelines of IFRS 3, and sold subsidiaries. The description of such transactions are described below:</w:t>
      </w:r>
    </w:p>
    <w:p>
      <w:pPr>
        <w:spacing w:after="0" w:line="215"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Incorporation of a Private Pension Fund Management and acquisition of AFP Unión Vida S.A. -</w:t>
      </w:r>
    </w:p>
    <w:p>
      <w:pPr>
        <w:spacing w:after="0" w:line="27" w:lineRule="exact"/>
        <w:rPr>
          <w:rFonts w:ascii="Times New Roman" w:cs="Times New Roman" w:eastAsia="Times New Roman" w:hAnsi="Times New Roman"/>
          <w:sz w:val="18"/>
          <w:szCs w:val="18"/>
          <w:color w:val="auto"/>
        </w:rPr>
      </w:pPr>
    </w:p>
    <w:p>
      <w:pPr>
        <w:jc w:val="both"/>
        <w:ind w:left="1140"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Credicorp’s Board of Directors Meeting held on November 25, 2004, approved that its subsidiary Grupo Crédito S.A. will take part, as the principal shareholder, in the start-up of a new private pension fund management company, Administradora de Fondos de Pensiones - AFP, Prima AFP S.A. (hereinafter “Prima AFP”), which was incorporated on March 4, 2005.</w:t>
      </w:r>
    </w:p>
    <w:p>
      <w:pPr>
        <w:spacing w:after="0" w:line="240" w:lineRule="exact"/>
        <w:rPr>
          <w:rFonts w:ascii="Times New Roman" w:cs="Times New Roman" w:eastAsia="Times New Roman" w:hAnsi="Times New Roman"/>
          <w:sz w:val="18"/>
          <w:szCs w:val="18"/>
          <w:color w:val="auto"/>
        </w:rPr>
      </w:pPr>
    </w:p>
    <w:p>
      <w:pPr>
        <w:ind w:left="114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2006, Credicorp, through its subsidiary Prima AFP, acquired from Grupo Santander Perú S.A., the shares that this Company had in AFP Unión Vida S.A. (a pension fund management company that operates in Peru), which represented 99.97 of its capital stock and made a Public Offering for the minority shareholders in order to acquire the remaining 0.03 percent of the capital stock. The amount paid for the purchase amounted to approximately US$ 141.5 million.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180"/>
        <w:spacing w:after="0" w:line="283" w:lineRule="auto"/>
        <w:rPr>
          <w:sz w:val="20"/>
          <w:szCs w:val="20"/>
          <w:color w:val="auto"/>
        </w:rPr>
      </w:pPr>
      <w:r>
        <w:rPr>
          <w:rFonts w:ascii="Times New Roman" w:cs="Times New Roman" w:eastAsia="Times New Roman" w:hAnsi="Times New Roman"/>
          <w:sz w:val="18"/>
          <w:szCs w:val="18"/>
          <w:color w:val="auto"/>
        </w:rPr>
        <w:t>At the General Shareholder’s Meeting of Prima AFP, held on September 6, 2006, the merger with AFP Unión Vida S.A. was approved, with effective date of December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2006.</w:t>
      </w:r>
    </w:p>
    <w:p>
      <w:pPr>
        <w:spacing w:after="0" w:line="92" w:lineRule="exact"/>
        <w:rPr>
          <w:sz w:val="20"/>
          <w:szCs w:val="20"/>
          <w:color w:val="auto"/>
        </w:rPr>
      </w:pPr>
    </w:p>
    <w:p>
      <w:pPr>
        <w:ind w:left="1140" w:right="80"/>
        <w:spacing w:after="0" w:line="266" w:lineRule="auto"/>
        <w:rPr>
          <w:sz w:val="20"/>
          <w:szCs w:val="20"/>
          <w:color w:val="auto"/>
        </w:rPr>
      </w:pPr>
      <w:r>
        <w:rPr>
          <w:rFonts w:ascii="Times New Roman" w:cs="Times New Roman" w:eastAsia="Times New Roman" w:hAnsi="Times New Roman"/>
          <w:sz w:val="18"/>
          <w:szCs w:val="18"/>
          <w:color w:val="auto"/>
        </w:rPr>
        <w:t>The acquisition of AFP Unión Vida S.A. was recorded using the purchase method, as required by IFRS 3, Business Combinations. The assets and liabilities were recorded at their estimated market values at the acquisition date and the intangible assets acquired were identified. The book value and the fair values for the identified assets and liabilities of the entity at acquisition date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Book value of the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Fair value of the</w:t>
            </w:r>
          </w:p>
        </w:tc>
      </w:tr>
      <w:tr>
        <w:trPr>
          <w:trHeight w:val="238"/>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entity acquired</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recognition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entity acquired</w:t>
            </w:r>
          </w:p>
        </w:tc>
      </w:tr>
      <w:tr>
        <w:trPr>
          <w:trHeight w:val="270"/>
        </w:trPr>
        <w:tc>
          <w:tcPr>
            <w:tcW w:w="6740" w:type="dxa"/>
            <w:vAlign w:val="bottom"/>
          </w:tcPr>
          <w:p>
            <w:pPr>
              <w:spacing w:after="0"/>
              <w:rPr>
                <w:sz w:val="23"/>
                <w:szCs w:val="23"/>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37"/>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mutual fund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32,265</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Client relationships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88,378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88,378</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13,027</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Property, furniture and equipment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49,047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49,047</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5,605</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Liabilities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4,688</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accounts payable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5,352</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32,824</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40,257</w:t>
            </w:r>
          </w:p>
        </w:tc>
        <w:tc>
          <w:tcPr>
            <w:tcW w:w="100" w:type="dxa"/>
            <w:vAlign w:val="bottom"/>
          </w:tcPr>
          <w:p>
            <w:pPr>
              <w:spacing w:after="0"/>
              <w:rPr>
                <w:sz w:val="23"/>
                <w:szCs w:val="23"/>
                <w:color w:val="auto"/>
              </w:rPr>
            </w:pPr>
          </w:p>
        </w:tc>
      </w:tr>
      <w:tr>
        <w:trPr>
          <w:trHeight w:val="257"/>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acquired assets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27,309</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114,204</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141,513 (*)</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1620" w:hanging="478"/>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the acquisition and related direct cost</w:t>
      </w:r>
    </w:p>
    <w:p>
      <w:pPr>
        <w:spacing w:after="0" w:line="279" w:lineRule="exact"/>
        <w:rPr>
          <w:sz w:val="20"/>
          <w:szCs w:val="20"/>
          <w:color w:val="auto"/>
        </w:rPr>
      </w:pPr>
    </w:p>
    <w:p>
      <w:pPr>
        <w:ind w:left="1140" w:right="80"/>
        <w:spacing w:after="0" w:line="261" w:lineRule="auto"/>
        <w:rPr>
          <w:sz w:val="20"/>
          <w:szCs w:val="20"/>
          <w:color w:val="auto"/>
        </w:rPr>
      </w:pPr>
      <w:r>
        <w:rPr>
          <w:rFonts w:ascii="Times New Roman" w:cs="Times New Roman" w:eastAsia="Times New Roman" w:hAnsi="Times New Roman"/>
          <w:sz w:val="18"/>
          <w:szCs w:val="18"/>
          <w:color w:val="auto"/>
        </w:rPr>
        <w:t>The intangible assets recognized correspond mainly to “client relationships” and it has an assigned useful life of 20 years. Management of the Group has valued these intangible assets using the method of “Multiple Excess Earnings Method”. The goodwill generated is attributed to the high profitability of the acquired business and the significant synergies that are expected to be obtained after the acquisition of AFP Union Vida by the Group, note 10(b).</w:t>
      </w:r>
    </w:p>
    <w:p>
      <w:pPr>
        <w:spacing w:after="0" w:line="234" w:lineRule="exact"/>
        <w:rPr>
          <w:sz w:val="20"/>
          <w:szCs w:val="20"/>
          <w:color w:val="auto"/>
        </w:rPr>
      </w:pPr>
    </w:p>
    <w:p>
      <w:pPr>
        <w:ind w:left="1140" w:right="180"/>
        <w:spacing w:after="0" w:line="282" w:lineRule="auto"/>
        <w:rPr>
          <w:sz w:val="20"/>
          <w:szCs w:val="20"/>
          <w:color w:val="auto"/>
        </w:rPr>
      </w:pPr>
      <w:r>
        <w:rPr>
          <w:rFonts w:ascii="Times New Roman" w:cs="Times New Roman" w:eastAsia="Times New Roman" w:hAnsi="Times New Roman"/>
          <w:sz w:val="18"/>
          <w:szCs w:val="18"/>
          <w:color w:val="auto"/>
        </w:rPr>
        <w:t>In January 2007, the final purchase price determination was completed with the result of the arbitration proceeding between both parties. As result the Group received a reimbursement of approximately US$4.5 million, which have been record as a reduction of the goodwill.</w:t>
      </w:r>
    </w:p>
    <w:p>
      <w:pPr>
        <w:spacing w:after="0" w:line="216" w:lineRule="exact"/>
        <w:rPr>
          <w:sz w:val="20"/>
          <w:szCs w:val="20"/>
          <w:color w:val="auto"/>
        </w:rPr>
      </w:pPr>
    </w:p>
    <w:p>
      <w:pPr>
        <w:ind w:left="1140" w:right="80"/>
        <w:spacing w:after="0" w:line="255" w:lineRule="auto"/>
        <w:rPr>
          <w:sz w:val="20"/>
          <w:szCs w:val="20"/>
          <w:color w:val="auto"/>
        </w:rPr>
      </w:pPr>
      <w:r>
        <w:rPr>
          <w:rFonts w:ascii="Times New Roman" w:cs="Times New Roman" w:eastAsia="Times New Roman" w:hAnsi="Times New Roman"/>
          <w:sz w:val="18"/>
          <w:szCs w:val="18"/>
          <w:color w:val="auto"/>
        </w:rPr>
        <w:t>The acquired business (AFP Union Vida S.A.) has contributed with gross revenues to the Group of approximately US$8.0 million and a net loss of approximately US$0.4 million for the period between the acquisition date (August 24, 2006) and December 31, 2006. If this acquisition had been completed at January 1, 2006 and 2005, respectively, the gross revenues (pro-forma) of the Group would had been increase by US$27.5 and US$49.9 million, respectively, the net income attributable to Credicorp’s shareholders (pro-forma) would have been increase by approximately US$2.7 and US$15.6, million and the net earning per share (pro-forma), basic and diluted attributable to Credicorp’s shareholders would have been increased by US$0.04 and US$0.20, respectively. This information is presented solely for comparison purposes and it does not mean to be an indicator of the results that would have been produced in the case the acquisition had occurred at the beginning of the period or neither be an indicator of future possible consolidated results.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240"/>
        <w:spacing w:after="0" w:line="266" w:lineRule="auto"/>
        <w:rPr>
          <w:sz w:val="20"/>
          <w:szCs w:val="20"/>
          <w:color w:val="auto"/>
        </w:rPr>
      </w:pPr>
      <w:r>
        <w:rPr>
          <w:rFonts w:ascii="Times New Roman" w:cs="Times New Roman" w:eastAsia="Times New Roman" w:hAnsi="Times New Roman"/>
          <w:sz w:val="18"/>
          <w:szCs w:val="18"/>
          <w:color w:val="auto"/>
        </w:rPr>
        <w:t>As of December 31, 2006, the number of participants in the fund managed by Prima, including those that come from AFP Union Vida, is 997,963 (51,838 as December of 31, 2005, without considering those of AFP Union Vida) and the fair value of the funds under its administration amounts to approximately US$4,163.4 million (US$252.7 million as December of 31, 2005), note 3(b) (iv).</w:t>
      </w:r>
    </w:p>
    <w:p>
      <w:pPr>
        <w:spacing w:after="0" w:line="230" w:lineRule="exact"/>
        <w:rPr>
          <w:sz w:val="20"/>
          <w:szCs w:val="20"/>
          <w:color w:val="auto"/>
        </w:rPr>
      </w:pPr>
    </w:p>
    <w:p>
      <w:pPr>
        <w:ind w:left="1140" w:hanging="484"/>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the loan portfolio of Bank Boston N.A. Peru Subsidiary -</w:t>
      </w:r>
    </w:p>
    <w:p>
      <w:pPr>
        <w:spacing w:after="0" w:line="279" w:lineRule="exact"/>
        <w:rPr>
          <w:rFonts w:ascii="Times New Roman" w:cs="Times New Roman" w:eastAsia="Times New Roman" w:hAnsi="Times New Roman"/>
          <w:sz w:val="18"/>
          <w:szCs w:val="18"/>
          <w:color w:val="auto"/>
        </w:rPr>
      </w:pPr>
    </w:p>
    <w:p>
      <w:pPr>
        <w:ind w:left="11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2005, the BCP and the Bank of America, principal shareholders of United States Fleet Boston agreed to buy-sale the loans portfolio of the Bank Boston N.A. Peruvian branch and the loan portfolio of Peruvians in United States Fleet Boston N.A., registering this operation at the acquisition cost. BCP paid in cash approximately US$353.8 million for the loan portfolio, which comprised commercial loans, mortgage and leasing operations. The acquisition date of the portfolio was January 24, 2005.</w:t>
      </w:r>
    </w:p>
    <w:p>
      <w:pPr>
        <w:spacing w:after="0" w:line="2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Banco Tequendama S.A. -</w:t>
      </w:r>
    </w:p>
    <w:p>
      <w:pPr>
        <w:spacing w:after="0" w:line="279" w:lineRule="exact"/>
        <w:rPr>
          <w:rFonts w:ascii="Times New Roman" w:cs="Times New Roman" w:eastAsia="Times New Roman" w:hAnsi="Times New Roman"/>
          <w:sz w:val="18"/>
          <w:szCs w:val="18"/>
          <w:color w:val="auto"/>
        </w:rPr>
      </w:pPr>
    </w:p>
    <w:p>
      <w:pPr>
        <w:ind w:left="1140"/>
        <w:spacing w:after="0" w:line="2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2005 and as result of the transaction, the Group did not record any significant gain. In the year 2004, the subsidiary operated in the banking segment and contributed US$1.9 million to net income.</w:t>
      </w:r>
    </w:p>
    <w:p>
      <w:pPr>
        <w:spacing w:after="0" w:line="2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Corporación Novasalud Perú S.A. -</w:t>
      </w:r>
    </w:p>
    <w:p>
      <w:pPr>
        <w:spacing w:after="0" w:line="279" w:lineRule="exact"/>
        <w:rPr>
          <w:rFonts w:ascii="Times New Roman" w:cs="Times New Roman" w:eastAsia="Times New Roman" w:hAnsi="Times New Roman"/>
          <w:sz w:val="18"/>
          <w:szCs w:val="18"/>
          <w:color w:val="auto"/>
        </w:rPr>
      </w:pPr>
    </w:p>
    <w:p>
      <w:pPr>
        <w:ind w:left="114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2004, El Pacífico Peruano-Suiza Compañía de Seguros y Reaseguros S.A.A. (hereinafter “PPS”), a subsidiary of the Group, acquired a 100 percent interest in Corporación Novasalud S.A., proprietary of a 100 percent of Corporación Novasalud Perú S.A. - Entidad Prestadora de Salud (hereinafter “Novasalud EPS”). The amount paid for this purchase amounted to approximately US$6.5 million, generating goodwill of approximately US$5.9 million, note 10(b). On March, 2004, the company was merged with Pacífico S.A. Entidad Prestadora de Salud.</w:t>
      </w:r>
    </w:p>
    <w:p>
      <w:pPr>
        <w:spacing w:after="0" w:line="23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396" w:right="4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79"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accounting principles used in the preparation of Credicorp’s consolidated financial statements are set out below.</w:t>
      </w:r>
    </w:p>
    <w:p>
      <w:pPr>
        <w:spacing w:after="0" w:line="279"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 and use of estimates -</w:t>
      </w:r>
    </w:p>
    <w:p>
      <w:pPr>
        <w:spacing w:after="0" w:line="279" w:lineRule="exact"/>
        <w:rPr>
          <w:rFonts w:ascii="Times New Roman" w:cs="Times New Roman" w:eastAsia="Times New Roman" w:hAnsi="Times New Roman"/>
          <w:sz w:val="18"/>
          <w:szCs w:val="18"/>
          <w:color w:val="auto"/>
        </w:rPr>
      </w:pPr>
    </w:p>
    <w:p>
      <w:pPr>
        <w:ind w:left="114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21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instruments of the Group, assets and liabilities, are recorded at the amortized cost; except for:</w:t>
      </w:r>
    </w:p>
    <w:p>
      <w:pPr>
        <w:spacing w:after="0" w:line="279" w:lineRule="exact"/>
        <w:rPr>
          <w:rFonts w:ascii="Times New Roman" w:cs="Times New Roman" w:eastAsia="Times New Roman" w:hAnsi="Times New Roman"/>
          <w:sz w:val="18"/>
          <w:szCs w:val="18"/>
          <w:color w:val="auto"/>
        </w:rPr>
      </w:pPr>
    </w:p>
    <w:p>
      <w:pPr>
        <w:ind w:left="1460" w:right="260" w:hanging="318"/>
        <w:spacing w:after="0" w:line="282" w:lineRule="auto"/>
        <w:tabs>
          <w:tab w:leader="none" w:pos="146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securities, the derivatives and the financial instruments with embedded derivatives (see the paragraphs (h) and (u) below), which are recorded as financial assets at their fair value through profit or loss.</w:t>
      </w:r>
    </w:p>
    <w:p>
      <w:pPr>
        <w:spacing w:after="0" w:line="215"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available-for-sale, as it is indicated in the paragraph (h) below.</w:t>
      </w:r>
    </w:p>
    <w:p>
      <w:pPr>
        <w:spacing w:after="0" w:line="279" w:lineRule="exact"/>
        <w:rPr>
          <w:sz w:val="20"/>
          <w:szCs w:val="20"/>
          <w:color w:val="auto"/>
        </w:rPr>
      </w:pPr>
    </w:p>
    <w:p>
      <w:pPr>
        <w:ind w:left="1140" w:right="2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w:t>
      </w:r>
    </w:p>
    <w:p>
      <w:pPr>
        <w:spacing w:after="0" w:line="230" w:lineRule="exact"/>
        <w:rPr>
          <w:sz w:val="20"/>
          <w:szCs w:val="20"/>
          <w:color w:val="auto"/>
        </w:rPr>
      </w:pPr>
    </w:p>
    <w:p>
      <w:pPr>
        <w:ind w:left="1140" w:right="80"/>
        <w:spacing w:after="0" w:line="258" w:lineRule="auto"/>
        <w:rPr>
          <w:sz w:val="20"/>
          <w:szCs w:val="20"/>
          <w:color w:val="auto"/>
        </w:rPr>
      </w:pPr>
      <w:r>
        <w:rPr>
          <w:rFonts w:ascii="Times New Roman" w:cs="Times New Roman" w:eastAsia="Times New Roman" w:hAnsi="Times New Roman"/>
          <w:sz w:val="18"/>
          <w:szCs w:val="18"/>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the financial instruments, the technical reserves for claims and premiums, the provision for assets seized and the valuation of derivatives. The accounting criteria used for each of these items are described below.</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The accounting policies adopted are consistent with those of the previous year, except that the Group has adopted those new IFRS and revised</w:t>
      </w:r>
    </w:p>
    <w:p>
      <w:pPr>
        <w:spacing w:after="0" w:line="39" w:lineRule="exact"/>
        <w:rPr>
          <w:sz w:val="20"/>
          <w:szCs w:val="20"/>
          <w:color w:val="auto"/>
        </w:rPr>
      </w:pPr>
    </w:p>
    <w:p>
      <w:pPr>
        <w:ind w:left="1140" w:right="300"/>
        <w:spacing w:after="0" w:line="217" w:lineRule="auto"/>
        <w:rPr>
          <w:sz w:val="20"/>
          <w:szCs w:val="20"/>
          <w:color w:val="auto"/>
        </w:rPr>
      </w:pPr>
      <w:r>
        <w:rPr>
          <w:rFonts w:ascii="Times New Roman" w:cs="Times New Roman" w:eastAsia="Times New Roman" w:hAnsi="Times New Roman"/>
          <w:sz w:val="18"/>
          <w:szCs w:val="18"/>
          <w:color w:val="auto"/>
        </w:rPr>
        <w:t>IAS mandatory for years beginning on or after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2005. The adoption of the new and revised standards did not have a significant effect in the consolidated financial statements of Credicorp and, as result, it has not been necessary to amend the comparative figures. In summary:</w:t>
      </w:r>
    </w:p>
    <w:p>
      <w:pPr>
        <w:spacing w:after="0" w:line="254" w:lineRule="exact"/>
        <w:rPr>
          <w:sz w:val="20"/>
          <w:szCs w:val="20"/>
          <w:color w:val="auto"/>
        </w:rPr>
      </w:pPr>
    </w:p>
    <w:p>
      <w:pPr>
        <w:ind w:left="1460" w:hanging="318"/>
        <w:spacing w:after="0"/>
        <w:tabs>
          <w:tab w:leader="none" w:pos="1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1 (revised in 2003) has affected mainly the presentation of minority interest as part of the net equity.</w:t>
      </w:r>
    </w:p>
    <w:p>
      <w:pPr>
        <w:spacing w:after="0" w:line="279" w:lineRule="exact"/>
        <w:rPr>
          <w:rFonts w:ascii="Times New Roman" w:cs="Times New Roman" w:eastAsia="Times New Roman" w:hAnsi="Times New Roman"/>
          <w:sz w:val="18"/>
          <w:szCs w:val="18"/>
          <w:color w:val="auto"/>
        </w:rPr>
      </w:pPr>
    </w:p>
    <w:p>
      <w:pPr>
        <w:ind w:left="5540" w:right="580" w:hanging="4398"/>
        <w:spacing w:after="0" w:line="595" w:lineRule="auto"/>
        <w:tabs>
          <w:tab w:leader="none" w:pos="146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8, 10, 16, 17, 27, 28, 32, 33 (all revised in 2003) and IAS 39 (revised in 2004) had no material effect on the Group’s policies.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460" w:right="240" w:hanging="318"/>
        <w:spacing w:after="0" w:line="266" w:lineRule="auto"/>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21 (revised in 2003) had no material effect on the Group’s policy. The functional currency of each of the consolidated entities has been re-evaluated based on the guidance to the revised standard. All the Group entities have the same functional currency as used in previous years.</w:t>
      </w:r>
    </w:p>
    <w:p>
      <w:pPr>
        <w:spacing w:after="0" w:line="230"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IAS 24 (revised in 2003) has affected the identification of related parties and other related-party disclosures.</w:t>
      </w:r>
    </w:p>
    <w:p>
      <w:pPr>
        <w:spacing w:after="0" w:line="27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IFRS 2 had no material effect for the consolidated financial statements.</w:t>
      </w:r>
    </w:p>
    <w:p>
      <w:pPr>
        <w:spacing w:after="0" w:line="279" w:lineRule="exact"/>
        <w:rPr>
          <w:rFonts w:ascii="Times New Roman" w:cs="Times New Roman" w:eastAsia="Times New Roman" w:hAnsi="Times New Roman"/>
          <w:sz w:val="18"/>
          <w:szCs w:val="18"/>
          <w:color w:val="auto"/>
        </w:rPr>
      </w:pPr>
    </w:p>
    <w:p>
      <w:pPr>
        <w:ind w:left="1460" w:right="660" w:hanging="318"/>
        <w:spacing w:after="0" w:line="282" w:lineRule="auto"/>
        <w:tabs>
          <w:tab w:leader="none" w:pos="1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IFRS 3, IAS 36 (revised in 2004) and IAS 38 (revised in 2004) resulted in a change in the accounting policy for goodwill. In accordance with the provisions of IFRS 3, see paragraph (m) below:</w:t>
      </w:r>
    </w:p>
    <w:p>
      <w:pPr>
        <w:spacing w:after="0" w:line="199" w:lineRule="exact"/>
        <w:rPr>
          <w:rFonts w:ascii="Times New Roman" w:cs="Times New Roman" w:eastAsia="Times New Roman" w:hAnsi="Times New Roman"/>
          <w:sz w:val="18"/>
          <w:szCs w:val="18"/>
          <w:color w:val="auto"/>
        </w:rPr>
      </w:pPr>
    </w:p>
    <w:p>
      <w:pPr>
        <w:ind w:left="1800" w:hanging="333"/>
        <w:spacing w:after="0"/>
        <w:tabs>
          <w:tab w:leader="none" w:pos="1800" w:val="left"/>
        </w:tabs>
        <w:numPr>
          <w:ilvl w:val="1"/>
          <w:numId w:val="1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Group ceased the amortization of goodwill from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2005.</w:t>
      </w:r>
    </w:p>
    <w:p>
      <w:pPr>
        <w:sectPr>
          <w:pgSz w:w="11900" w:h="16838" w:orient="portrait"/>
          <w:cols w:equalWidth="0" w:num="1">
            <w:col w:w="11360"/>
          </w:cols>
          <w:pgMar w:left="240" w:top="396" w:right="299" w:bottom="1440" w:gutter="0" w:footer="0" w:header="0"/>
        </w:sectPr>
      </w:pPr>
    </w:p>
    <w:p>
      <w:pPr>
        <w:spacing w:after="0" w:line="129" w:lineRule="exact"/>
        <w:rPr>
          <w:sz w:val="20"/>
          <w:szCs w:val="20"/>
          <w:color w:val="auto"/>
        </w:rPr>
      </w:pPr>
    </w:p>
    <w:p>
      <w:pPr>
        <w:ind w:left="1800" w:hanging="339"/>
        <w:spacing w:after="0" w:line="298" w:lineRule="auto"/>
        <w:tabs>
          <w:tab w:leader="none" w:pos="1780" w:val="left"/>
        </w:tabs>
        <w:rPr>
          <w:sz w:val="20"/>
          <w:szCs w:val="20"/>
          <w:color w:val="auto"/>
        </w:rPr>
      </w:pPr>
      <w:r>
        <w:rPr>
          <w:rFonts w:ascii="Times New Roman" w:cs="Times New Roman" w:eastAsia="Times New Roman" w:hAnsi="Times New Roman"/>
          <w:sz w:val="18"/>
          <w:szCs w:val="18"/>
          <w:color w:val="auto"/>
        </w:rPr>
        <w:t>(ii)</w:t>
        <w:tab/>
        <w:t>Accumulated amortization as of December 31, 2004 has been eliminated with a goodwill.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corresponding decrease in the cost of</w:t>
      </w:r>
    </w:p>
    <w:p>
      <w:pPr>
        <w:spacing w:after="0" w:line="466" w:lineRule="exact"/>
        <w:rPr>
          <w:sz w:val="20"/>
          <w:szCs w:val="20"/>
          <w:color w:val="auto"/>
        </w:rPr>
      </w:pPr>
    </w:p>
    <w:p>
      <w:pPr>
        <w:sectPr>
          <w:pgSz w:w="11900" w:h="16838" w:orient="portrait"/>
          <w:cols w:equalWidth="0" w:num="2">
            <w:col w:w="7520" w:space="580"/>
            <w:col w:w="3260"/>
          </w:cols>
          <w:pgMar w:left="240" w:top="396" w:right="299" w:bottom="1440" w:gutter="0" w:footer="0" w:header="0"/>
          <w:type w:val="continuous"/>
        </w:sectPr>
      </w:pP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(iii) From the year ended December 31, 2004 onwards, goodwill is tested annually for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impairment.</w:t>
      </w:r>
    </w:p>
    <w:p>
      <w:pPr>
        <w:spacing w:after="0" w:line="200" w:lineRule="exact"/>
        <w:rPr>
          <w:sz w:val="20"/>
          <w:szCs w:val="20"/>
          <w:color w:val="auto"/>
        </w:rPr>
      </w:pPr>
    </w:p>
    <w:p>
      <w:pPr>
        <w:sectPr>
          <w:pgSz w:w="11900" w:h="16838" w:orient="portrait"/>
          <w:cols w:equalWidth="0" w:num="2">
            <w:col w:w="7660" w:space="600"/>
            <w:col w:w="3100"/>
          </w:cols>
          <w:pgMar w:left="240" w:top="396" w:right="299" w:bottom="1440" w:gutter="0" w:footer="0" w:header="0"/>
          <w:type w:val="continuous"/>
        </w:sectPr>
      </w:pPr>
    </w:p>
    <w:p>
      <w:pPr>
        <w:spacing w:after="0" w:line="104" w:lineRule="exact"/>
        <w:rPr>
          <w:sz w:val="20"/>
          <w:szCs w:val="20"/>
          <w:color w:val="auto"/>
        </w:rPr>
      </w:pPr>
    </w:p>
    <w:p>
      <w:pPr>
        <w:ind w:left="1460" w:hanging="318"/>
        <w:spacing w:after="0"/>
        <w:tabs>
          <w:tab w:leader="none" w:pos="14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IFRS 4 does not require significant changes in the Group’s accounting policies.</w:t>
      </w:r>
    </w:p>
    <w:p>
      <w:pPr>
        <w:spacing w:after="0" w:line="279" w:lineRule="exact"/>
        <w:rPr>
          <w:rFonts w:ascii="Times New Roman" w:cs="Times New Roman" w:eastAsia="Times New Roman" w:hAnsi="Times New Roman"/>
          <w:sz w:val="18"/>
          <w:szCs w:val="18"/>
          <w:color w:val="auto"/>
        </w:rPr>
      </w:pPr>
    </w:p>
    <w:p>
      <w:pPr>
        <w:ind w:left="1460" w:right="520" w:hanging="318"/>
        <w:spacing w:after="0" w:line="282" w:lineRule="auto"/>
        <w:tabs>
          <w:tab w:leader="none" w:pos="14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reassessed the useful lives of its intangible assets in accordance with the provision of IAS 38 (revised in 2004). No adjustment resulted from this reassessment.</w:t>
      </w:r>
    </w:p>
    <w:p>
      <w:pPr>
        <w:spacing w:after="0" w:line="2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 -</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 are all entities (including special purpose entities) over which the Group has the power to govern the financial and operating policies.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generally evidenced by a shareholding of more than one half of the voting rights.</w:t>
      </w:r>
    </w:p>
    <w:p>
      <w:pPr>
        <w:spacing w:after="0" w:line="261"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Subsidiaries are fully consolidated from the date on which effective control is transferred to the Group and are no longer consolidated from the date that control ceases. The consolidated financial statements include the assets, liabilities, income and expenses of Credicorp and its Subsidiaries. Inter-company transactions between Group Companies as balances, gains or losses are eliminated. The unrealized gains and losses between companies from the Group are eliminated, except for the losses that indicate an impairment in the value of the asset transferred.</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Accounting policies of subsidiaries have been changed when necessary to ensure consistency with the policies adopted by the Group and the IFRS.</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18"/>
          <w:szCs w:val="18"/>
          <w:color w:val="auto"/>
        </w:rPr>
        <w:t>The Group uses the purchase method of accounting to register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and intangible assets acquired is recorded as goodwill. If the acquisition cost is lower than the fair value of the net asset of the acquired subsidiary, the difference is recognized directly in the consolidated income statement.</w:t>
      </w:r>
    </w:p>
    <w:p>
      <w:pPr>
        <w:spacing w:after="0" w:line="238" w:lineRule="exact"/>
        <w:rPr>
          <w:sz w:val="20"/>
          <w:szCs w:val="20"/>
          <w:color w:val="auto"/>
        </w:rPr>
      </w:pPr>
    </w:p>
    <w:p>
      <w:pPr>
        <w:ind w:left="1140" w:right="840"/>
        <w:spacing w:after="0" w:line="282" w:lineRule="auto"/>
        <w:rPr>
          <w:sz w:val="20"/>
          <w:szCs w:val="20"/>
          <w:color w:val="auto"/>
        </w:rPr>
      </w:pPr>
      <w:r>
        <w:rPr>
          <w:rFonts w:ascii="Times New Roman" w:cs="Times New Roman" w:eastAsia="Times New Roman" w:hAnsi="Times New Roman"/>
          <w:sz w:val="18"/>
          <w:szCs w:val="18"/>
          <w:color w:val="auto"/>
        </w:rPr>
        <w:t>Assets in custody or managed by the Group, the investment funds and the pension funds managed by the Group, are not part of the consolidated financial statement of the Group, note 3(w).</w:t>
      </w:r>
    </w:p>
    <w:p>
      <w:pPr>
        <w:spacing w:after="0" w:line="216" w:lineRule="exact"/>
        <w:rPr>
          <w:sz w:val="20"/>
          <w:szCs w:val="20"/>
          <w:color w:val="auto"/>
        </w:rPr>
      </w:pPr>
    </w:p>
    <w:p>
      <w:pPr>
        <w:ind w:left="1140" w:right="300"/>
        <w:spacing w:after="0" w:line="282" w:lineRule="auto"/>
        <w:rPr>
          <w:sz w:val="20"/>
          <w:szCs w:val="20"/>
          <w:color w:val="auto"/>
        </w:rPr>
      </w:pPr>
      <w:r>
        <w:rPr>
          <w:rFonts w:ascii="Times New Roman" w:cs="Times New Roman" w:eastAsia="Times New Roman" w:hAnsi="Times New Roman"/>
          <w:sz w:val="18"/>
          <w:szCs w:val="18"/>
          <w:color w:val="auto"/>
        </w:rPr>
        <w:t>The net equity and the net income attributable to the minority interest are shown separately on the consolidated balance sheets and income statements.</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Associates -</w:t>
      </w:r>
    </w:p>
    <w:p>
      <w:pPr>
        <w:spacing w:after="0" w:line="279" w:lineRule="exact"/>
        <w:rPr>
          <w:sz w:val="20"/>
          <w:szCs w:val="20"/>
          <w:color w:val="auto"/>
        </w:rPr>
      </w:pPr>
    </w:p>
    <w:p>
      <w:pPr>
        <w:ind w:left="1140" w:right="60"/>
        <w:spacing w:after="0" w:line="258" w:lineRule="auto"/>
        <w:rPr>
          <w:sz w:val="20"/>
          <w:szCs w:val="20"/>
          <w:color w:val="auto"/>
        </w:rPr>
      </w:pPr>
      <w:r>
        <w:rPr>
          <w:rFonts w:ascii="Times New Roman" w:cs="Times New Roman" w:eastAsia="Times New Roman" w:hAnsi="Times New Roman"/>
          <w:sz w:val="18"/>
          <w:szCs w:val="18"/>
          <w:color w:val="auto"/>
        </w:rPr>
        <w:t>Associates are all the entities over which the Group has significant influence but not control. Generally investment in these entities represents shareholding between 20 and 50 percent of the voting rights. The investments in associates are recognized initially at cost and then are accounted for by the equity method. The Group does not maintain a significant investment in associates; therefore these investments are recorded in the caption “Other assets” in the consolidated balance sheets and in the caption “Other income” of the consolidated income statements.</w:t>
      </w: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Minority interest -</w:t>
      </w:r>
    </w:p>
    <w:p>
      <w:pPr>
        <w:spacing w:after="0" w:line="279" w:lineRule="exact"/>
        <w:rPr>
          <w:sz w:val="20"/>
          <w:szCs w:val="20"/>
          <w:color w:val="auto"/>
        </w:rPr>
      </w:pPr>
    </w:p>
    <w:p>
      <w:pPr>
        <w:jc w:val="both"/>
        <w:ind w:left="1140" w:right="220"/>
        <w:spacing w:after="0" w:line="261" w:lineRule="auto"/>
        <w:rPr>
          <w:sz w:val="20"/>
          <w:szCs w:val="20"/>
          <w:color w:val="auto"/>
        </w:rPr>
      </w:pPr>
      <w:r>
        <w:rPr>
          <w:rFonts w:ascii="Times New Roman" w:cs="Times New Roman" w:eastAsia="Times New Roman" w:hAnsi="Times New Roman"/>
          <w:sz w:val="18"/>
          <w:szCs w:val="18"/>
          <w:color w:val="auto"/>
        </w:rPr>
        <w:t>The Group applies a policy of treating transactions with minority interests as transactions with parties external to the Group. Disposals to minority interests result in gains and losses for the Group that are recorded in the consolidated income statement. Purchases from minority interests result in goodwill, being the difference between any consideration paid and the relevant share acquired of the carrying value of net assets of the subsidiary.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The companies that comprise the Group as of December 31, 2006 and 2005, with an indication of the percentage owned directly and indirectly by Credicorp as of those dates, as well as other relevant information, based on the financial statements in accordance with IFRS and before the eliminations for consolidation, except for the elimination of Credicorp´s treasury shares and the related dividends,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4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40" w:type="dxa"/>
            <w:vAlign w:val="bottom"/>
            <w:vMerge w:val="continue"/>
          </w:tcPr>
          <w:p>
            <w:pPr>
              <w:spacing w:after="0"/>
              <w:rPr>
                <w:sz w:val="20"/>
                <w:szCs w:val="20"/>
                <w:color w:val="auto"/>
              </w:rPr>
            </w:pP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participation</w:t>
            </w:r>
          </w:p>
        </w:tc>
        <w:tc>
          <w:tcPr>
            <w:tcW w:w="19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0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2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2006</w:t>
            </w: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US$(000)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US$(000)</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US$(000)</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US$(000)</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US$(000)</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US$(000)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US$(000)</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198"/>
        </w:trPr>
        <w:tc>
          <w:tcPr>
            <w:tcW w:w="28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Banco de Crédito del Perú and</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Subsidiaries (i)</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97.24</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96.98</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10,802,737</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9,262,352</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9,838,881</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8,402,202</w:t>
            </w:r>
          </w:p>
        </w:tc>
        <w:tc>
          <w:tcPr>
            <w:tcW w:w="1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963,856</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860,150</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247,756</w:t>
            </w:r>
          </w:p>
        </w:tc>
        <w:tc>
          <w:tcPr>
            <w:tcW w:w="80" w:type="dxa"/>
            <w:vAlign w:val="bottom"/>
            <w:shd w:val="clear" w:color="auto" w:fill="CCFFCC"/>
          </w:tcPr>
          <w:p>
            <w:pPr>
              <w:spacing w:after="0"/>
              <w:rPr>
                <w:sz w:val="20"/>
                <w:szCs w:val="20"/>
                <w:color w:val="auto"/>
              </w:rPr>
            </w:pPr>
          </w:p>
        </w:tc>
        <w:tc>
          <w:tcPr>
            <w:tcW w:w="8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184,156</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Atlantic Security Holding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Corporation and Subsidiaries (ii)</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1,320,535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1,052,386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1,200,170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949,757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120,365</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102,629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15,402</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13,483</w:t>
            </w:r>
          </w:p>
        </w:tc>
        <w:tc>
          <w:tcPr>
            <w:tcW w:w="0" w:type="dxa"/>
            <w:vAlign w:val="bottom"/>
          </w:tcPr>
          <w:p>
            <w:pPr>
              <w:spacing w:after="0"/>
              <w:rPr>
                <w:sz w:val="1"/>
                <w:szCs w:val="1"/>
                <w:color w:val="auto"/>
              </w:rPr>
            </w:pPr>
          </w:p>
        </w:tc>
      </w:tr>
      <w:tr>
        <w:trPr>
          <w:trHeight w:val="198"/>
        </w:trPr>
        <w:tc>
          <w:tcPr>
            <w:tcW w:w="28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El Pacífico Peruano-Suiza Compañía</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de Seguros y Reaseguros and</w:t>
            </w: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Subsidiaries (iii)</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75.72</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75.72</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1,002,358</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833,573</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712,430</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613,978</w:t>
            </w:r>
          </w:p>
        </w:tc>
        <w:tc>
          <w:tcPr>
            <w:tcW w:w="7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289,928</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219,595</w:t>
            </w:r>
          </w:p>
        </w:tc>
        <w:tc>
          <w:tcPr>
            <w:tcW w:w="7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59,087</w:t>
            </w:r>
          </w:p>
        </w:tc>
        <w:tc>
          <w:tcPr>
            <w:tcW w:w="8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13,117</w:t>
            </w:r>
          </w:p>
        </w:tc>
        <w:tc>
          <w:tcPr>
            <w:tcW w:w="0" w:type="dxa"/>
            <w:vAlign w:val="bottom"/>
          </w:tcPr>
          <w:p>
            <w:pPr>
              <w:spacing w:after="0"/>
              <w:rPr>
                <w:sz w:val="1"/>
                <w:szCs w:val="1"/>
                <w:color w:val="auto"/>
              </w:rPr>
            </w:pPr>
          </w:p>
        </w:tc>
      </w:tr>
      <w:tr>
        <w:trPr>
          <w:trHeight w:val="198"/>
        </w:trPr>
        <w:tc>
          <w:tcPr>
            <w:tcW w:w="2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Grupo Crédito S.A. and Subsidiaries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(iv)</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314,540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61,832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115,702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198,838</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56,955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(12,380)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CCV Inc. (v)</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1"/>
                <w:szCs w:val="21"/>
                <w:color w:val="auto"/>
              </w:rPr>
            </w:pPr>
          </w:p>
        </w:tc>
        <w:tc>
          <w:tcPr>
            <w:tcW w:w="84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CCR Inc. (v)</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382,930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282,124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380,000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2,930</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Credicorp Securities Inc. (vi)</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c>
          <w:tcPr>
            <w:tcW w:w="9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8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c>
          <w:tcPr>
            <w:tcW w:w="78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487</w:t>
            </w:r>
          </w:p>
        </w:tc>
        <w:tc>
          <w:tcPr>
            <w:tcW w:w="8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140" w:right="140" w:hanging="484"/>
        <w:spacing w:after="0" w:line="266" w:lineRule="auto"/>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Banco de Crédito (BCP) is a universal bank, incorporated in Peru in 1889, authorized to engage in banking activities by the Superintendence of Banking, Insurance and AFP (SBS), the Peruvian banking, insurance and AFP authority. On November 2006, Credicorp acquired equivalent to 0.25 percent of BCP shares owned by minority interest. See (iii) below.</w:t>
      </w:r>
    </w:p>
    <w:p>
      <w:pPr>
        <w:spacing w:after="0" w:line="230" w:lineRule="exact"/>
        <w:rPr>
          <w:rFonts w:ascii="Times New Roman" w:cs="Times New Roman" w:eastAsia="Times New Roman" w:hAnsi="Times New Roman"/>
          <w:sz w:val="18"/>
          <w:szCs w:val="18"/>
          <w:color w:val="auto"/>
        </w:rPr>
      </w:pPr>
    </w:p>
    <w:p>
      <w:pPr>
        <w:ind w:left="1140" w:right="40" w:hanging="484"/>
        <w:spacing w:after="0" w:line="261" w:lineRule="auto"/>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and the Republic of Panama, its main activity is private and institutional banking and trustee administration.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20" w:hanging="484"/>
        <w:spacing w:after="0" w:line="206" w:lineRule="auto"/>
        <w:tabs>
          <w:tab w:leader="none" w:pos="1140" w:val="left"/>
        </w:tabs>
        <w:numPr>
          <w:ilvl w:val="0"/>
          <w:numId w:val="12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El Pacífico Peruano-Suiza Compañía de Seguros y Reaseguros (PPS) is a Peruvian corporation, whose main activity is the issuance and administration of insurance for property and casualty and related activities, and also provides insurance for life, health and personal accidents. Its main subsidiaries are El Pacífico Vida Compañía de Seguros y Reaseguros S.A. and Pacífico S.A. Entidad Prestadora de Salud (EPS), in which maintain a share of 61.99 percent and 100.00 percent, respectively. On November 2006, PPS sold to Credicorp 1.02 percent of BCP shares that maintained to that date, generating a goodwill for the purchase of the corresponding percentage of minority interest (0.25 percent) amounted to approximately US$ 7.2 million, note 10(b).</w:t>
      </w:r>
    </w:p>
    <w:p>
      <w:pPr>
        <w:spacing w:after="0" w:line="253" w:lineRule="exact"/>
        <w:rPr>
          <w:rFonts w:ascii="Times New Roman" w:cs="Times New Roman" w:eastAsia="Times New Roman" w:hAnsi="Times New Roman"/>
          <w:sz w:val="43"/>
          <w:szCs w:val="43"/>
          <w:color w:val="auto"/>
          <w:vertAlign w:val="subscript"/>
        </w:rPr>
      </w:pPr>
    </w:p>
    <w:p>
      <w:pPr>
        <w:ind w:left="1140" w:hanging="484"/>
        <w:spacing w:after="0" w:line="256"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Grupo Crédito S.A. is a company incorporated in Peru on February 1987, whose main activity is to invest in listed and not listed securities in Peru. Since 2005, Group Crédito incorporated Prima AFP, a new subsidiary engaged in fund management activities. On August, 2006, Prima AFP acquired 99.97 percent of the representative capital shares of AFP Unión Vida S.A., which was merged on December 2006, note 2(a). As of December 31, 2006, Prima AFP total assets amount approximately US$233.9 million, liabilities for US$115.4 million and a net loss of US$20.7 million (US$18.3 million, US$2.8 million and US$7.6 million, respectively, as of December 31,2005). Additionally, the Company owns 100.00 percent of the shares of Soluciones en Procesamiento S.A. (Servicorp), an entity specialized in collection services.</w:t>
      </w:r>
    </w:p>
    <w:p>
      <w:pPr>
        <w:spacing w:after="0" w:line="241"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CCV Inc. and CCR Inc., are special purposes entities incorporated in Bahamas in 2001, whose main activity is to manage the loans granted to BCP from foreign financial entities, note 14(b). These loans are collateralized by transactions realized by the Bank.</w:t>
      </w:r>
    </w:p>
    <w:p>
      <w:pPr>
        <w:spacing w:after="0" w:line="215" w:lineRule="exact"/>
        <w:rPr>
          <w:rFonts w:ascii="Times New Roman" w:cs="Times New Roman" w:eastAsia="Times New Roman" w:hAnsi="Times New Roman"/>
          <w:sz w:val="18"/>
          <w:szCs w:val="18"/>
          <w:color w:val="auto"/>
        </w:rPr>
      </w:pPr>
    </w:p>
    <w:p>
      <w:pPr>
        <w:ind w:left="1140" w:right="280" w:hanging="484"/>
        <w:spacing w:after="0" w:line="282"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Securities Inc., an entity incorporated in the United States of America on January 2003, whose main activity is to be engaged in brokerage activities in the securities market, directed principally to retail customers in Latin America.</w:t>
      </w:r>
    </w:p>
    <w:p>
      <w:pPr>
        <w:spacing w:after="0" w:line="216" w:lineRule="exact"/>
        <w:rPr>
          <w:sz w:val="20"/>
          <w:szCs w:val="20"/>
          <w:color w:val="auto"/>
        </w:rPr>
      </w:pPr>
    </w:p>
    <w:p>
      <w:pPr>
        <w:ind w:left="1140" w:right="7460" w:hanging="484"/>
        <w:spacing w:after="0" w:line="563"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 Functional and presentation currency -</w:t>
      </w:r>
    </w:p>
    <w:p>
      <w:pPr>
        <w:spacing w:after="0" w:line="1" w:lineRule="exact"/>
        <w:rPr>
          <w:rFonts w:ascii="Times New Roman" w:cs="Times New Roman" w:eastAsia="Times New Roman" w:hAnsi="Times New Roman"/>
          <w:sz w:val="18"/>
          <w:szCs w:val="18"/>
          <w:color w:val="auto"/>
        </w:rPr>
      </w:pPr>
    </w:p>
    <w:p>
      <w:pPr>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Financial statements of each of the Credicorp’s subsidiaries are measured using the currency of the country in which each entity operates.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Their financial statements are translated into U.S. Dollars (functional and presentation currency) as follows:</w:t>
      </w:r>
    </w:p>
    <w:p>
      <w:pPr>
        <w:spacing w:after="0" w:line="261" w:lineRule="exact"/>
        <w:rPr>
          <w:sz w:val="20"/>
          <w:szCs w:val="20"/>
          <w:color w:val="auto"/>
        </w:rPr>
      </w:pPr>
    </w:p>
    <w:p>
      <w:pPr>
        <w:ind w:left="1460" w:right="800" w:hanging="318"/>
        <w:spacing w:after="0" w:line="282"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assets and liabilities for each balance sheet presented are translated at the free market exchange rate at the date of the consolidated balance sheet.</w:t>
      </w:r>
    </w:p>
    <w:p>
      <w:pPr>
        <w:spacing w:after="0" w:line="215"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Non-monetary accounts for each balance sheet presented are translated at the free market exchange rate at the date of the transactions.</w:t>
      </w:r>
    </w:p>
    <w:p>
      <w:pPr>
        <w:spacing w:after="0" w:line="279" w:lineRule="exact"/>
        <w:rPr>
          <w:rFonts w:ascii="Times New Roman" w:cs="Times New Roman" w:eastAsia="Times New Roman" w:hAnsi="Times New Roman"/>
          <w:sz w:val="18"/>
          <w:szCs w:val="18"/>
          <w:color w:val="auto"/>
        </w:rPr>
      </w:pPr>
    </w:p>
    <w:p>
      <w:pPr>
        <w:ind w:left="1460" w:right="120" w:hanging="318"/>
        <w:spacing w:after="0" w:line="282" w:lineRule="auto"/>
        <w:tabs>
          <w:tab w:leader="none" w:pos="14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15"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translation differences are recognized in the consolidated income statement.</w:t>
      </w:r>
    </w:p>
    <w:p>
      <w:pPr>
        <w:spacing w:after="0" w:line="2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 recognition from banking activities -</w:t>
      </w:r>
    </w:p>
    <w:p>
      <w:pPr>
        <w:spacing w:after="0" w:line="279" w:lineRule="exact"/>
        <w:rPr>
          <w:rFonts w:ascii="Times New Roman" w:cs="Times New Roman" w:eastAsia="Times New Roman" w:hAnsi="Times New Roman"/>
          <w:sz w:val="18"/>
          <w:szCs w:val="18"/>
          <w:color w:val="auto"/>
        </w:rPr>
      </w:pPr>
    </w:p>
    <w:p>
      <w:pPr>
        <w:ind w:left="114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and expense are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negotiations with clients.</w:t>
      </w:r>
    </w:p>
    <w:p>
      <w:pPr>
        <w:spacing w:after="0" w:line="230" w:lineRule="exact"/>
        <w:rPr>
          <w:rFonts w:ascii="Times New Roman" w:cs="Times New Roman" w:eastAsia="Times New Roman" w:hAnsi="Times New Roman"/>
          <w:sz w:val="18"/>
          <w:szCs w:val="18"/>
          <w:color w:val="auto"/>
        </w:rPr>
      </w:pPr>
    </w:p>
    <w:p>
      <w:pPr>
        <w:ind w:left="114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34" w:lineRule="exact"/>
        <w:rPr>
          <w:rFonts w:ascii="Times New Roman" w:cs="Times New Roman" w:eastAsia="Times New Roman" w:hAnsi="Times New Roman"/>
          <w:sz w:val="18"/>
          <w:szCs w:val="18"/>
          <w:color w:val="auto"/>
        </w:rPr>
      </w:pPr>
    </w:p>
    <w:p>
      <w:pPr>
        <w:ind w:left="1140" w:righ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15" w:lineRule="exact"/>
        <w:rPr>
          <w:rFonts w:ascii="Times New Roman" w:cs="Times New Roman" w:eastAsia="Times New Roman" w:hAnsi="Times New Roman"/>
          <w:sz w:val="18"/>
          <w:szCs w:val="18"/>
          <w:color w:val="auto"/>
        </w:rPr>
      </w:pPr>
    </w:p>
    <w:p>
      <w:pPr>
        <w:ind w:left="114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income is recognized on an accrual basis when earned. All other revenues and expenses are recognized on an accrual basis as earned or incurred.</w:t>
      </w:r>
    </w:p>
    <w:p>
      <w:pPr>
        <w:spacing w:after="0" w:line="2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income and expenses of insurance activities -</w:t>
      </w:r>
    </w:p>
    <w:p>
      <w:pPr>
        <w:spacing w:after="0" w:line="279" w:lineRule="exact"/>
        <w:rPr>
          <w:rFonts w:ascii="Times New Roman" w:cs="Times New Roman" w:eastAsia="Times New Roman" w:hAnsi="Times New Roman"/>
          <w:sz w:val="18"/>
          <w:szCs w:val="18"/>
          <w:color w:val="auto"/>
        </w:rPr>
      </w:pPr>
    </w:p>
    <w:p>
      <w:pPr>
        <w:ind w:left="114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15"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reserves are constituted under different methodologies depending on the type of reserve, line of business, type of product and type of coverage.</w:t>
      </w:r>
    </w:p>
    <w:p>
      <w:pPr>
        <w:spacing w:after="0" w:line="215" w:lineRule="exact"/>
        <w:rPr>
          <w:rFonts w:ascii="Times New Roman" w:cs="Times New Roman" w:eastAsia="Times New Roman" w:hAnsi="Times New Roman"/>
          <w:sz w:val="18"/>
          <w:szCs w:val="18"/>
          <w:color w:val="auto"/>
        </w:rPr>
      </w:pPr>
    </w:p>
    <w:p>
      <w:pPr>
        <w:ind w:left="114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life insurance, the claims reserves are calculated taking into account an estimation of the mortality (for life insurance), survival (life annuities, death and disability pension system insurance and complementary Insurance for work risk), (a type of life insurance for certain types of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jc w:val="both"/>
        <w:ind w:left="1140" w:right="160"/>
        <w:spacing w:after="0" w:line="289" w:lineRule="auto"/>
        <w:rPr>
          <w:sz w:val="20"/>
          <w:szCs w:val="20"/>
          <w:color w:val="auto"/>
        </w:rPr>
      </w:pPr>
      <w:r>
        <w:rPr>
          <w:rFonts w:ascii="Times New Roman" w:cs="Times New Roman" w:eastAsia="Times New Roman" w:hAnsi="Times New Roman"/>
          <w:sz w:val="17"/>
          <w:szCs w:val="17"/>
          <w:color w:val="auto"/>
        </w:rPr>
        <w:t>The reserves corresponding to the universal life insurance policies form part of the technical life insurance reserves. The additional benefits granted to the policyholders originating from this type of policy are shown in the footnote net premiums earned for life and health insurance contract (note 21) which include the surplus and interest accrued during the period which are credited to the balance of the policyholder.</w:t>
      </w:r>
    </w:p>
    <w:p>
      <w:pPr>
        <w:spacing w:after="0" w:line="212" w:lineRule="exact"/>
        <w:rPr>
          <w:sz w:val="20"/>
          <w:szCs w:val="20"/>
          <w:color w:val="auto"/>
        </w:rPr>
      </w:pPr>
    </w:p>
    <w:p>
      <w:pPr>
        <w:ind w:left="1140" w:right="180"/>
        <w:spacing w:after="0" w:line="258" w:lineRule="auto"/>
        <w:rPr>
          <w:sz w:val="20"/>
          <w:szCs w:val="20"/>
          <w:color w:val="auto"/>
        </w:rPr>
      </w:pPr>
      <w:r>
        <w:rPr>
          <w:rFonts w:ascii="Times New Roman" w:cs="Times New Roman" w:eastAsia="Times New Roman" w:hAnsi="Times New Roman"/>
          <w:sz w:val="18"/>
          <w:szCs w:val="18"/>
          <w:color w:val="auto"/>
        </w:rPr>
        <w:t>The insurance claims are recorded when the event occurs. The incurred but non-reported claims (IBNR) are estimated and included in the provision (liabilities). The reserves for IBNR at December 31, 2006 and 2005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liability for IBNR occurred at December 31, 2006 and 2005.</w:t>
      </w:r>
    </w:p>
    <w:p>
      <w:pPr>
        <w:spacing w:after="0" w:line="238" w:lineRule="exact"/>
        <w:rPr>
          <w:sz w:val="20"/>
          <w:szCs w:val="20"/>
          <w:color w:val="auto"/>
        </w:rPr>
      </w:pPr>
    </w:p>
    <w:p>
      <w:pPr>
        <w:ind w:left="1140"/>
        <w:spacing w:after="0" w:line="255" w:lineRule="auto"/>
        <w:rPr>
          <w:sz w:val="20"/>
          <w:szCs w:val="20"/>
          <w:color w:val="auto"/>
        </w:rPr>
      </w:pPr>
      <w:r>
        <w:rPr>
          <w:rFonts w:ascii="Times New Roman" w:cs="Times New Roman" w:eastAsia="Times New Roman" w:hAnsi="Times New Roman"/>
          <w:sz w:val="18"/>
          <w:szCs w:val="18"/>
          <w:color w:val="auto"/>
        </w:rPr>
        <w:t>To determine the reserves for life, property and casualty and health insurance, the Group carries out a continuous review of its overall position as well as its techniques for computing the claim reserves and its reinsurance. The provisions are reviewed periodically by qualified actuaries contracted by the Group. Additionally, for those cases the Group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43" w:lineRule="exact"/>
        <w:rPr>
          <w:sz w:val="20"/>
          <w:szCs w:val="20"/>
          <w:color w:val="auto"/>
        </w:rPr>
      </w:pPr>
    </w:p>
    <w:p>
      <w:pPr>
        <w:jc w:val="both"/>
        <w:ind w:left="1140" w:right="100"/>
        <w:spacing w:after="0" w:line="266" w:lineRule="auto"/>
        <w:rPr>
          <w:sz w:val="20"/>
          <w:szCs w:val="20"/>
          <w:color w:val="auto"/>
        </w:rPr>
      </w:pPr>
      <w:r>
        <w:rPr>
          <w:rFonts w:ascii="Times New Roman" w:cs="Times New Roman" w:eastAsia="Times New Roman" w:hAnsi="Times New Roman"/>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are reviewed annually.</w:t>
      </w:r>
    </w:p>
    <w:p>
      <w:pPr>
        <w:spacing w:after="0" w:line="230" w:lineRule="exact"/>
        <w:rPr>
          <w:sz w:val="20"/>
          <w:szCs w:val="20"/>
          <w:color w:val="auto"/>
        </w:rPr>
      </w:pPr>
    </w:p>
    <w:p>
      <w:pPr>
        <w:ind w:left="1140" w:right="420"/>
        <w:spacing w:after="0" w:line="282" w:lineRule="auto"/>
        <w:rPr>
          <w:sz w:val="20"/>
          <w:szCs w:val="20"/>
          <w:color w:val="auto"/>
        </w:rPr>
      </w:pPr>
      <w:r>
        <w:rPr>
          <w:rFonts w:ascii="Times New Roman" w:cs="Times New Roman" w:eastAsia="Times New Roman" w:hAnsi="Times New Roman"/>
          <w:sz w:val="18"/>
          <w:szCs w:val="18"/>
          <w:color w:val="auto"/>
        </w:rPr>
        <w:t>Based on the periodic reviews of the client portfolio, Management determines the provision for bad debt related to premiums and quotas receivable.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hanging="484"/>
        <w:spacing w:after="0"/>
        <w:tabs>
          <w:tab w:leader="none" w:pos="11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allowance for loan losses -</w:t>
      </w:r>
    </w:p>
    <w:p>
      <w:pPr>
        <w:spacing w:after="0" w:line="279" w:lineRule="exact"/>
        <w:rPr>
          <w:rFonts w:ascii="Times New Roman" w:cs="Times New Roman" w:eastAsia="Times New Roman" w:hAnsi="Times New Roman"/>
          <w:sz w:val="18"/>
          <w:szCs w:val="18"/>
          <w:color w:val="auto"/>
        </w:rPr>
      </w:pPr>
    </w:p>
    <w:p>
      <w:pPr>
        <w:ind w:left="114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0" w:lineRule="exact"/>
        <w:rPr>
          <w:rFonts w:ascii="Times New Roman" w:cs="Times New Roman" w:eastAsia="Times New Roman" w:hAnsi="Times New Roman"/>
          <w:sz w:val="18"/>
          <w:szCs w:val="18"/>
          <w:color w:val="auto"/>
        </w:rPr>
      </w:pPr>
    </w:p>
    <w:p>
      <w:pPr>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w:t>
      </w:r>
    </w:p>
    <w:p>
      <w:pPr>
        <w:spacing w:after="0" w:line="234" w:lineRule="exact"/>
        <w:rPr>
          <w:rFonts w:ascii="Times New Roman" w:cs="Times New Roman" w:eastAsia="Times New Roman" w:hAnsi="Times New Roman"/>
          <w:sz w:val="18"/>
          <w:szCs w:val="18"/>
          <w:color w:val="auto"/>
        </w:rPr>
      </w:pPr>
    </w:p>
    <w:p>
      <w:pPr>
        <w:ind w:left="1140"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41" w:lineRule="exact"/>
        <w:rPr>
          <w:rFonts w:ascii="Times New Roman" w:cs="Times New Roman" w:eastAsia="Times New Roman" w:hAnsi="Times New Roman"/>
          <w:sz w:val="18"/>
          <w:szCs w:val="18"/>
          <w:color w:val="auto"/>
        </w:rPr>
      </w:pPr>
    </w:p>
    <w:p>
      <w:pPr>
        <w:ind w:left="1140"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loan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34" w:lineRule="exact"/>
        <w:rPr>
          <w:rFonts w:ascii="Times New Roman" w:cs="Times New Roman" w:eastAsia="Times New Roman" w:hAnsi="Times New Roman"/>
          <w:sz w:val="18"/>
          <w:szCs w:val="18"/>
          <w:color w:val="auto"/>
        </w:rPr>
      </w:pPr>
    </w:p>
    <w:p>
      <w:pPr>
        <w:ind w:left="114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15" w:lineRule="exact"/>
        <w:rPr>
          <w:rFonts w:ascii="Times New Roman" w:cs="Times New Roman" w:eastAsia="Times New Roman" w:hAnsi="Times New Roman"/>
          <w:sz w:val="18"/>
          <w:szCs w:val="18"/>
          <w:color w:val="auto"/>
        </w:rPr>
      </w:pPr>
    </w:p>
    <w:p>
      <w:pPr>
        <w:ind w:left="11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considered impaired (the ones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34" w:lineRule="exact"/>
        <w:rPr>
          <w:rFonts w:ascii="Times New Roman" w:cs="Times New Roman" w:eastAsia="Times New Roman" w:hAnsi="Times New Roman"/>
          <w:sz w:val="18"/>
          <w:szCs w:val="18"/>
          <w:color w:val="auto"/>
        </w:rPr>
      </w:pPr>
    </w:p>
    <w:p>
      <w:pPr>
        <w:ind w:left="1140" w:righ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and assumptions used for estimating future cash flows are reviewed regularly by the Group in order to reduce any differences between loss estimates and actual loss experience.</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allowance for loan losses also covers the estimated losses for impairment loans not specifically identified.</w:t>
      </w:r>
    </w:p>
    <w:p>
      <w:pPr>
        <w:spacing w:after="0" w:line="279" w:lineRule="exact"/>
        <w:rPr>
          <w:sz w:val="20"/>
          <w:szCs w:val="20"/>
          <w:color w:val="auto"/>
        </w:rPr>
      </w:pPr>
    </w:p>
    <w:p>
      <w:pPr>
        <w:ind w:left="1140" w:right="360"/>
        <w:spacing w:after="0" w:line="266" w:lineRule="auto"/>
        <w:rPr>
          <w:sz w:val="20"/>
          <w:szCs w:val="20"/>
          <w:color w:val="auto"/>
        </w:rPr>
      </w:pPr>
      <w:r>
        <w:rPr>
          <w:rFonts w:ascii="Times New Roman" w:cs="Times New Roman" w:eastAsia="Times New Roman" w:hAnsi="Times New Roman"/>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30" w:lineRule="exact"/>
        <w:rPr>
          <w:sz w:val="20"/>
          <w:szCs w:val="20"/>
          <w:color w:val="auto"/>
        </w:rPr>
      </w:pPr>
    </w:p>
    <w:p>
      <w:pPr>
        <w:ind w:left="1140" w:right="8980" w:hanging="484"/>
        <w:spacing w:after="0" w:line="596" w:lineRule="auto"/>
        <w:tabs>
          <w:tab w:leader="none" w:pos="11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 Operating leases -</w:t>
      </w:r>
    </w:p>
    <w:p>
      <w:pPr>
        <w:spacing w:after="0" w:line="1" w:lineRule="exact"/>
        <w:rPr>
          <w:rFonts w:ascii="Times New Roman" w:cs="Times New Roman" w:eastAsia="Times New Roman" w:hAnsi="Times New Roman"/>
          <w:sz w:val="17"/>
          <w:szCs w:val="17"/>
          <w:color w:val="auto"/>
        </w:rPr>
      </w:pPr>
    </w:p>
    <w:p>
      <w:pPr>
        <w:ind w:left="1140" w:right="1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Leases in which a significant portion of the risks and relative benefits of the property are hold by the lessor are classified as operating leases. By this concept, the Group maintains principally leases used as offices and agencies for the Bank.</w:t>
      </w:r>
    </w:p>
    <w:p>
      <w:pPr>
        <w:spacing w:after="0" w:line="215" w:lineRule="exact"/>
        <w:rPr>
          <w:rFonts w:ascii="Times New Roman" w:cs="Times New Roman" w:eastAsia="Times New Roman" w:hAnsi="Times New Roman"/>
          <w:sz w:val="17"/>
          <w:szCs w:val="17"/>
          <w:color w:val="auto"/>
        </w:rPr>
      </w:pPr>
    </w:p>
    <w:p>
      <w:pPr>
        <w:ind w:left="1140" w:right="6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15"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Finance leases -</w:t>
      </w:r>
    </w:p>
    <w:p>
      <w:pPr>
        <w:spacing w:after="0" w:line="279" w:lineRule="exact"/>
        <w:rPr>
          <w:rFonts w:ascii="Times New Roman" w:cs="Times New Roman" w:eastAsia="Times New Roman" w:hAnsi="Times New Roman"/>
          <w:sz w:val="17"/>
          <w:szCs w:val="17"/>
          <w:color w:val="auto"/>
        </w:rPr>
      </w:pPr>
    </w:p>
    <w:p>
      <w:pPr>
        <w:ind w:left="11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Group grants loans through finance leases; therefore,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30" w:lineRule="exact"/>
        <w:rPr>
          <w:rFonts w:ascii="Times New Roman" w:cs="Times New Roman" w:eastAsia="Times New Roman" w:hAnsi="Times New Roman"/>
          <w:sz w:val="17"/>
          <w:szCs w:val="17"/>
          <w:color w:val="auto"/>
        </w:rPr>
      </w:pPr>
    </w:p>
    <w:p>
      <w:pPr>
        <w:ind w:left="1140" w:hanging="484"/>
        <w:spacing w:after="0"/>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t>
      </w:r>
    </w:p>
    <w:p>
      <w:pPr>
        <w:spacing w:after="0" w:line="279" w:lineRule="exact"/>
        <w:rPr>
          <w:rFonts w:ascii="Times New Roman" w:cs="Times New Roman" w:eastAsia="Times New Roman" w:hAnsi="Times New Roman"/>
          <w:sz w:val="18"/>
          <w:szCs w:val="18"/>
          <w:color w:val="auto"/>
        </w:rPr>
      </w:pPr>
    </w:p>
    <w:p>
      <w:pPr>
        <w:ind w:left="1140"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purchases and sales of investments are recognized at the date of the negotiation (trade date) that corresponds to the date in which the Group commits itself to buy or sell the assets.</w:t>
      </w:r>
    </w:p>
    <w:p>
      <w:pPr>
        <w:spacing w:after="0" w:line="215" w:lineRule="exact"/>
        <w:rPr>
          <w:rFonts w:ascii="Times New Roman" w:cs="Times New Roman" w:eastAsia="Times New Roman" w:hAnsi="Times New Roman"/>
          <w:sz w:val="18"/>
          <w:szCs w:val="18"/>
          <w:color w:val="auto"/>
        </w:rPr>
      </w:pPr>
    </w:p>
    <w:p>
      <w:pPr>
        <w:ind w:left="114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34" w:lineRule="exact"/>
        <w:rPr>
          <w:rFonts w:ascii="Times New Roman" w:cs="Times New Roman" w:eastAsia="Times New Roman" w:hAnsi="Times New Roman"/>
          <w:sz w:val="18"/>
          <w:szCs w:val="18"/>
          <w:color w:val="auto"/>
        </w:rPr>
      </w:pPr>
    </w:p>
    <w:p>
      <w:pPr>
        <w:ind w:left="1140"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15" w:lineRule="exact"/>
        <w:rPr>
          <w:rFonts w:ascii="Times New Roman" w:cs="Times New Roman" w:eastAsia="Times New Roman" w:hAnsi="Times New Roman"/>
          <w:sz w:val="18"/>
          <w:szCs w:val="18"/>
          <w:color w:val="auto"/>
        </w:rPr>
      </w:pPr>
    </w:p>
    <w:p>
      <w:pPr>
        <w:ind w:left="114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spacing w:after="0" w:line="258" w:lineRule="auto"/>
        <w:rPr>
          <w:sz w:val="20"/>
          <w:szCs w:val="20"/>
          <w:color w:val="auto"/>
        </w:rPr>
      </w:pPr>
      <w:r>
        <w:rPr>
          <w:rFonts w:ascii="Times New Roman" w:cs="Times New Roman" w:eastAsia="Times New Roman" w:hAnsi="Times New Roman"/>
          <w:sz w:val="18"/>
          <w:szCs w:val="18"/>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38" w:lineRule="exact"/>
        <w:rPr>
          <w:sz w:val="20"/>
          <w:szCs w:val="20"/>
          <w:color w:val="auto"/>
        </w:rPr>
      </w:pPr>
    </w:p>
    <w:p>
      <w:pPr>
        <w:ind w:left="1140" w:hanging="484"/>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financial instruments -</w:t>
      </w:r>
    </w:p>
    <w:p>
      <w:pPr>
        <w:spacing w:after="0" w:line="279" w:lineRule="exact"/>
        <w:rPr>
          <w:rFonts w:ascii="Times New Roman" w:cs="Times New Roman" w:eastAsia="Times New Roman" w:hAnsi="Times New Roman"/>
          <w:sz w:val="18"/>
          <w:szCs w:val="18"/>
          <w:color w:val="auto"/>
        </w:rPr>
      </w:pPr>
    </w:p>
    <w:p>
      <w:pPr>
        <w:ind w:left="114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23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furniture and equipment -</w:t>
      </w:r>
    </w:p>
    <w:p>
      <w:pPr>
        <w:spacing w:after="0" w:line="279" w:lineRule="exact"/>
        <w:rPr>
          <w:rFonts w:ascii="Times New Roman" w:cs="Times New Roman" w:eastAsia="Times New Roman" w:hAnsi="Times New Roman"/>
          <w:sz w:val="18"/>
          <w:szCs w:val="18"/>
          <w:color w:val="auto"/>
        </w:rPr>
      </w:pPr>
    </w:p>
    <w:p>
      <w:pPr>
        <w:ind w:left="114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for the asset.</w:t>
      </w:r>
    </w:p>
    <w:p>
      <w:pPr>
        <w:spacing w:after="0" w:line="234" w:lineRule="exact"/>
        <w:rPr>
          <w:rFonts w:ascii="Times New Roman" w:cs="Times New Roman" w:eastAsia="Times New Roman" w:hAnsi="Times New Roman"/>
          <w:sz w:val="18"/>
          <w:szCs w:val="18"/>
          <w:color w:val="auto"/>
        </w:rPr>
      </w:pPr>
    </w:p>
    <w:p>
      <w:pPr>
        <w:ind w:left="114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is not depreciated. Depreciation of other assets in this caption is computed on a straight-line to assign a cost at their residual value during its estimated useful lives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tcPr>
          <w:p>
            <w:pPr>
              <w:spacing w:after="0"/>
              <w:rPr>
                <w:sz w:val="20"/>
                <w:szCs w:val="20"/>
                <w:color w:val="auto"/>
              </w:rPr>
            </w:pPr>
          </w:p>
        </w:tc>
        <w:tc>
          <w:tcPr>
            <w:tcW w:w="13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other construction</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Installations</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13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r>
    </w:tbl>
    <w:p>
      <w:pPr>
        <w:spacing w:after="0" w:line="252" w:lineRule="exact"/>
        <w:rPr>
          <w:sz w:val="20"/>
          <w:szCs w:val="20"/>
          <w:color w:val="auto"/>
        </w:rPr>
      </w:pPr>
    </w:p>
    <w:p>
      <w:pPr>
        <w:ind w:left="1140" w:right="80"/>
        <w:spacing w:after="0" w:line="313" w:lineRule="auto"/>
        <w:rPr>
          <w:sz w:val="20"/>
          <w:szCs w:val="20"/>
          <w:color w:val="auto"/>
        </w:rPr>
      </w:pPr>
      <w:r>
        <w:rPr>
          <w:rFonts w:ascii="Times New Roman" w:cs="Times New Roman" w:eastAsia="Times New Roman" w:hAnsi="Times New Roman"/>
          <w:sz w:val="17"/>
          <w:szCs w:val="17"/>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hanging="484"/>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seized -</w:t>
      </w:r>
    </w:p>
    <w:p>
      <w:pPr>
        <w:spacing w:after="0" w:line="279" w:lineRule="exact"/>
        <w:rPr>
          <w:rFonts w:ascii="Times New Roman" w:cs="Times New Roman" w:eastAsia="Times New Roman" w:hAnsi="Times New Roman"/>
          <w:sz w:val="18"/>
          <w:szCs w:val="18"/>
          <w:color w:val="auto"/>
        </w:rPr>
      </w:pPr>
    </w:p>
    <w:p>
      <w:pPr>
        <w:ind w:left="1140" w:right="5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seized are recorded at the lower of cost or the estimated market value obtained from valuations made by independent appraisals. Changes in market values are recorded in the consolidated income statements.</w:t>
      </w:r>
    </w:p>
    <w:p>
      <w:pPr>
        <w:spacing w:after="0" w:line="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w:t>
      </w:r>
    </w:p>
    <w:p>
      <w:pPr>
        <w:spacing w:after="0" w:line="279" w:lineRule="exact"/>
        <w:rPr>
          <w:rFonts w:ascii="Times New Roman" w:cs="Times New Roman" w:eastAsia="Times New Roman" w:hAnsi="Times New Roman"/>
          <w:sz w:val="18"/>
          <w:szCs w:val="18"/>
          <w:color w:val="auto"/>
        </w:rPr>
      </w:pPr>
    </w:p>
    <w:p>
      <w:pPr>
        <w:jc w:val="both"/>
        <w:ind w:left="114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 mainly internal development and acquired software licenses used by the Group. The software licenses acquired by the Group are capitalized on basis of the incurred cost to acquire or used a specific program. These intangible assets are amortized using the straight-line method over their estimated useful life (between 3 and 5 years).</w:t>
      </w:r>
    </w:p>
    <w:p>
      <w:pPr>
        <w:spacing w:after="0" w:line="230" w:lineRule="exact"/>
        <w:rPr>
          <w:rFonts w:ascii="Times New Roman" w:cs="Times New Roman" w:eastAsia="Times New Roman" w:hAnsi="Times New Roman"/>
          <w:sz w:val="18"/>
          <w:szCs w:val="18"/>
          <w:color w:val="auto"/>
        </w:rPr>
      </w:pPr>
    </w:p>
    <w:p>
      <w:pPr>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it includes other intangible assets identified as consequence of the acquisition AFP Unión Vida, note 2(a), principally the “Client relationships”. Such intangibles are recognized on the consolidated balance sheet at their fair values determine on the acquisition date and are amortized using the straight line method over their estimated useful life of 20 years, for the “Client relationships” and 5 years for the other identified intangible assets.</w:t>
      </w:r>
    </w:p>
    <w:p>
      <w:pPr>
        <w:spacing w:after="0" w:line="2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w:t>
      </w:r>
    </w:p>
    <w:p>
      <w:pPr>
        <w:spacing w:after="0" w:line="279" w:lineRule="exact"/>
        <w:rPr>
          <w:rFonts w:ascii="Times New Roman" w:cs="Times New Roman" w:eastAsia="Times New Roman" w:hAnsi="Times New Roman"/>
          <w:sz w:val="18"/>
          <w:szCs w:val="18"/>
          <w:color w:val="auto"/>
        </w:rPr>
      </w:pPr>
    </w:p>
    <w:p>
      <w:pPr>
        <w:ind w:left="114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the cost of acquisition of a subsidiary over the fair value of the net identifiable assets of the acquired subsidiary undertaking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37" w:lineRule="exact"/>
        <w:rPr>
          <w:rFonts w:ascii="Times New Roman" w:cs="Times New Roman" w:eastAsia="Times New Roman" w:hAnsi="Times New Roman"/>
          <w:sz w:val="18"/>
          <w:szCs w:val="18"/>
          <w:color w:val="auto"/>
        </w:rPr>
      </w:pPr>
    </w:p>
    <w:p>
      <w:pPr>
        <w:ind w:left="1140" w:right="360"/>
        <w:spacing w:after="0" w:line="21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disposals of IFRS 3, since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2005, the Group has ceased the amortization of goodwill. The accumulated amortization as of December 31, 2004 has been eliminated with a corresponding decrease in the cost of goodwill.</w:t>
      </w:r>
    </w:p>
    <w:p>
      <w:pPr>
        <w:spacing w:after="0" w:line="253"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2004, goodwill amortization was calculated using the straight-line method, with the followings estimated useful life: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ASHC and PPS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Banco de Crédito del Perú</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Corporación Novasalud Perú S.A. EPS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52" w:lineRule="exact"/>
        <w:rPr>
          <w:sz w:val="20"/>
          <w:szCs w:val="20"/>
          <w:color w:val="auto"/>
        </w:rPr>
      </w:pPr>
    </w:p>
    <w:p>
      <w:pPr>
        <w:ind w:left="1140" w:hanging="484"/>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from customers on acceptances -</w:t>
      </w:r>
    </w:p>
    <w:p>
      <w:pPr>
        <w:spacing w:after="0" w:line="279" w:lineRule="exact"/>
        <w:rPr>
          <w:rFonts w:ascii="Times New Roman" w:cs="Times New Roman" w:eastAsia="Times New Roman" w:hAnsi="Times New Roman"/>
          <w:sz w:val="18"/>
          <w:szCs w:val="18"/>
          <w:color w:val="auto"/>
        </w:rPr>
      </w:pPr>
    </w:p>
    <w:p>
      <w:pPr>
        <w:ind w:left="114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hanging="484"/>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Bonds and subordinated notes issued -</w:t>
      </w:r>
    </w:p>
    <w:p>
      <w:pPr>
        <w:spacing w:after="0" w:line="279" w:lineRule="exact"/>
        <w:rPr>
          <w:rFonts w:ascii="Times New Roman" w:cs="Times New Roman" w:eastAsia="Times New Roman" w:hAnsi="Times New Roman"/>
          <w:sz w:val="18"/>
          <w:szCs w:val="18"/>
          <w:color w:val="auto"/>
        </w:rPr>
      </w:pPr>
    </w:p>
    <w:p>
      <w:pPr>
        <w:ind w:left="114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the issuance bonds and subordinated notes are recorded at their amortized cost and the corresponding interest is recognized in the consolidated income statements on an accrual basis. Bond discounts or premiums determined at issuance are deferred and amortized over the term of the bonds using the effective interest method.</w:t>
      </w:r>
    </w:p>
    <w:p>
      <w:pPr>
        <w:spacing w:after="0" w:line="23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w:t>
      </w:r>
    </w:p>
    <w:p>
      <w:pPr>
        <w:spacing w:after="0" w:line="333" w:lineRule="exact"/>
        <w:rPr>
          <w:rFonts w:ascii="Times New Roman" w:cs="Times New Roman" w:eastAsia="Times New Roman" w:hAnsi="Times New Roman"/>
          <w:sz w:val="18"/>
          <w:szCs w:val="18"/>
          <w:color w:val="auto"/>
        </w:rPr>
      </w:pPr>
    </w:p>
    <w:p>
      <w:pPr>
        <w:ind w:left="1140" w:righ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23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Contingencies -</w:t>
      </w:r>
    </w:p>
    <w:p>
      <w:pPr>
        <w:spacing w:after="0" w:line="279" w:lineRule="exact"/>
        <w:rPr>
          <w:rFonts w:ascii="Times New Roman" w:cs="Times New Roman" w:eastAsia="Times New Roman" w:hAnsi="Times New Roman"/>
          <w:sz w:val="18"/>
          <w:szCs w:val="18"/>
          <w:color w:val="auto"/>
        </w:rPr>
      </w:pPr>
    </w:p>
    <w:p>
      <w:pPr>
        <w:ind w:left="1140" w:right="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liabilities are not recognized in the consolidated financial statements. They are disclosed in notes unless the possibility of an outflow of resources is remote.</w:t>
      </w:r>
    </w:p>
    <w:p>
      <w:pPr>
        <w:spacing w:after="0" w:line="2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and workers’ profit sharing -</w:t>
      </w:r>
    </w:p>
    <w:p>
      <w:pPr>
        <w:spacing w:after="0" w:line="279" w:lineRule="exact"/>
        <w:rPr>
          <w:rFonts w:ascii="Times New Roman" w:cs="Times New Roman" w:eastAsia="Times New Roman" w:hAnsi="Times New Roman"/>
          <w:sz w:val="18"/>
          <w:szCs w:val="18"/>
          <w:color w:val="auto"/>
        </w:rPr>
      </w:pPr>
    </w:p>
    <w:p>
      <w:pPr>
        <w:ind w:left="114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and workers’ profit sharing and are computed based on individual financial statements of Credicorp and each one of its subsidiaries.</w:t>
      </w:r>
    </w:p>
    <w:p>
      <w:pPr>
        <w:spacing w:after="0" w:line="215" w:lineRule="exact"/>
        <w:rPr>
          <w:rFonts w:ascii="Times New Roman" w:cs="Times New Roman" w:eastAsia="Times New Roman" w:hAnsi="Times New Roman"/>
          <w:sz w:val="18"/>
          <w:szCs w:val="18"/>
          <w:color w:val="auto"/>
        </w:rPr>
      </w:pPr>
    </w:p>
    <w:p>
      <w:pPr>
        <w:ind w:left="1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37" w:lineRule="exact"/>
        <w:rPr>
          <w:rFonts w:ascii="Times New Roman" w:cs="Times New Roman" w:eastAsia="Times New Roman" w:hAnsi="Times New Roman"/>
          <w:sz w:val="18"/>
          <w:szCs w:val="18"/>
          <w:color w:val="auto"/>
        </w:rPr>
      </w:pPr>
    </w:p>
    <w:p>
      <w:pPr>
        <w:ind w:left="114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34" w:lineRule="exact"/>
        <w:rPr>
          <w:sz w:val="20"/>
          <w:szCs w:val="20"/>
          <w:color w:val="auto"/>
        </w:rPr>
      </w:pPr>
    </w:p>
    <w:p>
      <w:pPr>
        <w:ind w:left="1140" w:right="40"/>
        <w:spacing w:after="0" w:line="282" w:lineRule="auto"/>
        <w:rPr>
          <w:sz w:val="20"/>
          <w:szCs w:val="20"/>
          <w:color w:val="auto"/>
        </w:rPr>
      </w:pPr>
      <w:r>
        <w:rPr>
          <w:rFonts w:ascii="Times New Roman" w:cs="Times New Roman" w:eastAsia="Times New Roman" w:hAnsi="Times New Roman"/>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hanging="484"/>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t>
      </w:r>
    </w:p>
    <w:p>
      <w:pPr>
        <w:spacing w:after="0" w:line="279" w:lineRule="exact"/>
        <w:rPr>
          <w:rFonts w:ascii="Times New Roman" w:cs="Times New Roman" w:eastAsia="Times New Roman" w:hAnsi="Times New Roman"/>
          <w:sz w:val="18"/>
          <w:szCs w:val="18"/>
          <w:color w:val="auto"/>
        </w:rPr>
      </w:pPr>
    </w:p>
    <w:p>
      <w:pPr>
        <w:ind w:left="1140" w:right="5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2006, 2005 and 2004 Credicorp has no financial instruments with dilutive effects.</w:t>
      </w:r>
    </w:p>
    <w:p>
      <w:pPr>
        <w:spacing w:after="0" w:line="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Therefore, basic and diluted earnings per share are the same for all years presented.</w:t>
      </w:r>
    </w:p>
    <w:p>
      <w:pPr>
        <w:spacing w:after="0" w:line="260"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w:t>
      </w:r>
    </w:p>
    <w:p>
      <w:pPr>
        <w:spacing w:after="0" w:line="279" w:lineRule="exact"/>
        <w:rPr>
          <w:rFonts w:ascii="Times New Roman" w:cs="Times New Roman" w:eastAsia="Times New Roman" w:hAnsi="Times New Roman"/>
          <w:sz w:val="18"/>
          <w:szCs w:val="18"/>
          <w:color w:val="auto"/>
        </w:rPr>
      </w:pPr>
    </w:p>
    <w:p>
      <w:pPr>
        <w:ind w:left="1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see note 19.</w:t>
      </w:r>
    </w:p>
    <w:p>
      <w:pPr>
        <w:spacing w:after="0" w:line="237" w:lineRule="exact"/>
        <w:rPr>
          <w:rFonts w:ascii="Times New Roman" w:cs="Times New Roman" w:eastAsia="Times New Roman" w:hAnsi="Times New Roman"/>
          <w:sz w:val="18"/>
          <w:szCs w:val="18"/>
          <w:color w:val="auto"/>
        </w:rPr>
      </w:pPr>
    </w:p>
    <w:p>
      <w:pPr>
        <w:jc w:val="both"/>
        <w:ind w:left="1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recorded expense in each year for these participations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12" w:lineRule="exact"/>
        <w:rPr>
          <w:rFonts w:ascii="Times New Roman" w:cs="Times New Roman" w:eastAsia="Times New Roman" w:hAnsi="Times New Roman"/>
          <w:sz w:val="18"/>
          <w:szCs w:val="18"/>
          <w:color w:val="auto"/>
        </w:rPr>
      </w:pPr>
    </w:p>
    <w:p>
      <w:pPr>
        <w:ind w:left="1140" w:right="7840" w:hanging="484"/>
        <w:spacing w:after="0" w:line="563"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 Trading -</w:t>
      </w:r>
    </w:p>
    <w:p>
      <w:pPr>
        <w:spacing w:after="0" w:line="1" w:lineRule="exact"/>
        <w:rPr>
          <w:rFonts w:ascii="Times New Roman" w:cs="Times New Roman" w:eastAsia="Times New Roman" w:hAnsi="Times New Roman"/>
          <w:sz w:val="18"/>
          <w:szCs w:val="18"/>
          <w:color w:val="auto"/>
        </w:rPr>
      </w:pPr>
    </w:p>
    <w:p>
      <w:pPr>
        <w:ind w:left="114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215" w:lineRule="exact"/>
        <w:rPr>
          <w:rFonts w:ascii="Times New Roman" w:cs="Times New Roman" w:eastAsia="Times New Roman" w:hAnsi="Times New Roman"/>
          <w:sz w:val="18"/>
          <w:szCs w:val="18"/>
          <w:color w:val="auto"/>
        </w:rPr>
      </w:pPr>
    </w:p>
    <w:p>
      <w:pPr>
        <w:ind w:left="114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34"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w:t>
      </w:r>
    </w:p>
    <w:p>
      <w:pPr>
        <w:spacing w:after="0" w:line="279" w:lineRule="exact"/>
        <w:rPr>
          <w:rFonts w:ascii="Times New Roman" w:cs="Times New Roman" w:eastAsia="Times New Roman" w:hAnsi="Times New Roman"/>
          <w:sz w:val="18"/>
          <w:szCs w:val="18"/>
          <w:color w:val="auto"/>
        </w:rPr>
      </w:pPr>
    </w:p>
    <w:p>
      <w:pPr>
        <w:jc w:val="both"/>
        <w:ind w:left="114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as a hedge, a derivative must be highly effective in offsetting the risk designated as being hedged. The Group documents, at the inception of the transaction, the relationship between hedging instruments and hedged items, as well as its risk management objective and strategy for undertaking the hedge transactions.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60"/>
        <w:spacing w:after="0" w:line="261" w:lineRule="auto"/>
        <w:rPr>
          <w:sz w:val="20"/>
          <w:szCs w:val="20"/>
          <w:color w:val="auto"/>
        </w:rPr>
      </w:pPr>
      <w:r>
        <w:rPr>
          <w:rFonts w:ascii="Times New Roman" w:cs="Times New Roman" w:eastAsia="Times New Roman" w:hAnsi="Times New Roman"/>
          <w:sz w:val="18"/>
          <w:szCs w:val="18"/>
          <w:color w:val="auto"/>
        </w:rPr>
        <w:t>The Group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34" w:lineRule="exact"/>
        <w:rPr>
          <w:sz w:val="20"/>
          <w:szCs w:val="20"/>
          <w:color w:val="auto"/>
        </w:rPr>
      </w:pPr>
    </w:p>
    <w:p>
      <w:pPr>
        <w:ind w:left="1140" w:right="80"/>
        <w:spacing w:after="0" w:line="261" w:lineRule="auto"/>
        <w:rPr>
          <w:sz w:val="20"/>
          <w:szCs w:val="20"/>
          <w:color w:val="auto"/>
        </w:rPr>
      </w:pPr>
      <w:r>
        <w:rPr>
          <w:rFonts w:ascii="Times New Roman" w:cs="Times New Roman" w:eastAsia="Times New Roman" w:hAnsi="Times New Roman"/>
          <w:sz w:val="18"/>
          <w:szCs w:val="18"/>
          <w:color w:val="auto"/>
        </w:rPr>
        <w:t>As of December 31, 2006, the Group has only one derivative that qualifies for hedge purposes, see note 20(d), which is an interest rate swap, classified as a cash flow hedge. The effective portion of changes in the fair value of this derivative is recognized in equity, the gain or loss relating to the ineffective portion is recognized immediately in the consolidated income statements. Amounts accumulated in equity are recycled to the income statement in the periods in which the hedged item affects profit or loss.</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Embedded derivates -</w:t>
      </w:r>
    </w:p>
    <w:p>
      <w:pPr>
        <w:spacing w:after="0" w:line="27" w:lineRule="exact"/>
        <w:rPr>
          <w:sz w:val="20"/>
          <w:szCs w:val="20"/>
          <w:color w:val="auto"/>
        </w:rPr>
      </w:pPr>
    </w:p>
    <w:p>
      <w:pPr>
        <w:ind w:left="1140" w:right="140"/>
        <w:spacing w:after="0" w:line="254" w:lineRule="auto"/>
        <w:rPr>
          <w:sz w:val="20"/>
          <w:szCs w:val="20"/>
          <w:color w:val="auto"/>
        </w:rPr>
      </w:pPr>
      <w:r>
        <w:rPr>
          <w:rFonts w:ascii="Times New Roman" w:cs="Times New Roman" w:eastAsia="Times New Roman" w:hAnsi="Times New Roman"/>
          <w:sz w:val="18"/>
          <w:szCs w:val="18"/>
          <w:color w:val="auto"/>
        </w:rPr>
        <w:t>On 2006, the Group has acquired certificates indexed to its shares price that will be settled off in cash, note 11(c). These instruments have been classified by the Group as a “financial asset at fair value though profit or loss”, because they reduce the liability exposure for the stock appreciation rights granted to the workers. These instruments have been accounted at their fair value and are presented in the caption “Other assets” of the consolidated balance sheets.</w:t>
      </w:r>
    </w:p>
    <w:p>
      <w:pPr>
        <w:spacing w:after="0" w:line="240" w:lineRule="exact"/>
        <w:rPr>
          <w:sz w:val="20"/>
          <w:szCs w:val="20"/>
          <w:color w:val="auto"/>
        </w:rPr>
      </w:pPr>
    </w:p>
    <w:p>
      <w:pPr>
        <w:ind w:left="1140" w:hanging="484"/>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reporting -</w:t>
      </w:r>
    </w:p>
    <w:p>
      <w:pPr>
        <w:spacing w:after="0" w:line="279" w:lineRule="exact"/>
        <w:rPr>
          <w:rFonts w:ascii="Times New Roman" w:cs="Times New Roman" w:eastAsia="Times New Roman" w:hAnsi="Times New Roman"/>
          <w:sz w:val="18"/>
          <w:szCs w:val="18"/>
          <w:color w:val="auto"/>
        </w:rPr>
      </w:pPr>
    </w:p>
    <w:p>
      <w:pPr>
        <w:ind w:left="114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considers business segment as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25.</w:t>
      </w:r>
    </w:p>
    <w:p>
      <w:pPr>
        <w:spacing w:after="0" w:line="23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activities, management of investment and pension funds -</w:t>
      </w:r>
    </w:p>
    <w:p>
      <w:pPr>
        <w:spacing w:after="0" w:line="279" w:lineRule="exact"/>
        <w:rPr>
          <w:rFonts w:ascii="Times New Roman" w:cs="Times New Roman" w:eastAsia="Times New Roman" w:hAnsi="Times New Roman"/>
          <w:sz w:val="18"/>
          <w:szCs w:val="18"/>
          <w:color w:val="auto"/>
        </w:rPr>
      </w:pPr>
    </w:p>
    <w:p>
      <w:pPr>
        <w:jc w:val="both"/>
        <w:ind w:left="1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w:t>
      </w:r>
    </w:p>
    <w:p>
      <w:pPr>
        <w:spacing w:after="0" w:line="19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commissions generated for these activities are included on the caption “Other income” in the consolidated income statements, note 26.</w:t>
      </w:r>
    </w:p>
    <w:p>
      <w:pPr>
        <w:spacing w:after="0" w:line="2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repurchase agreements -</w:t>
      </w:r>
    </w:p>
    <w:p>
      <w:pPr>
        <w:spacing w:after="0" w:line="279" w:lineRule="exact"/>
        <w:rPr>
          <w:sz w:val="20"/>
          <w:szCs w:val="20"/>
          <w:color w:val="auto"/>
        </w:rPr>
      </w:pPr>
    </w:p>
    <w:p>
      <w:pPr>
        <w:ind w:left="1140" w:right="20"/>
        <w:spacing w:after="0" w:line="266" w:lineRule="auto"/>
        <w:rPr>
          <w:sz w:val="20"/>
          <w:szCs w:val="20"/>
          <w:color w:val="auto"/>
        </w:rPr>
      </w:pPr>
      <w:r>
        <w:rPr>
          <w:rFonts w:ascii="Times New Roman" w:cs="Times New Roman" w:eastAsia="Times New Roman" w:hAnsi="Times New Roman"/>
          <w:sz w:val="18"/>
          <w:szCs w:val="18"/>
          <w:color w:val="auto"/>
        </w:rPr>
        <w:t>Securities sold subject to repurchase agreements (‘Repos’) are presented as pledged assets when the transferee has the right to sell or repledge the collateral; the counterparty liability is included in the caption “Due to banks and correspondents”, or “Deposits and obligations”, as appropriate, in the consolidated balance sheet.</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9" w:right="2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140"/>
        <w:spacing w:after="0" w:line="282" w:lineRule="auto"/>
        <w:rPr>
          <w:sz w:val="20"/>
          <w:szCs w:val="20"/>
          <w:color w:val="auto"/>
        </w:rPr>
      </w:pPr>
      <w:r>
        <w:rPr>
          <w:rFonts w:ascii="Times New Roman" w:cs="Times New Roman" w:eastAsia="Times New Roman" w:hAnsi="Times New Roman"/>
          <w:sz w:val="18"/>
          <w:szCs w:val="18"/>
          <w:color w:val="auto"/>
        </w:rPr>
        <w:t>The difference between sale and repurchase price is treated as interest and accrued over the life of the agreements using the effective interest method.</w:t>
      </w:r>
    </w:p>
    <w:p>
      <w:pPr>
        <w:spacing w:after="0" w:line="216" w:lineRule="exact"/>
        <w:rPr>
          <w:sz w:val="20"/>
          <w:szCs w:val="20"/>
          <w:color w:val="auto"/>
        </w:rPr>
      </w:pPr>
    </w:p>
    <w:p>
      <w:pPr>
        <w:ind w:left="1140" w:hanging="484"/>
        <w:spacing w:after="0"/>
        <w:tabs>
          <w:tab w:leader="none" w:pos="11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with reinsurers and coinsurers -</w:t>
      </w:r>
    </w:p>
    <w:p>
      <w:pPr>
        <w:spacing w:after="0" w:line="279" w:lineRule="exact"/>
        <w:rPr>
          <w:rFonts w:ascii="Times New Roman" w:cs="Times New Roman" w:eastAsia="Times New Roman" w:hAnsi="Times New Roman"/>
          <w:sz w:val="18"/>
          <w:szCs w:val="18"/>
          <w:color w:val="auto"/>
        </w:rPr>
      </w:pPr>
    </w:p>
    <w:p>
      <w:pPr>
        <w:ind w:left="114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normal course of business, PPS, a subsidiary of Credicorp, is dedicated to insurance activities and cedes reinsurance to other insurance and reinsurance companies to distribute the risks of its insurance contracts and to limit the potential losses that might arise from the coverages. PPS is ultimately responsible for the payment of benefit payments to the policy holders if the reinsurer is not capable of fulfilling said obligation.</w:t>
      </w:r>
    </w:p>
    <w:p>
      <w:pPr>
        <w:spacing w:after="0" w:line="234" w:lineRule="exact"/>
        <w:rPr>
          <w:rFonts w:ascii="Times New Roman" w:cs="Times New Roman" w:eastAsia="Times New Roman" w:hAnsi="Times New Roman"/>
          <w:sz w:val="18"/>
          <w:szCs w:val="18"/>
          <w:color w:val="auto"/>
        </w:rPr>
      </w:pPr>
    </w:p>
    <w:p>
      <w:pPr>
        <w:ind w:left="114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and coinsurance include quota share of the excess of loss and facultative (voluntary) types of contracts. The amounts recoverable from the reinsurers and coinsurers are estimated in a manner consistent with the liabilities of the related claims and are presented as a component of reinsured and coinsured assets.</w:t>
      </w:r>
    </w:p>
    <w:p>
      <w:pPr>
        <w:spacing w:after="0" w:line="230" w:lineRule="exact"/>
        <w:rPr>
          <w:rFonts w:ascii="Times New Roman" w:cs="Times New Roman" w:eastAsia="Times New Roman" w:hAnsi="Times New Roman"/>
          <w:sz w:val="18"/>
          <w:szCs w:val="18"/>
          <w:color w:val="auto"/>
        </w:rPr>
      </w:pPr>
    </w:p>
    <w:p>
      <w:pPr>
        <w:ind w:left="114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receivable from reinsurers and coinsurers originate from the incurred claims in which PPS assumes the responsibility for the indemnity in favor of the policyholder for the ceded reinsurance and coinsurance contracts; these accounts receivable are recognized based on contracts or coverage notes (with reinsurers) and clauses of coinsurance.</w:t>
      </w:r>
    </w:p>
    <w:p>
      <w:pPr>
        <w:spacing w:after="0" w:line="230" w:lineRule="exact"/>
        <w:rPr>
          <w:rFonts w:ascii="Times New Roman" w:cs="Times New Roman" w:eastAsia="Times New Roman" w:hAnsi="Times New Roman"/>
          <w:sz w:val="18"/>
          <w:szCs w:val="18"/>
          <w:color w:val="auto"/>
        </w:rPr>
      </w:pPr>
    </w:p>
    <w:p>
      <w:pPr>
        <w:ind w:left="114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bad debt for accounts receivable from reinsurance and coinsurance contracts is determined on the basis of a specific evaluation of the claims liquidated and paid by PPS that are pending reimbursement from the reinsurers and coinsurers.</w:t>
      </w:r>
    </w:p>
    <w:p>
      <w:pPr>
        <w:spacing w:after="0" w:line="215" w:lineRule="exact"/>
        <w:rPr>
          <w:rFonts w:ascii="Times New Roman" w:cs="Times New Roman" w:eastAsia="Times New Roman" w:hAnsi="Times New Roman"/>
          <w:sz w:val="18"/>
          <w:szCs w:val="18"/>
          <w:color w:val="auto"/>
        </w:rPr>
      </w:pPr>
    </w:p>
    <w:p>
      <w:pPr>
        <w:ind w:left="114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payable to reinsurers and coinsurers are based on the evaluation of the assumed risk, which is determined by PPS (reinsurance) and also includes the policyholder’s consent; and are based on contracts or notes of coverage with the reinsurer and/or clauses of ceded coinsurance.</w:t>
      </w:r>
    </w:p>
    <w:p>
      <w:pPr>
        <w:spacing w:after="0" w:line="230" w:lineRule="exact"/>
        <w:rPr>
          <w:rFonts w:ascii="Times New Roman" w:cs="Times New Roman" w:eastAsia="Times New Roman" w:hAnsi="Times New Roman"/>
          <w:sz w:val="18"/>
          <w:szCs w:val="18"/>
          <w:color w:val="auto"/>
        </w:rPr>
      </w:pPr>
    </w:p>
    <w:p>
      <w:pPr>
        <w:ind w:left="114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originating from accepted reinsurance contracts and executed clauses of coinsurance are recognized each time a note of collection is received from reinsurance companies.</w:t>
      </w:r>
    </w:p>
    <w:p>
      <w:pPr>
        <w:spacing w:after="0" w:line="2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t>
      </w:r>
    </w:p>
    <w:p>
      <w:pPr>
        <w:spacing w:after="0" w:line="279"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For the purposes of the consolidated cash flow statement, cash and cash equivalents comprise balances of less than three months from the date of acquisition, including cash and balances with central banks, overnight deposits and amounts due from banks.</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hanging="484"/>
        <w:spacing w:after="0"/>
        <w:tabs>
          <w:tab w:leader="none" w:pos="11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Reclassifications -</w:t>
      </w:r>
    </w:p>
    <w:p>
      <w:pPr>
        <w:spacing w:after="0" w:line="279" w:lineRule="exact"/>
        <w:rPr>
          <w:rFonts w:ascii="Times New Roman" w:cs="Times New Roman" w:eastAsia="Times New Roman" w:hAnsi="Times New Roman"/>
          <w:sz w:val="18"/>
          <w:szCs w:val="18"/>
          <w:color w:val="auto"/>
        </w:rPr>
      </w:pPr>
    </w:p>
    <w:p>
      <w:pPr>
        <w:ind w:left="114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the comparative figures have been reclassified to conform with the current year presentation. The main reclassifications to the report as of December 31, 2006 are the following:</w:t>
      </w:r>
    </w:p>
    <w:p>
      <w:pPr>
        <w:spacing w:after="0" w:line="215" w:lineRule="exact"/>
        <w:rPr>
          <w:rFonts w:ascii="Times New Roman" w:cs="Times New Roman" w:eastAsia="Times New Roman" w:hAnsi="Times New Roman"/>
          <w:sz w:val="18"/>
          <w:szCs w:val="18"/>
          <w:color w:val="auto"/>
        </w:rPr>
      </w:pPr>
    </w:p>
    <w:p>
      <w:pPr>
        <w:ind w:left="1460" w:right="140" w:hanging="318"/>
        <w:spacing w:after="0" w:line="266" w:lineRule="auto"/>
        <w:tabs>
          <w:tab w:leader="none" w:pos="14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2005, the intangibles assets and goodwill were shown as part of the caption “Other assets” on the consolidated balance sheet. As of December 31, 2006, these concepts are shown separately of the caption “Other assets” due to the increase of the balances, due to the purchase of AFP Unión Vida S.A., note 2(a).</w:t>
      </w:r>
    </w:p>
    <w:p>
      <w:pPr>
        <w:spacing w:after="0" w:line="230" w:lineRule="exact"/>
        <w:rPr>
          <w:rFonts w:ascii="Times New Roman" w:cs="Times New Roman" w:eastAsia="Times New Roman" w:hAnsi="Times New Roman"/>
          <w:sz w:val="18"/>
          <w:szCs w:val="18"/>
          <w:color w:val="auto"/>
        </w:rPr>
      </w:pPr>
    </w:p>
    <w:p>
      <w:pPr>
        <w:ind w:left="1460" w:right="180" w:hanging="318"/>
        <w:spacing w:after="0" w:line="266" w:lineRule="auto"/>
        <w:tabs>
          <w:tab w:leader="none" w:pos="14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2005, the borrowed fund were presented in the consolidated balance sheet together with due to banks and correspondents. Since 2006, these concepts have been shown separately for a better presentation of the long term borrowed funds of the Group.</w:t>
      </w:r>
    </w:p>
    <w:p>
      <w:pPr>
        <w:spacing w:after="0" w:line="2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Management considers that these reclassifications result in a better presentation of the Group activities.</w:t>
      </w:r>
    </w:p>
    <w:p>
      <w:pPr>
        <w:spacing w:after="0" w:line="279"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(ab)</w:t>
        <w:tab/>
        <w:t>Recently issued International Financial Reporting Standards but not yet effective -</w:t>
      </w:r>
    </w:p>
    <w:p>
      <w:pPr>
        <w:spacing w:after="0" w:line="283" w:lineRule="exact"/>
        <w:rPr>
          <w:sz w:val="20"/>
          <w:szCs w:val="20"/>
          <w:color w:val="auto"/>
        </w:rPr>
      </w:pPr>
    </w:p>
    <w:p>
      <w:pPr>
        <w:ind w:left="1140" w:right="80"/>
        <w:spacing w:after="0" w:line="236" w:lineRule="auto"/>
        <w:rPr>
          <w:sz w:val="20"/>
          <w:szCs w:val="20"/>
          <w:color w:val="auto"/>
        </w:rPr>
      </w:pPr>
      <w:r>
        <w:rPr>
          <w:rFonts w:ascii="Times New Roman" w:cs="Times New Roman" w:eastAsia="Times New Roman" w:hAnsi="Times New Roman"/>
          <w:sz w:val="17"/>
          <w:szCs w:val="17"/>
          <w:color w:val="auto"/>
        </w:rPr>
        <w:t>The Group has chosen not to early adopt the IFRS 7 - Financial Instruments - Disclosures, effective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 2007. The objective of this IFRS is to provide disclosures in the financial statements that enable users to evaluate the significance of financial instruments for the entity’s financial position and performance; to understand the nature and extent of risk arising from financial instruments to which the entity is</w:t>
      </w:r>
    </w:p>
    <w:p>
      <w:pPr>
        <w:spacing w:after="0" w:line="2" w:lineRule="exact"/>
        <w:rPr>
          <w:sz w:val="20"/>
          <w:szCs w:val="20"/>
          <w:color w:val="auto"/>
        </w:rPr>
      </w:pPr>
    </w:p>
    <w:p>
      <w:pPr>
        <w:ind w:left="1140" w:right="360"/>
        <w:spacing w:after="0" w:line="217" w:lineRule="auto"/>
        <w:rPr>
          <w:sz w:val="20"/>
          <w:szCs w:val="20"/>
          <w:color w:val="auto"/>
        </w:rPr>
      </w:pPr>
      <w:r>
        <w:rPr>
          <w:rFonts w:ascii="Times New Roman" w:cs="Times New Roman" w:eastAsia="Times New Roman" w:hAnsi="Times New Roman"/>
          <w:sz w:val="18"/>
          <w:szCs w:val="18"/>
          <w:color w:val="auto"/>
        </w:rPr>
        <w:t>exposed and how the entity manages those risks. The Group will adopt this standard on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 2007. Because this standard does not modify any criteria of recognition or measurement, it will not have any effect on the net income and the equity of Credicorp and its Subsidiaries.</w:t>
      </w:r>
    </w:p>
    <w:p>
      <w:pPr>
        <w:spacing w:after="0" w:line="254" w:lineRule="exact"/>
        <w:rPr>
          <w:sz w:val="20"/>
          <w:szCs w:val="20"/>
          <w:color w:val="auto"/>
        </w:r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Also, the Group has decided not adopted the following standards and interpretations that have been issued but not have been effective as December 31, 2006.</w:t>
      </w:r>
    </w:p>
    <w:p>
      <w:pPr>
        <w:spacing w:after="0" w:line="200" w:lineRule="exact"/>
        <w:rPr>
          <w:sz w:val="20"/>
          <w:szCs w:val="20"/>
          <w:color w:val="auto"/>
        </w:rPr>
      </w:pPr>
    </w:p>
    <w:p>
      <w:pPr>
        <w:ind w:left="1460" w:hanging="318"/>
        <w:spacing w:after="0"/>
        <w:tabs>
          <w:tab w:leader="none" w:pos="1460" w:val="left"/>
        </w:tabs>
        <w:numPr>
          <w:ilvl w:val="0"/>
          <w:numId w:val="1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IFRS 8, Operating Segments (effective for accounting periods beginning on or after January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 2009).</w:t>
      </w:r>
    </w:p>
    <w:p>
      <w:pPr>
        <w:spacing w:after="0" w:line="126" w:lineRule="exact"/>
        <w:rPr>
          <w:rFonts w:ascii="Times New Roman" w:cs="Times New Roman" w:eastAsia="Times New Roman" w:hAnsi="Times New Roman"/>
          <w:sz w:val="36"/>
          <w:szCs w:val="36"/>
          <w:color w:val="auto"/>
          <w:vertAlign w:val="superscript"/>
        </w:rPr>
      </w:pPr>
    </w:p>
    <w:p>
      <w:pPr>
        <w:ind w:left="1460" w:hanging="318"/>
        <w:spacing w:after="0"/>
        <w:tabs>
          <w:tab w:leader="none" w:pos="1460" w:val="left"/>
        </w:tabs>
        <w:numPr>
          <w:ilvl w:val="0"/>
          <w:numId w:val="1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IFRIC 7, Applying the Restatement Approach under IAS 29 (effective for annual periods beginning on or after March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 2006).</w:t>
      </w:r>
    </w:p>
    <w:p>
      <w:pPr>
        <w:spacing w:after="0" w:line="126" w:lineRule="exact"/>
        <w:rPr>
          <w:rFonts w:ascii="Times New Roman" w:cs="Times New Roman" w:eastAsia="Times New Roman" w:hAnsi="Times New Roman"/>
          <w:sz w:val="36"/>
          <w:szCs w:val="36"/>
          <w:color w:val="auto"/>
          <w:vertAlign w:val="superscript"/>
        </w:rPr>
      </w:pPr>
    </w:p>
    <w:p>
      <w:pPr>
        <w:ind w:left="1460" w:hanging="318"/>
        <w:spacing w:after="0"/>
        <w:tabs>
          <w:tab w:leader="none" w:pos="1460" w:val="left"/>
        </w:tabs>
        <w:numPr>
          <w:ilvl w:val="0"/>
          <w:numId w:val="1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IFRIC 8, Scope of IFRS 2 (effective for annual periods beginning on or after May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 2006).</w:t>
      </w:r>
    </w:p>
    <w:p>
      <w:pPr>
        <w:spacing w:after="0" w:line="126" w:lineRule="exact"/>
        <w:rPr>
          <w:rFonts w:ascii="Times New Roman" w:cs="Times New Roman" w:eastAsia="Times New Roman" w:hAnsi="Times New Roman"/>
          <w:sz w:val="36"/>
          <w:szCs w:val="36"/>
          <w:color w:val="auto"/>
          <w:vertAlign w:val="superscript"/>
        </w:rPr>
      </w:pPr>
    </w:p>
    <w:p>
      <w:pPr>
        <w:ind w:left="1460" w:hanging="318"/>
        <w:spacing w:after="0"/>
        <w:tabs>
          <w:tab w:leader="none" w:pos="1460" w:val="left"/>
        </w:tabs>
        <w:numPr>
          <w:ilvl w:val="0"/>
          <w:numId w:val="14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IFRIC 9, Reassessment of Embedded Derivatives (effective for annual periods beginning on or after June 1</w:t>
      </w:r>
      <w:r>
        <w:rPr>
          <w:rFonts w:ascii="Times New Roman" w:cs="Times New Roman" w:eastAsia="Times New Roman" w:hAnsi="Times New Roman"/>
          <w:sz w:val="30"/>
          <w:szCs w:val="30"/>
          <w:color w:val="auto"/>
          <w:vertAlign w:val="superscript"/>
        </w:rPr>
        <w:t>st</w:t>
      </w:r>
      <w:r>
        <w:rPr>
          <w:rFonts w:ascii="Times New Roman" w:cs="Times New Roman" w:eastAsia="Times New Roman" w:hAnsi="Times New Roman"/>
          <w:sz w:val="18"/>
          <w:szCs w:val="18"/>
          <w:color w:val="auto"/>
        </w:rPr>
        <w:t xml:space="preserve"> , 2006).</w:t>
      </w:r>
    </w:p>
    <w:p>
      <w:pPr>
        <w:spacing w:after="0" w:line="145" w:lineRule="exact"/>
        <w:rPr>
          <w:rFonts w:ascii="Times New Roman" w:cs="Times New Roman" w:eastAsia="Times New Roman" w:hAnsi="Times New Roman"/>
          <w:sz w:val="36"/>
          <w:szCs w:val="36"/>
          <w:color w:val="auto"/>
          <w:vertAlign w:val="superscript"/>
        </w:rPr>
      </w:pPr>
    </w:p>
    <w:p>
      <w:pPr>
        <w:jc w:val="both"/>
        <w:ind w:left="1140" w:right="680" w:firstLine="2"/>
        <w:spacing w:after="0" w:line="418" w:lineRule="auto"/>
        <w:tabs>
          <w:tab w:leader="none" w:pos="1464" w:val="left"/>
        </w:tabs>
        <w:numPr>
          <w:ilvl w:val="0"/>
          <w:numId w:val="14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IFRIC 11 and IFRS 2 - Group Treasury Share Transactions (effective for annual periods beginning on or after March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 2007). The Group is in process of assessing the impact, if any, that the application of these standards may have on their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79"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due from banks</w:t>
      </w:r>
    </w:p>
    <w:p>
      <w:pPr>
        <w:spacing w:after="0" w:line="283"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clearing</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470,584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361,490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Deposits in Peruvian Central Bank - BCRP</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1,405,853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1,599,153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Deposits in banks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853,203</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693,601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2,729,640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2,654,244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6,571</w:t>
            </w:r>
          </w:p>
        </w:tc>
      </w:tr>
      <w:tr>
        <w:trPr>
          <w:trHeight w:val="237"/>
        </w:trPr>
        <w:tc>
          <w:tcPr>
            <w:tcW w:w="83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2,733,530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2,660,815</w:t>
            </w:r>
          </w:p>
        </w:tc>
        <w:tc>
          <w:tcPr>
            <w:tcW w:w="100" w:type="dxa"/>
            <w:vAlign w:val="bottom"/>
            <w:tcBorders>
              <w:top w:val="single" w:sz="8" w:color="CCFFCC"/>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right="40" w:hanging="484"/>
        <w:spacing w:after="0" w:line="255" w:lineRule="auto"/>
        <w:tabs>
          <w:tab w:leader="none" w:pos="11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cash and due from banks balances include approximately US$1,675.1 and US$1,288.9 million, respectively, mainly from Banco de Crédito del Perú, which represent the legal reserve that the Peruvian banks must maintain for its obligations with the public. These funds are deposited in the vaults of the Bank and in the BCRP, and are within the limits established by prevailing legislation. In addition, as of December 31, 2006, the cash and due from banks caption includes US$70.0 million and S/120.0 (equivalent to US$37.5 million), corresponds to overnight operations deposited in the BCRP, these operations earned interest at a nominal rate of 4.97 percent and an effective rate of 3.75 percent and had a 4 day maturity (approximately US$450.0 million, interest at an annual nominal rate of 3.97 percent and 3 day maturity as of December 31, 2005).</w:t>
      </w:r>
    </w:p>
    <w:p>
      <w:pPr>
        <w:spacing w:after="0" w:line="243" w:lineRule="exact"/>
        <w:rPr>
          <w:sz w:val="20"/>
          <w:szCs w:val="20"/>
          <w:color w:val="auto"/>
        </w:rPr>
      </w:pPr>
    </w:p>
    <w:p>
      <w:pPr>
        <w:ind w:left="1140" w:right="80"/>
        <w:spacing w:after="0" w:line="261" w:lineRule="auto"/>
        <w:rPr>
          <w:sz w:val="20"/>
          <w:szCs w:val="20"/>
          <w:color w:val="auto"/>
        </w:rPr>
      </w:pPr>
      <w:r>
        <w:rPr>
          <w:rFonts w:ascii="Times New Roman" w:cs="Times New Roman" w:eastAsia="Times New Roman" w:hAnsi="Times New Roman"/>
          <w:sz w:val="18"/>
          <w:szCs w:val="18"/>
          <w:color w:val="auto"/>
        </w:rPr>
        <w:t>Reserve funds kept in BCRP do not earn interest, except for the part of the demandable reserve in foreign currency that exceeds the minimum legal reserve. As of December 31, 2006, this excess amounts to approximately US$1,068.9 million and earns interest in U.S. Dollars at an annual average rate of 2.67 percent (approximately US$975.8 million and earned interest in U.S. Dollars at an annual average rate of 2.25 percent as of December 31, 2005).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79"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securities</w:t>
      </w:r>
    </w:p>
    <w:p>
      <w:pPr>
        <w:spacing w:after="0" w:line="323" w:lineRule="exact"/>
        <w:rPr>
          <w:rFonts w:ascii="Times New Roman" w:cs="Times New Roman" w:eastAsia="Times New Roman" w:hAnsi="Times New Roman"/>
          <w:sz w:val="18"/>
          <w:szCs w:val="18"/>
          <w:b w:val="1"/>
          <w:bCs w:val="1"/>
          <w:color w:val="auto"/>
        </w:rPr>
      </w:pPr>
    </w:p>
    <w:p>
      <w:pPr>
        <w:ind w:left="720" w:hanging="226"/>
        <w:spacing w:after="0"/>
        <w:tabs>
          <w:tab w:leader="none" w:pos="7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Listed equity securities (b)</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45,487</w:t>
            </w:r>
          </w:p>
        </w:tc>
      </w:tr>
      <w:tr>
        <w:trPr>
          <w:trHeight w:val="237"/>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Bonds and similar instruments -</w:t>
            </w: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Participation in mutual funds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leasing bonds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8,442</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Bank certificates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Peruvian treasury bonds (c)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5,361</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64"/>
        </w:trPr>
        <w:tc>
          <w:tcPr>
            <w:tcW w:w="834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100" w:type="dxa"/>
            <w:vAlign w:val="bottom"/>
            <w:tcBorders>
              <w:top w:val="single" w:sz="8" w:color="CCFFCC"/>
            </w:tcBorders>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60,624</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60,785</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1140" w:right="280" w:hanging="484"/>
        <w:spacing w:after="0" w:line="266" w:lineRule="auto"/>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 mainly to shares listed in the Peruvian stock market, which included US$12.5, US$3.5 and US$3.2 million of the companies Refinería la Pampilla S.A., Cementos Lima S.A. and Energía del Sur S.A., respectively (as of December 31, 2005, included approximately US$25.9, US$9.2 and US$3.2 million of Energia del Sur S.A.A., Cementos Lima S.A., and Mineras del Sur S.A., respectively).</w:t>
      </w:r>
    </w:p>
    <w:p>
      <w:pPr>
        <w:spacing w:after="0" w:line="230" w:lineRule="exact"/>
        <w:rPr>
          <w:rFonts w:ascii="Times New Roman" w:cs="Times New Roman" w:eastAsia="Times New Roman" w:hAnsi="Times New Roman"/>
          <w:sz w:val="18"/>
          <w:szCs w:val="18"/>
          <w:color w:val="auto"/>
        </w:rPr>
      </w:pPr>
    </w:p>
    <w:p>
      <w:pPr>
        <w:ind w:left="1140" w:right="80" w:hanging="484"/>
        <w:spacing w:after="0" w:line="261" w:lineRule="auto"/>
        <w:tabs>
          <w:tab w:leader="none" w:pos="11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Peruvian treasury bonds represent sovereign debt issued in Peruvian currency (S/) by the Economic and Financial Ministry of Peru; they have an active market quotation in the Peruvian market and are traded daily with third parties. As of December 31, 2005, these bonds accrued interest at annual rates that ranged between 1.53 and 5.96 percent and have maturities between August 2006 and January 2035. During 2006, the bonds held as of December 31, 2005 were totally sold.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79"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available-for-sale</w:t>
      </w:r>
    </w:p>
    <w:p>
      <w:pPr>
        <w:spacing w:after="0" w:line="283" w:lineRule="exact"/>
        <w:rPr>
          <w:rFonts w:ascii="Times New Roman" w:cs="Times New Roman" w:eastAsia="Times New Roman" w:hAnsi="Times New Roman"/>
          <w:sz w:val="18"/>
          <w:szCs w:val="18"/>
          <w:b w:val="1"/>
          <w:bCs w:val="1"/>
          <w:color w:val="auto"/>
        </w:rPr>
      </w:pPr>
    </w:p>
    <w:p>
      <w:pPr>
        <w:ind w:left="1140" w:hanging="484"/>
        <w:spacing w:after="0"/>
        <w:tabs>
          <w:tab w:leader="none" w:pos="11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 gross</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 gross</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0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market</w:t>
            </w:r>
          </w:p>
        </w:tc>
        <w:tc>
          <w:tcPr>
            <w:tcW w:w="10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Losses (b)</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Losses (b)</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US$(000)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US$(000)</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US$(000)</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US$(000)</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US$(000)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US$(000)</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US$(000)</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US$(000)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maturity -</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BCRP deposit certificates (d)</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1,276,503</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1,277,613</w:t>
            </w:r>
          </w:p>
        </w:tc>
        <w:tc>
          <w:tcPr>
            <w:tcW w:w="1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1,148,303</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(2,672)</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1,145,815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Corporate, leasing and subordinated bonds (e)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845,644</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858,234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599,191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9,835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(5,133)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Government treasury bonds (f)</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476,036</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59,564</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(1,620)</w:t>
            </w: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533,980</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365,820</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22,080</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(746)</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387,154</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 Sponsored Enterprises (f)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153,867</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(1,299)</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154,229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177,925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Participation in mutual funds</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86,422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9,920</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96,238</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82,038</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87,347</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Bonds from international financial institutions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64,578</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64,643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112,184</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112,184</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Participation in RAL’s funds (h)</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51,204</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51,204</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56,073</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56,073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mutual funds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43,152</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49,237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Negotiable deposit certificates</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47,225</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1,104</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48,329</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36,872</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Central Banks of Bolivia deposit certificates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27,833</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28,021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Commercial papers</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15,741</w:t>
            </w: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5,519</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28,795</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13,818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3,115,106</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97,574</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(6,416)</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3,206,264</w:t>
            </w:r>
          </w:p>
        </w:tc>
        <w:tc>
          <w:tcPr>
            <w:tcW w:w="1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2,600,274</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43,003</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(11,230)</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2,632,047</w:t>
            </w: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Listed securities (j)</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78,649</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112,025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190,439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52,741</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87,141</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Non-listed securities</w:t>
            </w:r>
          </w:p>
        </w:tc>
        <w:tc>
          <w:tcPr>
            <w:tcW w:w="9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17,837</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7,964</w:t>
            </w: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25,744</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19,477</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3,972</w:t>
            </w:r>
          </w:p>
        </w:tc>
        <w:tc>
          <w:tcPr>
            <w:tcW w:w="9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23,036</w:t>
            </w:r>
          </w:p>
        </w:tc>
        <w:tc>
          <w:tcPr>
            <w:tcW w:w="0" w:type="dxa"/>
            <w:vAlign w:val="bottom"/>
          </w:tcPr>
          <w:p>
            <w:pPr>
              <w:spacing w:after="0"/>
              <w:rPr>
                <w:sz w:val="1"/>
                <w:szCs w:val="1"/>
                <w:color w:val="auto"/>
              </w:rPr>
            </w:pPr>
          </w:p>
        </w:tc>
      </w:tr>
      <w:tr>
        <w:trPr>
          <w:trHeight w:val="20"/>
        </w:trPr>
        <w:tc>
          <w:tcPr>
            <w:tcW w:w="35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216,183</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72,218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91,113</w:t>
            </w:r>
          </w:p>
        </w:tc>
        <w:tc>
          <w:tcPr>
            <w:tcW w:w="1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40" w:type="dxa"/>
            <w:vAlign w:val="bottom"/>
            <w:shd w:val="clear" w:color="auto" w:fill="CCFFCC"/>
          </w:tcPr>
          <w:p>
            <w:pPr>
              <w:spacing w:after="0"/>
              <w:rPr>
                <w:sz w:val="24"/>
                <w:szCs w:val="24"/>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3,211,592</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217,563</w:t>
            </w:r>
          </w:p>
        </w:tc>
        <w:tc>
          <w:tcPr>
            <w:tcW w:w="9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(6,708)</w:t>
            </w: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3,422,447</w:t>
            </w:r>
          </w:p>
        </w:tc>
        <w:tc>
          <w:tcPr>
            <w:tcW w:w="120" w:type="dxa"/>
            <w:vAlign w:val="bottom"/>
            <w:shd w:val="clear" w:color="auto" w:fill="CCFFCC"/>
          </w:tcPr>
          <w:p>
            <w:pPr>
              <w:spacing w:after="0"/>
              <w:rPr>
                <w:sz w:val="24"/>
                <w:szCs w:val="24"/>
                <w:color w:val="auto"/>
              </w:rPr>
            </w:pPr>
          </w:p>
        </w:tc>
        <w:tc>
          <w:tcPr>
            <w:tcW w:w="10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2,672,492</w:t>
            </w:r>
          </w:p>
        </w:tc>
        <w:tc>
          <w:tcPr>
            <w:tcW w:w="9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134,116</w:t>
            </w:r>
          </w:p>
        </w:tc>
        <w:tc>
          <w:tcPr>
            <w:tcW w:w="9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(11,979)</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2,794,629</w:t>
            </w:r>
          </w:p>
        </w:tc>
        <w:tc>
          <w:tcPr>
            <w:tcW w:w="12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80" w:type="dxa"/>
            <w:vAlign w:val="bottom"/>
            <w:tcBorders>
              <w:top w:val="single" w:sz="8" w:color="CCFFC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28,264</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60" w:type="dxa"/>
            <w:vAlign w:val="bottom"/>
            <w:tcBorders>
              <w:top w:val="single" w:sz="8" w:color="CCFFC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16,076</w:t>
            </w:r>
          </w:p>
        </w:tc>
        <w:tc>
          <w:tcPr>
            <w:tcW w:w="0" w:type="dxa"/>
            <w:vAlign w:val="bottom"/>
          </w:tcPr>
          <w:p>
            <w:pPr>
              <w:spacing w:after="0"/>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3,450,711</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F-33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220" w:hanging="484"/>
        <w:spacing w:after="0" w:line="261" w:lineRule="auto"/>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determinate that the unrealized losses as of December 31, 2006 and 2005, are originated by the variation of the interest rates and not for changes in the risk classification of the investment. Moreover, the Group has decided and has the capacity to maintain these investments until the recovery of their fair value which can occur at their maturity; therefore, the Group has concluded that no impairment exists on the value of these investments.</w:t>
      </w:r>
    </w:p>
    <w:p>
      <w:pPr>
        <w:spacing w:after="0" w:line="234" w:lineRule="exact"/>
        <w:rPr>
          <w:rFonts w:ascii="Times New Roman" w:cs="Times New Roman" w:eastAsia="Times New Roman" w:hAnsi="Times New Roman"/>
          <w:sz w:val="18"/>
          <w:szCs w:val="18"/>
          <w:color w:val="auto"/>
        </w:rPr>
      </w:pPr>
    </w:p>
    <w:p>
      <w:pPr>
        <w:ind w:left="114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and the gross unrealized losses of investment available-for-sale that are not considered as a permanent loss, classified by the date of such losses: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4707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128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r>
      <w:tr>
        <w:trPr>
          <w:trHeight w:val="2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unrealized loss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571,882</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214,752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786,634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6,443</w:t>
            </w: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573,839</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789,384</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6,708</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21"/>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56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7"/>
        </w:trPr>
        <w:tc>
          <w:tcPr>
            <w:tcW w:w="128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r>
      <w:tr>
        <w:trPr>
          <w:trHeight w:val="23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unrealized loss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1,474,665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96,092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1,570,757</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11,230</w:t>
            </w:r>
          </w:p>
        </w:tc>
      </w:tr>
      <w:tr>
        <w:trPr>
          <w:trHeight w:val="270"/>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1,478,008</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97,588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1,575,596</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11,979</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-2117725</wp:posOffset>
            </wp:positionV>
            <wp:extent cx="72466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-1783080</wp:posOffset>
            </wp:positionV>
            <wp:extent cx="7246620" cy="180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-513715</wp:posOffset>
            </wp:positionV>
            <wp:extent cx="72466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-179705</wp:posOffset>
            </wp:positionV>
            <wp:extent cx="7246620"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369"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60" w:hanging="484"/>
        <w:spacing w:after="0" w:line="282" w:lineRule="auto"/>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of “Other reserves” in equity includes the net change in the realized and unrealized gains and losses, net of deferred taxes, and the provision for impairment. This caption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US$(000)</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unrealized gains, net of taxes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69,411</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56,746</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net of taxes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r>
    </w:tbl>
    <w:p>
      <w:pPr>
        <w:spacing w:after="0" w:line="252" w:lineRule="exact"/>
        <w:rPr>
          <w:sz w:val="20"/>
          <w:szCs w:val="20"/>
          <w:color w:val="auto"/>
        </w:rPr>
      </w:pPr>
    </w:p>
    <w:p>
      <w:pPr>
        <w:ind w:left="1140" w:right="20" w:hanging="484"/>
        <w:spacing w:after="0" w:line="255"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BCRP deposit certificates are discounted Peruvian currency instruments with maturities due within one year. These certificates have been acquired in public auctions. Annual interest rates in Peruvian currency range between 4.53 and 5.78 percent as of December 31, 2006 (between 3.75 and 6.35 percent as of December 31, 2005) with maturities between January 2007 and December 2009 (between January 2006 and June 2008 as of December 31, 2005). As of December 31, 2006 and 2005, the Group has entered into BCRP - Repo transactions in Peruvian currency with its clients using these securities, for approximately US$167.7 and US$592.5 million, respectively. As of December 31, 2006, these operations earn an effective annual interest rate range between 4.08 and 5.26 annual percent and with maturities between January and June 2007 (interest rate between 3.55 and 6.23 annual percent and maturities between January 2006 and February 2008 as of December 31, 2005).</w:t>
      </w:r>
    </w:p>
    <w:p>
      <w:pPr>
        <w:spacing w:after="0" w:line="23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comprise corporate bonds by US$849.9 million, leasing bonds by US$3.9 million and subordinated bonds by</w:t>
      </w:r>
    </w:p>
    <w:p>
      <w:pPr>
        <w:spacing w:after="0" w:line="27" w:lineRule="exact"/>
        <w:rPr>
          <w:rFonts w:ascii="Times New Roman" w:cs="Times New Roman" w:eastAsia="Times New Roman" w:hAnsi="Times New Roman"/>
          <w:sz w:val="18"/>
          <w:szCs w:val="18"/>
          <w:color w:val="auto"/>
        </w:rPr>
      </w:pPr>
    </w:p>
    <w:p>
      <w:pPr>
        <w:ind w:left="114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US$4.4 million (US$598.1, US$1.8 and US$4.0 million, respectively, as December 31, 2005), with maturities between January 2007 and May 2049 (between January 2006 and November 2035 as of December 31, 2005). These bonds accrue interests at annual effective rates that range between 3.36 and 7.71 percent for the bonds denominated in Peruvian currency (between 2.92 and 8.00 percent in 2005), and between 2.88 and 11.00 percent for the bonds denominated in U.S. Dollars (between 2.23 and 12.03 percent in 2005).</w:t>
      </w:r>
    </w:p>
    <w:p>
      <w:pPr>
        <w:spacing w:after="0" w:line="239" w:lineRule="exact"/>
        <w:rPr>
          <w:rFonts w:ascii="Times New Roman" w:cs="Times New Roman" w:eastAsia="Times New Roman" w:hAnsi="Times New Roman"/>
          <w:sz w:val="18"/>
          <w:szCs w:val="18"/>
          <w:color w:val="auto"/>
        </w:rPr>
      </w:pPr>
    </w:p>
    <w:p>
      <w:pPr>
        <w:ind w:left="1140" w:right="20" w:hanging="484"/>
        <w:spacing w:after="0" w:line="256" w:lineRule="auto"/>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principally debt instruments for US$154.2, US$425.1, US$72.0 and US$14.0 million issued by US Government - Sponsored Enterprises, the Peruvian Government, the Colombian Government and the Government of El Salvador, respectively, as of December 31, 2006 (US$179.9, US$308.9 and US$18.7 million issued by US Government - Sponsored Enterprises, the Peruvian Government and the Government of El Salvador, respectively, as of December 31, 2005). Their maturities are between February 2007 and August 2038 (between January 2006 and August 2038 as of December 31, 2005) at annual interest rates that range between 2.38 and 11.75 percent (between 1.83 and 11.25 percent in 2005).</w:t>
      </w:r>
    </w:p>
    <w:p>
      <w:pPr>
        <w:spacing w:after="0" w:line="242" w:lineRule="exact"/>
        <w:rPr>
          <w:sz w:val="20"/>
          <w:szCs w:val="20"/>
          <w:color w:val="auto"/>
        </w:rPr>
      </w:pPr>
    </w:p>
    <w:p>
      <w:pPr>
        <w:ind w:left="1140" w:right="560"/>
        <w:spacing w:after="0" w:line="282" w:lineRule="auto"/>
        <w:rPr>
          <w:sz w:val="20"/>
          <w:szCs w:val="20"/>
          <w:color w:val="auto"/>
        </w:rPr>
      </w:pPr>
      <w:r>
        <w:rPr>
          <w:rFonts w:ascii="Times New Roman" w:cs="Times New Roman" w:eastAsia="Times New Roman" w:hAnsi="Times New Roman"/>
          <w:sz w:val="18"/>
          <w:szCs w:val="18"/>
          <w:color w:val="auto"/>
        </w:rPr>
        <w:t>As of December 31, 2006, the Group has entered into Repo transactions with its clients using part of the debt instruments issued by the Peruvian Government for approximately US$19.8 million with maturity in September 2007.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color w:val="auto"/>
        </w:rPr>
        <w:t>Notes to the consolidated financial statements (continued)</w:t>
      </w:r>
    </w:p>
    <w:p>
      <w:pPr>
        <w:spacing w:after="0" w:line="283" w:lineRule="exact"/>
        <w:rPr>
          <w:sz w:val="20"/>
          <w:szCs w:val="20"/>
          <w:color w:val="auto"/>
        </w:rPr>
      </w:pPr>
    </w:p>
    <w:p>
      <w:pPr>
        <w:ind w:left="1140" w:right="100" w:hanging="484"/>
        <w:spacing w:after="0" w:line="258" w:lineRule="auto"/>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 mainly of US$55.1 and US$9.5 million of debt instruments issued by Corporación Andina de Fomento - CAF and by The World Bank, respectively (mainly of US$90.8 and US$18.7 million issued by Corporación Andina de Fomento - CAF and by Fondo Latinoamericano de Reservas - FLAR, respectively, as of December 31, 2005). Such bonds have maturities between January 2007 and July 2009 (between February 2006 and January 2023 as of December 31, 2005). Annual interest rates are between 5.32 and 5.92 percent (between 4.08 and 5.26 percent in 2005).</w:t>
      </w:r>
    </w:p>
    <w:p>
      <w:pPr>
        <w:spacing w:after="0" w:line="237" w:lineRule="exact"/>
        <w:rPr>
          <w:rFonts w:ascii="Times New Roman" w:cs="Times New Roman" w:eastAsia="Times New Roman" w:hAnsi="Times New Roman"/>
          <w:sz w:val="18"/>
          <w:szCs w:val="18"/>
          <w:color w:val="auto"/>
        </w:rPr>
      </w:pPr>
    </w:p>
    <w:p>
      <w:pPr>
        <w:ind w:left="1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the Group has entered into Repo transactions with its clients using these securities for approximately US$40.1 million. These operations earn an effective annual interest rate range between 5.32 and 5.92 annual percent and with maturity in January 2007.</w:t>
      </w:r>
    </w:p>
    <w:p>
      <w:pPr>
        <w:spacing w:after="0" w:line="215" w:lineRule="exact"/>
        <w:rPr>
          <w:rFonts w:ascii="Times New Roman" w:cs="Times New Roman" w:eastAsia="Times New Roman" w:hAnsi="Times New Roman"/>
          <w:sz w:val="18"/>
          <w:szCs w:val="18"/>
          <w:color w:val="auto"/>
        </w:rPr>
      </w:pPr>
    </w:p>
    <w:p>
      <w:pPr>
        <w:ind w:left="1140" w:right="140" w:hanging="484"/>
        <w:spacing w:after="0" w:line="261" w:lineRule="auto"/>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5.61 percent (4.31 percent in 2005).</w:t>
      </w:r>
    </w:p>
    <w:p>
      <w:pPr>
        <w:spacing w:after="0" w:line="234" w:lineRule="exact"/>
        <w:rPr>
          <w:rFonts w:ascii="Times New Roman" w:cs="Times New Roman" w:eastAsia="Times New Roman" w:hAnsi="Times New Roman"/>
          <w:sz w:val="18"/>
          <w:szCs w:val="18"/>
          <w:color w:val="auto"/>
        </w:rPr>
      </w:pPr>
    </w:p>
    <w:p>
      <w:pPr>
        <w:ind w:left="1140" w:right="240" w:hanging="484"/>
        <w:spacing w:after="0" w:line="266" w:lineRule="auto"/>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mutual funds comprise participation quotas on the pension funds managed by the Group as required by the legal standards of Peru and they have a restricted disposal. The profitability obtained is the same as the obtained for the funds managed. The amount as of December 31, 2006, approximately US$32.3 million comes from the purchase of AFP Unión Vida S.A. as mentioned in note 2(a).</w:t>
      </w:r>
    </w:p>
    <w:p>
      <w:pPr>
        <w:spacing w:after="0" w:line="203" w:lineRule="exact"/>
        <w:rPr>
          <w:rFonts w:ascii="Times New Roman" w:cs="Times New Roman" w:eastAsia="Times New Roman" w:hAnsi="Times New Roman"/>
          <w:sz w:val="18"/>
          <w:szCs w:val="18"/>
          <w:color w:val="auto"/>
        </w:rPr>
      </w:pPr>
    </w:p>
    <w:p>
      <w:pPr>
        <w:ind w:left="1140" w:right="40" w:hanging="484"/>
        <w:spacing w:after="0" w:line="266" w:lineRule="auto"/>
        <w:tabs>
          <w:tab w:leader="none" w:pos="11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December 31, 2006, the unrealized gains on trade shares comes principally from the shares of Banco de Crédito and Inversiones de Chile - BCI Chile and Alicorp S.A.A., which amounted to US$60.2 and US$ 26.9, respectively (amounted to US$48.8 and US$18.0 million as December 31, 2005, respectively).</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40" w:hanging="646"/>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and market value of the investments available-for-sale classified by maturity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180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8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220" w:type="dxa"/>
            <w:vAlign w:val="bottom"/>
          </w:tcPr>
          <w:p>
            <w:pPr>
              <w:spacing w:after="0"/>
              <w:rPr>
                <w:sz w:val="16"/>
                <w:szCs w:val="16"/>
                <w:color w:val="auto"/>
              </w:rPr>
            </w:pPr>
          </w:p>
        </w:tc>
        <w:tc>
          <w:tcPr>
            <w:tcW w:w="180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Market</w:t>
            </w:r>
          </w:p>
        </w:tc>
        <w:tc>
          <w:tcPr>
            <w:tcW w:w="100" w:type="dxa"/>
            <w:vAlign w:val="bottom"/>
          </w:tcPr>
          <w:p>
            <w:pPr>
              <w:spacing w:after="0"/>
              <w:rPr>
                <w:sz w:val="16"/>
                <w:szCs w:val="16"/>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8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rPr>
              <w:t>US$(000)</w:t>
            </w: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US$(000)</w:t>
            </w:r>
          </w:p>
        </w:tc>
        <w:tc>
          <w:tcPr>
            <w:tcW w:w="18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US$(000)</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3 months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766,650</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781,657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544,449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549,215</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From 3 months to 1 year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868,452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1,005,977</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1,003,580</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1 to 3 years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458,796</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460,967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346,577</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345,970</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From 3 to 5 years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228,805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149,422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150,520</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800,634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866,383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553,849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582,762</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Without maturity (shares)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216,183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72,218</w:t>
            </w: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162,582</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3,422,447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2,672,492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2,794,629</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00" w:hanging="492"/>
        <w:spacing w:after="0"/>
        <w:tabs>
          <w:tab w:leader="none" w:pos="50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loans</w:t>
      </w:r>
    </w:p>
    <w:p>
      <w:pPr>
        <w:spacing w:after="0" w:line="323" w:lineRule="exact"/>
        <w:rPr>
          <w:rFonts w:ascii="Times New Roman" w:cs="Times New Roman" w:eastAsia="Times New Roman" w:hAnsi="Times New Roman"/>
          <w:sz w:val="18"/>
          <w:szCs w:val="18"/>
          <w:b w:val="1"/>
          <w:bCs w:val="1"/>
          <w:color w:val="auto"/>
        </w:rPr>
      </w:pPr>
    </w:p>
    <w:p>
      <w:pPr>
        <w:ind w:left="1180" w:hanging="686"/>
        <w:spacing w:after="0"/>
        <w:tabs>
          <w:tab w:leader="none" w:pos="11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loans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Loans</w:t>
            </w: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4,224,102</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3,567,970</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Leasing receivables</w:t>
            </w:r>
          </w:p>
        </w:tc>
        <w:tc>
          <w:tcPr>
            <w:tcW w:w="5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675,804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564,575</w:t>
            </w:r>
          </w:p>
        </w:tc>
      </w:tr>
      <w:tr>
        <w:trPr>
          <w:trHeight w:val="243"/>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Credit card receivables</w:t>
            </w: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438,628</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297,673</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Discount notes</w:t>
            </w:r>
          </w:p>
        </w:tc>
        <w:tc>
          <w:tcPr>
            <w:tcW w:w="5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256,534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213,232</w:t>
            </w:r>
          </w:p>
        </w:tc>
      </w:tr>
      <w:tr>
        <w:trPr>
          <w:trHeight w:val="243"/>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Refinanced and restructured loans</w:t>
            </w: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126,006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175,211</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Factoring receivables</w:t>
            </w:r>
          </w:p>
        </w:tc>
        <w:tc>
          <w:tcPr>
            <w:tcW w:w="5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89,171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87,757</w:t>
            </w:r>
          </w:p>
        </w:tc>
      </w:tr>
      <w:tr>
        <w:trPr>
          <w:trHeight w:val="243"/>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Advances and overdrafts</w:t>
            </w: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84,262</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49,283</w:t>
            </w:r>
          </w:p>
        </w:tc>
      </w:tr>
      <w:tr>
        <w:trPr>
          <w:trHeight w:val="27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Past due and under legal collection loans</w:t>
            </w:r>
          </w:p>
        </w:tc>
        <w:tc>
          <w:tcPr>
            <w:tcW w:w="41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95,769</w:t>
            </w:r>
          </w:p>
        </w:tc>
        <w:tc>
          <w:tcPr>
            <w:tcW w:w="100" w:type="dxa"/>
            <w:vAlign w:val="bottom"/>
          </w:tcPr>
          <w:p>
            <w:pPr>
              <w:spacing w:after="0"/>
              <w:rPr>
                <w:sz w:val="23"/>
                <w:szCs w:val="23"/>
                <w:color w:val="auto"/>
              </w:rPr>
            </w:pPr>
          </w:p>
        </w:tc>
      </w:tr>
      <w:tr>
        <w:trPr>
          <w:trHeight w:val="237"/>
        </w:trPr>
        <w:tc>
          <w:tcPr>
            <w:tcW w:w="4240" w:type="dxa"/>
            <w:vAlign w:val="bottom"/>
            <w:shd w:val="clear" w:color="auto" w:fill="CCFFCC"/>
          </w:tcPr>
          <w:p>
            <w:pPr>
              <w:spacing w:after="0"/>
              <w:rPr>
                <w:sz w:val="20"/>
                <w:szCs w:val="20"/>
                <w:color w:val="auto"/>
              </w:rPr>
            </w:pP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5,051,470</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 (less)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570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49,740</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41,280</w:t>
            </w:r>
          </w:p>
        </w:tc>
      </w:tr>
      <w:tr>
        <w:trPr>
          <w:trHeight w:val="24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Unearned interest</w:t>
            </w:r>
          </w:p>
        </w:tc>
        <w:tc>
          <w:tcPr>
            <w:tcW w:w="5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(93,916)</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(78,495)</w:t>
            </w: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Allowance for loan losses (f)</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(190,278)</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(197,495)</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direct loans, net</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5,736,823</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4,816,760</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Indirect loans, note 20(a)</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1,455,376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1,220,946</w:t>
            </w:r>
          </w:p>
        </w:tc>
      </w:tr>
      <w:tr>
        <w:trPr>
          <w:trHeight w:val="480"/>
        </w:trPr>
        <w:tc>
          <w:tcPr>
            <w:tcW w:w="424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ind w:left="1300"/>
              <w:spacing w:after="0"/>
              <w:rPr>
                <w:sz w:val="20"/>
                <w:szCs w:val="20"/>
                <w:color w:val="auto"/>
              </w:rPr>
            </w:pPr>
            <w:r>
              <w:rPr>
                <w:rFonts w:ascii="Times New Roman" w:cs="Times New Roman" w:eastAsia="Times New Roman" w:hAnsi="Times New Roman"/>
                <w:sz w:val="18"/>
                <w:szCs w:val="18"/>
                <w:color w:val="auto"/>
              </w:rPr>
              <w:t>F-37</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40" w:hanging="646"/>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on loans are set considering the rates prevailing in the markets where the Group’s subsidiaries operate.</w:t>
      </w:r>
    </w:p>
    <w:p>
      <w:pPr>
        <w:spacing w:after="0" w:line="279"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the Group’s direct loan portfolio is distributed among the following economic sectors: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6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1,624,765</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1,430,559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883,736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767,341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Commerce</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686,291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625,908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539,077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373,447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Micro-business</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306,869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224,122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Mining</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303,238</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223,156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Electricity, gas and water</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256,541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192,096</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storage and transportation</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255,730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210,002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Leaseholds and real estate activities</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236,445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216,095</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163,946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105,484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Fishing</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152,538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117,104</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Agriculture</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150,020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153,410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Education, health and other services</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75,376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69,468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74,482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68,217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262,223</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275,061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5,971,277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5,051,470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F-38</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140" w:hanging="646"/>
        <w:spacing w:after="0"/>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the credit risk classification of the Group’s loan portfolio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2006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2005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Indirect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Indirect</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credits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credits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Risk category</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4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u w:val="single" w:color="auto"/>
                <w:color w:val="auto"/>
              </w:rPr>
              <w:t>US$</w:t>
            </w:r>
            <w:r>
              <w:rPr>
                <w:rFonts w:ascii="Times New Roman" w:cs="Times New Roman" w:eastAsia="Times New Roman" w:hAnsi="Times New Roman"/>
                <w:sz w:val="16"/>
                <w:szCs w:val="16"/>
                <w:color w:val="auto"/>
              </w:rPr>
              <w:t>(000)</w:t>
            </w:r>
          </w:p>
        </w:tc>
        <w:tc>
          <w:tcPr>
            <w:tcW w:w="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6"/>
                <w:szCs w:val="16"/>
                <w:color w:val="auto"/>
              </w:rPr>
              <w:t>Normal</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5,386,566</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1,398,662</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6,785,228</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4,352,214</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9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1,137,033</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5,489,247</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Potential problems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341,187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33,787</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374,974</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397,387</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68,333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465,720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6"/>
                <w:szCs w:val="16"/>
                <w:color w:val="auto"/>
              </w:rPr>
              <w:t>Substandard</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62,504</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17,668</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80,172</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82,858</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94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9,284</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92,142</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Doubtful</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122,216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3,565</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125,781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146,898</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4,694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151,592</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6"/>
                <w:szCs w:val="16"/>
                <w:color w:val="auto"/>
              </w:rPr>
              <w:t>Loss</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58,804</w:t>
            </w:r>
          </w:p>
        </w:tc>
        <w:tc>
          <w:tcPr>
            <w:tcW w:w="100" w:type="dxa"/>
            <w:vAlign w:val="bottom"/>
            <w:tcBorders>
              <w:bottom w:val="single" w:sz="8" w:color="CCFFCC"/>
            </w:tcBorders>
            <w:shd w:val="clear" w:color="auto" w:fill="CCFFCC"/>
          </w:tcPr>
          <w:p>
            <w:pPr>
              <w:spacing w:after="0"/>
              <w:rPr>
                <w:sz w:val="18"/>
                <w:szCs w:val="18"/>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1,694</w:t>
            </w:r>
          </w:p>
        </w:tc>
        <w:tc>
          <w:tcPr>
            <w:tcW w:w="14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60,498</w:t>
            </w:r>
          </w:p>
        </w:tc>
        <w:tc>
          <w:tcPr>
            <w:tcW w:w="6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72,113</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94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1,602</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900" w:type="dxa"/>
            <w:vAlign w:val="bottom"/>
            <w:tcBorders>
              <w:bottom w:val="single" w:sz="8" w:color="CCFFCC"/>
              <w:right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73,715</w:t>
            </w:r>
          </w:p>
        </w:tc>
        <w:tc>
          <w:tcPr>
            <w:tcW w:w="46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46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5,971,277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1,455,376</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7,426,653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5,051,470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1,220,946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6,272,416</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6925945</wp:posOffset>
            </wp:positionH>
            <wp:positionV relativeFrom="paragraph">
              <wp:posOffset>-179705</wp:posOffset>
            </wp:positionV>
            <wp:extent cx="3429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-179705</wp:posOffset>
            </wp:positionV>
            <wp:extent cx="3429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72" w:lineRule="exact"/>
        <w:rPr>
          <w:sz w:val="20"/>
          <w:szCs w:val="20"/>
          <w:color w:val="auto"/>
        </w:rPr>
      </w:pPr>
    </w:p>
    <w:p>
      <w:pPr>
        <w:ind w:left="1140" w:right="500" w:hanging="646"/>
        <w:spacing w:after="0" w:line="298" w:lineRule="auto"/>
        <w:tabs>
          <w:tab w:leader="none" w:pos="117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the Group’s structure of its direct loan portfolio by the country in which its clients are located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Country -</w:t>
            </w:r>
          </w:p>
        </w:tc>
        <w:tc>
          <w:tcPr>
            <w:tcW w:w="4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w:t>
            </w:r>
          </w:p>
        </w:tc>
        <w:tc>
          <w:tcPr>
            <w:tcW w:w="60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5,481,003</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4,601,400</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397,197</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366,945</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Colombia</w:t>
            </w:r>
          </w:p>
        </w:tc>
        <w:tc>
          <w:tcPr>
            <w:tcW w:w="60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34,370</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10,955</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15,571</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30,265</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Republic of El Salvador</w:t>
            </w:r>
          </w:p>
        </w:tc>
        <w:tc>
          <w:tcPr>
            <w:tcW w:w="60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14,249</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9,382</w:t>
            </w:r>
          </w:p>
        </w:tc>
      </w:tr>
      <w:tr>
        <w:trPr>
          <w:trHeight w:val="24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6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13,393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5,373</w:t>
            </w:r>
          </w:p>
        </w:tc>
      </w:tr>
      <w:tr>
        <w:trPr>
          <w:trHeight w:val="243"/>
        </w:trPr>
        <w:tc>
          <w:tcPr>
            <w:tcW w:w="3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Republic of Panama</w:t>
            </w:r>
          </w:p>
        </w:tc>
        <w:tc>
          <w:tcPr>
            <w:tcW w:w="60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8,860</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11,508</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100" w:type="dxa"/>
            <w:vAlign w:val="bottom"/>
          </w:tcPr>
          <w:p>
            <w:pPr>
              <w:spacing w:after="0"/>
              <w:rPr>
                <w:sz w:val="23"/>
                <w:szCs w:val="23"/>
                <w:color w:val="auto"/>
              </w:rPr>
            </w:pPr>
          </w:p>
        </w:tc>
      </w:tr>
      <w:tr>
        <w:trPr>
          <w:trHeight w:val="237"/>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5,971,277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5,051,470</w:t>
            </w:r>
          </w:p>
        </w:tc>
        <w:tc>
          <w:tcPr>
            <w:tcW w:w="10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680" w:type="dxa"/>
            <w:vAlign w:val="bottom"/>
          </w:tcPr>
          <w:p>
            <w:pPr>
              <w:spacing w:after="0"/>
              <w:rPr>
                <w:sz w:val="24"/>
                <w:szCs w:val="24"/>
                <w:color w:val="auto"/>
              </w:rPr>
            </w:pPr>
          </w:p>
        </w:tc>
        <w:tc>
          <w:tcPr>
            <w:tcW w:w="626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F-39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23" w:lineRule="exact"/>
        <w:rPr>
          <w:sz w:val="20"/>
          <w:szCs w:val="20"/>
          <w:color w:val="auto"/>
        </w:rPr>
      </w:pPr>
    </w:p>
    <w:p>
      <w:pPr>
        <w:ind w:left="1160" w:hanging="666"/>
        <w:spacing w:after="0"/>
        <w:tabs>
          <w:tab w:leader="none" w:pos="11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in the allowance for loan losses (direct and indirect credit) is shown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20" w:type="dxa"/>
            <w:vAlign w:val="bottom"/>
            <w:shd w:val="clear" w:color="auto" w:fill="CCFFCC"/>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Balances as of January 1</w:t>
            </w:r>
            <w:r>
              <w:rPr>
                <w:rFonts w:ascii="Times New Roman" w:cs="Times New Roman" w:eastAsia="Times New Roman" w:hAnsi="Times New Roman"/>
                <w:sz w:val="29"/>
                <w:szCs w:val="29"/>
                <w:b w:val="1"/>
                <w:bCs w:val="1"/>
                <w:color w:val="auto"/>
                <w:vertAlign w:val="superscript"/>
              </w:rPr>
              <w:t>st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218,636</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271,873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326,677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(6,356)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Recoveries of written-off loans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44,284</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35,032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32,287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disposal related to the sale of Banco Tequendama, note 2(c)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Loan portfolio written-off</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(49,859)</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(71,405)</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(105,267)</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210,586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218,636</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1300" w:right="300" w:hanging="320"/>
        <w:spacing w:after="0" w:line="266" w:lineRule="auto"/>
        <w:tabs>
          <w:tab w:leader="none" w:pos="149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in the allowance for loan losses includes the allowance for direct and indirect credits for approximately US$190.3 and US$20.3 million, respectively, as of December 31, 2006 (approximately US$197.5 and US$21.1 million and US$253.4 and US$18.5 million, respectively, as of December 31, 2005 and 2004). The allowance for indirect loan losses is included in the “Other liabilities” caption of the consolidated balance sheet, note 11(a).</w:t>
      </w:r>
    </w:p>
    <w:p>
      <w:pPr>
        <w:spacing w:after="0" w:line="230" w:lineRule="exact"/>
        <w:rPr>
          <w:sz w:val="20"/>
          <w:szCs w:val="20"/>
          <w:color w:val="auto"/>
        </w:rPr>
      </w:pPr>
    </w:p>
    <w:p>
      <w:pPr>
        <w:ind w:left="1140" w:right="20"/>
        <w:spacing w:after="0" w:line="282" w:lineRule="auto"/>
        <w:rPr>
          <w:sz w:val="20"/>
          <w:szCs w:val="20"/>
          <w:color w:val="auto"/>
        </w:rPr>
      </w:pPr>
      <w:r>
        <w:rPr>
          <w:rFonts w:ascii="Times New Roman" w:cs="Times New Roman" w:eastAsia="Times New Roman" w:hAnsi="Times New Roman"/>
          <w:sz w:val="18"/>
          <w:szCs w:val="18"/>
          <w:color w:val="auto"/>
        </w:rPr>
        <w:t>In Management’s opinion, the allowance for loan losses recorded as of December 31, 2006, 2005 and 2004 has been established in accordance with IAS 39 and it is sufficient to cover the losses on the loans portfolio, note 3(f).</w:t>
      </w:r>
    </w:p>
    <w:p>
      <w:pPr>
        <w:spacing w:after="0" w:line="216" w:lineRule="exact"/>
        <w:rPr>
          <w:sz w:val="20"/>
          <w:szCs w:val="20"/>
          <w:color w:val="auto"/>
        </w:rPr>
      </w:pPr>
    </w:p>
    <w:p>
      <w:pPr>
        <w:ind w:left="1140" w:right="560" w:hanging="646"/>
        <w:spacing w:after="0" w:line="282" w:lineRule="auto"/>
        <w:tabs>
          <w:tab w:leader="none" w:pos="11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40" w:right="80" w:hanging="646"/>
        <w:spacing w:after="0" w:line="282" w:lineRule="auto"/>
        <w:tabs>
          <w:tab w:leader="none" w:pos="11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the direct gross loan portfolio classified by maturity, based in the remaining period to the repayment date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loans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1 year</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3,774,711</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3,029,773</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From 1 to 3 years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797,458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762,834</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3 to 5 years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464,718</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474,294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857,620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688,800</w:t>
            </w:r>
          </w:p>
        </w:tc>
      </w:tr>
      <w:tr>
        <w:trPr>
          <w:trHeight w:val="243"/>
        </w:trPr>
        <w:tc>
          <w:tcPr>
            <w:tcW w:w="83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Past due loans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4 months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20,655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3,644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Over 4 months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21,613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44,664</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Under legal collection loans</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34,502</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47,461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5,051,470</w:t>
            </w:r>
          </w:p>
        </w:tc>
      </w:tr>
      <w:tr>
        <w:trPr>
          <w:trHeight w:val="467"/>
        </w:trPr>
        <w:tc>
          <w:tcPr>
            <w:tcW w:w="8340" w:type="dxa"/>
            <w:vAlign w:val="bottom"/>
            <w:tcBorders>
              <w:top w:val="single" w:sz="8" w:color="CCFFCC"/>
            </w:tcBorders>
          </w:tcPr>
          <w:p>
            <w:pPr>
              <w:ind w:left="1140"/>
              <w:spacing w:after="0"/>
              <w:rPr>
                <w:sz w:val="20"/>
                <w:szCs w:val="20"/>
                <w:color w:val="auto"/>
              </w:rPr>
            </w:pPr>
            <w:r>
              <w:rPr>
                <w:rFonts w:ascii="Times New Roman" w:cs="Times New Roman" w:eastAsia="Times New Roman" w:hAnsi="Times New Roman"/>
                <w:sz w:val="18"/>
                <w:szCs w:val="18"/>
                <w:color w:val="auto"/>
              </w:rPr>
              <w:t>Interest on past due loans and loans in legal collection are recognized when collected.</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pacing w:after="0" w:line="252" w:lineRule="exact"/>
        <w:rPr>
          <w:sz w:val="20"/>
          <w:szCs w:val="20"/>
          <w:color w:val="auto"/>
        </w:rPr>
      </w:pPr>
    </w:p>
    <w:p>
      <w:pPr>
        <w:ind w:left="1140" w:right="1020"/>
        <w:spacing w:after="0" w:line="282" w:lineRule="auto"/>
        <w:rPr>
          <w:sz w:val="20"/>
          <w:szCs w:val="20"/>
          <w:color w:val="auto"/>
        </w:rPr>
      </w:pPr>
      <w:r>
        <w:rPr>
          <w:rFonts w:ascii="Times New Roman" w:cs="Times New Roman" w:eastAsia="Times New Roman" w:hAnsi="Times New Roman"/>
          <w:sz w:val="18"/>
          <w:szCs w:val="18"/>
          <w:color w:val="auto"/>
        </w:rPr>
        <w:t>The interest income that would have been recorded for these credits in accordance with the terms of the original contract amount approximately US$28.1 and US$25.8 million as of December 31, 2006 and 2005, respectively.</w:t>
      </w:r>
    </w:p>
    <w:p>
      <w:pPr>
        <w:spacing w:after="0" w:line="216" w:lineRule="exact"/>
        <w:rPr>
          <w:sz w:val="20"/>
          <w:szCs w:val="20"/>
          <w:color w:val="auto"/>
        </w:rPr>
      </w:pPr>
    </w:p>
    <w:p>
      <w:pPr>
        <w:ind w:left="1140" w:right="140" w:hanging="646"/>
        <w:spacing w:after="0" w:line="282" w:lineRule="auto"/>
        <w:tabs>
          <w:tab w:leader="none" w:pos="120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51 percent of the direct and indirect loans portfolio of the BCP was concentrated on approximately 443 and 313 clients,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500" w:hanging="492"/>
        <w:spacing w:after="0"/>
        <w:tabs>
          <w:tab w:leader="none" w:pos="50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furniture and equipment, net</w:t>
      </w:r>
    </w:p>
    <w:p>
      <w:pPr>
        <w:spacing w:after="0" w:line="323" w:lineRule="exact"/>
        <w:rPr>
          <w:rFonts w:ascii="Times New Roman" w:cs="Times New Roman" w:eastAsia="Times New Roman" w:hAnsi="Times New Roman"/>
          <w:sz w:val="18"/>
          <w:szCs w:val="18"/>
          <w:b w:val="1"/>
          <w:bCs w:val="1"/>
          <w:color w:val="auto"/>
        </w:rPr>
      </w:pPr>
    </w:p>
    <w:p>
      <w:pPr>
        <w:ind w:left="1120" w:hanging="626"/>
        <w:spacing w:after="0"/>
        <w:tabs>
          <w:tab w:leader="none" w:pos="112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of property, furniture and equipment and accumulated depreciation, for the years ended 2006 and 2005, is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Buildings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Furniture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Vehicles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Work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Computer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Land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Installations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fixtures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hardware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equipment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progress</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2006</w:t>
            </w:r>
          </w:p>
        </w:tc>
        <w:tc>
          <w:tcPr>
            <w:tcW w:w="12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US$(000)</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0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US$(000)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Cost -</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00" w:type="dxa"/>
            <w:vAlign w:val="bottom"/>
            <w:shd w:val="clear" w:color="auto" w:fill="CCFFCC"/>
          </w:tcPr>
          <w:p>
            <w:pPr>
              <w:spacing w:after="0" w:line="249" w:lineRule="exact"/>
              <w:rPr>
                <w:sz w:val="20"/>
                <w:szCs w:val="20"/>
                <w:color w:val="auto"/>
              </w:rPr>
            </w:pPr>
            <w:r>
              <w:rPr>
                <w:rFonts w:ascii="Times New Roman" w:cs="Times New Roman" w:eastAsia="Times New Roman" w:hAnsi="Times New Roman"/>
                <w:sz w:val="16"/>
                <w:szCs w:val="16"/>
                <w:b w:val="1"/>
                <w:bCs w:val="1"/>
                <w:color w:val="auto"/>
              </w:rPr>
              <w:t>Balance as of January 1</w:t>
            </w:r>
            <w:r>
              <w:rPr>
                <w:rFonts w:ascii="Times New Roman" w:cs="Times New Roman" w:eastAsia="Times New Roman" w:hAnsi="Times New Roman"/>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29,729</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255,351</w:t>
            </w: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80,990</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65,521</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168,784</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13,999</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11,946</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626,320</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610,239</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1,879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6,171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17,842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3,498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43,973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452</w:t>
            </w: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2,068</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2,900</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84</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5,796</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Sales and transfers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(2,690)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(6,865)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1,540</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(4,053)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(16,755)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(10,381)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30,782</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250,817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88,701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69,065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185,473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17,123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17,373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659,334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 -</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FFCC"/>
          </w:tcPr>
          <w:p>
            <w:pPr>
              <w:spacing w:after="0" w:line="242" w:lineRule="exact"/>
              <w:rPr>
                <w:sz w:val="20"/>
                <w:szCs w:val="20"/>
                <w:color w:val="auto"/>
              </w:rPr>
            </w:pPr>
            <w:r>
              <w:rPr>
                <w:rFonts w:ascii="Times New Roman" w:cs="Times New Roman" w:eastAsia="Times New Roman" w:hAnsi="Times New Roman"/>
                <w:sz w:val="16"/>
                <w:szCs w:val="16"/>
                <w:b w:val="1"/>
                <w:bCs w:val="1"/>
                <w:color w:val="auto"/>
              </w:rPr>
              <w:t>Balance as of January 1</w:t>
            </w:r>
            <w:r>
              <w:rPr>
                <w:rFonts w:ascii="Times New Roman" w:cs="Times New Roman" w:eastAsia="Times New Roman" w:hAnsi="Times New Roman"/>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129,630</w:t>
            </w: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51,291</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51,980</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140,103</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5,017</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378,021</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363,527</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7,074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6,512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12,870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31,477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100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1,465</w:t>
            </w:r>
          </w:p>
        </w:tc>
        <w:tc>
          <w:tcPr>
            <w:tcW w:w="8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2,056</w:t>
            </w:r>
          </w:p>
        </w:tc>
        <w:tc>
          <w:tcPr>
            <w:tcW w:w="9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3,736</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Sales and transfers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(795)</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(3,572)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(9,378)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ind w:left="160"/>
              <w:spacing w:after="0"/>
              <w:rPr>
                <w:sz w:val="20"/>
                <w:szCs w:val="20"/>
                <w:color w:val="auto"/>
              </w:rPr>
            </w:pPr>
            <w:r>
              <w:rPr>
                <w:rFonts w:ascii="Times New Roman" w:cs="Times New Roman" w:eastAsia="Times New Roman" w:hAnsi="Times New Roman"/>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(9,432)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133,798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57,008</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55,471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151,457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6,122</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403,856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30,782</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117,019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31,693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13,594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34,016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17,373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255,478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60" w:hanging="666"/>
        <w:spacing w:after="0"/>
        <w:tabs>
          <w:tab w:leader="none" w:pos="11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and insurance companies located in Peru are not allowed to pledge their fixed assets.</w:t>
      </w:r>
    </w:p>
    <w:p>
      <w:pPr>
        <w:spacing w:after="0" w:line="319" w:lineRule="exact"/>
        <w:rPr>
          <w:rFonts w:ascii="Times New Roman" w:cs="Times New Roman" w:eastAsia="Times New Roman" w:hAnsi="Times New Roman"/>
          <w:sz w:val="18"/>
          <w:szCs w:val="18"/>
          <w:color w:val="auto"/>
        </w:rPr>
      </w:pPr>
    </w:p>
    <w:p>
      <w:pPr>
        <w:ind w:left="1140" w:right="300" w:hanging="646"/>
        <w:spacing w:after="0" w:line="329" w:lineRule="auto"/>
        <w:tabs>
          <w:tab w:leader="none" w:pos="117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2006, Credicorp and its Subsidiaries have property available for sale for US$25.2 million approximately, net of its accumulated depreciation amounted US$7.7 million approximately (US$27.1 and US$9.8 million, respectively, as of December 31, 2005).</w:t>
      </w:r>
    </w:p>
    <w:p>
      <w:pPr>
        <w:spacing w:after="0" w:line="220" w:lineRule="exact"/>
        <w:rPr>
          <w:rFonts w:ascii="Times New Roman" w:cs="Times New Roman" w:eastAsia="Times New Roman" w:hAnsi="Times New Roman"/>
          <w:sz w:val="17"/>
          <w:szCs w:val="17"/>
          <w:color w:val="auto"/>
        </w:rPr>
      </w:pPr>
    </w:p>
    <w:p>
      <w:pPr>
        <w:ind w:left="1140" w:right="20" w:hanging="646"/>
        <w:spacing w:after="0" w:line="274" w:lineRule="auto"/>
        <w:tabs>
          <w:tab w:leader="none" w:pos="113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periodically review the assets´ residual value, the useful life and the method of depreciation to ensure that the method and period of depreciation chosen are consistent with the economic benefits and life expectations for use of property, furniture and equipment items. In Management’s opinion, there is no evidence of impairment of property, furniture and equipment as of December 31, 2006 and 2005.</w:t>
      </w:r>
    </w:p>
    <w:p>
      <w:pPr>
        <w:spacing w:after="0" w:line="21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seized, net</w:t>
      </w:r>
    </w:p>
    <w:p>
      <w:pPr>
        <w:spacing w:after="0" w:line="323" w:lineRule="exact"/>
        <w:rPr>
          <w:rFonts w:ascii="Times New Roman" w:cs="Times New Roman" w:eastAsia="Times New Roman" w:hAnsi="Times New Roman"/>
          <w:sz w:val="18"/>
          <w:szCs w:val="18"/>
          <w:b w:val="1"/>
          <w:bCs w:val="1"/>
          <w:color w:val="auto"/>
        </w:rPr>
      </w:pPr>
    </w:p>
    <w:p>
      <w:pPr>
        <w:ind w:left="1140" w:right="20" w:hanging="646"/>
        <w:spacing w:after="0" w:line="274" w:lineRule="auto"/>
        <w:tabs>
          <w:tab w:leader="none" w:pos="117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US$(000)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US$(000)</w:t>
            </w:r>
          </w:p>
        </w:tc>
        <w:tc>
          <w:tcPr>
            <w:tcW w:w="60" w:type="dxa"/>
            <w:vAlign w:val="bottom"/>
          </w:tcPr>
          <w:p>
            <w:pPr>
              <w:spacing w:after="0"/>
              <w:rPr>
                <w:sz w:val="23"/>
                <w:szCs w:val="23"/>
                <w:color w:val="auto"/>
              </w:rPr>
            </w:pPr>
          </w:p>
        </w:tc>
      </w:tr>
      <w:tr>
        <w:trPr>
          <w:trHeight w:val="48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Assets seized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71,469</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Reserve</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(32,096)</w:t>
            </w:r>
          </w:p>
        </w:tc>
      </w:tr>
      <w:tr>
        <w:trPr>
          <w:trHeight w:val="48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29,427</w:t>
            </w:r>
          </w:p>
        </w:tc>
        <w:tc>
          <w:tcPr>
            <w:tcW w:w="22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60" w:type="dxa"/>
            <w:vAlign w:val="bottom"/>
          </w:tcPr>
          <w:p>
            <w:pPr>
              <w:spacing w:after="0"/>
              <w:rPr>
                <w:sz w:val="24"/>
                <w:szCs w:val="24"/>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40" w:hanging="646"/>
        <w:spacing w:after="0"/>
        <w:tabs>
          <w:tab w:leader="none" w:pos="11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reserve for assets seized as of December 31, 2006, 2005 and 2004 are summarized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FFCC"/>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Balances as of January 1</w:t>
            </w:r>
            <w:r>
              <w:rPr>
                <w:rFonts w:ascii="Times New Roman" w:cs="Times New Roman" w:eastAsia="Times New Roman" w:hAnsi="Times New Roman"/>
                <w:sz w:val="29"/>
                <w:szCs w:val="29"/>
                <w:b w:val="1"/>
                <w:bCs w:val="1"/>
                <w:color w:val="auto"/>
                <w:vertAlign w:val="superscript"/>
              </w:rPr>
              <w:t>st</w:t>
            </w:r>
          </w:p>
        </w:tc>
        <w:tc>
          <w:tcPr>
            <w:tcW w:w="3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24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34,666</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35,047</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16,959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Assets retired related to the sell of Banco Tequendama, note 2(c)</w:t>
            </w:r>
          </w:p>
        </w:tc>
        <w:tc>
          <w:tcPr>
            <w:tcW w:w="3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(1,678)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Sold assets</w:t>
            </w:r>
          </w:p>
        </w:tc>
        <w:tc>
          <w:tcPr>
            <w:tcW w:w="16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(15,478)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(17,851)</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(15,020)</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16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32,096</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34,666</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6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F-43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ind w:left="500" w:hanging="492"/>
        <w:spacing w:after="0"/>
        <w:tabs>
          <w:tab w:leader="none" w:pos="50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and goodwill, net</w:t>
      </w:r>
    </w:p>
    <w:p>
      <w:pPr>
        <w:spacing w:after="0" w:line="324" w:lineRule="exact"/>
        <w:rPr>
          <w:sz w:val="20"/>
          <w:szCs w:val="20"/>
          <w:color w:val="auto"/>
        </w:rPr>
      </w:pPr>
    </w:p>
    <w:p>
      <w:pPr>
        <w:ind w:left="1180" w:hanging="686"/>
        <w:spacing w:after="0"/>
        <w:tabs>
          <w:tab w:leader="none" w:pos="1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Intangibles -</w:t>
      </w:r>
    </w:p>
    <w:p>
      <w:pPr>
        <w:spacing w:after="0" w:line="293" w:lineRule="exact"/>
        <w:rPr>
          <w:sz w:val="20"/>
          <w:szCs w:val="20"/>
          <w:color w:val="auto"/>
        </w:rPr>
      </w:pPr>
    </w:p>
    <w:p>
      <w:pPr>
        <w:ind w:left="1140" w:right="420"/>
        <w:spacing w:after="0" w:line="282" w:lineRule="auto"/>
        <w:rPr>
          <w:sz w:val="20"/>
          <w:szCs w:val="20"/>
          <w:color w:val="auto"/>
        </w:rPr>
      </w:pPr>
      <w:r>
        <w:rPr>
          <w:rFonts w:ascii="Times New Roman" w:cs="Times New Roman" w:eastAsia="Times New Roman" w:hAnsi="Times New Roman"/>
          <w:sz w:val="18"/>
          <w:szCs w:val="18"/>
          <w:color w:val="auto"/>
        </w:rPr>
        <w:t>Comprise mainly the identified intangible assets as result of the acquisition of the “client relationships” and other in the purchase of AFP Union Vida, note 2(a) and the incurred cost on the development and acquisition of software licenses used in the Group operations.</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movement of intangible assets for the years ended December 31, 2006 and 2005 is as follows: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241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w:t>
      </w:r>
    </w:p>
    <w:p>
      <w:pPr>
        <w:spacing w:after="0" w:line="220" w:lineRule="auto"/>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30"/>
          <w:szCs w:val="30"/>
          <w:color w:val="auto"/>
          <w:vertAlign w:val="superscript"/>
        </w:rPr>
        <w:t>st</w:t>
      </w:r>
    </w:p>
    <w:p>
      <w:pPr>
        <w:spacing w:after="0"/>
        <w:rPr>
          <w:sz w:val="20"/>
          <w:szCs w:val="20"/>
          <w:color w:val="auto"/>
        </w:rPr>
      </w:pPr>
      <w:r>
        <w:rPr>
          <w:rFonts w:ascii="Times New Roman" w:cs="Times New Roman" w:eastAsia="Times New Roman" w:hAnsi="Times New Roman"/>
          <w:sz w:val="18"/>
          <w:szCs w:val="18"/>
          <w:color w:val="auto"/>
        </w:rPr>
        <w:t>Additions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business combination, note 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3(b)</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Retirements and write - off</w:t>
      </w:r>
    </w:p>
    <w:p>
      <w:pPr>
        <w:spacing w:after="0" w:line="316" w:lineRule="exact"/>
        <w:rPr>
          <w:sz w:val="20"/>
          <w:szCs w:val="20"/>
          <w:color w:val="auto"/>
        </w:rPr>
      </w:pPr>
    </w:p>
    <w:p>
      <w:pPr>
        <w:ind w:right="1320"/>
        <w:spacing w:after="0" w:line="320" w:lineRule="auto"/>
        <w:rPr>
          <w:sz w:val="20"/>
          <w:szCs w:val="20"/>
          <w:color w:val="auto"/>
        </w:rPr>
      </w:pPr>
      <w:r>
        <w:rPr>
          <w:rFonts w:ascii="Times New Roman" w:cs="Times New Roman" w:eastAsia="Times New Roman" w:hAnsi="Times New Roman"/>
          <w:sz w:val="17"/>
          <w:szCs w:val="17"/>
          <w:b w:val="1"/>
          <w:bCs w:val="1"/>
          <w:color w:val="auto"/>
        </w:rPr>
        <w:t>Balance as of December 31 Accumulated amortization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Client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Developments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US$(000)</w:t>
            </w:r>
          </w:p>
        </w:tc>
      </w:tr>
      <w:tr>
        <w:trPr>
          <w:trHeight w:val="74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26,618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51,082</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81,969</w:t>
            </w:r>
          </w:p>
        </w:tc>
      </w:tr>
      <w:tr>
        <w:trPr>
          <w:trHeight w:val="24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10,848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19,767</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11,933</w:t>
            </w:r>
          </w:p>
        </w:tc>
      </w:tr>
      <w:tr>
        <w:trPr>
          <w:trHeight w:val="43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8,542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107,842</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(5,091)</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(42,820)</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40,917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172,025</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51,082</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-1105535</wp:posOffset>
            </wp:positionV>
            <wp:extent cx="724662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-788035</wp:posOffset>
            </wp:positionV>
            <wp:extent cx="7246620" cy="274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-334010</wp:posOffset>
            </wp:positionV>
            <wp:extent cx="72466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0</wp:posOffset>
            </wp:positionV>
            <wp:extent cx="72466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3480" w:space="420"/>
            <w:col w:w="7520"/>
          </w:cols>
          <w:pgMar w:left="240" w:top="369"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3660" w:type="dxa"/>
            <w:vAlign w:val="bottom"/>
          </w:tcPr>
          <w:p>
            <w:pPr>
              <w:spacing w:after="0" w:line="258" w:lineRule="exact"/>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29"/>
                <w:szCs w:val="29"/>
                <w:color w:val="auto"/>
                <w:vertAlign w:val="superscript"/>
              </w:rPr>
              <w:t>st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14,667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26,422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61,058</w:t>
            </w:r>
          </w:p>
        </w:tc>
      </w:tr>
      <w:tr>
        <w:trPr>
          <w:trHeight w:val="243"/>
        </w:trPr>
        <w:tc>
          <w:tcPr>
            <w:tcW w:w="3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Amortization of the year</w:t>
            </w:r>
          </w:p>
        </w:tc>
        <w:tc>
          <w:tcPr>
            <w:tcW w:w="1420" w:type="dxa"/>
            <w:vAlign w:val="bottom"/>
            <w:tcBorders>
              <w:right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9,022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4,190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4,155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18,840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8,169</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Incorporated by business combination, note 2(a)</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and 3(b)</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Retirements and write - off</w:t>
            </w:r>
          </w:p>
        </w:tc>
        <w:tc>
          <w:tcPr>
            <w:tcW w:w="2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(4,994)</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(1,067)</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(6,479)</w:t>
            </w:r>
          </w:p>
        </w:tc>
        <w:tc>
          <w:tcPr>
            <w:tcW w:w="12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(42,805)</w:t>
            </w:r>
          </w:p>
        </w:tc>
      </w:tr>
      <w:tr>
        <w:trPr>
          <w:trHeight w:val="20"/>
        </w:trPr>
        <w:tc>
          <w:tcPr>
            <w:tcW w:w="36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18,439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45,220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26,422</w:t>
            </w:r>
          </w:p>
        </w:tc>
      </w:tr>
      <w:tr>
        <w:trPr>
          <w:trHeight w:val="237"/>
        </w:trPr>
        <w:tc>
          <w:tcPr>
            <w:tcW w:w="3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80" w:type="dxa"/>
            <w:vAlign w:val="bottom"/>
            <w:tcBorders>
              <w:top w:val="single" w:sz="8" w:color="auto"/>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14,008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24,660</w:t>
            </w:r>
          </w:p>
        </w:tc>
      </w:tr>
      <w:tr>
        <w:trPr>
          <w:trHeight w:val="20"/>
        </w:trPr>
        <w:tc>
          <w:tcPr>
            <w:tcW w:w="39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0180" w:type="dxa"/>
            <w:vAlign w:val="bottom"/>
            <w:gridSpan w:val="12"/>
          </w:tcPr>
          <w:p>
            <w:pPr>
              <w:ind w:left="1140"/>
              <w:spacing w:after="0"/>
              <w:rPr>
                <w:sz w:val="20"/>
                <w:szCs w:val="20"/>
                <w:color w:val="auto"/>
              </w:rPr>
            </w:pPr>
            <w:r>
              <w:rPr>
                <w:rFonts w:ascii="Times New Roman" w:cs="Times New Roman" w:eastAsia="Times New Roman" w:hAnsi="Times New Roman"/>
                <w:sz w:val="18"/>
                <w:szCs w:val="18"/>
                <w:color w:val="auto"/>
              </w:rPr>
              <w:t>In September 2005, the Group wrote off certain intangibles assets fully amortized and out of use for US$42.3 million.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F-44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60" w:hanging="666"/>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w:t>
      </w:r>
    </w:p>
    <w:p>
      <w:pPr>
        <w:spacing w:after="0" w:line="27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the composition of the caption by subsidiary: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Prima AFP (AFP Unión Vida S.A.), note 2(a)</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49,047</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El Pacífico Peruano - Suiza</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13,007</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de Crédito del Perú, note 3(b) (iii)</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12,300</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5,062</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Atlantic Security Holding Corporation</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10,660</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Coporación Novasalud Perú S.A. EPS, note 2(d)</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3,828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4,828</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Book value, net</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88,842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jc w:val="both"/>
        <w:ind w:left="1140" w:right="400"/>
        <w:spacing w:after="0" w:line="282" w:lineRule="auto"/>
        <w:rPr>
          <w:sz w:val="20"/>
          <w:szCs w:val="20"/>
          <w:color w:val="auto"/>
        </w:rPr>
      </w:pPr>
      <w:r>
        <w:rPr>
          <w:rFonts w:ascii="Times New Roman" w:cs="Times New Roman" w:eastAsia="Times New Roman" w:hAnsi="Times New Roman"/>
          <w:sz w:val="18"/>
          <w:szCs w:val="18"/>
          <w:color w:val="auto"/>
        </w:rPr>
        <w:t>Goodwill is annually assessed by impairment by Management and the assumptions used for the impairment analysis are consistence with previous years. As of December 31, 2006 and 2005, it was not necessary to record a provision for impairment of goodwill on the Group.</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movement of goodwill for the years 2006, 2005 and 2004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33,557</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33,557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55,922</w:t>
            </w: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Subsidiaries, notes 2 (a) and 3(b)</w:t>
            </w:r>
          </w:p>
        </w:tc>
        <w:tc>
          <w:tcPr>
            <w:tcW w:w="3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56,285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5,900</w:t>
            </w: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Decreases</w:t>
            </w:r>
          </w:p>
        </w:tc>
        <w:tc>
          <w:tcPr>
            <w:tcW w:w="224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00" w:type="dxa"/>
            <w:vAlign w:val="bottom"/>
            <w:shd w:val="clear" w:color="auto" w:fill="CCFFCC"/>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2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88,842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33,557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61,822</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w:t>
            </w: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23,412</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4,853</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3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28,265</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net</w:t>
            </w:r>
          </w:p>
        </w:tc>
        <w:tc>
          <w:tcPr>
            <w:tcW w:w="2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88,842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33,557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33,557</w:t>
            </w: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500" w:type="dxa"/>
            <w:vAlign w:val="bottom"/>
          </w:tcPr>
          <w:p>
            <w:pPr>
              <w:spacing w:after="0"/>
              <w:rPr>
                <w:sz w:val="24"/>
                <w:szCs w:val="24"/>
                <w:color w:val="auto"/>
              </w:rPr>
            </w:pPr>
          </w:p>
        </w:tc>
        <w:tc>
          <w:tcPr>
            <w:tcW w:w="386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F-45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5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ind w:left="500" w:hanging="492"/>
        <w:spacing w:after="0"/>
        <w:tabs>
          <w:tab w:leader="none" w:pos="5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assets and other liabilities</w:t>
      </w:r>
    </w:p>
    <w:p>
      <w:pPr>
        <w:spacing w:after="0" w:line="323" w:lineRule="exact"/>
        <w:rPr>
          <w:rFonts w:ascii="Times New Roman" w:cs="Times New Roman" w:eastAsia="Times New Roman" w:hAnsi="Times New Roman"/>
          <w:sz w:val="18"/>
          <w:szCs w:val="18"/>
          <w:b w:val="1"/>
          <w:bCs w:val="1"/>
          <w:color w:val="auto"/>
        </w:rPr>
      </w:pPr>
    </w:p>
    <w:p>
      <w:pPr>
        <w:ind w:left="1180" w:hanging="686"/>
        <w:spacing w:after="0"/>
        <w:tabs>
          <w:tab w:leader="none" w:pos="118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Indexed certificates Citigroup (c)</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53,116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48,149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40,370</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Deferred expenses (b)</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40,941</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36,890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 note 18(c)</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38,016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32,966</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Operations in process (d)</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29,752</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37,347</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receivable, note 20(d)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19,134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8,829</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prepayments, net</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14,509</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11,024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Deferred fees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10,588</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 in related companies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5,657</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16,968</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8,127</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273,188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203,109</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Payroll salaries and other personnel expenses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104,635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67,230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79,039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57,185</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Deferred income tax liability, note 18(c)</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65,810</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30,734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Operations in process (d)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41,606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46,359</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 for sundry risks (e)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17,179</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18,768</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indirect loan losses, note 7(f)</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21,141</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12,154</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30,781</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payable, note 20(d)</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7,608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9,783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356,113</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1140" w:right="260" w:hanging="646"/>
        <w:spacing w:after="0" w:line="266" w:lineRule="auto"/>
        <w:tabs>
          <w:tab w:leader="none" w:pos="115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this caption mainly comprises the Value-Added-Tax credit related to the purchases for leasing operations for approximately US$6.2 million and prepaid insurances for US$10.5 million (US$14.1 and US$8.6 million, respectively, as of December 31, 2005).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23" w:lineRule="exact"/>
        <w:rPr>
          <w:sz w:val="20"/>
          <w:szCs w:val="20"/>
          <w:color w:val="auto"/>
        </w:rPr>
      </w:pPr>
    </w:p>
    <w:p>
      <w:pPr>
        <w:jc w:val="both"/>
        <w:ind w:left="1140" w:right="200" w:hanging="646"/>
        <w:spacing w:after="0" w:line="274" w:lineRule="auto"/>
        <w:tabs>
          <w:tab w:leader="none" w:pos="1171"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2006, BCP signed a contract with Citigroup Global Markets Holdings Inc., Citigroup Capital Limited and Citigroup Capital Market Inc., with the purpose of implementing an economic hedge to offset the volatility generated by the liabilities and related expenses that result from stock appreciation rights (SARs) of Credicorp, note 19.</w:t>
      </w:r>
    </w:p>
    <w:p>
      <w:pPr>
        <w:spacing w:after="0" w:line="223" w:lineRule="exact"/>
        <w:rPr>
          <w:sz w:val="20"/>
          <w:szCs w:val="20"/>
          <w:color w:val="auto"/>
        </w:rPr>
      </w:pPr>
    </w:p>
    <w:p>
      <w:pPr>
        <w:jc w:val="both"/>
        <w:ind w:left="1140" w:right="140"/>
        <w:spacing w:after="0" w:line="257" w:lineRule="auto"/>
        <w:rPr>
          <w:sz w:val="20"/>
          <w:szCs w:val="20"/>
          <w:color w:val="auto"/>
        </w:rPr>
      </w:pPr>
      <w:r>
        <w:rPr>
          <w:rFonts w:ascii="Times New Roman" w:cs="Times New Roman" w:eastAsia="Times New Roman" w:hAnsi="Times New Roman"/>
          <w:sz w:val="18"/>
          <w:szCs w:val="18"/>
          <w:color w:val="auto"/>
        </w:rPr>
        <w:t>This transaction consists of the purchase of up to 1,500,000 certificates indexed to the performance of the shares of Credicorp Ltd. (BAP), in the form of “warrants”, issued by Citigroup, which are equivalent to the same number of shares of Credicorp Ltd.. These certificates will be settled in cash only. At maturity, these certificates will pay a US$ amount equal to the final settlement price minus the strike price (US$</w:t>
      </w:r>
    </w:p>
    <w:p>
      <w:pPr>
        <w:spacing w:after="0" w:line="2" w:lineRule="exact"/>
        <w:rPr>
          <w:sz w:val="20"/>
          <w:szCs w:val="20"/>
          <w:color w:val="auto"/>
        </w:rPr>
      </w:pPr>
    </w:p>
    <w:p>
      <w:pPr>
        <w:ind w:left="1140"/>
        <w:spacing w:after="0" w:line="254" w:lineRule="auto"/>
        <w:rPr>
          <w:sz w:val="20"/>
          <w:szCs w:val="20"/>
          <w:color w:val="auto"/>
        </w:rPr>
      </w:pPr>
      <w:r>
        <w:rPr>
          <w:rFonts w:ascii="Times New Roman" w:cs="Times New Roman" w:eastAsia="Times New Roman" w:hAnsi="Times New Roman"/>
          <w:sz w:val="18"/>
          <w:szCs w:val="18"/>
          <w:color w:val="auto"/>
        </w:rPr>
        <w:t>0.0000001) plus the accrued dividend adjustment amount, minus the annual fee amount multiplied by the number of warrants underlying the certificate. The final settlement price is equivalent to the daily volume-weighted average of the per share price for the underlying equity on each business day, on which the Citigroup or an affiliate of the Citigroup effects any transactions with respect to the underlying equity in order to unwind its position established and maintained to hedge its price and market risk with respect to the certificate issued.</w:t>
      </w:r>
    </w:p>
    <w:p>
      <w:pPr>
        <w:spacing w:after="0" w:line="240" w:lineRule="exact"/>
        <w:rPr>
          <w:sz w:val="20"/>
          <w:szCs w:val="20"/>
          <w:color w:val="auto"/>
        </w:rPr>
      </w:pPr>
    </w:p>
    <w:p>
      <w:pPr>
        <w:ind w:left="1140" w:right="100"/>
        <w:spacing w:after="0" w:line="256" w:lineRule="auto"/>
        <w:rPr>
          <w:sz w:val="20"/>
          <w:szCs w:val="20"/>
          <w:color w:val="auto"/>
        </w:rPr>
      </w:pPr>
      <w:r>
        <w:rPr>
          <w:rFonts w:ascii="Times New Roman" w:cs="Times New Roman" w:eastAsia="Times New Roman" w:hAnsi="Times New Roman"/>
          <w:sz w:val="18"/>
          <w:szCs w:val="18"/>
          <w:color w:val="auto"/>
        </w:rPr>
        <w:t>This program has a maturity of 5 years but can be settled at anytime before its maturity, partially or totally. As of December 31, 2006, the Group has acquired 1,297,414 certificates at a total cost of US$ 49.7 million (US$38.3 per certificate on average). The estimated market value, established under the same methodologies and assumptions used to determine the fair value of the SARs detailed in note 19, adding up to US$ 53.1 million (US$41.0 per certificate on average). The difference between the cost and the estimated market value of approximately US$3.5 million has been recorded in the caption “Other income” of the consolidated statements of income, according to the accounting principles described in note 3(u).</w:t>
      </w:r>
    </w:p>
    <w:p>
      <w:pPr>
        <w:spacing w:after="0" w:line="242" w:lineRule="exact"/>
        <w:rPr>
          <w:sz w:val="20"/>
          <w:szCs w:val="20"/>
          <w:color w:val="auto"/>
        </w:rPr>
      </w:pPr>
    </w:p>
    <w:p>
      <w:pPr>
        <w:ind w:left="1140" w:right="200" w:hanging="646"/>
        <w:spacing w:after="0" w:line="266" w:lineRule="auto"/>
        <w:tabs>
          <w:tab w:leader="none" w:pos="11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30" w:lineRule="exact"/>
        <w:rPr>
          <w:rFonts w:ascii="Times New Roman" w:cs="Times New Roman" w:eastAsia="Times New Roman" w:hAnsi="Times New Roman"/>
          <w:sz w:val="18"/>
          <w:szCs w:val="18"/>
          <w:color w:val="auto"/>
        </w:rPr>
      </w:pPr>
    </w:p>
    <w:p>
      <w:pPr>
        <w:ind w:left="1180" w:hanging="686"/>
        <w:spacing w:after="0"/>
        <w:tabs>
          <w:tab w:leader="none" w:pos="11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movement of the provision for sundry risks for the years 2006, 2005 and 2004 is summarized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shd w:val="clear" w:color="auto" w:fill="CCFFCC"/>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Balances as of January 1</w:t>
            </w:r>
            <w:r>
              <w:rPr>
                <w:rFonts w:ascii="Times New Roman" w:cs="Times New Roman" w:eastAsia="Times New Roman" w:hAnsi="Times New Roman"/>
                <w:sz w:val="29"/>
                <w:szCs w:val="29"/>
                <w:b w:val="1"/>
                <w:bCs w:val="1"/>
                <w:color w:val="auto"/>
                <w:vertAlign w:val="superscript"/>
              </w:rPr>
              <w:t>st</w:t>
            </w:r>
          </w:p>
        </w:tc>
        <w:tc>
          <w:tcPr>
            <w:tcW w:w="452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18,768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19,379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10,078</w:t>
            </w: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note 23</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Applications</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(8,050)</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(6,178)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CCFFCC"/>
            </w:tcBorders>
          </w:tcPr>
          <w:p>
            <w:pPr>
              <w:spacing w:after="0"/>
              <w:rPr>
                <w:sz w:val="20"/>
                <w:szCs w:val="20"/>
                <w:color w:val="auto"/>
              </w:rPr>
            </w:pPr>
          </w:p>
        </w:tc>
        <w:tc>
          <w:tcPr>
            <w:tcW w:w="29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17,179</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18,768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19,379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20" w:type="dxa"/>
            <w:vAlign w:val="bottom"/>
            <w:tcBorders>
              <w:top w:val="single" w:sz="8" w:color="CCFFCC"/>
            </w:tcBorders>
          </w:tcPr>
          <w:p>
            <w:pPr>
              <w:spacing w:after="0"/>
              <w:rPr>
                <w:sz w:val="24"/>
                <w:szCs w:val="24"/>
                <w:color w:val="auto"/>
              </w:rPr>
            </w:pPr>
          </w:p>
        </w:tc>
        <w:tc>
          <w:tcPr>
            <w:tcW w:w="2900" w:type="dxa"/>
            <w:vAlign w:val="bottom"/>
            <w:tcBorders>
              <w:top w:val="single" w:sz="8" w:color="CCFFCC"/>
            </w:tcBorders>
          </w:tcPr>
          <w:p>
            <w:pPr>
              <w:ind w:left="1700"/>
              <w:spacing w:after="0"/>
              <w:rPr>
                <w:sz w:val="20"/>
                <w:szCs w:val="20"/>
                <w:color w:val="auto"/>
              </w:rPr>
            </w:pPr>
            <w:r>
              <w:rPr>
                <w:rFonts w:ascii="Times New Roman" w:cs="Times New Roman" w:eastAsia="Times New Roman" w:hAnsi="Times New Roman"/>
                <w:sz w:val="18"/>
                <w:szCs w:val="18"/>
                <w:color w:val="auto"/>
              </w:rPr>
              <w:t>F-47</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1140" w:right="80"/>
        <w:spacing w:after="0" w:line="282" w:lineRule="auto"/>
        <w:rPr>
          <w:sz w:val="20"/>
          <w:szCs w:val="20"/>
          <w:color w:val="auto"/>
        </w:rPr>
      </w:pPr>
      <w:r>
        <w:rPr>
          <w:rFonts w:ascii="Times New Roman" w:cs="Times New Roman" w:eastAsia="Times New Roman" w:hAnsi="Times New Roman"/>
          <w:sz w:val="18"/>
          <w:szCs w:val="18"/>
          <w:color w:val="auto"/>
        </w:rPr>
        <w:t>This provision mainly comprises the provision for probable losses to complement insurance coverage corresponding to claims not covered by insurance companies.</w:t>
      </w:r>
    </w:p>
    <w:p>
      <w:pPr>
        <w:spacing w:after="0" w:line="216" w:lineRule="exact"/>
        <w:rPr>
          <w:sz w:val="20"/>
          <w:szCs w:val="20"/>
          <w:color w:val="auto"/>
        </w:rPr>
      </w:pPr>
    </w:p>
    <w:p>
      <w:pPr>
        <w:ind w:left="1140" w:right="180"/>
        <w:spacing w:after="0" w:line="258" w:lineRule="auto"/>
        <w:rPr>
          <w:sz w:val="20"/>
          <w:szCs w:val="20"/>
          <w:color w:val="auto"/>
        </w:rPr>
      </w:pPr>
      <w:r>
        <w:rPr>
          <w:rFonts w:ascii="Times New Roman" w:cs="Times New Roman" w:eastAsia="Times New Roman" w:hAnsi="Times New Roman"/>
          <w:sz w:val="18"/>
          <w:szCs w:val="18"/>
          <w:color w:val="auto"/>
        </w:rPr>
        <w:t>Additionally, due to the nature of the business, Credicorp and its Subsidiaries have some pending legal claims (lawsuits) related to their activities. The Group records a provision for such cases when, in Management’s and its legal advisor’s opinion, they will result in additional liabilities for the Group and the amount of the provision can be fairly estimated. Regarding the other legal claims against the Group which have not been provided for, in Management’s and its legal advisor’s opinion, they will not have a material effect on the Group’s financial statements</w:t>
      </w:r>
    </w:p>
    <w:p>
      <w:pPr>
        <w:sectPr>
          <w:pgSz w:w="11900" w:h="16838" w:orient="portrait"/>
          <w:cols w:equalWidth="0" w:num="1">
            <w:col w:w="11420"/>
          </w:cols>
          <w:pgMar w:left="240" w:top="369" w:right="239" w:bottom="1440" w:gutter="0" w:footer="0" w:header="0"/>
        </w:sectPr>
      </w:pPr>
    </w:p>
    <w:p>
      <w:pPr>
        <w:spacing w:after="0" w:line="234" w:lineRule="exact"/>
        <w:rPr>
          <w:sz w:val="20"/>
          <w:szCs w:val="20"/>
          <w:color w:val="auto"/>
        </w:rPr>
      </w:pPr>
    </w:p>
    <w:p>
      <w:pPr>
        <w:ind w:left="500" w:hanging="492"/>
        <w:spacing w:after="0"/>
        <w:tabs>
          <w:tab w:leader="none" w:pos="50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and payable to re-insurers and co-insurers</w:t>
      </w:r>
    </w:p>
    <w:p>
      <w:pPr>
        <w:spacing w:after="0" w:line="28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movement and balance of accounts receivable and payable to reinsurers and coinsurers are as follows:</w:t>
      </w:r>
    </w:p>
    <w:p>
      <w:pPr>
        <w:spacing w:after="0" w:line="331" w:lineRule="exact"/>
        <w:rPr>
          <w:rFonts w:ascii="Times New Roman" w:cs="Times New Roman" w:eastAsia="Times New Roman" w:hAnsi="Times New Roman"/>
          <w:sz w:val="18"/>
          <w:szCs w:val="18"/>
          <w:b w:val="1"/>
          <w:bCs w:val="1"/>
          <w:color w:val="auto"/>
        </w:rPr>
      </w:pPr>
    </w:p>
    <w:p>
      <w:pPr>
        <w:ind w:left="1180" w:hanging="686"/>
        <w:spacing w:after="0"/>
        <w:tabs>
          <w:tab w:leader="none" w:pos="11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Premiums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Reported claims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p>
      <w:pPr>
        <w:spacing w:after="0" w:line="3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Premiums ceded to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Co-insurance granted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US$(000)</w:t>
            </w:r>
          </w:p>
        </w:tc>
      </w:tr>
      <w:tr>
        <w:trPr>
          <w:trHeight w:val="500"/>
        </w:trPr>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35,288</w:t>
            </w:r>
          </w:p>
        </w:tc>
        <w:tc>
          <w:tcPr>
            <w:tcW w:w="20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35,453</w:t>
            </w:r>
          </w:p>
        </w:tc>
      </w:tr>
      <w:tr>
        <w:trPr>
          <w:trHeight w:val="243"/>
        </w:trPr>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11,022</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13,642</w:t>
            </w:r>
          </w:p>
        </w:tc>
      </w:tr>
      <w:tr>
        <w:trPr>
          <w:trHeight w:val="243"/>
        </w:trPr>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16,273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15,804</w:t>
            </w:r>
          </w:p>
        </w:tc>
      </w:tr>
      <w:tr>
        <w:trPr>
          <w:trHeight w:val="270"/>
        </w:trPr>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(27,402)</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(29,611)</w:t>
            </w:r>
          </w:p>
        </w:tc>
      </w:tr>
      <w:tr>
        <w:trPr>
          <w:trHeight w:val="507"/>
        </w:trPr>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35,181</w:t>
            </w:r>
          </w:p>
        </w:tc>
        <w:tc>
          <w:tcPr>
            <w:tcW w:w="20" w:type="dxa"/>
            <w:vAlign w:val="bottom"/>
            <w:tcBorders>
              <w:top w:val="single" w:sz="8" w:color="auto"/>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100" w:type="dxa"/>
            <w:vAlign w:val="bottom"/>
            <w:tcBorders>
              <w:bottom w:val="single" w:sz="8" w:color="CCFFCC"/>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US$(000)</w:t>
            </w:r>
          </w:p>
        </w:tc>
      </w:tr>
      <w:tr>
        <w:trPr>
          <w:trHeight w:val="500"/>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23,612</w:t>
            </w:r>
          </w:p>
        </w:tc>
      </w:tr>
      <w:tr>
        <w:trPr>
          <w:trHeight w:val="243"/>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66,415</w:t>
            </w:r>
          </w:p>
        </w:tc>
      </w:tr>
      <w:tr>
        <w:trPr>
          <w:trHeight w:val="243"/>
        </w:trPr>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12,673</w:t>
            </w:r>
          </w:p>
        </w:tc>
      </w:tr>
      <w:tr>
        <w:trPr>
          <w:trHeight w:val="270"/>
        </w:trPr>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(87,943)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(66,120)</w:t>
            </w:r>
          </w:p>
        </w:tc>
      </w:tr>
      <w:tr>
        <w:trPr>
          <w:trHeight w:val="20"/>
        </w:trPr>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60" w:space="180"/>
            <w:col w:w="3080"/>
          </w:cols>
          <w:pgMar w:left="240" w:top="369"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36,580</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140" w:right="160" w:hanging="646"/>
        <w:spacing w:after="0" w:line="298" w:lineRule="auto"/>
        <w:tabs>
          <w:tab w:leader="none" w:pos="1171"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receivable as of December 31, 2006 include an amount to US$14.4 million (US$21.4 million as of December 31, 2005) which correspond to the portion not accrued of the ceded premiums to the reinsurers.</w:t>
      </w:r>
    </w:p>
    <w:p>
      <w:pPr>
        <w:spacing w:after="0" w:line="242" w:lineRule="exact"/>
        <w:rPr>
          <w:rFonts w:ascii="Times New Roman" w:cs="Times New Roman" w:eastAsia="Times New Roman" w:hAnsi="Times New Roman"/>
          <w:sz w:val="18"/>
          <w:szCs w:val="18"/>
          <w:color w:val="auto"/>
        </w:rPr>
      </w:pPr>
    </w:p>
    <w:p>
      <w:pPr>
        <w:ind w:left="1140" w:right="320" w:hanging="646"/>
        <w:spacing w:after="0" w:line="274" w:lineRule="auto"/>
        <w:tabs>
          <w:tab w:leader="none" w:pos="11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payable to reinsurers are primarily related to automatic non-proportional contracts (excess of loss) and the proportional facultative (voluntary) contracts for ceded premiums. For the facultative contracts, the Company transfers to the reinsurers a percentage or amount of an insurance contract or individual risk, based on the premium and the coverage period.</w:t>
      </w:r>
    </w:p>
    <w:p>
      <w:pPr>
        <w:spacing w:after="0" w:line="21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Deposits and obligations</w:t>
      </w:r>
    </w:p>
    <w:p>
      <w:pPr>
        <w:spacing w:after="0" w:line="323" w:lineRule="exact"/>
        <w:rPr>
          <w:rFonts w:ascii="Times New Roman" w:cs="Times New Roman" w:eastAsia="Times New Roman" w:hAnsi="Times New Roman"/>
          <w:sz w:val="18"/>
          <w:szCs w:val="18"/>
          <w:b w:val="1"/>
          <w:bCs w:val="1"/>
          <w:color w:val="auto"/>
        </w:rPr>
      </w:pPr>
    </w:p>
    <w:p>
      <w:pPr>
        <w:ind w:left="1180" w:hanging="686"/>
        <w:spacing w:after="0"/>
        <w:tabs>
          <w:tab w:leader="none" w:pos="118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bearing deposits and obligations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 Peru</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1,577,315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1,248,113</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412,249</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423,508</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1,989,564</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1,671,621</w:t>
            </w:r>
          </w:p>
        </w:tc>
      </w:tr>
      <w:tr>
        <w:trPr>
          <w:trHeight w:val="237"/>
        </w:trPr>
        <w:tc>
          <w:tcPr>
            <w:tcW w:w="83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Interest bearing deposits and obligations -</w:t>
            </w: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 Peru</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5,213,044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4,031,231</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1,596,526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1,364,902</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6,809,570</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5,396,133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8,799,134</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7,067,754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25,674</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8,838,991</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7,093,428</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1140" w:right="80"/>
        <w:spacing w:after="0" w:line="266" w:lineRule="auto"/>
        <w:rPr>
          <w:sz w:val="20"/>
          <w:szCs w:val="20"/>
          <w:color w:val="auto"/>
        </w:rPr>
      </w:pPr>
      <w:r>
        <w:rPr>
          <w:rFonts w:ascii="Times New Roman" w:cs="Times New Roman" w:eastAsia="Times New Roman" w:hAnsi="Times New Roman"/>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140" w:hanging="646"/>
        <w:spacing w:after="0"/>
        <w:tabs>
          <w:tab w:leader="none" w:pos="11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the balance of deposits and obligations by type of transaction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3,218,157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2,459,907</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2,564,268</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1,729,114</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Saving deposits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1,951,978</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2,105,364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Severance indemnity deposits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775,027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654,791</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Client - Repurchase agreements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228,165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72,200</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Bank and Deposit negotiable certificates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61,539</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46,378</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8,799,134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7,067,754</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40" w:right="500" w:hanging="646"/>
        <w:spacing w:after="0" w:line="298" w:lineRule="auto"/>
        <w:tabs>
          <w:tab w:leader="none" w:pos="113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the total amount of individual time deposits and bank certificates that exceed US$100,000 are approximately US$2,722.6 and US$35.9 million, respectively (US$1,095.7 and US$7.9 million, respectively, as of December 31, 2005).</w:t>
      </w:r>
    </w:p>
    <w:p>
      <w:pPr>
        <w:spacing w:after="0" w:line="201" w:lineRule="exact"/>
        <w:rPr>
          <w:rFonts w:ascii="Times New Roman" w:cs="Times New Roman" w:eastAsia="Times New Roman" w:hAnsi="Times New Roman"/>
          <w:sz w:val="18"/>
          <w:szCs w:val="18"/>
          <w:color w:val="auto"/>
        </w:rPr>
      </w:pPr>
    </w:p>
    <w:p>
      <w:pPr>
        <w:ind w:left="1140" w:right="280" w:hanging="646"/>
        <w:spacing w:after="0" w:line="282" w:lineRule="auto"/>
        <w:tabs>
          <w:tab w:leader="none" w:pos="11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applied to different deposits and obligations accounts are determined by the Group considering interest rates prevailing in the market in which the subsidiaries operate.</w:t>
      </w:r>
    </w:p>
    <w:p>
      <w:pPr>
        <w:spacing w:after="0" w:line="256" w:lineRule="exact"/>
        <w:rPr>
          <w:rFonts w:ascii="Times New Roman" w:cs="Times New Roman" w:eastAsia="Times New Roman" w:hAnsi="Times New Roman"/>
          <w:sz w:val="18"/>
          <w:szCs w:val="18"/>
          <w:color w:val="auto"/>
        </w:rPr>
      </w:pPr>
    </w:p>
    <w:p>
      <w:pPr>
        <w:ind w:left="1120" w:hanging="626"/>
        <w:spacing w:after="0"/>
        <w:tabs>
          <w:tab w:leader="none" w:pos="11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deposits balance classified by maturity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S/(000)</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S/(000)</w:t>
            </w:r>
          </w:p>
        </w:tc>
      </w:tr>
      <w:tr>
        <w:trPr>
          <w:trHeight w:val="243"/>
        </w:trPr>
        <w:tc>
          <w:tcPr>
            <w:tcW w:w="36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3 months</w:t>
            </w:r>
          </w:p>
        </w:tc>
        <w:tc>
          <w:tcPr>
            <w:tcW w:w="62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2,219,948</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1,362,929</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From 3 months to 1 year</w:t>
            </w:r>
          </w:p>
        </w:tc>
        <w:tc>
          <w:tcPr>
            <w:tcW w:w="6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799,584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591,601</w:t>
            </w:r>
          </w:p>
        </w:tc>
      </w:tr>
      <w:tr>
        <w:trPr>
          <w:trHeight w:val="243"/>
        </w:trPr>
        <w:tc>
          <w:tcPr>
            <w:tcW w:w="3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1 to 3 years</w:t>
            </w:r>
          </w:p>
        </w:tc>
        <w:tc>
          <w:tcPr>
            <w:tcW w:w="628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163,283</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192,117</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From 3 to 5 years</w:t>
            </w:r>
          </w:p>
        </w:tc>
        <w:tc>
          <w:tcPr>
            <w:tcW w:w="6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29,226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174,959</w:t>
            </w:r>
          </w:p>
        </w:tc>
      </w:tr>
      <w:tr>
        <w:trPr>
          <w:trHeight w:val="275"/>
        </w:trPr>
        <w:tc>
          <w:tcPr>
            <w:tcW w:w="36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628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6,116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138,301</w:t>
            </w:r>
          </w:p>
        </w:tc>
      </w:tr>
      <w:tr>
        <w:trPr>
          <w:trHeight w:val="237"/>
        </w:trPr>
        <w:tc>
          <w:tcPr>
            <w:tcW w:w="3660" w:type="dxa"/>
            <w:vAlign w:val="bottom"/>
            <w:tcBorders>
              <w:top w:val="single" w:sz="8" w:color="CCFFCC"/>
            </w:tcBorders>
            <w:shd w:val="clear" w:color="auto" w:fill="CCFFCC"/>
          </w:tcPr>
          <w:p>
            <w:pPr>
              <w:spacing w:after="0"/>
              <w:rPr>
                <w:sz w:val="20"/>
                <w:szCs w:val="20"/>
                <w:color w:val="auto"/>
              </w:rPr>
            </w:pPr>
          </w:p>
        </w:tc>
        <w:tc>
          <w:tcPr>
            <w:tcW w:w="468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3,218,157</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2,459,907</w:t>
            </w: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628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F-50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2" w:lineRule="exact"/>
        <w:rPr>
          <w:sz w:val="20"/>
          <w:szCs w:val="20"/>
          <w:color w:val="auto"/>
        </w:rPr>
      </w:pPr>
    </w:p>
    <w:p>
      <w:pPr>
        <w:ind w:left="500" w:hanging="492"/>
        <w:spacing w:after="0"/>
        <w:tabs>
          <w:tab w:leader="none" w:pos="5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to banks and correspondents and borrowed funds</w:t>
      </w:r>
    </w:p>
    <w:p>
      <w:pPr>
        <w:spacing w:after="0" w:line="324" w:lineRule="exact"/>
        <w:rPr>
          <w:sz w:val="20"/>
          <w:szCs w:val="20"/>
          <w:color w:val="auto"/>
        </w:rPr>
      </w:pPr>
    </w:p>
    <w:p>
      <w:pPr>
        <w:ind w:left="1140" w:right="7820" w:hanging="646"/>
        <w:spacing w:after="0" w:line="600" w:lineRule="auto"/>
        <w:tabs>
          <w:tab w:leader="none" w:pos="117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bank and correspondents - This item is made up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International funds and others (i)</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346,945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220,027</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Promotional credit lines (ii)</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212,133</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78,542</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BCRP - Repo transactions (iii)</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510,593</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565,922</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1,021,295</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570,989</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1,023,371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1580" w:hanging="600"/>
        <w:spacing w:after="0"/>
        <w:tabs>
          <w:tab w:leader="none" w:pos="15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of international funds and others corresponds to the following operations: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Banco Latinoamericano de Exportaciones - BLADEX</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Corporación Andina de Fomento - CAF</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Wachovia Bank</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Scotiabank Peru</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24,874</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Standard Chartered</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40,745</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45,153</w:t>
            </w:r>
          </w:p>
        </w:tc>
        <w:tc>
          <w:tcPr>
            <w:tcW w:w="100" w:type="dxa"/>
            <w:vAlign w:val="bottom"/>
          </w:tcPr>
          <w:p>
            <w:pPr>
              <w:spacing w:after="0"/>
              <w:rPr>
                <w:sz w:val="23"/>
                <w:szCs w:val="23"/>
                <w:color w:val="auto"/>
              </w:rPr>
            </w:pPr>
          </w:p>
        </w:tc>
      </w:tr>
      <w:tr>
        <w:trPr>
          <w:trHeight w:val="237"/>
        </w:trPr>
        <w:tc>
          <w:tcPr>
            <w:tcW w:w="8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346,945</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220,027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1460"/>
        <w:spacing w:after="0" w:line="266" w:lineRule="auto"/>
        <w:rPr>
          <w:sz w:val="20"/>
          <w:szCs w:val="20"/>
          <w:color w:val="auto"/>
        </w:rPr>
      </w:pPr>
      <w:r>
        <w:rPr>
          <w:rFonts w:ascii="Times New Roman" w:cs="Times New Roman" w:eastAsia="Times New Roman" w:hAnsi="Times New Roman"/>
          <w:sz w:val="18"/>
          <w:szCs w:val="18"/>
          <w:color w:val="auto"/>
        </w:rPr>
        <w:t>These international funds and other received by the Group, are carried out mainly to financing foreign trade operations and working capital. As of December 31, 2006 these loans have maturities between January 2007 and May 2007 (between January 2006 and May 2006 as of December 2005). The interest rate range between 3.73 and 5.76 (between 2.55 and 4.95 as of December 2005).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460" w:right="80" w:hanging="480"/>
        <w:spacing w:after="0" w:line="258" w:lineRule="auto"/>
        <w:tabs>
          <w:tab w:leader="none" w:pos="16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promotional credit lines represent loans granted to BCP by Corporación Financiera de Desarrollo (COFIDE) and Banco Interamericano de Desarrollo (BID), to promote the development of Peru, have maturities between January of 2007 and December of 2021 and their interest rates fluctuated between 5.65 and 7.90 percent annual (between January as 2006 and December 2021 and their interest effective rate fluctuated between 4.41 and 7.25 percent annual as of December 31, 2005). These credit lines are secured by a loan portfolio amounting to US$177.9 and US$212.1 million as of December 31, 2006 and 2005, respectively. These lines include covenants specifying the use of the funds, financial conditions that the borrower must maintain and other administrative matters. In Management’s opinion, these covenants do not limit the Group’s operations and the Group is in compliance at the balance sheet date.</w:t>
      </w:r>
    </w:p>
    <w:p>
      <w:pPr>
        <w:spacing w:after="0" w:line="279" w:lineRule="exact"/>
        <w:rPr>
          <w:rFonts w:ascii="Times New Roman" w:cs="Times New Roman" w:eastAsia="Times New Roman" w:hAnsi="Times New Roman"/>
          <w:sz w:val="18"/>
          <w:szCs w:val="18"/>
          <w:color w:val="auto"/>
        </w:rPr>
      </w:pPr>
    </w:p>
    <w:p>
      <w:pPr>
        <w:ind w:left="1460" w:right="300" w:hanging="480"/>
        <w:spacing w:after="0" w:line="298" w:lineRule="auto"/>
        <w:tabs>
          <w:tab w:leader="none" w:pos="167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2005, the Group had BCRP - Repo transactions with the Peruvian Central Bank (BCRP), which earned annual interest rates between 3.23 and 3.32 percent, with 3 day maturities.</w:t>
      </w:r>
    </w:p>
    <w:p>
      <w:pPr>
        <w:spacing w:after="0" w:line="242" w:lineRule="exact"/>
        <w:rPr>
          <w:sz w:val="20"/>
          <w:szCs w:val="20"/>
          <w:color w:val="auto"/>
        </w:rPr>
      </w:pPr>
    </w:p>
    <w:p>
      <w:pPr>
        <w:ind w:left="1160" w:hanging="666"/>
        <w:spacing w:after="0"/>
        <w:tabs>
          <w:tab w:leader="none" w:pos="11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funds -</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balance of the borrowed funds corresponds to the following operations: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CCR Inc. MT-100, Payment rights master Trust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2005 Series A and B (i)</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2006 Series A (ii)</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2006</w:t>
      </w:r>
      <w:r>
        <w:rPr>
          <w:sz w:val="20"/>
          <w:szCs w:val="20"/>
          <w:color w:val="auto"/>
        </w:rPr>
        <w:tab/>
      </w:r>
      <w:r>
        <w:rPr>
          <w:rFonts w:ascii="Times New Roman" w:cs="Times New Roman" w:eastAsia="Times New Roman" w:hAnsi="Times New Roman"/>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19685</wp:posOffset>
            </wp:positionV>
            <wp:extent cx="18865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US$(000)</w:t>
      </w:r>
      <w:r>
        <w:rPr>
          <w:sz w:val="20"/>
          <w:szCs w:val="20"/>
          <w:color w:val="auto"/>
        </w:rPr>
        <w:tab/>
      </w:r>
      <w:r>
        <w:rPr>
          <w:rFonts w:ascii="Times New Roman" w:cs="Times New Roman" w:eastAsia="Times New Roman" w:hAnsi="Times New Roman"/>
          <w:sz w:val="17"/>
          <w:szCs w:val="17"/>
          <w:color w:val="auto"/>
        </w:rPr>
        <w:t>US$(000)</w:t>
      </w:r>
    </w:p>
    <w:p>
      <w:pPr>
        <w:spacing w:after="0" w:line="200" w:lineRule="exact"/>
        <w:rPr>
          <w:sz w:val="20"/>
          <w:szCs w:val="20"/>
          <w:color w:val="auto"/>
        </w:rPr>
      </w:pPr>
    </w:p>
    <w:p>
      <w:pPr>
        <w:spacing w:after="0" w:line="322" w:lineRule="exact"/>
        <w:rPr>
          <w:sz w:val="20"/>
          <w:szCs w:val="20"/>
          <w:color w:val="auto"/>
        </w:rPr>
      </w:pPr>
    </w:p>
    <w:p>
      <w:pPr>
        <w:jc w:val="both"/>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280,000</w:t>
      </w:r>
      <w:r>
        <w:rPr>
          <w:sz w:val="20"/>
          <w:szCs w:val="20"/>
          <w:color w:val="auto"/>
        </w:rPr>
        <w:tab/>
      </w:r>
      <w:r>
        <w:rPr>
          <w:rFonts w:ascii="Times New Roman" w:cs="Times New Roman" w:eastAsia="Times New Roman" w:hAnsi="Times New Roman"/>
          <w:sz w:val="18"/>
          <w:szCs w:val="18"/>
          <w:color w:val="auto"/>
        </w:rPr>
        <w:t>280,000</w:t>
      </w:r>
    </w:p>
    <w:p>
      <w:pPr>
        <w:spacing w:after="0" w:line="63" w:lineRule="exact"/>
        <w:rPr>
          <w:sz w:val="20"/>
          <w:szCs w:val="20"/>
          <w:color w:val="auto"/>
        </w:rPr>
      </w:pPr>
    </w:p>
    <w:p>
      <w:pPr>
        <w:jc w:val="both"/>
        <w:ind w:left="540"/>
        <w:spacing w:after="0"/>
        <w:tabs>
          <w:tab w:leader="none" w:pos="2560" w:val="left"/>
        </w:tabs>
        <w:rPr>
          <w:sz w:val="20"/>
          <w:szCs w:val="20"/>
          <w:color w:val="auto"/>
        </w:rPr>
      </w:pPr>
      <w:r>
        <w:rPr>
          <w:rFonts w:ascii="Times New Roman" w:cs="Times New Roman" w:eastAsia="Times New Roman" w:hAnsi="Times New Roman"/>
          <w:sz w:val="18"/>
          <w:szCs w:val="18"/>
          <w:color w:val="auto"/>
        </w:rPr>
        <w:t>90,612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17145</wp:posOffset>
            </wp:positionV>
            <wp:extent cx="18865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40"/>
          </w:cols>
          <w:pgMar w:left="240" w:top="369" w:right="2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370,612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92" w:lineRule="exact"/>
        <w:rPr>
          <w:sz w:val="20"/>
          <w:szCs w:val="20"/>
          <w:color w:val="auto"/>
        </w:rPr>
      </w:pPr>
    </w:p>
    <w:p>
      <w:pPr>
        <w:ind w:left="1620" w:hanging="640"/>
        <w:spacing w:after="0" w:line="256" w:lineRule="auto"/>
        <w:tabs>
          <w:tab w:leader="none" w:pos="181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loan transaction made by the BCP in November 2005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0.21 percent for the 2005-A Series and one month Libor plus 0.60 percent for the Series 2005-B. As of December 31, 2006 and 2005, the balance of this obligation amounts to US$280.0 million. A portion (70 percent), of the loan, subject to variable interest rate risk, has been hedged through an interest rate swap hedge operation for a notional amount of US$196.0 million, note 20(d).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460" w:right="100"/>
        <w:spacing w:after="0" w:line="261" w:lineRule="auto"/>
        <w:rPr>
          <w:sz w:val="20"/>
          <w:szCs w:val="20"/>
          <w:color w:val="auto"/>
        </w:rPr>
      </w:pPr>
      <w:r>
        <w:rPr>
          <w:rFonts w:ascii="Times New Roman" w:cs="Times New Roman" w:eastAsia="Times New Roman" w:hAnsi="Times New Roman"/>
          <w:sz w:val="18"/>
          <w:szCs w:val="18"/>
          <w:color w:val="auto"/>
        </w:rPr>
        <w:t>In addition, for the US$100.0 million of the Series 2006-A and the US$230.0 million of the Series 2005-A, BCP has signed an insurance policy with AMBAC Assurance Corporation, which guarantees the timely payment of scheduled principal and certain accrued interest to pay the monthly payments with maturities through November 2016 and November 2012, respectively. The insurance policy cost is equivalent to an annual fixed interest rate of 0.80 and 0.75 percent of the principal, that is recorded as part of the interests cost.</w:t>
      </w:r>
    </w:p>
    <w:p>
      <w:pPr>
        <w:spacing w:after="0" w:line="275" w:lineRule="exact"/>
        <w:rPr>
          <w:sz w:val="20"/>
          <w:szCs w:val="20"/>
          <w:color w:val="auto"/>
        </w:rPr>
      </w:pPr>
    </w:p>
    <w:p>
      <w:pPr>
        <w:ind w:left="1460" w:hanging="480"/>
        <w:spacing w:after="0" w:line="258" w:lineRule="auto"/>
        <w:tabs>
          <w:tab w:leader="none" w:pos="162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the loan transaction made by the BCP in March 2006 for US$100.0 million, related to Series 2006-A Floating Rate Certificates due 2016.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0.29 percent. As of December 31, 2006, the balance of this obligation amounts to US$90.6 million.</w:t>
      </w:r>
    </w:p>
    <w:p>
      <w:pPr>
        <w:spacing w:after="0" w:line="239" w:lineRule="exact"/>
        <w:rPr>
          <w:sz w:val="20"/>
          <w:szCs w:val="20"/>
          <w:color w:val="auto"/>
        </w:rPr>
      </w:pPr>
    </w:p>
    <w:p>
      <w:pPr>
        <w:ind w:left="1460" w:right="280"/>
        <w:spacing w:after="0" w:line="282" w:lineRule="auto"/>
        <w:rPr>
          <w:sz w:val="20"/>
          <w:szCs w:val="20"/>
          <w:color w:val="auto"/>
        </w:rPr>
      </w:pPr>
      <w:r>
        <w:rPr>
          <w:rFonts w:ascii="Times New Roman" w:cs="Times New Roman" w:eastAsia="Times New Roman" w:hAnsi="Times New Roman"/>
          <w:sz w:val="18"/>
          <w:szCs w:val="18"/>
          <w:color w:val="auto"/>
        </w:rPr>
        <w:t>The loans obtained by the Group include “covenants” which in Management’s opinion, the Group is in compliance at the consolidated balance sheet date.</w:t>
      </w:r>
    </w:p>
    <w:p>
      <w:pPr>
        <w:spacing w:after="0" w:line="256" w:lineRule="exact"/>
        <w:rPr>
          <w:sz w:val="20"/>
          <w:szCs w:val="20"/>
          <w:color w:val="auto"/>
        </w:rPr>
      </w:pPr>
    </w:p>
    <w:p>
      <w:pPr>
        <w:ind w:left="1140" w:right="660" w:hanging="646"/>
        <w:spacing w:after="0" w:line="298" w:lineRule="auto"/>
        <w:tabs>
          <w:tab w:leader="none" w:pos="11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maturities of due to bank and correspondents and borrowed funds are shown below, based in the remaining period to the repayment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 and correspondents</w:t>
            </w:r>
          </w:p>
        </w:tc>
        <w:tc>
          <w:tcPr>
            <w:tcW w:w="4320" w:type="dxa"/>
            <w:vAlign w:val="bottom"/>
          </w:tcPr>
          <w:p>
            <w:pPr>
              <w:spacing w:after="0"/>
              <w:rPr>
                <w:sz w:val="23"/>
                <w:szCs w:val="23"/>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3"/>
                <w:szCs w:val="23"/>
                <w:color w:val="auto"/>
              </w:rPr>
            </w:pPr>
          </w:p>
        </w:tc>
      </w:tr>
      <w:tr>
        <w:trPr>
          <w:trHeight w:val="237"/>
        </w:trPr>
        <w:tc>
          <w:tcPr>
            <w:tcW w:w="4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40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3 months</w:t>
            </w:r>
          </w:p>
        </w:tc>
        <w:tc>
          <w:tcPr>
            <w:tcW w:w="59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279,802</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864,966</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From 3 months to 1 year</w:t>
            </w:r>
          </w:p>
        </w:tc>
        <w:tc>
          <w:tcPr>
            <w:tcW w:w="5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126,447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13,271</w:t>
            </w:r>
          </w:p>
        </w:tc>
      </w:tr>
      <w:tr>
        <w:trPr>
          <w:trHeight w:val="243"/>
        </w:trPr>
        <w:tc>
          <w:tcPr>
            <w:tcW w:w="40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1 to 3 years</w:t>
            </w:r>
          </w:p>
        </w:tc>
        <w:tc>
          <w:tcPr>
            <w:tcW w:w="59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23,457</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20,963</w:t>
            </w: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From 3 to 5 years</w:t>
            </w:r>
          </w:p>
        </w:tc>
        <w:tc>
          <w:tcPr>
            <w:tcW w:w="5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22,001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28,402</w:t>
            </w:r>
          </w:p>
        </w:tc>
      </w:tr>
      <w:tr>
        <w:trPr>
          <w:trHeight w:val="275"/>
        </w:trPr>
        <w:tc>
          <w:tcPr>
            <w:tcW w:w="40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432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114,215</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93,693</w:t>
            </w:r>
          </w:p>
        </w:tc>
      </w:tr>
      <w:tr>
        <w:trPr>
          <w:trHeight w:val="237"/>
        </w:trPr>
        <w:tc>
          <w:tcPr>
            <w:tcW w:w="4020" w:type="dxa"/>
            <w:vAlign w:val="bottom"/>
            <w:tcBorders>
              <w:top w:val="single" w:sz="8" w:color="CCFFCC"/>
            </w:tcBorders>
          </w:tcPr>
          <w:p>
            <w:pPr>
              <w:spacing w:after="0"/>
              <w:rPr>
                <w:sz w:val="20"/>
                <w:szCs w:val="20"/>
                <w:color w:val="auto"/>
              </w:rPr>
            </w:pPr>
          </w:p>
        </w:tc>
        <w:tc>
          <w:tcPr>
            <w:tcW w:w="43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0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565,922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1,021,295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4020" w:type="dxa"/>
            <w:vAlign w:val="bottom"/>
          </w:tcPr>
          <w:p>
            <w:pPr>
              <w:spacing w:after="0"/>
              <w:rPr>
                <w:sz w:val="24"/>
                <w:szCs w:val="24"/>
                <w:color w:val="auto"/>
              </w:rPr>
            </w:pPr>
          </w:p>
        </w:tc>
        <w:tc>
          <w:tcPr>
            <w:tcW w:w="592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F-53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2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color w:val="auto"/>
        </w:rPr>
        <w:t>Borrowed Funds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 to 3 years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3 to 5 years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2006</w:t>
      </w:r>
      <w:r>
        <w:rPr>
          <w:sz w:val="20"/>
          <w:szCs w:val="20"/>
          <w:color w:val="auto"/>
        </w:rPr>
        <w:tab/>
      </w:r>
      <w:r>
        <w:rPr>
          <w:rFonts w:ascii="Times New Roman" w:cs="Times New Roman" w:eastAsia="Times New Roman" w:hAnsi="Times New Roman"/>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19685</wp:posOffset>
            </wp:positionV>
            <wp:extent cx="1886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color w:val="auto"/>
        </w:rPr>
        <w:t>US$(000)</w:t>
      </w:r>
      <w:r>
        <w:rPr>
          <w:sz w:val="20"/>
          <w:szCs w:val="20"/>
          <w:color w:val="auto"/>
        </w:rPr>
        <w:tab/>
      </w:r>
      <w:r>
        <w:rPr>
          <w:rFonts w:ascii="Times New Roman" w:cs="Times New Roman" w:eastAsia="Times New Roman" w:hAnsi="Times New Roman"/>
          <w:sz w:val="17"/>
          <w:szCs w:val="17"/>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172085</wp:posOffset>
            </wp:positionV>
            <wp:extent cx="72466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left="540"/>
        <w:spacing w:after="0"/>
        <w:tabs>
          <w:tab w:leader="none" w:pos="2200" w:val="left"/>
        </w:tabs>
        <w:rPr>
          <w:sz w:val="20"/>
          <w:szCs w:val="20"/>
          <w:color w:val="auto"/>
        </w:rPr>
      </w:pPr>
      <w:r>
        <w:rPr>
          <w:rFonts w:ascii="Times New Roman" w:cs="Times New Roman" w:eastAsia="Times New Roman" w:hAnsi="Times New Roman"/>
          <w:sz w:val="18"/>
          <w:szCs w:val="18"/>
          <w:color w:val="auto"/>
        </w:rPr>
        <w:t>61,217</w:t>
      </w:r>
      <w:r>
        <w:rPr>
          <w:sz w:val="20"/>
          <w:szCs w:val="20"/>
          <w:color w:val="auto"/>
        </w:rPr>
        <w:tab/>
      </w:r>
      <w:r>
        <w:rPr>
          <w:rFonts w:ascii="Times New Roman" w:cs="Times New Roman" w:eastAsia="Times New Roman" w:hAnsi="Times New Roman"/>
          <w:sz w:val="18"/>
          <w:szCs w:val="18"/>
          <w:color w:val="auto"/>
        </w:rPr>
        <w:t>8,025</w:t>
      </w:r>
    </w:p>
    <w:p>
      <w:pPr>
        <w:spacing w:after="0" w:line="36" w:lineRule="exact"/>
        <w:rPr>
          <w:sz w:val="20"/>
          <w:szCs w:val="20"/>
          <w:color w:val="auto"/>
        </w:rPr>
      </w:pPr>
    </w:p>
    <w:p>
      <w:pPr>
        <w:jc w:val="both"/>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166,817</w:t>
      </w:r>
      <w:r>
        <w:rPr>
          <w:sz w:val="20"/>
          <w:szCs w:val="20"/>
          <w:color w:val="auto"/>
        </w:rPr>
        <w:tab/>
      </w:r>
      <w:r>
        <w:rPr>
          <w:rFonts w:ascii="Times New Roman" w:cs="Times New Roman" w:eastAsia="Times New Roman" w:hAnsi="Times New Roman"/>
          <w:sz w:val="18"/>
          <w:szCs w:val="18"/>
          <w:color w:val="auto"/>
        </w:rPr>
        <w:t>124,139</w:t>
      </w:r>
    </w:p>
    <w:p>
      <w:pPr>
        <w:spacing w:after="0" w:line="45" w:lineRule="exact"/>
        <w:rPr>
          <w:sz w:val="20"/>
          <w:szCs w:val="20"/>
          <w:color w:val="auto"/>
        </w:rPr>
      </w:pPr>
    </w:p>
    <w:p>
      <w:pPr>
        <w:sectPr>
          <w:pgSz w:w="11900" w:h="16838" w:orient="portrait"/>
          <w:cols w:equalWidth="0" w:num="2">
            <w:col w:w="7960" w:space="720"/>
            <w:col w:w="2740"/>
          </w:cols>
          <w:pgMar w:left="240" w:top="414" w:right="239" w:bottom="1440" w:gutter="0" w:footer="0" w:header="0"/>
        </w:sectPr>
      </w:pPr>
    </w:p>
    <w:tbl>
      <w:tblPr>
        <w:tblLayout w:type="fixed"/>
        <w:tblInd w:w="0" w:type="dxa"/>
        <w:tblCellMar>
          <w:top w:w="0" w:type="dxa"/>
          <w:left w:w="0" w:type="dxa"/>
          <w:bottom w:w="0" w:type="dxa"/>
          <w:right w:w="0" w:type="dxa"/>
        </w:tblCellMar>
      </w:tblPr>
      <w:tr>
        <w:trPr>
          <w:trHeight w:val="257"/>
        </w:trPr>
        <w:tc>
          <w:tcPr>
            <w:tcW w:w="8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142,578</w:t>
            </w: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147,836</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370,612</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280,000</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2" w:lineRule="exact"/>
        <w:rPr>
          <w:sz w:val="20"/>
          <w:szCs w:val="20"/>
          <w:color w:val="auto"/>
        </w:rPr>
      </w:pPr>
    </w:p>
    <w:p>
      <w:pPr>
        <w:ind w:left="1140" w:right="300" w:hanging="646"/>
        <w:spacing w:after="0" w:line="298" w:lineRule="auto"/>
        <w:tabs>
          <w:tab w:leader="none" w:pos="1282"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the Group has credit lines granted by several local and foreign financial institutions amounted to US$ 1,162.5 million (US$787.3 million as of December 31, 2005) that are available for future operating activities or to settle capital commitments.</w:t>
      </w:r>
    </w:p>
    <w:p>
      <w:pPr>
        <w:spacing w:after="0" w:line="197" w:lineRule="exact"/>
        <w:rPr>
          <w:rFonts w:ascii="Times New Roman" w:cs="Times New Roman" w:eastAsia="Times New Roman" w:hAnsi="Times New Roman"/>
          <w:sz w:val="18"/>
          <w:szCs w:val="18"/>
          <w:color w:val="auto"/>
        </w:rPr>
      </w:pPr>
    </w:p>
    <w:p>
      <w:pPr>
        <w:ind w:left="660" w:right="5100" w:hanging="652"/>
        <w:spacing w:after="0" w:line="595" w:lineRule="auto"/>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Technical, insurance claims reserves and reserves for unearned premiums </w:t>
      </w:r>
      <w:r>
        <w:rPr>
          <w:rFonts w:ascii="Times New Roman" w:cs="Times New Roman" w:eastAsia="Times New Roman" w:hAnsi="Times New Roman"/>
          <w:sz w:val="18"/>
          <w:szCs w:val="18"/>
          <w:color w:val="auto"/>
        </w:rPr>
        <w:t>This item is made up as follows:</w:t>
      </w: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5"/>
              </w:rPr>
              <w:t>Technical</w:t>
            </w:r>
          </w:p>
        </w:tc>
        <w:tc>
          <w:tcPr>
            <w:tcW w:w="16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 claims</w:t>
            </w:r>
          </w:p>
        </w:tc>
        <w:tc>
          <w:tcPr>
            <w:tcW w:w="2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US$(000)</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442,172</w:t>
            </w:r>
          </w:p>
        </w:tc>
        <w:tc>
          <w:tcPr>
            <w:tcW w:w="1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41,932</w:t>
            </w:r>
          </w:p>
        </w:tc>
        <w:tc>
          <w:tcPr>
            <w:tcW w:w="15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484,898</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67,640</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39,429</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109,233</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15,029</w:t>
            </w:r>
          </w:p>
        </w:tc>
        <w:tc>
          <w:tcPr>
            <w:tcW w:w="1660" w:type="dxa"/>
            <w:vAlign w:val="bottom"/>
            <w:tcBorders>
              <w:bottom w:val="single" w:sz="8" w:color="CCFFCC"/>
              <w:right w:val="single" w:sz="8" w:color="CCFFCC"/>
            </w:tcBorders>
            <w:gridSpan w:val="2"/>
            <w:shd w:val="clear" w:color="auto" w:fill="CCFFCC"/>
          </w:tcPr>
          <w:p>
            <w:pPr>
              <w:jc w:val="right"/>
              <w:ind w:right="280"/>
              <w:spacing w:after="0"/>
              <w:rPr>
                <w:sz w:val="20"/>
                <w:szCs w:val="20"/>
                <w:color w:val="auto"/>
              </w:rPr>
            </w:pPr>
            <w:r>
              <w:rPr>
                <w:rFonts w:ascii="Times New Roman" w:cs="Times New Roman" w:eastAsia="Times New Roman" w:hAnsi="Times New Roman"/>
                <w:sz w:val="18"/>
                <w:szCs w:val="18"/>
                <w:color w:val="auto"/>
              </w:rPr>
              <w:t>19,053</w:t>
            </w: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34,090</w:t>
            </w:r>
          </w:p>
        </w:tc>
      </w:tr>
      <w:tr>
        <w:trPr>
          <w:trHeight w:val="237"/>
        </w:trPr>
        <w:tc>
          <w:tcPr>
            <w:tcW w:w="516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8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524,841</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100,414</w:t>
            </w:r>
          </w:p>
        </w:tc>
        <w:tc>
          <w:tcPr>
            <w:tcW w:w="280" w:type="dxa"/>
            <w:vAlign w:val="bottom"/>
            <w:tcBorders>
              <w:right w:val="single" w:sz="8" w:color="CCFFCC"/>
            </w:tcBorders>
            <w:shd w:val="clear" w:color="auto" w:fill="CCFFCC"/>
          </w:tcPr>
          <w:p>
            <w:pPr>
              <w:spacing w:after="0"/>
              <w:rPr>
                <w:sz w:val="22"/>
                <w:szCs w:val="22"/>
                <w:color w:val="auto"/>
              </w:rPr>
            </w:pPr>
          </w:p>
        </w:tc>
        <w:tc>
          <w:tcPr>
            <w:tcW w:w="15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2,966</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628,221</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5"/>
              </w:rPr>
              <w:t>Technical</w:t>
            </w:r>
          </w:p>
        </w:tc>
        <w:tc>
          <w:tcPr>
            <w:tcW w:w="1660" w:type="dxa"/>
            <w:vAlign w:val="bottom"/>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 claims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US$(000)</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84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383,158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35,792</w:t>
            </w:r>
          </w:p>
        </w:tc>
        <w:tc>
          <w:tcPr>
            <w:tcW w:w="6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1,047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419,997</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63,976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30,125</w:t>
            </w: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94,666</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Health insurance</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16,292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15,139</w:t>
            </w:r>
          </w:p>
        </w:tc>
        <w:tc>
          <w:tcPr>
            <w:tcW w:w="60" w:type="dxa"/>
            <w:vAlign w:val="bottom"/>
            <w:tcBorders>
              <w:bottom w:val="single" w:sz="8" w:color="CCFFCC"/>
            </w:tcBorders>
            <w:shd w:val="clear" w:color="auto" w:fill="CCFFCC"/>
          </w:tcPr>
          <w:p>
            <w:pPr>
              <w:spacing w:after="0"/>
              <w:rPr>
                <w:sz w:val="23"/>
                <w:szCs w:val="23"/>
                <w:color w:val="auto"/>
              </w:rPr>
            </w:pP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31,431</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60" w:type="dxa"/>
            <w:vAlign w:val="bottom"/>
            <w:tcBorders>
              <w:top w:val="single" w:sz="8" w:color="auto"/>
            </w:tcBorders>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546,094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F-54</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reserves for claims represent the reported claims and the reserve for the incurred and non-reported claims by the policyholders chargeable to the Group and its Subsidiaries. The reported claims are adjusted on the basis of the technical reports received from the adjusters. The claims to be paid by the reinsurers and coinsurers are shown as ceded claims.</w:t>
      </w:r>
    </w:p>
    <w:p>
      <w:pPr>
        <w:spacing w:after="0" w:line="230" w:lineRule="exact"/>
        <w:rPr>
          <w:sz w:val="20"/>
          <w:szCs w:val="20"/>
          <w:color w:val="auto"/>
        </w:rPr>
      </w:pPr>
    </w:p>
    <w:p>
      <w:pPr>
        <w:ind w:left="660" w:right="80"/>
        <w:spacing w:after="0" w:line="258" w:lineRule="auto"/>
        <w:rPr>
          <w:sz w:val="20"/>
          <w:szCs w:val="20"/>
          <w:color w:val="auto"/>
        </w:rPr>
      </w:pPr>
      <w:r>
        <w:rPr>
          <w:rFonts w:ascii="Times New Roman" w:cs="Times New Roman" w:eastAsia="Times New Roman" w:hAnsi="Times New Roman"/>
          <w:sz w:val="18"/>
          <w:szCs w:val="18"/>
          <w:color w:val="auto"/>
        </w:rPr>
        <w:t>The reserves for direct claims include reserves for incurred and non-reported claims for the three types of risks that the Group manages; such amounts at December 31, 2006 were US$ 27.6 million (US$24.2 million as of December 31, 2005), of which US$ 11.7 million correspond to life risks, US$8.2 million to property and casualty and US$ 7.7 million to health risks (US$8.7, US$3.8 and US$11.7 million, respectively, as of December 31, 2005). The IBNR reserves for property and casualty and health risks have been determined on the basis of the Bornhuetter - Ferguson methodology - BF, which is applied to compare statistical occurrences of claims, excluding payments made to the policyholders.</w:t>
      </w:r>
    </w:p>
    <w:p>
      <w:pPr>
        <w:spacing w:after="0" w:line="238"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During 2006 and previous years, the differences between the estimations for the incurred and non-reported claims and the liquidated and pending liquidation claims have not been significant. In the case of property and casualty and health risks, the amounts provisioned are greater than the liquidated claims and those pending liquidation by a percentage that does not exceed 10% of the reserve.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 for the years 2006 and 2005 of technical and insurance claims reserves is as follows:</w:t>
      </w:r>
    </w:p>
    <w:p>
      <w:pPr>
        <w:spacing w:after="0" w:line="320" w:lineRule="exact"/>
        <w:rPr>
          <w:sz w:val="20"/>
          <w:szCs w:val="20"/>
          <w:color w:val="auto"/>
        </w:rPr>
      </w:pPr>
    </w:p>
    <w:p>
      <w:pPr>
        <w:ind w:left="1120" w:hanging="626"/>
        <w:spacing w:after="0"/>
        <w:tabs>
          <w:tab w:leader="none" w:pos="11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insurance claims: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36,839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30,690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15,139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82,668</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52,713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60,285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202,795</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(49,369)</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(49,386)</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(86,119)</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(184,874)</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2,791</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103,380</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16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F-55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29,293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11,561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76,700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Claims</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93,115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191,304</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(38,732)</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(54,660)</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(89,537)</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(182,929)</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37"/>
        </w:trPr>
        <w:tc>
          <w:tcPr>
            <w:tcW w:w="1060" w:type="dxa"/>
            <w:vAlign w:val="bottom"/>
            <w:shd w:val="clear" w:color="auto" w:fill="CCFFCC"/>
          </w:tcPr>
          <w:p>
            <w:pPr>
              <w:spacing w:after="0"/>
              <w:rPr>
                <w:sz w:val="20"/>
                <w:szCs w:val="20"/>
                <w:color w:val="auto"/>
              </w:rPr>
            </w:pPr>
          </w:p>
        </w:tc>
        <w:tc>
          <w:tcPr>
            <w:tcW w:w="41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36,839</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30,690</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15,139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82,668</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Technical Reserves: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60" w:type="dxa"/>
            <w:vAlign w:val="bottom"/>
            <w:vMerge w:val="continue"/>
          </w:tcPr>
          <w:p>
            <w:pPr>
              <w:spacing w:after="0"/>
              <w:rPr>
                <w:sz w:val="24"/>
                <w:szCs w:val="24"/>
                <w:color w:val="auto"/>
              </w:rPr>
            </w:pPr>
          </w:p>
        </w:tc>
        <w:tc>
          <w:tcPr>
            <w:tcW w:w="4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383,158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63,976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463,426</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expenses and 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12,683</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3,664</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(1,263)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subscriptions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60,227</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(23,356)</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(23,356)</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410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442,172</w:t>
            </w:r>
          </w:p>
        </w:tc>
        <w:tc>
          <w:tcPr>
            <w:tcW w:w="22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67,640</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15,029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524,841</w:t>
            </w:r>
          </w:p>
        </w:tc>
        <w:tc>
          <w:tcPr>
            <w:tcW w:w="0" w:type="dxa"/>
            <w:vAlign w:val="bottom"/>
          </w:tcPr>
          <w:p>
            <w:pPr>
              <w:spacing w:after="0"/>
              <w:rPr>
                <w:sz w:val="1"/>
                <w:szCs w:val="1"/>
                <w:color w:val="auto"/>
              </w:rPr>
            </w:pPr>
          </w:p>
        </w:tc>
      </w:tr>
      <w:tr>
        <w:trPr>
          <w:trHeight w:val="710"/>
        </w:trPr>
        <w:tc>
          <w:tcPr>
            <w:tcW w:w="106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F-56</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322,629</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59,624</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12,703</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394,956</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expenses and 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14,832</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14,832</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4,352</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3,589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7,941</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Insurance subscriptions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70,366</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(19,130)</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(19,130)</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(5,539)</w:t>
            </w:r>
          </w:p>
        </w:tc>
      </w:tr>
      <w:tr>
        <w:trPr>
          <w:trHeight w:val="237"/>
        </w:trPr>
        <w:tc>
          <w:tcPr>
            <w:tcW w:w="51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Final balance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383,158</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63,976</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463,426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1140" w:right="160"/>
        <w:spacing w:after="0" w:line="282" w:lineRule="auto"/>
        <w:rPr>
          <w:sz w:val="20"/>
          <w:szCs w:val="20"/>
          <w:color w:val="auto"/>
        </w:rPr>
      </w:pPr>
      <w:r>
        <w:rPr>
          <w:rFonts w:ascii="Times New Roman" w:cs="Times New Roman" w:eastAsia="Times New Roman" w:hAnsi="Times New Roman"/>
          <w:sz w:val="18"/>
          <w:szCs w:val="18"/>
          <w:color w:val="auto"/>
        </w:rPr>
        <w:t>As of December 31, 2006 and 2005, no additional reserves were needed as a result of the liability adequacy test. The main assumptions used in estimation of annuities, disability and survivor reserves as of December 31, 2006 and 2005, were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Modality</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Mortality Table</w:t>
            </w:r>
          </w:p>
        </w:tc>
        <w:tc>
          <w:tcPr>
            <w:tcW w:w="160" w:type="dxa"/>
            <w:vAlign w:val="bottom"/>
          </w:tcPr>
          <w:p>
            <w:pPr>
              <w:spacing w:after="0"/>
              <w:rPr>
                <w:sz w:val="20"/>
                <w:szCs w:val="20"/>
                <w:color w:val="auto"/>
              </w:rPr>
            </w:pPr>
          </w:p>
        </w:tc>
        <w:tc>
          <w:tcPr>
            <w:tcW w:w="37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Technical rates</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Life immediate annuity</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RV2004 and B - 85</w:t>
            </w:r>
          </w:p>
        </w:tc>
        <w:tc>
          <w:tcPr>
            <w:tcW w:w="38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 - 5.45%</w:t>
            </w: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Dead an Disability Pension System insurance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RV 85 MI - 85H y 85M</w:t>
            </w:r>
          </w:p>
        </w:tc>
        <w:tc>
          <w:tcPr>
            <w:tcW w:w="3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3%</w:t>
            </w: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3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SOC 80 adjustable</w:t>
            </w:r>
          </w:p>
        </w:tc>
        <w:tc>
          <w:tcPr>
            <w:tcW w:w="38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 - 5%</w:t>
            </w:r>
          </w:p>
        </w:tc>
      </w:tr>
    </w:tbl>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mortality tables are recommended by the regulators in Peru.</w:t>
      </w:r>
    </w:p>
    <w:p>
      <w:pPr>
        <w:spacing w:after="0" w:line="279" w:lineRule="exact"/>
        <w:rPr>
          <w:sz w:val="20"/>
          <w:szCs w:val="20"/>
          <w:color w:val="auto"/>
        </w:rPr>
      </w:pPr>
    </w:p>
    <w:p>
      <w:pPr>
        <w:ind w:left="1140" w:right="20"/>
        <w:spacing w:after="0" w:line="261" w:lineRule="auto"/>
        <w:rPr>
          <w:sz w:val="20"/>
          <w:szCs w:val="20"/>
          <w:color w:val="auto"/>
        </w:rPr>
      </w:pPr>
      <w:r>
        <w:rPr>
          <w:rFonts w:ascii="Times New Roman" w:cs="Times New Roman" w:eastAsia="Times New Roman" w:hAnsi="Times New Roman"/>
          <w:sz w:val="18"/>
          <w:szCs w:val="18"/>
          <w:color w:val="auto"/>
        </w:rPr>
        <w:t>The sensitivity of the estimates used by the Group to measure its insurance risks is represented primarily by the life insurance risks, the main variables at the balance sheet date being the interest rates and the mortality tables. The Group has evaluated the changes of the reserves related to life insurance (Life immediate annuities) of +/- 100 bps of the interest rates and of +/- 5% of the mortality factors, being the results as follows: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 the</w:t>
            </w:r>
          </w:p>
        </w:tc>
        <w:tc>
          <w:tcPr>
            <w:tcW w:w="30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Variation of the reserve</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 (000)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Portfolio in US$ - Basis amount</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251,036</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228,443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(22,593)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277,843</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26,807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248,278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(2,758)</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253,951</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 the</w:t>
            </w:r>
          </w:p>
        </w:tc>
        <w:tc>
          <w:tcPr>
            <w:tcW w:w="30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Variation of the reserve</w:t>
            </w:r>
          </w:p>
        </w:tc>
        <w:tc>
          <w:tcPr>
            <w:tcW w:w="0" w:type="dxa"/>
            <w:vAlign w:val="bottom"/>
          </w:tcPr>
          <w:p>
            <w:pPr>
              <w:spacing w:after="0"/>
              <w:rPr>
                <w:sz w:val="1"/>
                <w:szCs w:val="1"/>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 (000)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1840" w:type="dxa"/>
            <w:vAlign w:val="bottom"/>
            <w:gridSpan w:val="3"/>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Portfolio in S/ - Basis amount</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9,491</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8,540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10,643</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9,462</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9,529</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The effect of the changes previously indicated, is not significant to the net income and net equity attributed to Credicorp´s shareholders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500" w:hanging="492"/>
        <w:spacing w:after="0"/>
        <w:tabs>
          <w:tab w:leader="none" w:pos="50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Bonds and subordinate notes issued</w:t>
      </w:r>
    </w:p>
    <w:p>
      <w:pPr>
        <w:spacing w:after="0" w:line="323" w:lineRule="exact"/>
        <w:rPr>
          <w:rFonts w:ascii="Times New Roman" w:cs="Times New Roman" w:eastAsia="Times New Roman" w:hAnsi="Times New Roman"/>
          <w:sz w:val="18"/>
          <w:szCs w:val="18"/>
          <w:b w:val="1"/>
          <w:bCs w:val="1"/>
          <w:color w:val="auto"/>
        </w:rPr>
      </w:pPr>
    </w:p>
    <w:p>
      <w:pPr>
        <w:ind w:left="1180" w:hanging="686"/>
        <w:spacing w:after="0"/>
        <w:tabs>
          <w:tab w:leader="none" w:pos="11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is made up as follows:</w:t>
      </w:r>
    </w:p>
    <w:p>
      <w:pPr>
        <w:spacing w:after="0" w:line="289"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31" w:lineRule="exact"/>
        <w:rPr>
          <w:sz w:val="20"/>
          <w:szCs w:val="20"/>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average annual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5715</wp:posOffset>
            </wp:positionV>
            <wp:extent cx="15436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Bonds -</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33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80" w:type="dxa"/>
            <w:vAlign w:val="bottom"/>
            <w:shd w:val="clear" w:color="auto" w:fill="CCFFCC"/>
          </w:tcPr>
          <w:p>
            <w:pPr>
              <w:ind w:left="40"/>
              <w:spacing w:after="0" w:line="198" w:lineRule="exact"/>
              <w:rPr>
                <w:sz w:val="20"/>
                <w:szCs w:val="20"/>
                <w:color w:val="auto"/>
              </w:rPr>
            </w:pPr>
            <w:r>
              <w:rPr>
                <w:rFonts w:ascii="Times New Roman" w:cs="Times New Roman" w:eastAsia="Times New Roman" w:hAnsi="Times New Roman"/>
                <w:sz w:val="18"/>
                <w:szCs w:val="18"/>
                <w:color w:val="auto"/>
              </w:rPr>
              <w:t>Between January 2007 and March</w:t>
            </w: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4"/>
        </w:trPr>
        <w:tc>
          <w:tcPr>
            <w:tcW w:w="41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Corporate bonds (i)</w:t>
            </w:r>
          </w:p>
        </w:tc>
        <w:tc>
          <w:tcPr>
            <w:tcW w:w="4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780" w:type="dxa"/>
            <w:vAlign w:val="bottom"/>
            <w:shd w:val="clear" w:color="auto" w:fill="CCFFCC"/>
          </w:tcPr>
          <w:p>
            <w:pPr>
              <w:spacing w:after="0"/>
              <w:rPr>
                <w:sz w:val="20"/>
                <w:szCs w:val="20"/>
                <w:color w:val="auto"/>
              </w:rPr>
            </w:pPr>
          </w:p>
        </w:tc>
        <w:tc>
          <w:tcPr>
            <w:tcW w:w="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3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90,173</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86,413</w:t>
            </w:r>
          </w:p>
        </w:tc>
      </w:tr>
      <w:tr>
        <w:trPr>
          <w:trHeight w:val="198"/>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Between January 2007 and November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bonds (ii), (iii)</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177,952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219,564</w:t>
            </w:r>
          </w:p>
        </w:tc>
      </w:tr>
      <w:tr>
        <w:trPr>
          <w:trHeight w:val="243"/>
        </w:trPr>
        <w:tc>
          <w:tcPr>
            <w:tcW w:w="41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Mortgage bonds (iii)</w:t>
            </w:r>
          </w:p>
        </w:tc>
        <w:tc>
          <w:tcPr>
            <w:tcW w:w="4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78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Between January 2007 and April 2012</w:t>
            </w:r>
          </w:p>
        </w:tc>
        <w:tc>
          <w:tcPr>
            <w:tcW w:w="13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23,610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27,620</w:t>
            </w:r>
          </w:p>
        </w:tc>
      </w:tr>
      <w:tr>
        <w:trPr>
          <w:trHeight w:val="198"/>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Between August 2007 and October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bonds</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78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Pr>
          <w:p>
            <w:pPr>
              <w:spacing w:after="0"/>
              <w:rPr>
                <w:sz w:val="22"/>
                <w:szCs w:val="22"/>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96,758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92,014</w:t>
            </w: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388,493</w:t>
            </w: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425,611</w:t>
            </w:r>
          </w:p>
        </w:tc>
        <w:tc>
          <w:tcPr>
            <w:tcW w:w="100" w:type="dxa"/>
            <w:vAlign w:val="bottom"/>
            <w:shd w:val="clear" w:color="auto" w:fill="CCFFCC"/>
          </w:tcPr>
          <w:p>
            <w:pPr>
              <w:spacing w:after="0"/>
              <w:rPr>
                <w:sz w:val="20"/>
                <w:szCs w:val="20"/>
                <w:color w:val="auto"/>
              </w:rPr>
            </w:pPr>
          </w:p>
        </w:tc>
      </w:tr>
      <w:tr>
        <w:trPr>
          <w:trHeight w:val="243"/>
        </w:trPr>
        <w:tc>
          <w:tcPr>
            <w:tcW w:w="3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Subordinated notes -</w:t>
            </w:r>
          </w:p>
        </w:tc>
        <w:tc>
          <w:tcPr>
            <w:tcW w:w="3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Subordinated negotiable certificates notes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508,493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425,611</w:t>
            </w:r>
          </w:p>
        </w:tc>
      </w:tr>
      <w:tr>
        <w:trPr>
          <w:trHeight w:val="243"/>
        </w:trPr>
        <w:tc>
          <w:tcPr>
            <w:tcW w:w="41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75"/>
        </w:trPr>
        <w:tc>
          <w:tcPr>
            <w:tcW w:w="414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Interest payable</w:t>
            </w:r>
          </w:p>
        </w:tc>
        <w:tc>
          <w:tcPr>
            <w:tcW w:w="3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3,613</w:t>
            </w:r>
          </w:p>
        </w:tc>
      </w:tr>
      <w:tr>
        <w:trPr>
          <w:trHeight w:val="237"/>
        </w:trPr>
        <w:tc>
          <w:tcPr>
            <w:tcW w:w="4140" w:type="dxa"/>
            <w:vAlign w:val="bottom"/>
            <w:tcBorders>
              <w:top w:val="single" w:sz="8" w:color="CCFFCC"/>
            </w:tcBorders>
            <w:gridSpan w:val="2"/>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8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1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88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512,572</w:t>
            </w:r>
          </w:p>
        </w:tc>
        <w:tc>
          <w:tcPr>
            <w:tcW w:w="12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429,224</w:t>
            </w:r>
          </w:p>
        </w:tc>
      </w:tr>
      <w:tr>
        <w:trPr>
          <w:trHeight w:val="683"/>
        </w:trPr>
        <w:tc>
          <w:tcPr>
            <w:tcW w:w="334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spacing w:after="0"/>
              <w:rPr>
                <w:sz w:val="24"/>
                <w:szCs w:val="24"/>
                <w:color w:val="auto"/>
              </w:rPr>
            </w:pPr>
          </w:p>
        </w:tc>
        <w:tc>
          <w:tcPr>
            <w:tcW w:w="3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540" w:type="dxa"/>
            <w:vAlign w:val="bottom"/>
            <w:tcBorders>
              <w:top w:val="single" w:sz="8" w:color="CCFFCC"/>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F-59</w:t>
            </w:r>
          </w:p>
        </w:tc>
        <w:tc>
          <w:tcPr>
            <w:tcW w:w="28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23" w:lineRule="exact"/>
        <w:rPr>
          <w:sz w:val="20"/>
          <w:szCs w:val="20"/>
          <w:color w:val="auto"/>
        </w:rPr>
      </w:pPr>
    </w:p>
    <w:p>
      <w:pPr>
        <w:ind w:left="1460" w:right="460" w:hanging="642"/>
        <w:spacing w:after="0" w:line="274" w:lineRule="auto"/>
        <w:tabs>
          <w:tab w:leader="none" w:pos="17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2006, the bank issued corporate bonds, for US$ 47.2 million (US$35.0 million during 2005) and redeemed bonds for US$43.4 million (US$24.0 million during 2005) representing a net increase of US$ 3.8 million (US$11.0 million during 2005). The details of the new issuance are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Issue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Sixth issuance - Series B</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08/08/2008</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Sixth issuance - Series 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27/02/2008</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Eight issuance - Series B</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06/09/2010</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Eight issuance - Series C</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21/09/2010</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Eight issuance - Series D</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11/10/2010</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Ninth issuance - Series B</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03/03/2011</w:t>
            </w: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Tenth issuance - Series B</w:t>
            </w:r>
          </w:p>
        </w:tc>
        <w:tc>
          <w:tcPr>
            <w:tcW w:w="22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24/03/2013</w:t>
            </w:r>
          </w:p>
        </w:tc>
      </w:tr>
      <w:tr>
        <w:trPr>
          <w:trHeight w:val="237"/>
        </w:trPr>
        <w:tc>
          <w:tcPr>
            <w:tcW w:w="652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47,246</w:t>
            </w: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Issue 2005</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Pr>
          <w:p>
            <w:pPr>
              <w:spacing w:after="0"/>
              <w:rPr>
                <w:sz w:val="20"/>
                <w:szCs w:val="20"/>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Third issuance - Series B</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29/05/2007</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Seventh issuance - Series 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21/11/2009</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Seventh issuance - Series B</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21/11/2012</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Eight issuance - Series 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24/11/2008</w:t>
            </w:r>
          </w:p>
        </w:tc>
      </w:tr>
      <w:tr>
        <w:trPr>
          <w:trHeight w:val="243"/>
        </w:trPr>
        <w:tc>
          <w:tcPr>
            <w:tcW w:w="65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Ninth issuance - Series A</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24/11/2010</w:t>
            </w:r>
          </w:p>
        </w:tc>
      </w:tr>
      <w:tr>
        <w:trPr>
          <w:trHeight w:val="24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Tenth issuance - Series 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Peruvian</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06/12/2008</w:t>
            </w:r>
          </w:p>
        </w:tc>
      </w:tr>
      <w:tr>
        <w:trPr>
          <w:trHeight w:val="270"/>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65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34,985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1460" w:right="400" w:hanging="642"/>
        <w:spacing w:after="0" w:line="266" w:lineRule="auto"/>
        <w:tabs>
          <w:tab w:leader="none" w:pos="148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2005, Crédito Leasing S.A., a subsidiary of Credicorp, issued the Third Program of Leasing Bonds Series “A” and “B” amount to US$15.0 million and US$25.0 million with maturities between February 2007 and July 2008, respectively. Likewise, during 2006, Crédito Leasing S.A. redeemed bonds for US$41.6 million (US$40.9 million during 2005).</w:t>
      </w:r>
    </w:p>
    <w:p>
      <w:pPr>
        <w:spacing w:after="0" w:line="230" w:lineRule="exact"/>
        <w:rPr>
          <w:rFonts w:ascii="Times New Roman" w:cs="Times New Roman" w:eastAsia="Times New Roman" w:hAnsi="Times New Roman"/>
          <w:sz w:val="18"/>
          <w:szCs w:val="18"/>
          <w:color w:val="auto"/>
        </w:rPr>
      </w:pPr>
    </w:p>
    <w:p>
      <w:pPr>
        <w:ind w:left="1540" w:hanging="722"/>
        <w:spacing w:after="0"/>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Leasing and mortgages bonds are collateralized by the fixed assets financed by the Group with these resources.</w:t>
      </w:r>
    </w:p>
    <w:p>
      <w:pPr>
        <w:spacing w:after="0" w:line="279" w:lineRule="exact"/>
        <w:rPr>
          <w:rFonts w:ascii="Times New Roman" w:cs="Times New Roman" w:eastAsia="Times New Roman" w:hAnsi="Times New Roman"/>
          <w:sz w:val="18"/>
          <w:szCs w:val="18"/>
          <w:color w:val="auto"/>
        </w:rPr>
      </w:pPr>
    </w:p>
    <w:p>
      <w:pPr>
        <w:ind w:left="1460" w:right="280" w:hanging="642"/>
        <w:spacing w:after="0" w:line="257" w:lineRule="auto"/>
        <w:tabs>
          <w:tab w:leader="none" w:pos="147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2006, the Board or Directors of BCP approved the issuance of subordinated debt of up to US$175 million, with the aim to meet the requirement of the regulatory capital of the Group in Peru. The issuance will be realized in parts in 2006 and 2007 on the international and local market.</w:t>
      </w:r>
    </w:p>
    <w:p>
      <w:pPr>
        <w:spacing w:after="0" w:line="1" w:lineRule="exact"/>
        <w:rPr>
          <w:rFonts w:ascii="Times New Roman" w:cs="Times New Roman" w:eastAsia="Times New Roman" w:hAnsi="Times New Roman"/>
          <w:sz w:val="18"/>
          <w:szCs w:val="18"/>
          <w:color w:val="auto"/>
        </w:rPr>
      </w:pPr>
    </w:p>
    <w:p>
      <w:pPr>
        <w:ind w:left="146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2006, BCP through its Panama branch, issued Subordinated Negotiable Certificates Notes amounted to US$120 million on the international market with maturity on 2021. These certificates accrued a fixed annual interest rate of 6.95 percent for the first 10 years (until November 2016), with payment each six months. After the first 10 years, the interest rate is change to a variable interest rate, established as Libor plus 2.79 percent, with quarterly payments. At the end of the first 10 years, the Bank can redeem 100 percent of the debt, without penalties. This subordinated debt has certain financial and operating covenants which in Management’s opinion, the Group is in compliance at the consolidated balance sheet date.</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23" w:lineRule="exact"/>
        <w:rPr>
          <w:sz w:val="20"/>
          <w:szCs w:val="20"/>
          <w:color w:val="auto"/>
        </w:rPr>
      </w:pPr>
    </w:p>
    <w:p>
      <w:pPr>
        <w:ind w:left="1140" w:hanging="646"/>
        <w:spacing w:after="0"/>
        <w:tabs>
          <w:tab w:leader="none" w:pos="11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bonds and subordinate bonds issued as of December 31, 2006 and 2005, classified by maturity are shown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6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70"/>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Up to 3 months</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19,316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From 3 months to 1 year</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43,488</w:t>
            </w:r>
          </w:p>
        </w:tc>
      </w:tr>
      <w:tr>
        <w:trPr>
          <w:trHeight w:val="243"/>
        </w:trPr>
        <w:tc>
          <w:tcPr>
            <w:tcW w:w="81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From 1 to 3 years</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177,873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246,254</w:t>
            </w:r>
          </w:p>
        </w:tc>
      </w:tr>
      <w:tr>
        <w:trPr>
          <w:trHeight w:val="24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From 3 to 5 years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92,167</w:t>
            </w:r>
          </w:p>
        </w:tc>
      </w:tr>
      <w:tr>
        <w:trPr>
          <w:trHeight w:val="275"/>
        </w:trPr>
        <w:tc>
          <w:tcPr>
            <w:tcW w:w="81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Over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144,379</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43,702</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508,493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425,611</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00" w:hanging="492"/>
        <w:spacing w:after="0"/>
        <w:tabs>
          <w:tab w:leader="none" w:pos="50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323" w:lineRule="exact"/>
        <w:rPr>
          <w:rFonts w:ascii="Times New Roman" w:cs="Times New Roman" w:eastAsia="Times New Roman" w:hAnsi="Times New Roman"/>
          <w:sz w:val="18"/>
          <w:szCs w:val="18"/>
          <w:b w:val="1"/>
          <w:bCs w:val="1"/>
          <w:color w:val="auto"/>
        </w:rPr>
      </w:pPr>
    </w:p>
    <w:p>
      <w:pPr>
        <w:ind w:left="1120" w:hanging="626"/>
        <w:spacing w:after="0"/>
        <w:tabs>
          <w:tab w:leader="none" w:pos="11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December 31, 2006, 2005 and 2004, 94,382,317 shares of capital stock were issued with a par value of US$5 per share.</w:t>
      </w:r>
    </w:p>
    <w:p>
      <w:pPr>
        <w:spacing w:after="0" w:line="279" w:lineRule="exact"/>
        <w:rPr>
          <w:sz w:val="20"/>
          <w:szCs w:val="20"/>
          <w:color w:val="auto"/>
        </w:rPr>
      </w:pPr>
    </w:p>
    <w:p>
      <w:pPr>
        <w:ind w:left="1160" w:hanging="666"/>
        <w:spacing w:after="0"/>
        <w:tabs>
          <w:tab w:leader="none" w:pos="11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w:t>
      </w:r>
    </w:p>
    <w:p>
      <w:pPr>
        <w:spacing w:after="0" w:line="279" w:lineRule="exact"/>
        <w:rPr>
          <w:sz w:val="20"/>
          <w:szCs w:val="20"/>
          <w:color w:val="auto"/>
        </w:rPr>
      </w:pPr>
    </w:p>
    <w:p>
      <w:pPr>
        <w:ind w:left="1140" w:right="140" w:firstLine="54"/>
        <w:spacing w:after="0" w:line="266" w:lineRule="auto"/>
        <w:rPr>
          <w:sz w:val="20"/>
          <w:szCs w:val="20"/>
          <w:color w:val="auto"/>
        </w:rPr>
      </w:pPr>
      <w:r>
        <w:rPr>
          <w:rFonts w:ascii="Times New Roman" w:cs="Times New Roman" w:eastAsia="Times New Roman" w:hAnsi="Times New Roman"/>
          <w:sz w:val="18"/>
          <w:szCs w:val="18"/>
          <w:color w:val="auto"/>
        </w:rPr>
        <w:t>Treasury stock corresponds to the par value of Credicorp’s shares owned by the Group’s companies, which amounts 14,620,842 shares as of December 31, 2006 and 2005. The difference of US$113.4 million, between the acquisition cost of US$186.5 million and their par value (US$73.1 million), is recorded as a reduction of the “Capital surplus”.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180" w:hanging="686"/>
        <w:spacing w:after="0"/>
        <w:tabs>
          <w:tab w:leader="none" w:pos="11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t>
      </w:r>
    </w:p>
    <w:p>
      <w:pPr>
        <w:spacing w:after="0" w:line="293" w:lineRule="exact"/>
        <w:rPr>
          <w:sz w:val="20"/>
          <w:szCs w:val="20"/>
          <w:color w:val="auto"/>
        </w:rPr>
      </w:pPr>
    </w:p>
    <w:p>
      <w:pPr>
        <w:ind w:left="1140" w:right="20" w:firstLine="54"/>
        <w:spacing w:after="0" w:line="266" w:lineRule="auto"/>
        <w:rPr>
          <w:sz w:val="20"/>
          <w:szCs w:val="20"/>
          <w:color w:val="auto"/>
        </w:rPr>
      </w:pPr>
      <w:r>
        <w:rPr>
          <w:rFonts w:ascii="Times New Roman" w:cs="Times New Roman" w:eastAsia="Times New Roman" w:hAnsi="Times New Roman"/>
          <w:sz w:val="18"/>
          <w:szCs w:val="18"/>
          <w:color w:val="auto"/>
        </w:rPr>
        <w:t>In accordance with the local laws that regulate financial and insurance activities of the Group’s subsidiaries in Peru, a reserve of up to at least 35 percent of their paid-in capital is required to be established through annual transfers of at least 10 percent of net income. As of December 31, 2006 and 2005, these reserves were approximately US$214.8 and US$209.3 million respectively.</w:t>
      </w:r>
    </w:p>
    <w:p>
      <w:pPr>
        <w:spacing w:after="0" w:line="203" w:lineRule="exact"/>
        <w:rPr>
          <w:sz w:val="20"/>
          <w:szCs w:val="20"/>
          <w:color w:val="auto"/>
        </w:rPr>
      </w:pPr>
    </w:p>
    <w:p>
      <w:pPr>
        <w:ind w:left="1140" w:right="100"/>
        <w:spacing w:after="0" w:line="282" w:lineRule="auto"/>
        <w:rPr>
          <w:sz w:val="20"/>
          <w:szCs w:val="20"/>
          <w:color w:val="auto"/>
        </w:rPr>
      </w:pPr>
      <w:r>
        <w:rPr>
          <w:rFonts w:ascii="Times New Roman" w:cs="Times New Roman" w:eastAsia="Times New Roman" w:hAnsi="Times New Roman"/>
          <w:sz w:val="18"/>
          <w:szCs w:val="18"/>
          <w:color w:val="auto"/>
        </w:rPr>
        <w:t>The Shareholders Meeting dated on October 26, 2006 agreed to transfer from “retained earnings” to “other reserves” an amount of US$210.4 million.</w:t>
      </w:r>
    </w:p>
    <w:p>
      <w:pPr>
        <w:spacing w:after="0" w:line="256" w:lineRule="exact"/>
        <w:rPr>
          <w:sz w:val="20"/>
          <w:szCs w:val="20"/>
          <w:color w:val="auto"/>
        </w:rPr>
      </w:pPr>
    </w:p>
    <w:p>
      <w:pPr>
        <w:ind w:left="1180" w:hanging="686"/>
        <w:spacing w:after="0"/>
        <w:tabs>
          <w:tab w:leader="none" w:pos="11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distribution -</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During 2006, 2005 and 2004, Credicorp paid cash dividends amount to approximately US$87.7, US$63.8 and US$31.9 million, respectively.</w:t>
      </w:r>
    </w:p>
    <w:p>
      <w:pPr>
        <w:spacing w:after="0" w:line="279" w:lineRule="exact"/>
        <w:rPr>
          <w:sz w:val="20"/>
          <w:szCs w:val="20"/>
          <w:color w:val="auto"/>
        </w:rPr>
      </w:pPr>
    </w:p>
    <w:p>
      <w:pPr>
        <w:ind w:left="1140" w:firstLine="54"/>
        <w:spacing w:after="0" w:line="282" w:lineRule="auto"/>
        <w:rPr>
          <w:sz w:val="20"/>
          <w:szCs w:val="20"/>
          <w:color w:val="auto"/>
        </w:rPr>
      </w:pPr>
      <w:r>
        <w:rPr>
          <w:rFonts w:ascii="Times New Roman" w:cs="Times New Roman" w:eastAsia="Times New Roman" w:hAnsi="Times New Roman"/>
          <w:sz w:val="18"/>
          <w:szCs w:val="18"/>
          <w:color w:val="auto"/>
        </w:rPr>
        <w:t>Credicorp has declared a cash dividend of US$1.30 per Common Share for a total amount of approximately US$122.7 million, corresponding to the results of 2006, which was distributed on May 7, 2007.</w:t>
      </w:r>
    </w:p>
    <w:p>
      <w:pPr>
        <w:spacing w:after="0" w:line="216" w:lineRule="exact"/>
        <w:rPr>
          <w:sz w:val="20"/>
          <w:szCs w:val="20"/>
          <w:color w:val="auto"/>
        </w:rPr>
      </w:pPr>
    </w:p>
    <w:p>
      <w:pPr>
        <w:ind w:left="1140" w:right="420" w:firstLine="54"/>
        <w:spacing w:after="0" w:line="282" w:lineRule="auto"/>
        <w:rPr>
          <w:sz w:val="20"/>
          <w:szCs w:val="20"/>
          <w:color w:val="auto"/>
        </w:rPr>
      </w:pPr>
      <w:r>
        <w:rPr>
          <w:rFonts w:ascii="Times New Roman" w:cs="Times New Roman" w:eastAsia="Times New Roman" w:hAnsi="Times New Roman"/>
          <w:sz w:val="18"/>
          <w:szCs w:val="18"/>
          <w:color w:val="auto"/>
        </w:rPr>
        <w:t>In accordance with current Peruvian legislation, there is no restriction for overseas remittance of dividends or the repatriation of foreign investment. The dividends paid by the Peruvian subsidiaries to Credicorp are subject to a withholding tax of 4.1 percent.</w:t>
      </w:r>
    </w:p>
    <w:p>
      <w:pPr>
        <w:spacing w:after="0" w:line="256" w:lineRule="exact"/>
        <w:rPr>
          <w:sz w:val="20"/>
          <w:szCs w:val="20"/>
          <w:color w:val="auto"/>
        </w:rPr>
      </w:pPr>
    </w:p>
    <w:p>
      <w:pPr>
        <w:ind w:left="1180" w:hanging="686"/>
        <w:spacing w:after="0"/>
        <w:tabs>
          <w:tab w:leader="none" w:pos="11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for legal purposes (Regulatory capital) -</w:t>
      </w:r>
    </w:p>
    <w:p>
      <w:pPr>
        <w:spacing w:after="0" w:line="293" w:lineRule="exact"/>
        <w:rPr>
          <w:sz w:val="20"/>
          <w:szCs w:val="20"/>
          <w:color w:val="auto"/>
        </w:rPr>
      </w:pPr>
    </w:p>
    <w:p>
      <w:pPr>
        <w:ind w:left="1140" w:right="480" w:firstLine="9"/>
        <w:spacing w:after="0" w:line="258" w:lineRule="auto"/>
        <w:rPr>
          <w:sz w:val="20"/>
          <w:szCs w:val="20"/>
          <w:color w:val="auto"/>
        </w:rPr>
      </w:pPr>
      <w:r>
        <w:rPr>
          <w:rFonts w:ascii="Times New Roman" w:cs="Times New Roman" w:eastAsia="Times New Roman" w:hAnsi="Times New Roman"/>
          <w:sz w:val="18"/>
          <w:szCs w:val="18"/>
          <w:color w:val="auto"/>
        </w:rPr>
        <w:t>As of December 31, 2006 and 2005, the regulatory capital for the subsidiaries engaged in financial and insurance activities amounted to approximately US$1,008.0 and US$915.0 million, respectively. This regulatory capital has been determined in accordance with the Superintendencia de Banca, Seguros y AFP del Perú regulations in force as of such dates. According to the Superintendencia de Banca, Seguros y AFP regulations, the Group’s regulatory capital exceeds in approximately US$157.0 million the minimum regulatory capital required as of December 31, 2006 (approximately US$166.6 million as of December 31, 2005).</w:t>
      </w:r>
    </w:p>
    <w:p>
      <w:pPr>
        <w:spacing w:after="0" w:line="234" w:lineRule="exact"/>
        <w:rPr>
          <w:sz w:val="20"/>
          <w:szCs w:val="20"/>
          <w:color w:val="auto"/>
        </w:rPr>
      </w:pPr>
    </w:p>
    <w:p>
      <w:pPr>
        <w:ind w:left="500" w:hanging="492"/>
        <w:spacing w:after="0"/>
        <w:tabs>
          <w:tab w:leader="none" w:pos="50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283" w:lineRule="exact"/>
        <w:rPr>
          <w:rFonts w:ascii="Times New Roman" w:cs="Times New Roman" w:eastAsia="Times New Roman" w:hAnsi="Times New Roman"/>
          <w:sz w:val="18"/>
          <w:szCs w:val="18"/>
          <w:b w:val="1"/>
          <w:bCs w:val="1"/>
          <w:color w:val="auto"/>
        </w:rPr>
      </w:pPr>
    </w:p>
    <w:p>
      <w:pPr>
        <w:ind w:left="1140" w:right="100" w:hanging="646"/>
        <w:spacing w:after="0" w:line="266" w:lineRule="auto"/>
        <w:tabs>
          <w:tab w:leader="none" w:pos="114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in 2006, 2005 and 2004.</w:t>
      </w:r>
    </w:p>
    <w:p>
      <w:pPr>
        <w:spacing w:after="0" w:line="230" w:lineRule="exact"/>
        <w:rPr>
          <w:rFonts w:ascii="Times New Roman" w:cs="Times New Roman" w:eastAsia="Times New Roman" w:hAnsi="Times New Roman"/>
          <w:sz w:val="18"/>
          <w:szCs w:val="18"/>
          <w:color w:val="auto"/>
        </w:rPr>
      </w:pPr>
    </w:p>
    <w:p>
      <w:pPr>
        <w:ind w:left="1140" w:right="380" w:hanging="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ASHC and its Subsidiaries are not subject to taxes in the Cayman Islands nor Panama. For the years ended December 31, 2006, 2005 and 2004, no taxable profits were generated from its operations in the United States of America.</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differences between the statutory income tax rate and the effective tax rate for the Group is shown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2005</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7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58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 statutory tax rate</w:t>
            </w:r>
          </w:p>
        </w:tc>
        <w:tc>
          <w:tcPr>
            <w:tcW w:w="70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30.00</w:t>
            </w:r>
          </w:p>
        </w:tc>
        <w:tc>
          <w:tcPr>
            <w:tcW w:w="92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8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Increase (decrease) in the statutory tax rate due to:</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08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 w:lineRule="exact"/>
        <w:rPr>
          <w:sz w:val="20"/>
          <w:szCs w:val="20"/>
          <w:color w:val="auto"/>
        </w:rPr>
      </w:pPr>
    </w:p>
    <w:p>
      <w:pPr>
        <w:ind w:left="720" w:hanging="712"/>
        <w:spacing w:after="0"/>
        <w:tabs>
          <w:tab w:leader="none" w:pos="7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(decrease) arising from net income of subsidiaries not domiciled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6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Peru</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6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Non-taxable costs (income), net</w:t>
            </w:r>
          </w:p>
        </w:tc>
        <w:tc>
          <w:tcPr>
            <w:tcW w:w="1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(4.86)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r>
      <w:tr>
        <w:trPr>
          <w:trHeight w:val="275"/>
        </w:trPr>
        <w:tc>
          <w:tcPr>
            <w:tcW w:w="652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(iii) Translation results not considered for tax purposes</w:t>
            </w:r>
          </w:p>
        </w:tc>
        <w:tc>
          <w:tcPr>
            <w:tcW w:w="1840" w:type="dxa"/>
            <w:vAlign w:val="bottom"/>
            <w:tcBorders>
              <w:bottom w:val="single" w:sz="8" w:color="CCFFCC"/>
            </w:tcBorders>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37"/>
        </w:trPr>
        <w:tc>
          <w:tcPr>
            <w:tcW w:w="6520" w:type="dxa"/>
            <w:vAlign w:val="bottom"/>
            <w:tcBorders>
              <w:top w:val="single" w:sz="8" w:color="CCFFCC"/>
            </w:tcBorders>
            <w:gridSpan w:val="2"/>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24.32</w:t>
            </w:r>
          </w:p>
        </w:tc>
      </w:tr>
      <w:tr>
        <w:trPr>
          <w:trHeight w:val="20"/>
        </w:trPr>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right="40" w:hanging="646"/>
        <w:spacing w:after="0" w:line="282" w:lineRule="auto"/>
        <w:tabs>
          <w:tab w:leader="none" w:pos="115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income tax has been calculated on all temporary differences applied at an income tax rate of 30 percent. The income tax expense analysis as of December 31, 2006, 2005 and 2004,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Peruvian</w:t>
            </w:r>
          </w:p>
        </w:tc>
        <w:tc>
          <w:tcPr>
            <w:tcW w:w="472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85,413</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80,630</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49,386</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 other countries</w:t>
            </w:r>
          </w:p>
        </w:tc>
        <w:tc>
          <w:tcPr>
            <w:tcW w:w="332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3"/>
                <w:szCs w:val="23"/>
                <w:color w:val="auto"/>
              </w:rPr>
            </w:pPr>
          </w:p>
        </w:tc>
      </w:tr>
      <w:tr>
        <w:trPr>
          <w:trHeight w:val="277"/>
        </w:trPr>
        <w:tc>
          <w:tcPr>
            <w:tcW w:w="3420" w:type="dxa"/>
            <w:vAlign w:val="bottom"/>
            <w:shd w:val="clear" w:color="auto" w:fill="CCFFCC"/>
          </w:tcPr>
          <w:p>
            <w:pPr>
              <w:spacing w:after="0"/>
              <w:rPr>
                <w:sz w:val="24"/>
                <w:szCs w:val="24"/>
                <w:color w:val="auto"/>
              </w:rPr>
            </w:pPr>
          </w:p>
        </w:tc>
        <w:tc>
          <w:tcPr>
            <w:tcW w:w="472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88,373</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85,048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51,822</w:t>
            </w:r>
          </w:p>
        </w:tc>
      </w:tr>
      <w:tr>
        <w:trPr>
          <w:trHeight w:val="224"/>
        </w:trPr>
        <w:tc>
          <w:tcPr>
            <w:tcW w:w="3420" w:type="dxa"/>
            <w:vAlign w:val="bottom"/>
            <w:tcBorders>
              <w:top w:val="single" w:sz="8" w:color="CCFFCC"/>
            </w:tcBorders>
          </w:tcPr>
          <w:p>
            <w:pPr>
              <w:spacing w:after="0"/>
              <w:rPr>
                <w:sz w:val="19"/>
                <w:szCs w:val="19"/>
                <w:color w:val="auto"/>
              </w:rPr>
            </w:pPr>
          </w:p>
        </w:tc>
        <w:tc>
          <w:tcPr>
            <w:tcW w:w="33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4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Deferred -</w:t>
            </w:r>
          </w:p>
        </w:tc>
        <w:tc>
          <w:tcPr>
            <w:tcW w:w="33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Peruvian</w:t>
            </w:r>
          </w:p>
        </w:tc>
        <w:tc>
          <w:tcPr>
            <w:tcW w:w="4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(4,786)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(6,325)</w:t>
            </w:r>
          </w:p>
        </w:tc>
      </w:tr>
      <w:tr>
        <w:trPr>
          <w:trHeight w:val="237"/>
        </w:trPr>
        <w:tc>
          <w:tcPr>
            <w:tcW w:w="3420" w:type="dxa"/>
            <w:vAlign w:val="bottom"/>
            <w:shd w:val="clear" w:color="auto" w:fill="CCFFCC"/>
          </w:tcPr>
          <w:p>
            <w:pPr>
              <w:spacing w:after="0"/>
              <w:rPr>
                <w:sz w:val="20"/>
                <w:szCs w:val="20"/>
                <w:color w:val="auto"/>
              </w:rPr>
            </w:pPr>
          </w:p>
        </w:tc>
        <w:tc>
          <w:tcPr>
            <w:tcW w:w="33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73,546</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45,497</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420" w:type="dxa"/>
            <w:vAlign w:val="bottom"/>
          </w:tcPr>
          <w:p>
            <w:pPr>
              <w:spacing w:after="0"/>
              <w:rPr>
                <w:sz w:val="24"/>
                <w:szCs w:val="24"/>
                <w:color w:val="auto"/>
              </w:rPr>
            </w:pPr>
          </w:p>
        </w:tc>
        <w:tc>
          <w:tcPr>
            <w:tcW w:w="4940" w:type="dxa"/>
            <w:vAlign w:val="bottom"/>
            <w:gridSpan w:val="4"/>
          </w:tcPr>
          <w:p>
            <w:pPr>
              <w:jc w:val="right"/>
              <w:ind w:right="2480"/>
              <w:spacing w:after="0"/>
              <w:rPr>
                <w:sz w:val="20"/>
                <w:szCs w:val="20"/>
                <w:color w:val="auto"/>
              </w:rPr>
            </w:pPr>
            <w:r>
              <w:rPr>
                <w:rFonts w:ascii="Times New Roman" w:cs="Times New Roman" w:eastAsia="Times New Roman" w:hAnsi="Times New Roman"/>
                <w:sz w:val="18"/>
                <w:szCs w:val="18"/>
                <w:color w:val="auto"/>
              </w:rPr>
              <w:t>F-63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96" w:lineRule="exact"/>
        <w:rPr>
          <w:sz w:val="20"/>
          <w:szCs w:val="20"/>
          <w:color w:val="auto"/>
        </w:rPr>
      </w:pPr>
    </w:p>
    <w:p>
      <w:pPr>
        <w:ind w:left="1120" w:hanging="626"/>
        <w:spacing w:after="0"/>
        <w:tabs>
          <w:tab w:leader="none" w:pos="112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a summary of the Group’s deferred income taxes: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Allowance for loan losses, net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12,177</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 provision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Reserve for sundry risks, net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6,788</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Non-accrued interest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asset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32,966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gains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(28,330)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(19,094)</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Intangibles assets, net</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(26,168)</w:t>
            </w:r>
          </w:p>
        </w:tc>
        <w:tc>
          <w:tcPr>
            <w:tcW w:w="14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Leasing operations, net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(2,758)</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(2,304)</w:t>
            </w:r>
          </w:p>
        </w:tc>
        <w:tc>
          <w:tcPr>
            <w:tcW w:w="14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(5,369)</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(includes assets seized)</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liability</w:t>
            </w: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vMerge w:val="continue"/>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(65,810)</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(30,734)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liability (asset)</w:t>
            </w: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(27,794)</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right="100"/>
        <w:spacing w:after="0" w:line="266" w:lineRule="auto"/>
        <w:rPr>
          <w:sz w:val="20"/>
          <w:szCs w:val="20"/>
          <w:color w:val="auto"/>
        </w:rPr>
      </w:pPr>
      <w:r>
        <w:rPr>
          <w:rFonts w:ascii="Times New Roman" w:cs="Times New Roman" w:eastAsia="Times New Roman" w:hAnsi="Times New Roman"/>
          <w:sz w:val="18"/>
          <w:szCs w:val="18"/>
          <w:color w:val="auto"/>
        </w:rPr>
        <w:t>A portion of the Group’s deferred tax asset arises from part of the provisions for sundry risks and for loan losses, which are not deductible for income tax purposes until they comply with all the requirements established by the tax authorities. Therefore, the Group has recorded an accumulated deferred tax asset to reflect the future tax benefit of the deduction of these provisions.</w:t>
      </w:r>
    </w:p>
    <w:p>
      <w:pPr>
        <w:spacing w:after="0" w:line="230" w:lineRule="exact"/>
        <w:rPr>
          <w:sz w:val="20"/>
          <w:szCs w:val="20"/>
          <w:color w:val="auto"/>
        </w:rPr>
      </w:pPr>
    </w:p>
    <w:p>
      <w:pPr>
        <w:ind w:left="1140" w:right="60"/>
        <w:spacing w:after="0" w:line="261" w:lineRule="auto"/>
        <w:rPr>
          <w:sz w:val="20"/>
          <w:szCs w:val="20"/>
          <w:color w:val="auto"/>
        </w:rPr>
      </w:pPr>
      <w:r>
        <w:rPr>
          <w:rFonts w:ascii="Times New Roman" w:cs="Times New Roman" w:eastAsia="Times New Roman" w:hAnsi="Times New Roman"/>
          <w:sz w:val="18"/>
          <w:szCs w:val="18"/>
          <w:color w:val="auto"/>
        </w:rPr>
        <w:t>Credicorp and its Subsidiaries have recorded deferred income taxes directly in other reserves in the statement of changes in equity of US$9.2, US$1.5 and US$10.4 million, for 2006, 2005 and 2004, respectively. Such amounts represent the income tax effects of unrealized gains and losses on securities available for sale. Likewise, in 2006, the Group has registered the deferred tax liability corresponding to the acquisition of AFP Union Vida (note 2(a)) by approximately US$25.6 million.</w:t>
      </w:r>
    </w:p>
    <w:p>
      <w:pPr>
        <w:spacing w:after="0" w:line="234" w:lineRule="exact"/>
        <w:rPr>
          <w:sz w:val="20"/>
          <w:szCs w:val="20"/>
          <w:color w:val="auto"/>
        </w:rPr>
      </w:pPr>
    </w:p>
    <w:p>
      <w:pPr>
        <w:jc w:val="both"/>
        <w:ind w:left="1140" w:hanging="646"/>
        <w:spacing w:after="0" w:line="261" w:lineRule="auto"/>
        <w:tabs>
          <w:tab w:leader="none" w:pos="123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Peruvian tax authorities have the right to review and, if necessary, amend the annual tax returns of the Peruvian subsidiaries up to four year after its presentation. The most important subsidiaries subject to these reviews are BCP and PPS. In BCP, the fiscal years 2001, 2002 and 2003, have been reviewed by the tax authorities. As a result of such revisions, no significant additional taxes have arisen in excess of the previously accounted for in the Group consolidated financial statements.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140" w:right="80" w:firstLine="54"/>
        <w:spacing w:after="0" w:line="261" w:lineRule="auto"/>
        <w:rPr>
          <w:sz w:val="20"/>
          <w:szCs w:val="20"/>
          <w:color w:val="auto"/>
        </w:rPr>
      </w:pPr>
      <w:r>
        <w:rPr>
          <w:rFonts w:ascii="Times New Roman" w:cs="Times New Roman" w:eastAsia="Times New Roman" w:hAnsi="Times New Roman"/>
          <w:sz w:val="18"/>
          <w:szCs w:val="18"/>
          <w:color w:val="auto"/>
        </w:rPr>
        <w:t>The years 2004 to 2006 for BCP and PPS, are pending of review. Any additional tax arising as a result of the tax authority examination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2006 and 2005.</w:t>
      </w:r>
    </w:p>
    <w:p>
      <w:pPr>
        <w:spacing w:after="0" w:line="230"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256" w:lineRule="exact"/>
        <w:rPr>
          <w:rFonts w:ascii="Times New Roman" w:cs="Times New Roman" w:eastAsia="Times New Roman" w:hAnsi="Times New Roman"/>
          <w:sz w:val="18"/>
          <w:szCs w:val="18"/>
          <w:b w:val="1"/>
          <w:bCs w:val="1"/>
          <w:color w:val="auto"/>
        </w:rPr>
      </w:pPr>
    </w:p>
    <w:p>
      <w:pPr>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indicated in note 3(t), Credicorp has granted stock appreciation rights (SARs) to certain key executives and employees who have at least one year’s service in Credicorp or any of its subsidiaries. The SARs expire after eight years and 25 percent of them may be exercised during each of the first four years of the plan.</w:t>
      </w:r>
    </w:p>
    <w:p>
      <w:pPr>
        <w:spacing w:after="0" w:line="230"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end of the fourth year and until the expiration date of the SARs, all of the unexercised SARs may be exercised at any time. As of December 31, 2006 and 2005, 948,925 and 662,200 SARs had been exercised under this plan for an approximate amount of US$29.3 and US$9.6 million, as of December 31, 2006 and 2005, respectively, plus the income tax or behalf of the executives and employees that is assumed by the Group and corresponds 30 percent of the amount paid.</w:t>
      </w:r>
    </w:p>
    <w:p>
      <w:pPr>
        <w:spacing w:after="0" w:line="23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SARs issued and not exercised as of December 31, 2006 and 2005 and the prices of such rights as of said dates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SARs issued as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of</w:t>
            </w: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25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 Vested SARs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1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8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64"/>
        </w:trPr>
        <w:tc>
          <w:tcPr>
            <w:tcW w:w="4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1999</w:t>
            </w:r>
          </w:p>
        </w:tc>
        <w:tc>
          <w:tcPr>
            <w:tcW w:w="142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110,000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r>
      <w:tr>
        <w:trPr>
          <w:trHeight w:val="243"/>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68,750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68,750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187,250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49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520" w:type="dxa"/>
            <w:vAlign w:val="bottom"/>
            <w:gridSpan w:val="4"/>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81,500</w:t>
            </w: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81,500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192,550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117,500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285,225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49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142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220,000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220,000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359,844</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43"/>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352,750</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317,984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294,375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r>
      <w:tr>
        <w:trPr>
          <w:trHeight w:val="243"/>
        </w:trPr>
        <w:tc>
          <w:tcPr>
            <w:tcW w:w="492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42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457,600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281,038</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229,688</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70"/>
        </w:trPr>
        <w:tc>
          <w:tcPr>
            <w:tcW w:w="4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24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560,250</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215,156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1,301,928</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1,658,932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F-65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56"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Credicorp’s Management has estimated the fair value of the SARs as of December 31, 2006 and 2005, using the binomial option pricing model, with assumptions obtained from the relevant available market information, including the assuming for practical purposes that all contracts can only be exercised at the end of their term. The key assumptions used are as follows:</w:t>
      </w:r>
    </w:p>
    <w:p>
      <w:pPr>
        <w:sectPr>
          <w:pgSz w:w="11900" w:h="16838" w:orient="portrait"/>
          <w:cols w:equalWidth="0" w:num="1">
            <w:col w:w="11420"/>
          </w:cols>
          <w:pgMar w:left="240" w:top="369" w:right="239" w:bottom="1440" w:gutter="0" w:footer="0" w:header="0"/>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278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free interest rate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Quoted price of Credicorp shares</w:t>
      </w:r>
    </w:p>
    <w:p>
      <w:pPr>
        <w:spacing w:after="0" w:line="30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The movement of the SARs for the years 2006 and 2005 are as follows: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6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r>
      <w:tr>
        <w:trPr>
          <w:trHeight w:val="480"/>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31.31%</w:t>
            </w:r>
          </w:p>
        </w:tc>
        <w:tc>
          <w:tcPr>
            <w:tcW w:w="2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28.24%</w:t>
            </w:r>
          </w:p>
        </w:tc>
      </w:tr>
      <w:tr>
        <w:trPr>
          <w:trHeight w:val="243"/>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2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5.05 years</w:t>
            </w:r>
          </w:p>
        </w:tc>
        <w:tc>
          <w:tcPr>
            <w:tcW w:w="160" w:type="dxa"/>
            <w:vAlign w:val="bottom"/>
          </w:tcPr>
          <w:p>
            <w:pPr>
              <w:spacing w:after="0"/>
              <w:rPr>
                <w:sz w:val="21"/>
                <w:szCs w:val="21"/>
                <w:color w:val="auto"/>
              </w:rPr>
            </w:pPr>
          </w:p>
        </w:tc>
        <w:tc>
          <w:tcPr>
            <w:tcW w:w="2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4.70 years</w:t>
            </w:r>
          </w:p>
        </w:tc>
      </w:tr>
      <w:tr>
        <w:trPr>
          <w:trHeight w:val="243"/>
        </w:trPr>
        <w:tc>
          <w:tcPr>
            <w:tcW w:w="22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US$40.94</w:t>
            </w:r>
          </w:p>
        </w:tc>
        <w:tc>
          <w:tcPr>
            <w:tcW w:w="160" w:type="dxa"/>
            <w:vAlign w:val="bottom"/>
          </w:tcPr>
          <w:p>
            <w:pPr>
              <w:spacing w:after="0"/>
              <w:rPr>
                <w:sz w:val="21"/>
                <w:szCs w:val="21"/>
                <w:color w:val="auto"/>
              </w:rPr>
            </w:pPr>
          </w:p>
        </w:tc>
        <w:tc>
          <w:tcPr>
            <w:tcW w:w="2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US$22.79</w:t>
            </w:r>
          </w:p>
        </w:tc>
      </w:tr>
    </w:tbl>
    <w:p>
      <w:pPr>
        <w:spacing w:after="0" w:line="658" w:lineRule="exact"/>
        <w:rPr>
          <w:sz w:val="20"/>
          <w:szCs w:val="20"/>
          <w:color w:val="auto"/>
        </w:rPr>
      </w:pPr>
    </w:p>
    <w:p>
      <w:pPr>
        <w:sectPr>
          <w:pgSz w:w="11900" w:h="16838" w:orient="portrait"/>
          <w:cols w:equalWidth="0" w:num="2">
            <w:col w:w="6100" w:space="720"/>
            <w:col w:w="4600"/>
          </w:cols>
          <w:pgMar w:left="240" w:top="369" w:right="2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Vested SARs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Balance as of January 1</w:t>
            </w:r>
            <w:r>
              <w:rPr>
                <w:rFonts w:ascii="Times New Roman" w:cs="Times New Roman" w:eastAsia="Times New Roman" w:hAnsi="Times New Roman"/>
                <w:sz w:val="29"/>
                <w:szCs w:val="29"/>
                <w:b w:val="1"/>
                <w:bCs w:val="1"/>
                <w:color w:val="auto"/>
                <w:vertAlign w:val="superscript"/>
              </w:rPr>
              <w:t>st</w:t>
            </w:r>
          </w:p>
        </w:tc>
        <w:tc>
          <w:tcPr>
            <w:tcW w:w="152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2,278,475</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11,700</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 and vested</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621,000</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600,046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7,448</w:t>
            </w:r>
          </w:p>
        </w:tc>
        <w:tc>
          <w:tcPr>
            <w:tcW w:w="0" w:type="dxa"/>
            <w:vAlign w:val="bottom"/>
          </w:tcPr>
          <w:p>
            <w:pPr>
              <w:spacing w:after="0"/>
              <w:rPr>
                <w:sz w:val="1"/>
                <w:szCs w:val="1"/>
                <w:color w:val="auto"/>
              </w:rPr>
            </w:pPr>
          </w:p>
        </w:tc>
      </w:tr>
      <w:tr>
        <w:trPr>
          <w:trHeight w:val="243"/>
        </w:trPr>
        <w:tc>
          <w:tcPr>
            <w:tcW w:w="36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(29,292)</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(662,200)</w:t>
            </w:r>
          </w:p>
        </w:tc>
        <w:tc>
          <w:tcPr>
            <w:tcW w:w="1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(662,200)</w:t>
            </w:r>
          </w:p>
        </w:tc>
        <w:tc>
          <w:tcPr>
            <w:tcW w:w="12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(8,125)</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Increase in fair value</w:t>
            </w:r>
          </w:p>
        </w:tc>
        <w:tc>
          <w:tcPr>
            <w:tcW w:w="24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32,634</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24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vMerge w:val="continue"/>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1,858,350</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1,301,928</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38,761</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2,201,275</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1,658,932</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22,813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signed contracts, Credicorp assumes the payment of the income tax of this benefit on behalf of its executives and employees, which corresponds to 30 percent of the benefit. Credicorp estimates the amount over the basis of the liability recorded for the vested benefits and records it in the same caption of this plan.</w:t>
      </w:r>
    </w:p>
    <w:p>
      <w:pPr>
        <w:spacing w:after="0" w:line="230"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The liabilities recorded for this plan are included in “Payroll taxes, salaries and other personnel expenses”, in the caption “Other liabilities” of the consolidated balance sheets (note 11 (a)); and the expenses in the caption “Personal expenses” on the consolidated income statements. In 2006, 2005 and 2004, the SARs prices were modified and informed to the executives of the Group.</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In the fiscal year 2006, the Group signed a contract with Citigroup by which has acquired certificates linked to the yield of Credicorp’s shares, to obtain an economic hedge of the SARs granted to its executives and employees, note 11(c).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   Off-balance sheet accounts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w:t>
            </w: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This item is made up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9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US$(000)</w:t>
            </w:r>
          </w:p>
        </w:tc>
      </w:tr>
      <w:tr>
        <w:trPr>
          <w:trHeight w:val="48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Contingent credits -</w:t>
            </w: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Guarantees and stand by letters (c)</w:t>
            </w:r>
          </w:p>
        </w:tc>
        <w:tc>
          <w:tcPr>
            <w:tcW w:w="16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1,204,500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982,044</w:t>
            </w:r>
          </w:p>
        </w:tc>
      </w:tr>
      <w:tr>
        <w:trPr>
          <w:trHeight w:val="27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Import and export letters of credit (c)</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250,876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238,902</w:t>
            </w:r>
          </w:p>
        </w:tc>
        <w:tc>
          <w:tcPr>
            <w:tcW w:w="100" w:type="dxa"/>
            <w:vAlign w:val="bottom"/>
          </w:tcPr>
          <w:p>
            <w:pPr>
              <w:spacing w:after="0"/>
              <w:rPr>
                <w:sz w:val="23"/>
                <w:szCs w:val="23"/>
                <w:color w:val="auto"/>
              </w:rPr>
            </w:pPr>
          </w:p>
        </w:tc>
      </w:tr>
      <w:tr>
        <w:trPr>
          <w:trHeight w:val="237"/>
        </w:trPr>
        <w:tc>
          <w:tcPr>
            <w:tcW w:w="9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1,455,376</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1,220,946</w:t>
            </w:r>
          </w:p>
        </w:tc>
      </w:tr>
      <w:tr>
        <w:trPr>
          <w:trHeight w:val="243"/>
        </w:trPr>
        <w:tc>
          <w:tcPr>
            <w:tcW w:w="8120" w:type="dxa"/>
            <w:vAlign w:val="bottom"/>
            <w:gridSpan w:val="2"/>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Responsibilities under credit lines agreements (e)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814,746</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531,816</w:t>
            </w:r>
          </w:p>
        </w:tc>
      </w:tr>
      <w:tr>
        <w:trPr>
          <w:trHeight w:val="243"/>
        </w:trPr>
        <w:tc>
          <w:tcPr>
            <w:tcW w:w="81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Forward contracts - sell (d)</w:t>
            </w:r>
          </w:p>
        </w:tc>
        <w:tc>
          <w:tcPr>
            <w:tcW w:w="1820" w:type="dxa"/>
            <w:vAlign w:val="bottom"/>
            <w:gridSpan w:val="3"/>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561,111</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654,841</w:t>
            </w:r>
          </w:p>
        </w:tc>
      </w:tr>
      <w:tr>
        <w:trPr>
          <w:trHeight w:val="243"/>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contracts - buy (d)</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(592,081)</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(343,897)</w:t>
            </w:r>
          </w:p>
        </w:tc>
      </w:tr>
      <w:tr>
        <w:trPr>
          <w:trHeight w:val="275"/>
        </w:trPr>
        <w:tc>
          <w:tcPr>
            <w:tcW w:w="812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Swap contracts (d)</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543,041</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572,160</w:t>
            </w:r>
          </w:p>
        </w:tc>
      </w:tr>
      <w:tr>
        <w:trPr>
          <w:trHeight w:val="237"/>
        </w:trPr>
        <w:tc>
          <w:tcPr>
            <w:tcW w:w="940" w:type="dxa"/>
            <w:vAlign w:val="bottom"/>
            <w:tcBorders>
              <w:top w:val="single" w:sz="8" w:color="CCFFCC"/>
            </w:tcBorders>
            <w:shd w:val="clear" w:color="auto" w:fill="CCFFCC"/>
          </w:tcPr>
          <w:p>
            <w:pPr>
              <w:spacing w:after="0"/>
              <w:rPr>
                <w:sz w:val="20"/>
                <w:szCs w:val="20"/>
                <w:color w:val="auto"/>
              </w:rPr>
            </w:pPr>
          </w:p>
        </w:tc>
        <w:tc>
          <w:tcPr>
            <w:tcW w:w="718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2,782,193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2,635,866</w:t>
            </w:r>
          </w:p>
        </w:tc>
      </w:tr>
      <w:tr>
        <w:trPr>
          <w:trHeight w:val="20"/>
        </w:trPr>
        <w:tc>
          <w:tcPr>
            <w:tcW w:w="9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1140" w:right="60" w:hanging="646"/>
        <w:spacing w:after="0" w:line="282" w:lineRule="auto"/>
        <w:tabs>
          <w:tab w:leader="none" w:pos="119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216" w:lineRule="exact"/>
        <w:rPr>
          <w:sz w:val="20"/>
          <w:szCs w:val="20"/>
          <w:color w:val="auto"/>
        </w:rPr>
      </w:pPr>
    </w:p>
    <w:p>
      <w:pPr>
        <w:ind w:left="1140" w:right="260"/>
        <w:spacing w:after="0" w:line="282" w:lineRule="auto"/>
        <w:rPr>
          <w:sz w:val="20"/>
          <w:szCs w:val="20"/>
          <w:color w:val="auto"/>
        </w:rPr>
      </w:pPr>
      <w:r>
        <w:rPr>
          <w:rFonts w:ascii="Times New Roman" w:cs="Times New Roman" w:eastAsia="Times New Roman" w:hAnsi="Times New Roman"/>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216" w:lineRule="exact"/>
        <w:rPr>
          <w:sz w:val="20"/>
          <w:szCs w:val="20"/>
          <w:color w:val="auto"/>
        </w:rPr>
      </w:pPr>
    </w:p>
    <w:p>
      <w:pPr>
        <w:ind w:left="1140" w:right="80"/>
        <w:spacing w:after="0" w:line="258" w:lineRule="auto"/>
        <w:rPr>
          <w:sz w:val="20"/>
          <w:szCs w:val="20"/>
          <w:color w:val="auto"/>
        </w:rPr>
      </w:pPr>
      <w:r>
        <w:rPr>
          <w:rFonts w:ascii="Times New Roman" w:cs="Times New Roman" w:eastAsia="Times New Roman" w:hAnsi="Times New Roman"/>
          <w:sz w:val="18"/>
          <w:szCs w:val="18"/>
          <w:color w:val="auto"/>
        </w:rPr>
        <w:t>The exposure to losses under commitments to guarantees, stand by letters,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7(a)) when it is deemed necessary. Collateral held varies, but may include deposits held in financial institutions, securities or other assets.</w:t>
      </w:r>
    </w:p>
    <w:p>
      <w:pPr>
        <w:spacing w:after="0" w:line="238" w:lineRule="exact"/>
        <w:rPr>
          <w:sz w:val="20"/>
          <w:szCs w:val="20"/>
          <w:color w:val="auto"/>
        </w:rPr>
      </w:pPr>
    </w:p>
    <w:p>
      <w:pPr>
        <w:ind w:left="1140" w:right="100" w:firstLine="9"/>
        <w:spacing w:after="0" w:line="282" w:lineRule="auto"/>
        <w:rPr>
          <w:sz w:val="20"/>
          <w:szCs w:val="20"/>
          <w:color w:val="auto"/>
        </w:rPr>
      </w:pPr>
      <w:r>
        <w:rPr>
          <w:rFonts w:ascii="Times New Roman" w:cs="Times New Roman" w:eastAsia="Times New Roman" w:hAnsi="Times New Roman"/>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300" w:right="280" w:hanging="644"/>
        <w:spacing w:after="0" w:line="266"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0" w:lineRule="exact"/>
        <w:rPr>
          <w:rFonts w:ascii="Times New Roman" w:cs="Times New Roman" w:eastAsia="Times New Roman" w:hAnsi="Times New Roman"/>
          <w:sz w:val="18"/>
          <w:szCs w:val="18"/>
          <w:color w:val="auto"/>
        </w:rPr>
      </w:pPr>
    </w:p>
    <w:p>
      <w:pPr>
        <w:ind w:left="1300" w:hanging="644"/>
        <w:spacing w:after="0" w:line="255"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Credicorp has foreign currency forwards derivatives and a minor position on options for exchange rates (the total amount as of December 31, 2006 is US$8.7 million).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and 2005, forward foreign currency purchase and sale agreements referred to above include nominal amounts of approximately US$1,153.2 million and US$998.7 million, respectively, which have maturities of less than a year. These agreements are executed to satisfy client requirements and are recognized in the financial statements at their fair market value. As of December 31, 2006, the forward contracts net position is an overbuy of U.S. Dollars of approximately US$31.0 million (oversell of approximately US$310.9 million as of December 31, 2005).</w:t>
      </w:r>
    </w:p>
    <w:p>
      <w:pPr>
        <w:spacing w:after="0" w:line="239" w:lineRule="exact"/>
        <w:rPr>
          <w:rFonts w:ascii="Times New Roman" w:cs="Times New Roman" w:eastAsia="Times New Roman" w:hAnsi="Times New Roman"/>
          <w:sz w:val="18"/>
          <w:szCs w:val="18"/>
          <w:color w:val="auto"/>
        </w:rPr>
      </w:pPr>
    </w:p>
    <w:p>
      <w:pPr>
        <w:ind w:left="130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open interest rate swap contracts was approximately US$543.0 million (approximately US$572.2 million as of December 31, 2005). These contracts are recorded at fair value, recording both realized and unrealized gains and losses in the consolidated income statements.</w:t>
      </w:r>
    </w:p>
    <w:p>
      <w:pPr>
        <w:spacing w:after="0" w:line="241" w:lineRule="exact"/>
        <w:rPr>
          <w:rFonts w:ascii="Times New Roman" w:cs="Times New Roman" w:eastAsia="Times New Roman" w:hAnsi="Times New Roman"/>
          <w:sz w:val="18"/>
          <w:szCs w:val="18"/>
          <w:color w:val="auto"/>
        </w:rPr>
      </w:pPr>
    </w:p>
    <w:p>
      <w:pPr>
        <w:ind w:left="1300"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the Group held one interest rate swap contract for a notional amount of US$196.0 million designated as a cash flow hedge, because it reduces the exposure to the variable interest rate risk of a portion of the loan transaction entered by the Group on November 2005, note 14(b).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237" w:lineRule="exact"/>
        <w:rPr>
          <w:rFonts w:ascii="Times New Roman" w:cs="Times New Roman" w:eastAsia="Times New Roman" w:hAnsi="Times New Roman"/>
          <w:sz w:val="18"/>
          <w:szCs w:val="18"/>
          <w:color w:val="auto"/>
        </w:rPr>
      </w:pPr>
    </w:p>
    <w:p>
      <w:pPr>
        <w:ind w:left="130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 and liability forward contracts and swaps as of December 31, 2006 amounted approximately US$19.1 and US$7.8 million, respectively (approximately US$8.8 and US$8.0 million as of December 31, 2005) and are included under the caption “Other assets and other liabilities” of the consolidated balance sheets, respectively, note 11. As of December 31, 2006 and 2005, the fair value of the cash flow hedge amounts to US$2.9 and US$1.6 million, respectively, and is recorded in the net equity.</w:t>
      </w:r>
    </w:p>
    <w:p>
      <w:pPr>
        <w:spacing w:after="0" w:line="234"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under credit line agreements do not correspond to commitment of obtain credit; and includes credit lines and other consumer loans that are cancelable upon notification to the consumer.</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premiums earned</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Premiums earned net of insurance contract ceded to re-insurer for the three years ended December 31, 2006, 2005 and 2004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Assumed</w:t>
            </w:r>
          </w:p>
        </w:tc>
        <w:tc>
          <w:tcPr>
            <w:tcW w:w="1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Ceded to</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from other</w:t>
            </w:r>
          </w:p>
        </w:tc>
        <w:tc>
          <w:tcPr>
            <w:tcW w:w="1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amount</w:t>
            </w:r>
          </w:p>
        </w:tc>
      </w:tr>
      <w:tr>
        <w:trPr>
          <w:trHeight w:val="216"/>
        </w:trPr>
        <w:tc>
          <w:tcPr>
            <w:tcW w:w="51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reinsurers and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companies,</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Net premiums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assumed on</w:t>
            </w:r>
          </w:p>
        </w:tc>
      </w:tr>
      <w:tr>
        <w:trPr>
          <w:trHeight w:val="238"/>
        </w:trPr>
        <w:tc>
          <w:tcPr>
            <w:tcW w:w="51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Premiums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coinsurers, net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premiums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US$(000)</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US$(000)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US$(000)</w:t>
            </w:r>
          </w:p>
        </w:tc>
        <w:tc>
          <w:tcPr>
            <w:tcW w:w="11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0"/>
                <w:szCs w:val="20"/>
                <w:color w:val="auto"/>
              </w:rPr>
            </w:pPr>
          </w:p>
        </w:tc>
      </w:tr>
      <w:tr>
        <w:trPr>
          <w:trHeight w:val="48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2006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66,477</w:t>
            </w:r>
          </w:p>
        </w:tc>
        <w:tc>
          <w:tcPr>
            <w:tcW w:w="1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(2,923)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1,228</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64,782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111,295</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1,526</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138,964</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(64,767)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1,838</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76,035</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316,736</w:t>
            </w:r>
          </w:p>
        </w:tc>
        <w:tc>
          <w:tcPr>
            <w:tcW w:w="1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(70,067)</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4,592</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251,261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24"/>
        </w:trPr>
        <w:tc>
          <w:tcPr>
            <w:tcW w:w="5160" w:type="dxa"/>
            <w:vAlign w:val="bottom"/>
            <w:tcBorders>
              <w:top w:val="single" w:sz="8" w:color="CCFFC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As of December 31, 2005</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tcBorders>
              <w:right w:val="single" w:sz="8" w:color="CCFFCC"/>
            </w:tcBorders>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46,239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44,667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111,785</w:t>
            </w:r>
          </w:p>
        </w:tc>
        <w:tc>
          <w:tcPr>
            <w:tcW w:w="1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(2,745)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1,531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110,571</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126,377</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(61,133)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(1,527)</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63,717</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37"/>
        </w:trPr>
        <w:tc>
          <w:tcPr>
            <w:tcW w:w="516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tcBorders>
              <w:top w:val="single" w:sz="8" w:color="auto"/>
              <w:right w:val="single" w:sz="8" w:color="CCFFCC"/>
            </w:tcBorders>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284,401</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(66,415)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2004</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35,998</w:t>
            </w:r>
          </w:p>
        </w:tc>
        <w:tc>
          <w:tcPr>
            <w:tcW w:w="1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(2,865)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33,816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108,739</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1,481</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107,273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107,937</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(60,131)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3,777</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51,583</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7.32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premiums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252,674</w:t>
            </w:r>
          </w:p>
        </w:tc>
        <w:tc>
          <w:tcPr>
            <w:tcW w:w="1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(65,943)</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5,941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Times New Roman" w:cs="Times New Roman" w:eastAsia="Times New Roman" w:hAnsi="Times New Roman"/>
                <w:sz w:val="18"/>
                <w:szCs w:val="18"/>
                <w:color w:val="auto"/>
              </w:rPr>
              <w:t>192,672</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5540" w:right="5080" w:hanging="5532"/>
        <w:spacing w:after="0" w:line="611" w:lineRule="auto"/>
        <w:tabs>
          <w:tab w:leader="none" w:pos="652"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annual variation of the technical and unearned premiums reserves.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right="4120" w:hanging="652"/>
        <w:spacing w:after="0" w:line="595" w:lineRule="auto"/>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claims incurred for property and casualty, life and health insurance contracts </w:t>
      </w:r>
      <w:r>
        <w:rPr>
          <w:rFonts w:ascii="Times New Roman" w:cs="Times New Roman" w:eastAsia="Times New Roman" w:hAnsi="Times New Roman"/>
          <w:sz w:val="18"/>
          <w:szCs w:val="18"/>
          <w:color w:val="auto"/>
        </w:rPr>
        <w:t>The expenses for claims at December 31, 2006, 2005 and 2004 include the following items:</w:t>
      </w:r>
    </w:p>
    <w:p>
      <w:pPr>
        <w:sectPr>
          <w:pgSz w:w="11900" w:h="16838" w:orient="portrait"/>
          <w:cols w:equalWidth="0" w:num="1">
            <w:col w:w="11380"/>
          </w:cols>
          <w:pgMar w:left="240" w:top="39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insurance claims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claims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insurance claims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claims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insurance claims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claims</w:t>
      </w:r>
    </w:p>
    <w:p>
      <w:pPr>
        <w:spacing w:after="0" w:line="20" w:lineRule="exact"/>
        <w:rPr>
          <w:sz w:val="20"/>
          <w:szCs w:val="20"/>
          <w:color w:val="auto"/>
        </w:rPr>
      </w:pPr>
      <w:r>
        <w:rPr>
          <w:sz w:val="20"/>
          <w:szCs w:val="20"/>
          <w:color w:val="auto"/>
        </w:rPr>
        <w:br w:type="column"/>
      </w:r>
    </w:p>
    <w:p>
      <w:pPr>
        <w:ind w:left="2900"/>
        <w:spacing w:after="0"/>
        <w:rPr>
          <w:sz w:val="20"/>
          <w:szCs w:val="20"/>
          <w:color w:val="auto"/>
        </w:rPr>
      </w:pPr>
      <w:r>
        <w:rPr>
          <w:rFonts w:ascii="Times New Roman" w:cs="Times New Roman" w:eastAsia="Times New Roman" w:hAnsi="Times New Roman"/>
          <w:sz w:val="18"/>
          <w:szCs w:val="18"/>
          <w:b w:val="1"/>
          <w:bCs w:val="1"/>
          <w:color w:val="auto"/>
        </w:rPr>
        <w:t>2006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Health</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52,713</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60,285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89,797</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202,795</w:t>
            </w:r>
          </w:p>
        </w:tc>
      </w:tr>
      <w:tr>
        <w:trPr>
          <w:trHeight w:val="270"/>
        </w:trPr>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(13,698)</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(16,273)</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88,045</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186,522</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56,539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93,115</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191,304</w:t>
            </w:r>
          </w:p>
        </w:tc>
      </w:tr>
      <w:tr>
        <w:trPr>
          <w:trHeight w:val="270"/>
        </w:trPr>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(13,970)</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(15,804)</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42,569</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92,151</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175,500</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2004</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7"/>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US$(000)</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US$(000)</w:t>
            </w: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40,625</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52,707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81,198</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174,530</w:t>
            </w:r>
          </w:p>
        </w:tc>
      </w:tr>
      <w:tr>
        <w:trPr>
          <w:trHeight w:val="270"/>
        </w:trPr>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(17,916)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(20,205)</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-3832860</wp:posOffset>
            </wp:positionV>
            <wp:extent cx="72466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-3498215</wp:posOffset>
            </wp:positionV>
            <wp:extent cx="72466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-2083435</wp:posOffset>
            </wp:positionV>
            <wp:extent cx="72466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-1748790</wp:posOffset>
            </wp:positionV>
            <wp:extent cx="72466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-334010</wp:posOffset>
            </wp:positionV>
            <wp:extent cx="72466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0</wp:posOffset>
            </wp:positionV>
            <wp:extent cx="72466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20"/>
          </w:cols>
          <w:pgMar w:left="240" w:top="396" w:right="27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insurance claims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w:t>
            </w:r>
          </w:p>
        </w:tc>
        <w:tc>
          <w:tcPr>
            <w:tcW w:w="1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34,791</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80,863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154,325</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w:t>
            </w: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4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items are made up as follow:</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(loss) from the sale of assets seized</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(3,411)</w:t>
            </w: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rental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Recoveries of other accounts receivable and other assets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1,429</w:t>
            </w: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of indexed certificates Citigroup, note 11 (c)</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620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8,863</w:t>
            </w:r>
          </w:p>
        </w:tc>
      </w:tr>
      <w:tr>
        <w:trPr>
          <w:trHeight w:val="237"/>
        </w:trPr>
        <w:tc>
          <w:tcPr>
            <w:tcW w:w="6740" w:type="dxa"/>
            <w:vAlign w:val="bottom"/>
            <w:tcBorders>
              <w:top w:val="single" w:sz="8" w:color="CCFFCC"/>
            </w:tcBorders>
            <w:gridSpan w:val="2"/>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26,197</w:t>
            </w:r>
          </w:p>
        </w:tc>
        <w:tc>
          <w:tcPr>
            <w:tcW w:w="24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21,571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8,105</w:t>
            </w:r>
          </w:p>
        </w:tc>
      </w:tr>
      <w:tr>
        <w:trPr>
          <w:trHeight w:val="224"/>
        </w:trPr>
        <w:tc>
          <w:tcPr>
            <w:tcW w:w="540" w:type="dxa"/>
            <w:vAlign w:val="bottom"/>
            <w:tcBorders>
              <w:top w:val="single" w:sz="8" w:color="CCFFCC"/>
            </w:tcBorders>
          </w:tcPr>
          <w:p>
            <w:pPr>
              <w:spacing w:after="0"/>
              <w:rPr>
                <w:sz w:val="19"/>
                <w:szCs w:val="19"/>
                <w:color w:val="auto"/>
              </w:rPr>
            </w:pPr>
          </w:p>
        </w:tc>
        <w:tc>
          <w:tcPr>
            <w:tcW w:w="620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 in 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19,693</w:t>
            </w: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Sundry technical insurance expenses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5,931</w:t>
            </w: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sundry risks, note 11(e)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9,819</w:t>
            </w: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Provisions for other account receivables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7,112</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(gain) from sale of fixed assets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4,525</w:t>
            </w: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Loss from fake currencies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r>
      <w:tr>
        <w:trPr>
          <w:trHeight w:val="237"/>
        </w:trPr>
        <w:tc>
          <w:tcPr>
            <w:tcW w:w="540" w:type="dxa"/>
            <w:vAlign w:val="bottom"/>
            <w:shd w:val="clear" w:color="auto" w:fill="CCFFCC"/>
          </w:tcPr>
          <w:p>
            <w:pPr>
              <w:spacing w:after="0"/>
              <w:rPr>
                <w:sz w:val="20"/>
                <w:szCs w:val="20"/>
                <w:color w:val="auto"/>
              </w:rPr>
            </w:pPr>
          </w:p>
        </w:tc>
        <w:tc>
          <w:tcPr>
            <w:tcW w:w="62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46,745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42,869</w:t>
            </w:r>
          </w:p>
        </w:tc>
      </w:tr>
      <w:tr>
        <w:trPr>
          <w:trHeight w:val="20"/>
        </w:trPr>
        <w:tc>
          <w:tcPr>
            <w:tcW w:w="5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earnings per ordinary share have been determined over the net income attributable to equity holders of Credicorp as follows:</w:t>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in issue: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note 17(a)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 weighted average treasury shares, note 17(b)</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60" w:type="dxa"/>
            <w:vAlign w:val="bottom"/>
          </w:tcPr>
          <w:p>
            <w:pPr>
              <w:spacing w:after="0"/>
              <w:rPr>
                <w:sz w:val="20"/>
                <w:szCs w:val="20"/>
                <w:color w:val="auto"/>
              </w:rPr>
            </w:pPr>
          </w:p>
        </w:tc>
      </w:tr>
      <w:tr>
        <w:trPr>
          <w:trHeight w:val="723"/>
        </w:trPr>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94,382,317</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94,382,317</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94,382,317</w:t>
            </w:r>
          </w:p>
        </w:tc>
      </w:tr>
      <w:tr>
        <w:trPr>
          <w:trHeight w:val="270"/>
        </w:trPr>
        <w:tc>
          <w:tcPr>
            <w:tcW w:w="1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(14,620,842)</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(14,620,842)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(14,624,392)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-325120</wp:posOffset>
            </wp:positionV>
            <wp:extent cx="72466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20" w:space="720"/>
            <w:col w:w="4680"/>
          </w:cols>
          <w:pgMar w:left="240" w:top="396"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Weighted outstanding average number of ordinary shares</w:t>
            </w:r>
          </w:p>
        </w:tc>
        <w:tc>
          <w:tcPr>
            <w:tcW w:w="22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79,761,475</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79,761,475</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79,757,925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attributable to equity holders of Credicorp (in thousands of U.S. dollars)</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230,013</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181,885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130,747</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per share for net income attributable to equity holders of</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50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Credicorp (in U.S. Dollars)</w:t>
            </w:r>
          </w:p>
        </w:tc>
        <w:tc>
          <w:tcPr>
            <w:tcW w:w="184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2.88</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6500" w:type="dxa"/>
            <w:vAlign w:val="bottom"/>
            <w:tcBorders>
              <w:top w:val="single" w:sz="8" w:color="CCFFCC"/>
            </w:tcBorders>
          </w:tcPr>
          <w:p>
            <w:pPr>
              <w:ind w:left="5520"/>
              <w:spacing w:after="0"/>
              <w:rPr>
                <w:sz w:val="20"/>
                <w:szCs w:val="20"/>
                <w:color w:val="auto"/>
              </w:rPr>
            </w:pPr>
            <w:r>
              <w:rPr>
                <w:rFonts w:ascii="Times New Roman" w:cs="Times New Roman" w:eastAsia="Times New Roman" w:hAnsi="Times New Roman"/>
                <w:sz w:val="18"/>
                <w:szCs w:val="18"/>
                <w:color w:val="auto"/>
              </w:rPr>
              <w:t>F-71</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w:t>
      </w:r>
    </w:p>
    <w:p>
      <w:pPr>
        <w:spacing w:after="0" w:line="28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organized on two main lines of business:</w:t>
      </w:r>
    </w:p>
    <w:p>
      <w:pPr>
        <w:spacing w:after="0" w:line="279" w:lineRule="exact"/>
        <w:rPr>
          <w:rFonts w:ascii="Times New Roman" w:cs="Times New Roman" w:eastAsia="Times New Roman" w:hAnsi="Times New Roman"/>
          <w:sz w:val="18"/>
          <w:szCs w:val="18"/>
          <w:b w:val="1"/>
          <w:bCs w:val="1"/>
          <w:color w:val="auto"/>
        </w:rPr>
      </w:pPr>
    </w:p>
    <w:p>
      <w:pPr>
        <w:ind w:left="1300" w:right="180" w:hanging="644"/>
        <w:spacing w:after="0" w:line="266"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230"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business - incorporating the issuance of policies of insurance to cover claims, such as fires, vehicles, transport, personal accidents and life insurance, among others.</w:t>
      </w:r>
    </w:p>
    <w:p>
      <w:pPr>
        <w:spacing w:after="0" w:line="216"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In addition the Group, since 2005, maintains activities related to pension fund management, note 2(a). Other operations of the Group comprise brokerage, fund management and trusteeship.</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Transactions between the business segments are realized on normal commercial terms and conditions.</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Group’s financial information by industry (primary segment) and geographical area (secondary segment) for the three years ended December 31, 2006, 2005 and 2004:</w:t>
      </w:r>
    </w:p>
    <w:p>
      <w:pPr>
        <w:spacing w:after="0" w:line="216" w:lineRule="exact"/>
        <w:rPr>
          <w:sz w:val="20"/>
          <w:szCs w:val="20"/>
          <w:color w:val="auto"/>
        </w:rPr>
      </w:pPr>
    </w:p>
    <w:p>
      <w:pPr>
        <w:ind w:left="1300" w:hanging="644"/>
        <w:spacing w:after="0"/>
        <w:tabs>
          <w:tab w:leader="none" w:pos="13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segments by industry (amount expressed in million of U.S.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External</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provisions</w:t>
            </w:r>
          </w:p>
        </w:tc>
      </w:tr>
      <w:tr>
        <w:trPr>
          <w:trHeight w:val="238"/>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segments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Eliminations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r>
      <w:tr>
        <w:trPr>
          <w:trHeight w:val="48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Banking</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11,090</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Brokerage and 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FFCC"/>
          </w:tcPr>
          <w:p>
            <w:pPr>
              <w:spacing w:after="0"/>
              <w:rPr>
                <w:sz w:val="24"/>
                <w:szCs w:val="24"/>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12,882</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FFCC"/>
          </w:tcPr>
          <w:p>
            <w:pPr>
              <w:spacing w:after="0"/>
              <w:rPr>
                <w:sz w:val="24"/>
                <w:szCs w:val="24"/>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4"/>
        </w:trPr>
        <w:tc>
          <w:tcPr>
            <w:tcW w:w="318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r>
      <w:tr>
        <w:trPr>
          <w:trHeight w:val="243"/>
        </w:trPr>
        <w:tc>
          <w:tcPr>
            <w:tcW w:w="31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9,893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Insurance</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50"/>
        </w:trPr>
        <w:tc>
          <w:tcPr>
            <w:tcW w:w="328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Brokerage and other</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11,036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43"/>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Banking</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8,083</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Brokerage and 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r>
      <w:tr>
        <w:trPr>
          <w:trHeight w:val="20"/>
        </w:trPr>
        <w:tc>
          <w:tcPr>
            <w:tcW w:w="3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2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7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8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9,088</w:t>
            </w:r>
          </w:p>
        </w:tc>
        <w:tc>
          <w:tcPr>
            <w:tcW w:w="8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467"/>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F-73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300" w:hanging="64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 by geographical area (amounts expressed in million of U.S.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440" w:type="dxa"/>
            <w:vAlign w:val="bottom"/>
          </w:tcPr>
          <w:p>
            <w:pPr>
              <w:spacing w:after="0"/>
              <w:rPr>
                <w:sz w:val="16"/>
                <w:szCs w:val="16"/>
                <w:color w:val="auto"/>
              </w:rPr>
            </w:pPr>
          </w:p>
        </w:tc>
        <w:tc>
          <w:tcPr>
            <w:tcW w:w="8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9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9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980" w:type="dxa"/>
            <w:vAlign w:val="bottom"/>
            <w:gridSpan w:val="2"/>
          </w:tcPr>
          <w:p>
            <w:pPr>
              <w:jc w:val="right"/>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4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37"/>
        </w:trPr>
        <w:tc>
          <w:tcPr>
            <w:tcW w:w="34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Peru</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9,271</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947</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809</w:t>
            </w: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3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1,364</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1,238</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Bolivia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3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Colombia</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3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4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consolidated</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563</w:t>
            </w:r>
          </w:p>
        </w:tc>
        <w:tc>
          <w:tcPr>
            <w:tcW w:w="8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12,882</w:t>
            </w:r>
          </w:p>
        </w:tc>
        <w:tc>
          <w:tcPr>
            <w:tcW w:w="8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1,097</w:t>
            </w: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20" w:type="dxa"/>
            <w:vAlign w:val="bottom"/>
            <w:shd w:val="clear" w:color="auto" w:fill="CCFFCC"/>
          </w:tcPr>
          <w:p>
            <w:pPr>
              <w:spacing w:after="0"/>
              <w:rPr>
                <w:sz w:val="22"/>
                <w:szCs w:val="22"/>
                <w:color w:val="auto"/>
              </w:rPr>
            </w:pPr>
          </w:p>
        </w:tc>
        <w:tc>
          <w:tcPr>
            <w:tcW w:w="8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9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shd w:val="clear" w:color="auto" w:fill="CCFFCC"/>
          </w:tcPr>
          <w:p>
            <w:pPr>
              <w:spacing w:after="0"/>
              <w:rPr>
                <w:sz w:val="22"/>
                <w:szCs w:val="22"/>
                <w:color w:val="auto"/>
              </w:rPr>
            </w:pPr>
          </w:p>
        </w:tc>
      </w:tr>
      <w:tr>
        <w:trPr>
          <w:trHeight w:val="20"/>
        </w:trPr>
        <w:tc>
          <w:tcPr>
            <w:tcW w:w="34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total interest and dividend income, other income and net premiums earned from insurance activities.</w:t>
      </w:r>
    </w:p>
    <w:p>
      <w:pPr>
        <w:spacing w:after="0" w:line="27" w:lineRule="exact"/>
        <w:rPr>
          <w:sz w:val="20"/>
          <w:szCs w:val="20"/>
          <w:color w:val="auto"/>
        </w:rPr>
      </w:pPr>
    </w:p>
    <w:p>
      <w:pPr>
        <w:ind w:left="1300" w:right="520" w:hanging="644"/>
        <w:spacing w:after="0" w:line="250" w:lineRule="auto"/>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760" w:hanging="4884"/>
        <w:spacing w:after="0" w:line="574" w:lineRule="auto"/>
        <w:tabs>
          <w:tab w:leader="none" w:pos="130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 to reserves for assets seized and the allowance for loan losses. 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83"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their nature, the Group’s activities are principally related to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3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230" w:lineRule="exact"/>
        <w:rPr>
          <w:rFonts w:ascii="Times New Roman" w:cs="Times New Roman" w:eastAsia="Times New Roman" w:hAnsi="Times New Roman"/>
          <w:sz w:val="18"/>
          <w:szCs w:val="18"/>
          <w:b w:val="1"/>
          <w:bCs w:val="1"/>
          <w:color w:val="auto"/>
        </w:rPr>
      </w:pPr>
    </w:p>
    <w:p>
      <w:pPr>
        <w:ind w:left="6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23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 risks -</w:t>
      </w:r>
    </w:p>
    <w:p>
      <w:pPr>
        <w:spacing w:after="0" w:line="283" w:lineRule="exact"/>
        <w:rPr>
          <w:rFonts w:ascii="Times New Roman" w:cs="Times New Roman" w:eastAsia="Times New Roman" w:hAnsi="Times New Roman"/>
          <w:sz w:val="18"/>
          <w:szCs w:val="18"/>
          <w:b w:val="1"/>
          <w:bCs w:val="1"/>
          <w:color w:val="auto"/>
        </w:rPr>
      </w:pPr>
    </w:p>
    <w:p>
      <w:pPr>
        <w:jc w:val="both"/>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main positions held and the maximum losses expected, based upon a number of assumptions for various changes in market conditions. The Management sets some limits on the value of risk that may be accepted, which is monitored on a daily basis.</w:t>
      </w:r>
    </w:p>
    <w:p>
      <w:pPr>
        <w:spacing w:after="0" w:line="234" w:lineRule="exact"/>
        <w:rPr>
          <w:rFonts w:ascii="Times New Roman" w:cs="Times New Roman" w:eastAsia="Times New Roman" w:hAnsi="Times New Roman"/>
          <w:sz w:val="18"/>
          <w:szCs w:val="18"/>
          <w:b w:val="1"/>
          <w:bCs w:val="1"/>
          <w:color w:val="auto"/>
        </w:rPr>
      </w:pPr>
    </w:p>
    <w:p>
      <w:pPr>
        <w:ind w:left="6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234" w:lineRule="exact"/>
        <w:rPr>
          <w:sz w:val="20"/>
          <w:szCs w:val="20"/>
          <w:color w:val="auto"/>
        </w:rPr>
      </w:pPr>
    </w:p>
    <w:p>
      <w:pPr>
        <w:ind w:left="660" w:right="100"/>
        <w:spacing w:after="0" w:line="266" w:lineRule="auto"/>
        <w:rPr>
          <w:sz w:val="20"/>
          <w:szCs w:val="20"/>
          <w:color w:val="auto"/>
        </w:rPr>
      </w:pPr>
      <w:r>
        <w:rPr>
          <w:rFonts w:ascii="Times New Roman" w:cs="Times New Roman" w:eastAsia="Times New Roman" w:hAnsi="Times New Roman"/>
          <w:sz w:val="18"/>
          <w:szCs w:val="18"/>
          <w:color w:val="auto"/>
        </w:rPr>
        <w:t>As VAR constitutes an integral part of the Group’s market risk control regime, VAR limits are established by the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Liquidity risk -</w:t>
      </w:r>
    </w:p>
    <w:p>
      <w:pPr>
        <w:spacing w:after="0" w:line="283"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w:t>
      </w:r>
    </w:p>
    <w:p>
      <w:pPr>
        <w:spacing w:after="0" w:line="23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23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maturities of assets and liabilities and the ability to replace, at an acceptable cost, interest-bearing liabilities as their mature are important factors in assessing the liquidity of the Group and its exposure to changes in interest rates and exchange rates.</w:t>
      </w:r>
    </w:p>
    <w:p>
      <w:pPr>
        <w:spacing w:after="0" w:line="216" w:lineRule="exact"/>
        <w:rPr>
          <w:sz w:val="20"/>
          <w:szCs w:val="20"/>
          <w:color w:val="auto"/>
        </w:rPr>
      </w:pPr>
    </w:p>
    <w:p>
      <w:pPr>
        <w:ind w:left="660" w:right="420"/>
        <w:spacing w:after="0" w:line="261" w:lineRule="auto"/>
        <w:rPr>
          <w:sz w:val="20"/>
          <w:szCs w:val="20"/>
          <w:color w:val="auto"/>
        </w:rPr>
      </w:pPr>
      <w:r>
        <w:rPr>
          <w:rFonts w:ascii="Times New Roman" w:cs="Times New Roman" w:eastAsia="Times New Roman" w:hAnsi="Times New Roman"/>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34"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insurance companies of the Group are exposed to requirements of cash available, mainly for contracts of insurance claims of short term. The liquidity risk is the risk that the cash may not be available to pay obligations at their maturity at a reasonable cost. The Group settles limits over the minimal proportion of the maturity funds available to meet these requirements and in a minimal level of credit lines available to cover the maturity and unexpected claims.</w:t>
      </w:r>
    </w:p>
    <w:p>
      <w:pPr>
        <w:spacing w:after="0" w:line="234"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color w:val="auto"/>
        </w:rPr>
        <w:t>The insurance companies of the Group control the liquidity risk through the exposure of the maturity of their assets and liabilities. Therefore, the investment plan has been structured according the maturities in order to hedge the risk of fund requirements to cover insurance claims and others, in addition to the Group support.</w:t>
      </w:r>
    </w:p>
    <w:p>
      <w:pPr>
        <w:spacing w:after="0" w:line="230"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The notes to the financial statements include an analysis of the main assets and liabilities of the Group by maturities based on contractual maturity dates.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Cash flow and fair value risk due to changes in the interest rates -</w:t>
      </w:r>
    </w:p>
    <w:p>
      <w:pPr>
        <w:spacing w:after="0" w:line="283"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The Group takes on exposure to the effects of fluctuations in the prevailing levels of market interest rates on both its fair value and cash flow risks. Interest margins may increase as a result of such changes, but may reduce or create losses in the event that unexpected movements arise. The Group’s Management sets limits on the level of mismatch of interest rate reprising that may be undertaken, which is monitored periodically.</w:t>
      </w:r>
    </w:p>
    <w:p>
      <w:pPr>
        <w:spacing w:after="0" w:line="23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13, 14 and 16.</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Currency risk -</w:t>
      </w:r>
    </w:p>
    <w:p>
      <w:pPr>
        <w:spacing w:after="0" w:line="283" w:lineRule="exact"/>
        <w:rPr>
          <w:sz w:val="20"/>
          <w:szCs w:val="20"/>
          <w:color w:val="auto"/>
        </w:rPr>
      </w:pPr>
    </w:p>
    <w:p>
      <w:pPr>
        <w:jc w:val="both"/>
        <w:ind w:left="660" w:right="40"/>
        <w:spacing w:after="0" w:line="266" w:lineRule="auto"/>
        <w:rPr>
          <w:sz w:val="20"/>
          <w:szCs w:val="20"/>
          <w:color w:val="auto"/>
        </w:rPr>
      </w:pPr>
      <w:r>
        <w:rPr>
          <w:rFonts w:ascii="Times New Roman" w:cs="Times New Roman" w:eastAsia="Times New Roman" w:hAnsi="Times New Roman"/>
          <w:sz w:val="18"/>
          <w:szCs w:val="18"/>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currency transactions are made at the free market exchange rates of the countries where Credicorp’s Subsidiaries are established. As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December 31, 2006 and 2005, the Group’s assets and liabilities by currencies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300" w:type="dxa"/>
            <w:vAlign w:val="bottom"/>
          </w:tcPr>
          <w:p>
            <w:pPr>
              <w:spacing w:after="0"/>
              <w:rPr>
                <w:sz w:val="16"/>
                <w:szCs w:val="16"/>
                <w:color w:val="auto"/>
              </w:rPr>
            </w:pPr>
          </w:p>
        </w:tc>
        <w:tc>
          <w:tcPr>
            <w:tcW w:w="10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00" w:type="dxa"/>
            <w:vAlign w:val="bottom"/>
            <w:gridSpan w:val="2"/>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Peruvian</w:t>
            </w:r>
          </w:p>
        </w:tc>
        <w:tc>
          <w:tcPr>
            <w:tcW w:w="9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104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Peruvian</w:t>
            </w:r>
          </w:p>
        </w:tc>
        <w:tc>
          <w:tcPr>
            <w:tcW w:w="9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3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currencies</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Dollars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currencies</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33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US$(000)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US$(000)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r>
      <w:tr>
        <w:trPr>
          <w:trHeight w:val="486"/>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Monetary assets -</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2,250,111</w:t>
            </w:r>
          </w:p>
        </w:tc>
        <w:tc>
          <w:tcPr>
            <w:tcW w:w="10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396,238</w:t>
            </w:r>
          </w:p>
        </w:tc>
        <w:tc>
          <w:tcPr>
            <w:tcW w:w="9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87,181</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2,733,530</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2,337,939</w:t>
            </w:r>
          </w:p>
        </w:tc>
        <w:tc>
          <w:tcPr>
            <w:tcW w:w="10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268,416</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54,460</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2,660,815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Trading securities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14,144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39,045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21,740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60,785</w:t>
            </w:r>
          </w:p>
        </w:tc>
      </w:tr>
      <w:tr>
        <w:trPr>
          <w:trHeight w:val="243"/>
        </w:trPr>
        <w:tc>
          <w:tcPr>
            <w:tcW w:w="33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0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1,493,043</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1,904,535</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53,133</w:t>
            </w:r>
          </w:p>
        </w:tc>
        <w:tc>
          <w:tcPr>
            <w:tcW w:w="1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3,450,711</w:t>
            </w:r>
          </w:p>
        </w:tc>
        <w:tc>
          <w:tcPr>
            <w:tcW w:w="10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1,583,201</w:t>
            </w:r>
          </w:p>
        </w:tc>
        <w:tc>
          <w:tcPr>
            <w:tcW w:w="10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1,218,424</w:t>
            </w:r>
          </w:p>
        </w:tc>
        <w:tc>
          <w:tcPr>
            <w:tcW w:w="92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9,080</w:t>
            </w: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2,810,705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Loans, net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4,181,558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1,492,681</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62,583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5,736,822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3,758,385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1,032,481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25,894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4,816,760</w:t>
            </w:r>
          </w:p>
        </w:tc>
        <w:tc>
          <w:tcPr>
            <w:tcW w:w="120" w:type="dxa"/>
            <w:vAlign w:val="bottom"/>
          </w:tcPr>
          <w:p>
            <w:pPr>
              <w:spacing w:after="0"/>
              <w:rPr>
                <w:sz w:val="21"/>
                <w:szCs w:val="21"/>
                <w:color w:val="auto"/>
              </w:rPr>
            </w:pPr>
          </w:p>
        </w:tc>
      </w:tr>
      <w:tr>
        <w:trPr>
          <w:trHeight w:val="250"/>
        </w:trPr>
        <w:tc>
          <w:tcPr>
            <w:tcW w:w="33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269,504</w:t>
            </w:r>
          </w:p>
        </w:tc>
        <w:tc>
          <w:tcPr>
            <w:tcW w:w="10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129,268</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6,242</w:t>
            </w: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405,014</w:t>
            </w: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192,148</w:t>
            </w: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121,348</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4,277</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317,773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3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33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8,208,360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3,953,522</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209,331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12,371,213</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7,910,718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2,662,409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93,711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10,666,838</w:t>
            </w:r>
          </w:p>
        </w:tc>
      </w:tr>
      <w:tr>
        <w:trPr>
          <w:trHeight w:val="237"/>
        </w:trPr>
        <w:tc>
          <w:tcPr>
            <w:tcW w:w="330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bl>
    <w:p>
      <w:pPr>
        <w:spacing w:after="0" w:line="5" w:lineRule="exact"/>
        <w:rPr>
          <w:sz w:val="20"/>
          <w:szCs w:val="20"/>
          <w:color w:val="auto"/>
        </w:rPr>
      </w:pPr>
    </w:p>
    <w:p>
      <w:pPr>
        <w:sectPr>
          <w:pgSz w:w="11900" w:h="16838" w:orient="portrait"/>
          <w:cols w:equalWidth="0" w:num="1">
            <w:col w:w="11420"/>
          </w:cols>
          <w:pgMar w:left="240" w:top="396" w:right="239" w:bottom="1440" w:gutter="0" w:footer="0" w:header="0"/>
        </w:sectPr>
      </w:pPr>
    </w:p>
    <w:p>
      <w:pPr>
        <w:ind w:right="860"/>
        <w:spacing w:after="0" w:line="295" w:lineRule="auto"/>
        <w:rPr>
          <w:sz w:val="20"/>
          <w:szCs w:val="20"/>
          <w:color w:val="auto"/>
        </w:rPr>
      </w:pPr>
      <w:r>
        <w:rPr>
          <w:rFonts w:ascii="Times New Roman" w:cs="Times New Roman" w:eastAsia="Times New Roman" w:hAnsi="Times New Roman"/>
          <w:sz w:val="17"/>
          <w:szCs w:val="17"/>
          <w:b w:val="1"/>
          <w:bCs w:val="1"/>
          <w:color w:val="auto"/>
        </w:rPr>
        <w:t xml:space="preserve">Monetary liabilities - </w:t>
      </w:r>
      <w:r>
        <w:rPr>
          <w:rFonts w:ascii="Times New Roman" w:cs="Times New Roman" w:eastAsia="Times New Roman" w:hAnsi="Times New Roman"/>
          <w:sz w:val="17"/>
          <w:szCs w:val="17"/>
          <w:color w:val="auto"/>
        </w:rPr>
        <w:t>Deposits and obligations</w:t>
      </w:r>
    </w:p>
    <w:p>
      <w:pPr>
        <w:spacing w:after="0" w:line="1" w:lineRule="exact"/>
        <w:rPr>
          <w:sz w:val="20"/>
          <w:szCs w:val="20"/>
          <w:color w:val="auto"/>
        </w:rPr>
      </w:pPr>
    </w:p>
    <w:p>
      <w:pPr>
        <w:ind w:left="180" w:hanging="161"/>
        <w:spacing w:after="0" w:line="255" w:lineRule="auto"/>
        <w:rPr>
          <w:sz w:val="20"/>
          <w:szCs w:val="20"/>
          <w:color w:val="auto"/>
        </w:rPr>
      </w:pPr>
      <w:r>
        <w:rPr>
          <w:rFonts w:ascii="Times New Roman" w:cs="Times New Roman" w:eastAsia="Times New Roman" w:hAnsi="Times New Roman"/>
          <w:sz w:val="18"/>
          <w:szCs w:val="18"/>
          <w:color w:val="auto"/>
        </w:rPr>
        <w:t>Due to bank and correspondents and borrowed funds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Bonds issued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20"/>
        <w:spacing w:after="0" w:line="360" w:lineRule="auto"/>
        <w:rPr>
          <w:sz w:val="20"/>
          <w:szCs w:val="20"/>
          <w:color w:val="auto"/>
        </w:rPr>
      </w:pPr>
      <w:r>
        <w:rPr>
          <w:rFonts w:ascii="Times New Roman" w:cs="Times New Roman" w:eastAsia="Times New Roman" w:hAnsi="Times New Roman"/>
          <w:sz w:val="18"/>
          <w:szCs w:val="18"/>
          <w:color w:val="auto"/>
        </w:rPr>
        <w:t xml:space="preserve">Forwards position, net </w:t>
      </w:r>
      <w:r>
        <w:rPr>
          <w:rFonts w:ascii="Times New Roman" w:cs="Times New Roman" w:eastAsia="Times New Roman" w:hAnsi="Times New Roman"/>
          <w:sz w:val="18"/>
          <w:szCs w:val="18"/>
          <w:b w:val="1"/>
          <w:bCs w:val="1"/>
          <w:color w:val="auto"/>
        </w:rPr>
        <w:t>Net monetary position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(6,098,199)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(2,588,864)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(151,928)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(8,838,991)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(5,315,364)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(1,684,149)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(93,915)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(7,093,428)</w:t>
            </w:r>
          </w:p>
        </w:tc>
      </w:tr>
      <w:tr>
        <w:trPr>
          <w:trHeight w:val="432"/>
        </w:trPr>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(883,979)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(53,193)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(4,429)</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(941,601)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(728,161)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(573,665)</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(1,303,371)</w:t>
            </w:r>
          </w:p>
        </w:tc>
      </w:tr>
      <w:tr>
        <w:trPr>
          <w:trHeight w:val="243"/>
        </w:trPr>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(334,608)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(177,964)</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(512,572)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(278,461)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(150,763)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(429,224)</w:t>
            </w:r>
          </w:p>
        </w:tc>
      </w:tr>
      <w:tr>
        <w:trPr>
          <w:trHeight w:val="270"/>
        </w:trPr>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(662,946)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(378,473)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(1,054,597)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(615,561)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(293,732)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(918,097)</w:t>
            </w: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(7,979,732)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(3,198,494)</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(169,535)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(11,347,761)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(6,937,547)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(2,702,309)</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(104,264)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(9,744,120)</w:t>
            </w: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6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228,628</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755,028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39,796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1,023,452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973,171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(39,900)</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922,718</w:t>
            </w:r>
          </w:p>
        </w:tc>
        <w:tc>
          <w:tcPr>
            <w:tcW w:w="120" w:type="dxa"/>
            <w:vAlign w:val="bottom"/>
          </w:tcPr>
          <w:p>
            <w:pPr>
              <w:spacing w:after="0"/>
              <w:rPr>
                <w:sz w:val="22"/>
                <w:szCs w:val="22"/>
                <w:color w:val="auto"/>
              </w:rPr>
            </w:pP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1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(22,368)</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(310,946)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310,946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37"/>
        </w:trPr>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259,598</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732,660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31,194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1,023,452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662,225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271,046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922,718</w:t>
            </w:r>
          </w:p>
        </w:tc>
        <w:tc>
          <w:tcPr>
            <w:tcW w:w="120" w:type="dxa"/>
            <w:vAlign w:val="bottom"/>
          </w:tcPr>
          <w:p>
            <w:pPr>
              <w:spacing w:after="0"/>
              <w:rPr>
                <w:sz w:val="20"/>
                <w:szCs w:val="20"/>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-1482725</wp:posOffset>
            </wp:positionV>
            <wp:extent cx="72466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-1054100</wp:posOffset>
            </wp:positionV>
            <wp:extent cx="72466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-719455</wp:posOffset>
            </wp:positionV>
            <wp:extent cx="7246620"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-359410</wp:posOffset>
            </wp:positionV>
            <wp:extent cx="724662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2640" w:space="660"/>
            <w:col w:w="8120"/>
          </w:cols>
          <w:pgMar w:left="240" w:top="39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risk -</w:t>
      </w:r>
    </w:p>
    <w:p>
      <w:pPr>
        <w:spacing w:after="0" w:line="283"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234"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23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230"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As of December 31, 2006, Group’s management has estimated that the maximum credit risk at which is exposed the Group amounts to approximately US$11,541.2 million (US$9,602.8million as of December 31, 2005), which comprise financial assets subject to credit risk, including mainly deposits in banks, trading securities, investments available-for-sale, loans and indirect loans, without taking into consideration the market value of the guarantee or collateral. The exposure for any specific part, including banks, is further structured by sub-limits covering on and off-balance sheet exposures, and daily delivery risk limits to trading items such as forward foreign exchange contracts. Real exposures against limits are monitored daily.</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 of the insurance activity -</w:t>
      </w:r>
    </w:p>
    <w:p>
      <w:pPr>
        <w:spacing w:after="0" w:line="283" w:lineRule="exact"/>
        <w:rPr>
          <w:sz w:val="20"/>
          <w:szCs w:val="20"/>
          <w:color w:val="auto"/>
        </w:rPr>
      </w:pPr>
    </w:p>
    <w:p>
      <w:pPr>
        <w:ind w:left="660" w:right="100"/>
        <w:spacing w:after="0" w:line="282" w:lineRule="auto"/>
        <w:rPr>
          <w:sz w:val="20"/>
          <w:szCs w:val="20"/>
          <w:color w:val="auto"/>
        </w:rPr>
      </w:pPr>
      <w:r>
        <w:rPr>
          <w:rFonts w:ascii="Times New Roman" w:cs="Times New Roman" w:eastAsia="Times New Roman" w:hAnsi="Times New Roman"/>
          <w:sz w:val="18"/>
          <w:szCs w:val="18"/>
          <w:color w:val="auto"/>
        </w:rPr>
        <w:t>The risk under any insurance contract is the possibility that the insured event occurs and the uncertainty of the amount of the resulting claim. By the very nature of an insurance contract, this risk is random and therefore unpredictable.</w:t>
      </w:r>
    </w:p>
    <w:p>
      <w:pPr>
        <w:spacing w:after="0" w:line="216"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For a portfolio of insurance contracts where the theory of probability is applied to pricing and provisioning, the principal risk that the Group faces is that the actual claims and benefit payments exceed the carrying amount of the insurance liabilities. This could occur because the frequency or severity of claims and benefits are greater than estimated. Insurance events are random and the actual number and amount of claims and benefits will vary from year to year from the level established using statistical techniques.</w:t>
      </w:r>
    </w:p>
    <w:p>
      <w:pPr>
        <w:spacing w:after="0" w:line="234"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Experience shows that the larger the portfolio of similar insurance contracts, the smaller the relative variability about the expected outcome will be. In addition, a more diversified portfolio is less likely to be affected by a change in any subset of the portfolio. The Group has developed its insurance underwriting strategy to diversify the type of insurance risks accepted within each of theses categories to achieve a sufficiently large population of risks to reduce the variability of the expected outcome.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520"/>
        <w:spacing w:after="0" w:line="282" w:lineRule="auto"/>
        <w:rPr>
          <w:sz w:val="20"/>
          <w:szCs w:val="20"/>
          <w:color w:val="auto"/>
        </w:rPr>
      </w:pPr>
      <w:r>
        <w:rPr>
          <w:rFonts w:ascii="Times New Roman" w:cs="Times New Roman" w:eastAsia="Times New Roman" w:hAnsi="Times New Roman"/>
          <w:sz w:val="18"/>
          <w:szCs w:val="18"/>
          <w:color w:val="auto"/>
        </w:rPr>
        <w:t>Factors that aggravate insurance risk include lack of risk diversification in terms of type and amount of risk, geographical location and type of industry covered.</w:t>
      </w:r>
    </w:p>
    <w:p>
      <w:pPr>
        <w:spacing w:after="0" w:line="216"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The Group is liable for all insured events that occurred during the term of the contract, even if the loss is discovered after the end of the contract term. As a result, liability claims are settled over a long period of time and a larger element of the claims provision relates to incurred but non-reported claims (IBNR). There are several variables that affect the amount and timing of cash flows from these contracts. These mainly relate to the inherent risk of the business activities carried out by individual contract holders and the risk management procedures they adopted.</w:t>
      </w:r>
    </w:p>
    <w:p>
      <w:pPr>
        <w:spacing w:after="0" w:line="234" w:lineRule="exact"/>
        <w:rPr>
          <w:sz w:val="20"/>
          <w:szCs w:val="20"/>
          <w:color w:val="auto"/>
        </w:rPr>
      </w:pPr>
    </w:p>
    <w:p>
      <w:pPr>
        <w:jc w:val="both"/>
        <w:ind w:left="660" w:right="240"/>
        <w:spacing w:after="0" w:line="266" w:lineRule="auto"/>
        <w:rPr>
          <w:sz w:val="20"/>
          <w:szCs w:val="20"/>
          <w:color w:val="auto"/>
        </w:rPr>
      </w:pPr>
      <w:r>
        <w:rPr>
          <w:rFonts w:ascii="Times New Roman" w:cs="Times New Roman" w:eastAsia="Times New Roman" w:hAnsi="Times New Roman"/>
          <w:sz w:val="18"/>
          <w:szCs w:val="18"/>
          <w:color w:val="auto"/>
        </w:rPr>
        <w:t>The estimated cost of claims includes direct expenses to be incurred in settling claims, net of the expected subrogation value and other recoveries. The Group takes all reasonable steps to ensure that it has appropriate information regarding its claims exposures. The liability for these contracts includes a provision for reported claims not yet paid and a provision for unexpired risks at the balance sheet date.</w:t>
      </w:r>
    </w:p>
    <w:p>
      <w:pPr>
        <w:spacing w:after="0" w:line="230"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However, given the uncertainty in establishing claims provisions, it is likely that the final outcome will prove to be different from the original liability established. This could occur as the frequency or severity, or both, of the claims and benefits are greater than the calculated. In the particular case of the survival business life (life annuities), the risk assumed by the Group consists in that the real life expectancy of the insured population is greater than the estimated at the time of issuing the policy, which would mean there would be a deficit in the reserves to carry out the pension payments.</w:t>
      </w:r>
    </w:p>
    <w:p>
      <w:pPr>
        <w:spacing w:after="0" w:line="238"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factors considered in the evaluation of insurance risks are the frequency and severity of the claims, the sources of uncertainty in the calculation of payments for future claims and the mortality tables for life insurance.</w:t>
      </w:r>
    </w:p>
    <w:p>
      <w:pPr>
        <w:spacing w:after="0" w:line="216"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For this reason, for life insurance, the Group estimates conservatively and carries out a careful selection of the risks at the moment of issuing the policies to estimate the degree of risk that each policyholder presents.</w:t>
      </w:r>
    </w:p>
    <w:p>
      <w:pPr>
        <w:spacing w:after="0" w:line="216" w:lineRule="exact"/>
        <w:rPr>
          <w:sz w:val="20"/>
          <w:szCs w:val="20"/>
          <w:color w:val="auto"/>
        </w:rPr>
      </w:pPr>
    </w:p>
    <w:p>
      <w:pPr>
        <w:ind w:left="660" w:right="60"/>
        <w:spacing w:after="0" w:line="266" w:lineRule="auto"/>
        <w:rPr>
          <w:sz w:val="20"/>
          <w:szCs w:val="20"/>
          <w:color w:val="auto"/>
        </w:rPr>
      </w:pPr>
      <w:r>
        <w:rPr>
          <w:rFonts w:ascii="Times New Roman" w:cs="Times New Roman" w:eastAsia="Times New Roman" w:hAnsi="Times New Roman"/>
          <w:sz w:val="18"/>
          <w:szCs w:val="18"/>
          <w:color w:val="auto"/>
        </w:rPr>
        <w:t>At the renewal of the policies, the terms and conditions are revised according to risk changes and its results (claims past experience) and the Company may impose deductibles and other conditions in order to mitigate the risks. The insurance companies are responsible for all insured events that occurred during the duration of the contract even if the final amount of the loss is determined after the contract period.</w:t>
      </w:r>
    </w:p>
    <w:p>
      <w:pPr>
        <w:spacing w:after="0" w:line="230"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subsidiaries of the Group that operate in the insurance segment have automatic reinsurance coverage contracts that protect them against frequency and severity losses. The reinsurance includes coverage for excess claims and catastrophes. The objective of the reinsurance is that the total net insurance loss does not affect the net worth and liquidity of the Company in any given year.</w:t>
      </w:r>
    </w:p>
    <w:p>
      <w:pPr>
        <w:spacing w:after="0" w:line="230"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In addition to the total Company’s reinsurance program, it is possible to buy additional reinsurance protection under the automatic or facultative (voluntary) contract modality and for any situation the risk evaluation process considers it necessary.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240"/>
        <w:spacing w:after="0" w:line="261" w:lineRule="auto"/>
        <w:rPr>
          <w:sz w:val="20"/>
          <w:szCs w:val="20"/>
          <w:color w:val="auto"/>
        </w:rPr>
      </w:pPr>
      <w:r>
        <w:rPr>
          <w:rFonts w:ascii="Times New Roman" w:cs="Times New Roman" w:eastAsia="Times New Roman" w:hAnsi="Times New Roman"/>
          <w:sz w:val="18"/>
          <w:szCs w:val="18"/>
          <w:color w:val="auto"/>
        </w:rPr>
        <w:t>The treatment of benefits as well as the sufficiency of the reserves is a principal concern of the insurance management. The technical reserves are estimated by actuaries of the insurance segment and are reviewed by independent experts. The insurance segment permanently monitors the claim trends, which allows estimates to be carried out for incurred and non-reported claims based on recent information. These estimations are also reviewed by independent experts.</w:t>
      </w:r>
    </w:p>
    <w:p>
      <w:pPr>
        <w:spacing w:after="0" w:line="234"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In reference to reinsurance risks, the policy of the Group is to only enter into contracts with companies that are qualified as investment grade by qualified international ratings agencies.</w:t>
      </w:r>
    </w:p>
    <w:p>
      <w:pPr>
        <w:spacing w:after="0" w:line="216"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insurance products do not contain particularly relevant terms or clauses that could have a significant impact or represent important uncertainties to the cash flows of the insurance segment.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Fiduciary activities and management of investment and pension funds -</w:t>
      </w:r>
    </w:p>
    <w:p>
      <w:pPr>
        <w:spacing w:after="0" w:line="283"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financial statements. These services give rise to the risk that the Group will be accused of poor administration or under-performance.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2006 and 2005, the assigned value of the financial assets under administration (in millions of U.S. Dollars)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8840"/>
              <w:spacing w:after="0"/>
              <w:rPr>
                <w:sz w:val="20"/>
                <w:szCs w:val="20"/>
                <w:color w:val="auto"/>
              </w:rPr>
            </w:pPr>
            <w:r>
              <w:rPr>
                <w:rFonts w:ascii="Times New Roman" w:cs="Times New Roman" w:eastAsia="Times New Roman" w:hAnsi="Times New Roman"/>
                <w:sz w:val="18"/>
                <w:szCs w:val="18"/>
                <w:b w:val="1"/>
                <w:bCs w:val="1"/>
                <w:color w:val="auto"/>
              </w:rPr>
              <w:t>2006</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Investments funds</w:t>
            </w:r>
          </w:p>
        </w:tc>
        <w:tc>
          <w:tcPr>
            <w:tcW w:w="68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1,124</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829</w:t>
            </w:r>
          </w:p>
        </w:tc>
      </w:tr>
      <w:tr>
        <w:trPr>
          <w:trHeight w:val="243"/>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 Funds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4,163</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Equity managed</w:t>
            </w:r>
          </w:p>
        </w:tc>
        <w:tc>
          <w:tcPr>
            <w:tcW w:w="9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1,417</w:t>
            </w:r>
          </w:p>
        </w:tc>
      </w:tr>
      <w:tr>
        <w:trPr>
          <w:trHeight w:val="237"/>
        </w:trPr>
        <w:tc>
          <w:tcPr>
            <w:tcW w:w="834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bottom w:val="single" w:sz="8" w:color="auto"/>
            </w:tcBorders>
            <w:shd w:val="clear" w:color="auto" w:fill="CCFFCC"/>
          </w:tcPr>
          <w:p>
            <w:pPr>
              <w:spacing w:after="0"/>
              <w:rPr>
                <w:sz w:val="24"/>
                <w:szCs w:val="24"/>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48"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83"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15" w:lineRule="exact"/>
        <w:rPr>
          <w:rFonts w:ascii="Times New Roman" w:cs="Times New Roman" w:eastAsia="Times New Roman" w:hAnsi="Times New Roman"/>
          <w:sz w:val="18"/>
          <w:szCs w:val="18"/>
          <w:b w:val="1"/>
          <w:bCs w:val="1"/>
          <w:color w:val="auto"/>
        </w:rPr>
      </w:pPr>
    </w:p>
    <w:p>
      <w:pPr>
        <w:ind w:left="6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42"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18"/>
          <w:szCs w:val="18"/>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The methodologies and assumptions used to determine fair values depend on the terms and risk characteristics of the various financial instruments and include the following:</w:t>
      </w:r>
    </w:p>
    <w:p>
      <w:pPr>
        <w:spacing w:after="0" w:line="216" w:lineRule="exact"/>
        <w:rPr>
          <w:sz w:val="20"/>
          <w:szCs w:val="20"/>
          <w:color w:val="auto"/>
        </w:rPr>
      </w:pPr>
    </w:p>
    <w:p>
      <w:pPr>
        <w:ind w:left="1300" w:right="980" w:hanging="644"/>
        <w:spacing w:after="0" w:line="28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due from banks represent cash and short-term deposits that do not represent significant credit or interest rate risks; in consequence, their book value is equivalent to their fair value.</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securities and available-for-sale investments are recorded at their estimated fair value on the consolidated balance sheet.</w:t>
      </w:r>
    </w:p>
    <w:p>
      <w:pPr>
        <w:spacing w:after="0" w:line="279"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loans is similar to their book value, because such loans are mainly of a short-term nature or with variable interest rates and are shown net of their respective allowance for loan losses, which are considered by the Management as the approximate recoverable amount at the date of the consolidated financial statements.</w:t>
      </w:r>
    </w:p>
    <w:p>
      <w:pPr>
        <w:spacing w:after="0" w:line="230"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deposits and obligations is similar to their book value; mainly because of their liquid nature and that the interest rates are comparable with the interest rates of other similar liabilities at the consolidated balance sheet date.</w:t>
      </w:r>
    </w:p>
    <w:p>
      <w:pPr>
        <w:spacing w:after="0" w:line="21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banks and correspondents, borrowed loans, bonds and subordinated rates generate interest contracted at variable interest rates and/or preferred rates similar to the actual rates in the market. As a result, it is considered that their book value approximates their fair values.</w:t>
      </w:r>
    </w:p>
    <w:p>
      <w:pPr>
        <w:spacing w:after="0" w:line="215"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in note 20, the Group has various commitments to extend credit, open documentary credits and outstanding guarantees and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deemed to be material.</w:t>
      </w:r>
    </w:p>
    <w:p>
      <w:pPr>
        <w:spacing w:after="0" w:line="234"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currency forwards, options over exchange rates, interest rate swaps and the certificate indexed of Citigroup, as indicated in note 20(d), and 11(a), the Group does not enter into other agreements, generally described as derivative transactions. The Group records these derivatives in the consolidated balance sheets at their fair market value.</w:t>
      </w:r>
    </w:p>
    <w:p>
      <w:pPr>
        <w:spacing w:after="0" w:line="23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Based in the aforementioned analysis, as of December 31, 2006 and 2005, the management of the Group considers that book values of the financial instruments do not differ significantly from their estimated market value.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6" w:right="2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283" w:lineRule="exact"/>
        <w:rPr>
          <w:rFonts w:ascii="Times New Roman" w:cs="Times New Roman" w:eastAsia="Times New Roman" w:hAnsi="Times New Roman"/>
          <w:sz w:val="18"/>
          <w:szCs w:val="18"/>
          <w:b w:val="1"/>
          <w:bCs w:val="1"/>
          <w:color w:val="auto"/>
        </w:rPr>
      </w:pPr>
    </w:p>
    <w:p>
      <w:pPr>
        <w:jc w:val="both"/>
        <w:ind w:left="1300" w:right="220" w:hanging="644"/>
        <w:spacing w:after="0" w:line="261" w:lineRule="auto"/>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Group as of December 31, 2006 and 2005 include the transactions with related parties of the companies mentioned in note 3(b). For its 2006 and 2005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23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shows the main transactions with related companies as of December 31, 2006 and 2005: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0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Related companies</w:t>
            </w:r>
          </w:p>
        </w:tc>
      </w:tr>
      <w:tr>
        <w:trPr>
          <w:trHeight w:val="264"/>
        </w:trPr>
        <w:tc>
          <w:tcPr>
            <w:tcW w:w="83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Direct loans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70,636</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48,533</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from investments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34,226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23,393</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Investments available por sale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27,899</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21,815</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21,305</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Contingent operations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13,925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8,379</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related to loans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expense related to deposits</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(market value)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r>
    </w:tbl>
    <w:p>
      <w:pPr>
        <w:spacing w:after="0" w:line="252" w:lineRule="exact"/>
        <w:rPr>
          <w:sz w:val="20"/>
          <w:szCs w:val="20"/>
          <w:color w:val="auto"/>
        </w:rPr>
      </w:pPr>
    </w:p>
    <w:p>
      <w:pPr>
        <w:jc w:val="both"/>
        <w:ind w:left="1300" w:right="280" w:hanging="644"/>
        <w:spacing w:after="0" w:line="257" w:lineRule="auto"/>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contingent operations and derivative contracts with related parties are made in accordance with the normal market conditions available to other customers. Outstanding loans balances at the year-end are granted by collaterals given by the related part. The loans to related companies as of December 31, 2006 had a maturity between January 2007 and August 2012 and an accrued interest average of</w:t>
      </w:r>
    </w:p>
    <w:p>
      <w:pPr>
        <w:spacing w:after="0" w:line="1" w:lineRule="exact"/>
        <w:rPr>
          <w:rFonts w:ascii="Times New Roman" w:cs="Times New Roman" w:eastAsia="Times New Roman" w:hAnsi="Times New Roman"/>
          <w:sz w:val="18"/>
          <w:szCs w:val="18"/>
          <w:color w:val="auto"/>
        </w:rPr>
      </w:pPr>
    </w:p>
    <w:p>
      <w:pPr>
        <w:ind w:left="130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 As of December 31, 2006, the provision for doubtful debts due to related parties amounts to US$0.1 million (US$1.4 million as of December 31, 2005). This amount is established based on an assessment performed on a continuous basis in the financial position of the related party and the market where it operates.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300" w:right="140" w:hanging="644"/>
        <w:spacing w:after="0" w:line="258" w:lineRule="auto"/>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2006 and 2005,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2006 and 2005, direct loans to employees, directors and key management amounts to US$59.5 and US$25.1 million, respectively and are paid monthly during their loan enforce and earn interest at similar market rates for these loans.</w:t>
      </w:r>
    </w:p>
    <w:p>
      <w:pPr>
        <w:spacing w:after="0" w:line="237" w:lineRule="exact"/>
        <w:rPr>
          <w:rFonts w:ascii="Times New Roman" w:cs="Times New Roman" w:eastAsia="Times New Roman" w:hAnsi="Times New Roman"/>
          <w:sz w:val="18"/>
          <w:szCs w:val="18"/>
          <w:color w:val="auto"/>
        </w:rPr>
      </w:pPr>
    </w:p>
    <w:p>
      <w:pPr>
        <w:ind w:left="130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does not maintain loans to the directors and key personnel which are guaranteed with shares of Credicorp or other companies of the Group.</w:t>
      </w:r>
    </w:p>
    <w:p>
      <w:pPr>
        <w:spacing w:after="0" w:line="21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key executives compensation as of December 31, 2006 and 2005, comprises the following captions: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Stock appreciation rights, note 19</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7,284</w:t>
            </w: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Salaries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4,357</w:t>
            </w:r>
          </w:p>
        </w:tc>
      </w:tr>
      <w:tr>
        <w:trPr>
          <w:trHeight w:val="243"/>
        </w:trPr>
        <w:tc>
          <w:tcPr>
            <w:tcW w:w="8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Directors compensations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7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36,165</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key executives compensation comprises all the payments received by them, including the taxes assumed by the Group.</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79"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differences between International Financial Reporting Standards and United States Generally Accepted Accounting Principles</w:t>
      </w:r>
    </w:p>
    <w:p>
      <w:pPr>
        <w:spacing w:after="0" w:line="283" w:lineRule="exact"/>
        <w:rPr>
          <w:rFonts w:ascii="Times New Roman" w:cs="Times New Roman" w:eastAsia="Times New Roman" w:hAnsi="Times New Roman"/>
          <w:sz w:val="18"/>
          <w:szCs w:val="18"/>
          <w:b w:val="1"/>
          <w:bCs w:val="1"/>
          <w:color w:val="auto"/>
        </w:rPr>
      </w:pPr>
    </w:p>
    <w:p>
      <w:pPr>
        <w:ind w:left="660"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are prepared in accordance with International Financial Reporting Standards (IFRS). A description of the significant differences between IFRS and U.S. generally accepted accounting principles (U.S. GAAP) are as follows:</w:t>
      </w:r>
    </w:p>
    <w:p>
      <w:pPr>
        <w:spacing w:after="0" w:line="215"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w:t>
      </w:r>
    </w:p>
    <w:p>
      <w:pPr>
        <w:spacing w:after="0" w:line="279" w:lineRule="exact"/>
        <w:rPr>
          <w:rFonts w:ascii="Times New Roman" w:cs="Times New Roman" w:eastAsia="Times New Roman" w:hAnsi="Times New Roman"/>
          <w:sz w:val="18"/>
          <w:szCs w:val="18"/>
          <w:color w:val="auto"/>
        </w:rPr>
      </w:pPr>
    </w:p>
    <w:p>
      <w:pPr>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there is no significant difference between the amount of the allowance for credit losses provided under IFRS and the required allowance that would be provided under U.S. GAAP. Management believes that the allowance for credit losses was adequate at December 31, 2006 and 2005 to cover any known losses and any losses that have not been specifically identified in the loan portfolio.</w:t>
      </w:r>
    </w:p>
    <w:p>
      <w:pPr>
        <w:spacing w:after="0" w:line="230"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debt and equity securities -</w:t>
      </w:r>
    </w:p>
    <w:p>
      <w:pPr>
        <w:spacing w:after="0" w:line="279" w:lineRule="exact"/>
        <w:rPr>
          <w:rFonts w:ascii="Times New Roman" w:cs="Times New Roman" w:eastAsia="Times New Roman" w:hAnsi="Times New Roman"/>
          <w:sz w:val="18"/>
          <w:szCs w:val="18"/>
          <w:color w:val="auto"/>
        </w:rPr>
      </w:pPr>
    </w:p>
    <w:p>
      <w:pPr>
        <w:ind w:left="98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applied IAS 39 “Financial Instruments: Recognition and Measurement” to record its investments in debt and equity securities. The accounting treatment established by IAS 39 is similar to that required by SFAS 115, except as mentioned in paragraph (c) below.</w:t>
      </w:r>
    </w:p>
    <w:p>
      <w:pPr>
        <w:spacing w:after="0" w:line="21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reconciling items included in paragraph (i) for the years 2006, 2005 and 2004 correspond to the reclassification of the unrealized gains and losses related to investments that are available-for-sale from “Other reserves” to “Other Comprehensive Income”.</w:t>
      </w:r>
    </w:p>
    <w:p>
      <w:pPr>
        <w:spacing w:after="0" w:line="21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differences on available-for-sale debt securities -</w:t>
      </w:r>
    </w:p>
    <w:p>
      <w:pPr>
        <w:spacing w:after="0" w:line="279" w:lineRule="exact"/>
        <w:rPr>
          <w:rFonts w:ascii="Times New Roman" w:cs="Times New Roman" w:eastAsia="Times New Roman" w:hAnsi="Times New Roman"/>
          <w:sz w:val="18"/>
          <w:szCs w:val="18"/>
          <w:color w:val="auto"/>
        </w:rPr>
      </w:pPr>
    </w:p>
    <w:p>
      <w:pPr>
        <w:ind w:left="980"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IFRS, IAS 39 established that the exchange differences related to the amortized cost of all financial instruments categories, including available-for-sale debt securities, must be recorded in the income statement.</w:t>
      </w:r>
    </w:p>
    <w:p>
      <w:pPr>
        <w:spacing w:after="0" w:line="215" w:lineRule="exact"/>
        <w:rPr>
          <w:rFonts w:ascii="Times New Roman" w:cs="Times New Roman" w:eastAsia="Times New Roman" w:hAnsi="Times New Roman"/>
          <w:sz w:val="18"/>
          <w:szCs w:val="18"/>
          <w:color w:val="auto"/>
        </w:rPr>
      </w:pPr>
    </w:p>
    <w:p>
      <w:pPr>
        <w:jc w:val="both"/>
        <w:ind w:left="98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EITF 96-15 , established that the change in the fair value of available-for-sale debt instruments due to changes in foreign currency exchange rates (including those related to the amortized cost) are carried in shareholder’s equity (other comprehensive income) and transferred to income upon sale or maturity of the instrument.</w:t>
      </w:r>
    </w:p>
    <w:p>
      <w:pPr>
        <w:spacing w:after="0" w:line="230" w:lineRule="exact"/>
        <w:rPr>
          <w:rFonts w:ascii="Times New Roman" w:cs="Times New Roman" w:eastAsia="Times New Roman" w:hAnsi="Times New Roman"/>
          <w:sz w:val="18"/>
          <w:szCs w:val="18"/>
          <w:color w:val="auto"/>
        </w:rPr>
      </w:pPr>
    </w:p>
    <w:p>
      <w:pPr>
        <w:ind w:left="98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December 31, 2005, the Group did not consider this difference in its reconciliation from IFRS to U.S. GAAP. As result, the statements of “Income” and “Other Comprehensive income” for the years 2004 and 2005 below have been restated to present this difference, as shown in paragraphs (g), (h) and (i) below. This difference does not have any effect in shareholders’ equity.</w:t>
      </w:r>
    </w:p>
    <w:p>
      <w:pPr>
        <w:spacing w:after="0" w:line="230" w:lineRule="exact"/>
        <w:rPr>
          <w:sz w:val="20"/>
          <w:szCs w:val="20"/>
          <w:color w:val="auto"/>
        </w:rPr>
      </w:pPr>
    </w:p>
    <w:p>
      <w:pPr>
        <w:ind w:left="980" w:right="720"/>
        <w:spacing w:after="0" w:line="282" w:lineRule="auto"/>
        <w:rPr>
          <w:sz w:val="20"/>
          <w:szCs w:val="20"/>
          <w:color w:val="auto"/>
        </w:rPr>
      </w:pPr>
      <w:r>
        <w:rPr>
          <w:rFonts w:ascii="Times New Roman" w:cs="Times New Roman" w:eastAsia="Times New Roman" w:hAnsi="Times New Roman"/>
          <w:sz w:val="18"/>
          <w:szCs w:val="18"/>
          <w:color w:val="auto"/>
        </w:rPr>
        <w:t>In addition, the Group has determined that due to the exchange difference loss for the year 2005, there was an “Other-than-temporary impairment” on such investments of US$8,912. This amount has been included in the reconciliation adjustment in 2005.</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96" w:right="3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adjustment affects the caption “Translation Result” in the consolidated income statement prepared in accordance with IFRS.</w:t>
      </w:r>
    </w:p>
    <w:p>
      <w:pPr>
        <w:spacing w:after="0" w:line="279" w:lineRule="exact"/>
        <w:rPr>
          <w:sz w:val="20"/>
          <w:szCs w:val="20"/>
          <w:color w:val="auto"/>
        </w:rPr>
      </w:pPr>
    </w:p>
    <w:p>
      <w:pPr>
        <w:ind w:left="980" w:hanging="486"/>
        <w:spacing w:after="0"/>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goodwill -</w:t>
      </w:r>
    </w:p>
    <w:p>
      <w:pPr>
        <w:spacing w:after="0" w:line="279" w:lineRule="exact"/>
        <w:rPr>
          <w:rFonts w:ascii="Times New Roman" w:cs="Times New Roman" w:eastAsia="Times New Roman" w:hAnsi="Times New Roman"/>
          <w:sz w:val="18"/>
          <w:szCs w:val="18"/>
          <w:color w:val="auto"/>
        </w:rPr>
      </w:pPr>
    </w:p>
    <w:p>
      <w:pPr>
        <w:ind w:left="980" w:right="26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Since March 2004, Credicorp has adopted IFRS 3, “Business Combinations”; as a result the goodwill recorded has been amortized until December 31, 2004. In accordance with the disposals of IFRS 3, since January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2005, the Group has ceased the amortization of goodwill. The accumulated amortization as of December 31, 2004 has been eliminated with a corresponding decrease in the cost of goodwill.</w:t>
      </w:r>
    </w:p>
    <w:p>
      <w:pPr>
        <w:spacing w:after="0" w:line="251" w:lineRule="exact"/>
        <w:rPr>
          <w:rFonts w:ascii="Times New Roman" w:cs="Times New Roman" w:eastAsia="Times New Roman" w:hAnsi="Times New Roman"/>
          <w:sz w:val="18"/>
          <w:szCs w:val="18"/>
          <w:color w:val="auto"/>
        </w:rPr>
      </w:pPr>
    </w:p>
    <w:p>
      <w:pPr>
        <w:ind w:left="98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2006 and 2005, and no impairment loss was required.</w:t>
      </w:r>
    </w:p>
    <w:p>
      <w:pPr>
        <w:spacing w:after="0" w:line="23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w:t>
      </w:r>
    </w:p>
    <w:p>
      <w:pPr>
        <w:spacing w:after="0" w:line="279" w:lineRule="exact"/>
        <w:rPr>
          <w:rFonts w:ascii="Times New Roman" w:cs="Times New Roman" w:eastAsia="Times New Roman" w:hAnsi="Times New Roman"/>
          <w:sz w:val="18"/>
          <w:szCs w:val="18"/>
          <w:color w:val="auto"/>
        </w:rPr>
      </w:pPr>
    </w:p>
    <w:p>
      <w:pPr>
        <w:ind w:left="980"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mentioned in Note 3 (r), income tax is recorded in accordance with IAS 12, “Income Taxes”, which, among other provisions, requires the recognition of deferred taxes on the translation differences arising in the remeasured of assets and liabilities from local currency into the functional currency.</w:t>
      </w:r>
    </w:p>
    <w:p>
      <w:pPr>
        <w:spacing w:after="0" w:line="230" w:lineRule="exact"/>
        <w:rPr>
          <w:rFonts w:ascii="Times New Roman" w:cs="Times New Roman" w:eastAsia="Times New Roman" w:hAnsi="Times New Roman"/>
          <w:sz w:val="18"/>
          <w:szCs w:val="18"/>
          <w:color w:val="auto"/>
        </w:rPr>
      </w:pPr>
    </w:p>
    <w:p>
      <w:pPr>
        <w:ind w:left="98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the Company follows the guidelines established in SFAS 109 “Accounting for Income Taxes”. This statement does not permit recognition of deferred taxes for differences related to assets and liabilities that are remeasured from local currency into the functional currency resulting from changes in exchange rates.</w:t>
      </w:r>
    </w:p>
    <w:p>
      <w:pPr>
        <w:spacing w:after="0" w:line="230" w:lineRule="exact"/>
        <w:rPr>
          <w:rFonts w:ascii="Times New Roman" w:cs="Times New Roman" w:eastAsia="Times New Roman" w:hAnsi="Times New Roman"/>
          <w:sz w:val="18"/>
          <w:szCs w:val="18"/>
          <w:color w:val="auto"/>
        </w:rPr>
      </w:pPr>
    </w:p>
    <w:p>
      <w:pPr>
        <w:ind w:left="9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prior years, the differences for this matter between IFRS and U.S. GAAP calculations have been immaterial; hence no reconciliation item has been reported for 2004 and 2005. Due to the variation in this difference during 2006, the Group has incorporated it in the reconciliation between IFRS and U.S. GAAP figures in 2006, the amount of this difference is US$5.1 millions as of December 31, 2006. This item is presented to reconcile the net income and the shareholder’s equity in paragraphs (g) and (h) below.</w:t>
      </w:r>
    </w:p>
    <w:p>
      <w:pPr>
        <w:spacing w:after="0" w:line="234"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 -</w:t>
      </w:r>
    </w:p>
    <w:p>
      <w:pPr>
        <w:spacing w:after="0" w:line="2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shareholder’s equity and net income is made up only of the equity portion attributed to equity holders of the Parent.</w:t>
      </w:r>
    </w:p>
    <w:p>
      <w:pPr>
        <w:spacing w:after="0" w:line="279" w:lineRule="exact"/>
        <w:rPr>
          <w:rFonts w:ascii="Times New Roman" w:cs="Times New Roman" w:eastAsia="Times New Roman" w:hAnsi="Times New Roman"/>
          <w:sz w:val="18"/>
          <w:szCs w:val="18"/>
          <w:color w:val="auto"/>
        </w:rPr>
      </w:pPr>
    </w:p>
    <w:p>
      <w:pPr>
        <w:ind w:left="98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under IFRS equity and net income includes the equity and net income corresponding to the shareholders of both the Parent and the minority interests. Therefore, there is an adjustment to exclude the Minority Interests portion of shareholder’s equity and net income, see paragraphs g) and h). The adjustment included in the income statement and shareholder’s equity reconciliation, also include the effect of minority interest on other U.S. GAAP adjustments.</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980" w:hanging="486"/>
        <w:spacing w:after="0"/>
        <w:tabs>
          <w:tab w:leader="none" w:pos="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adjustments to net income -</w:t>
      </w:r>
    </w:p>
    <w:p>
      <w:pPr>
        <w:spacing w:after="0" w:line="279" w:lineRule="exact"/>
        <w:rPr>
          <w:rFonts w:ascii="Times New Roman" w:cs="Times New Roman" w:eastAsia="Times New Roman" w:hAnsi="Times New Roman"/>
          <w:sz w:val="18"/>
          <w:szCs w:val="18"/>
          <w:color w:val="auto"/>
        </w:rPr>
      </w:pPr>
    </w:p>
    <w:p>
      <w:pPr>
        <w:ind w:left="980"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adjustments that would be required to determine the net income of the Group under U.S. GAAP instead of under IFRS are summarized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in accordance with IFRS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247,265</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141,512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Additions (deductions) reported:</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differences on available-for-sale debt securities (c)</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(55,155)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taxes (e)</w:t>
            </w:r>
          </w:p>
        </w:tc>
        <w:tc>
          <w:tcPr>
            <w:tcW w:w="16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(5,129)</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amortization of goodwill (d)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Minority interest (f)</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(11,957)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(12,968)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(10,765)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in accordance with U.S. GAAP, as previously reported</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175,024</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181,885</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135,600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Foreign exchange differences on available-for-sale debt securities, net of impairment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US$8,912 in 2005 (c)</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53,293</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(16,404)</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in accordance with U.S. GAAP, as restated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175,024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230,123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7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in accordance with U.S. GAAP based on weighted average number</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shares issued and outstanding, as previously reported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Net income per share in accordance with U.S. GAAP based on weighted average number</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of shares issued and outstanding, as restated</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2.19</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outstanding shares issued and outstanding, excluding</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treasury stock (in thousands of shares)</w:t>
            </w:r>
          </w:p>
        </w:tc>
        <w:tc>
          <w:tcPr>
            <w:tcW w:w="16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79,761</w:t>
            </w: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79,761</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79,758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F-87</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980" w:hanging="486"/>
        <w:spacing w:after="0"/>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adjustments to shareholders’ equity -</w:t>
      </w:r>
    </w:p>
    <w:p>
      <w:pPr>
        <w:spacing w:after="0" w:line="279" w:lineRule="exact"/>
        <w:rPr>
          <w:rFonts w:ascii="Times New Roman" w:cs="Times New Roman" w:eastAsia="Times New Roman" w:hAnsi="Times New Roman"/>
          <w:sz w:val="18"/>
          <w:szCs w:val="18"/>
          <w:color w:val="auto"/>
        </w:rPr>
      </w:pPr>
    </w:p>
    <w:p>
      <w:pPr>
        <w:ind w:left="98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significant adjustments that would be required to determine the shareholders’ equity of the Group under U.S. GAAP instead of under IFRS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Shareholders’ equity in accordance with IFRS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1,533,768</w:t>
            </w:r>
          </w:p>
        </w:tc>
        <w:tc>
          <w:tcPr>
            <w:tcW w:w="16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1,291,955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1,150,450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Additions (deductions):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Minority interest (f)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net of minority interest (e)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 of amortization of goodwill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(136,946)</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(85,253)</w:t>
            </w:r>
          </w:p>
        </w:tc>
      </w:tr>
      <w:tr>
        <w:trPr>
          <w:trHeight w:val="243"/>
        </w:trPr>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(4,987)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-334010</wp:posOffset>
            </wp:positionV>
            <wp:extent cx="72466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0</wp:posOffset>
            </wp:positionV>
            <wp:extent cx="72466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396" w:right="2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 in accordance with U.S. GAAP</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1,403,944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1,202,549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1,077,306</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changes in shareholders’ equity of the Group under U.S. GAAP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00" w:type="dxa"/>
            <w:vAlign w:val="bottom"/>
          </w:tcPr>
          <w:p>
            <w:pPr>
              <w:spacing w:after="0"/>
              <w:rPr>
                <w:sz w:val="22"/>
                <w:szCs w:val="22"/>
                <w:color w:val="auto"/>
              </w:rPr>
            </w:pPr>
          </w:p>
        </w:tc>
      </w:tr>
      <w:tr>
        <w:trPr>
          <w:trHeight w:val="237"/>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w:t>
            </w:r>
          </w:p>
        </w:tc>
        <w:tc>
          <w:tcPr>
            <w:tcW w:w="4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1,202,549</w:t>
            </w:r>
          </w:p>
        </w:tc>
        <w:tc>
          <w:tcPr>
            <w:tcW w:w="1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1,077,306</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917,986</w:t>
            </w: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4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(87,738)</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(63,810)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(31,900)</w:t>
            </w:r>
          </w:p>
        </w:tc>
      </w:tr>
      <w:tr>
        <w:trPr>
          <w:trHeight w:val="243"/>
        </w:trPr>
        <w:tc>
          <w:tcPr>
            <w:tcW w:w="4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Decrease in treasury stock</w:t>
            </w:r>
          </w:p>
        </w:tc>
        <w:tc>
          <w:tcPr>
            <w:tcW w:w="41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114,109</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(41,066)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68,527</w:t>
            </w:r>
          </w:p>
        </w:tc>
      </w:tr>
      <w:tr>
        <w:trPr>
          <w:trHeight w:val="243"/>
        </w:trPr>
        <w:tc>
          <w:tcPr>
            <w:tcW w:w="40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 under U.S. GAAP (g)</w:t>
            </w:r>
          </w:p>
        </w:tc>
        <w:tc>
          <w:tcPr>
            <w:tcW w:w="418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175,024</w:t>
            </w:r>
          </w:p>
        </w:tc>
        <w:tc>
          <w:tcPr>
            <w:tcW w:w="15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122,454</w:t>
            </w: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4060" w:type="dxa"/>
            <w:vAlign w:val="bottom"/>
            <w:shd w:val="clear" w:color="auto" w:fill="CCFFCC"/>
          </w:tcPr>
          <w:p>
            <w:pPr>
              <w:spacing w:after="0"/>
              <w:rPr>
                <w:sz w:val="20"/>
                <w:szCs w:val="20"/>
                <w:color w:val="auto"/>
              </w:rPr>
            </w:pPr>
          </w:p>
        </w:tc>
        <w:tc>
          <w:tcPr>
            <w:tcW w:w="268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2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1,202,549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1,077,306</w:t>
            </w:r>
          </w:p>
        </w:tc>
        <w:tc>
          <w:tcPr>
            <w:tcW w:w="10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060" w:type="dxa"/>
            <w:vAlign w:val="bottom"/>
          </w:tcPr>
          <w:p>
            <w:pPr>
              <w:spacing w:after="0"/>
              <w:rPr>
                <w:sz w:val="24"/>
                <w:szCs w:val="24"/>
                <w:color w:val="auto"/>
              </w:rPr>
            </w:pPr>
          </w:p>
        </w:tc>
        <w:tc>
          <w:tcPr>
            <w:tcW w:w="418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F-88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w:t>
            </w: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6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91"/>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00" w:type="dxa"/>
            <w:vAlign w:val="bottom"/>
          </w:tcPr>
          <w:p>
            <w:pPr>
              <w:spacing w:after="0"/>
              <w:rPr>
                <w:sz w:val="24"/>
                <w:szCs w:val="24"/>
                <w:color w:val="auto"/>
              </w:rPr>
            </w:pPr>
          </w:p>
        </w:tc>
      </w:tr>
      <w:tr>
        <w:trPr>
          <w:trHeight w:val="264"/>
        </w:trPr>
        <w:tc>
          <w:tcPr>
            <w:tcW w:w="8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Net income in accordance with U.S.GAAP</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175,024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122,454</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comprehensive income (loss)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198"/>
        </w:trPr>
        <w:tc>
          <w:tcPr>
            <w:tcW w:w="67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(losses) gains arising during the period, net of tax and minority interest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85,372</w:t>
            </w:r>
          </w:p>
        </w:tc>
        <w:tc>
          <w:tcPr>
            <w:tcW w:w="2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70,942</w:t>
            </w:r>
          </w:p>
        </w:tc>
      </w:tr>
      <w:tr>
        <w:trPr>
          <w:trHeight w:val="243"/>
        </w:trPr>
        <w:tc>
          <w:tcPr>
            <w:tcW w:w="6740" w:type="dxa"/>
            <w:vAlign w:val="bottom"/>
            <w:gridSpan w:val="2"/>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Transfer of realized losses (gains) to net income (**)</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27,421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(15,768)</w:t>
            </w:r>
          </w:p>
        </w:tc>
        <w:tc>
          <w:tcPr>
            <w:tcW w:w="146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(2,415)</w:t>
            </w:r>
          </w:p>
        </w:tc>
      </w:tr>
      <w:tr>
        <w:trPr>
          <w:trHeight w:val="270"/>
        </w:trPr>
        <w:tc>
          <w:tcPr>
            <w:tcW w:w="6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gain on cash flow hedge.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r>
      <w:tr>
        <w:trPr>
          <w:trHeight w:val="296"/>
        </w:trPr>
        <w:tc>
          <w:tcPr>
            <w:tcW w:w="840" w:type="dxa"/>
            <w:vAlign w:val="bottom"/>
            <w:tcBorders>
              <w:bottom w:val="single" w:sz="8" w:color="CCFFCC"/>
            </w:tcBorders>
            <w:shd w:val="clear" w:color="auto" w:fill="CCFFCC"/>
          </w:tcPr>
          <w:p>
            <w:pPr>
              <w:spacing w:after="0"/>
              <w:rPr>
                <w:sz w:val="24"/>
                <w:szCs w:val="24"/>
                <w:color w:val="auto"/>
              </w:rPr>
            </w:pPr>
          </w:p>
        </w:tc>
        <w:tc>
          <w:tcPr>
            <w:tcW w:w="590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114,109</w:t>
            </w:r>
          </w:p>
        </w:tc>
        <w:tc>
          <w:tcPr>
            <w:tcW w:w="240" w:type="dxa"/>
            <w:vAlign w:val="bottom"/>
            <w:tcBorders>
              <w:bottom w:val="single" w:sz="8" w:color="CCFFCC"/>
            </w:tcBorders>
            <w:shd w:val="clear" w:color="auto" w:fill="CCFFCC"/>
          </w:tcPr>
          <w:p>
            <w:pPr>
              <w:spacing w:after="0"/>
              <w:rPr>
                <w:sz w:val="24"/>
                <w:szCs w:val="24"/>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(41,066)</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68,527</w:t>
            </w:r>
          </w:p>
        </w:tc>
      </w:tr>
      <w:tr>
        <w:trPr>
          <w:trHeight w:val="264"/>
        </w:trPr>
        <w:tc>
          <w:tcPr>
            <w:tcW w:w="6740" w:type="dxa"/>
            <w:vAlign w:val="bottom"/>
            <w:tcBorders>
              <w:top w:val="single" w:sz="8" w:color="CCFFCC"/>
            </w:tcBorders>
            <w:gridSpan w:val="2"/>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CCFFCC"/>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83"/>
        </w:trPr>
        <w:tc>
          <w:tcPr>
            <w:tcW w:w="6740" w:type="dxa"/>
            <w:vAlign w:val="bottom"/>
            <w:tcBorders>
              <w:bottom w:val="single" w:sz="8" w:color="CCFFCC"/>
            </w:tcBorders>
            <w:gridSpan w:val="2"/>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 xml:space="preserve">Comprehensive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ncome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289,133</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189,057</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190,981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500" w:hanging="492"/>
        <w:spacing w:after="0"/>
        <w:tabs>
          <w:tab w:leader="none" w:pos="5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exchange differences for US$15,961, US$(34,041) and US$14,196 in 2006, 2005 and 2004, respectively, net of minority interest.</w:t>
      </w:r>
    </w:p>
    <w:p>
      <w:pPr>
        <w:spacing w:after="0" w:line="279" w:lineRule="exact"/>
        <w:rPr>
          <w:sz w:val="20"/>
          <w:szCs w:val="20"/>
          <w:color w:val="auto"/>
        </w:rPr>
      </w:pPr>
    </w:p>
    <w:p>
      <w:pPr>
        <w:ind w:right="1000" w:firstLine="8"/>
        <w:spacing w:after="0" w:line="592" w:lineRule="auto"/>
        <w:tabs>
          <w:tab w:leader="none" w:pos="48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exchange differences for US$34,041, US$(14,196) and US$(1,050) in 2006, 2005 and 2004, respectively, net of minority interest. Cumulative other comprehensive income (loss)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US$(000)</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r>
      <w:tr>
        <w:trPr>
          <w:trHeight w:val="486"/>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restated)</w:t>
            </w:r>
          </w:p>
        </w:tc>
      </w:tr>
      <w:tr>
        <w:trPr>
          <w:trHeight w:val="243"/>
        </w:trPr>
        <w:tc>
          <w:tcPr>
            <w:tcW w:w="6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49,261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90,327</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21,800</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114,109</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(41,066)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68,527</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163,370</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49,261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90,327</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980" w:right="440"/>
        <w:spacing w:after="0" w:line="282" w:lineRule="auto"/>
        <w:rPr>
          <w:sz w:val="20"/>
          <w:szCs w:val="20"/>
          <w:color w:val="auto"/>
        </w:rPr>
      </w:pPr>
      <w:r>
        <w:rPr>
          <w:rFonts w:ascii="Times New Roman" w:cs="Times New Roman" w:eastAsia="Times New Roman" w:hAnsi="Times New Roman"/>
          <w:sz w:val="18"/>
          <w:szCs w:val="18"/>
          <w:color w:val="auto"/>
        </w:rPr>
        <w:t>As result of the inclusion of the foreign exchange difference as part of the unrealized gains (losses) in available-for-sale debt securities, the amounts presented in Note 6 for 2006 and 2005 for U.S. GAAP purposes are as follow: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2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 gross amount</w:t>
            </w: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US$(000)</w:t>
            </w: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1,265,351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12,262</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1,277,613</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63,982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533,980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1,359,237</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39,962</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(4,528)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1,394,671</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3,096,203</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3,206,264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119,989</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216,183</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3,192,689</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236,195</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3,422,447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3,450,711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vMerge w:val="restart"/>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2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Unrealized gross amount</w:t>
            </w: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US$(000)</w:t>
            </w:r>
          </w:p>
        </w:tc>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US$(000)</w:t>
            </w: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US$(000)</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US$(000)</w:t>
            </w: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1,180,484</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(34,669)</w:t>
            </w: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1,145,815</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367,866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20,662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387,154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1,088,169</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18,651</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(7,742)</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1,099,078</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2,636,519</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(43,785)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2,632,047</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162,582</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2,708,737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130,426</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(44,534)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2,794,629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2,810,705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F-90</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980" w:right="400"/>
        <w:spacing w:after="0" w:line="282" w:lineRule="auto"/>
        <w:rPr>
          <w:sz w:val="20"/>
          <w:szCs w:val="20"/>
          <w:color w:val="auto"/>
        </w:rPr>
      </w:pPr>
      <w:r>
        <w:rPr>
          <w:rFonts w:ascii="Times New Roman" w:cs="Times New Roman" w:eastAsia="Times New Roman" w:hAnsi="Times New Roman"/>
          <w:sz w:val="18"/>
          <w:szCs w:val="18"/>
          <w:color w:val="auto"/>
        </w:rPr>
        <w:t>The unrealized losses for 2005 have existed for less than 12 months and such amounts are presented net of a permanent impairment of US$ 8,912; which has been fully realized during 2006.</w:t>
      </w:r>
    </w:p>
    <w:p>
      <w:pPr>
        <w:spacing w:after="0" w:line="216" w:lineRule="exact"/>
        <w:rPr>
          <w:sz w:val="20"/>
          <w:szCs w:val="20"/>
          <w:color w:val="auto"/>
        </w:rPr>
      </w:pPr>
    </w:p>
    <w:p>
      <w:pPr>
        <w:ind w:left="980" w:hanging="486"/>
        <w:spacing w:after="0"/>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guarantees -</w:t>
      </w:r>
    </w:p>
    <w:p>
      <w:pPr>
        <w:spacing w:after="0" w:line="2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disclosures required for FIN 45 applicable to Credicorp’s operations are as follow:</w:t>
      </w:r>
    </w:p>
    <w:p>
      <w:pPr>
        <w:spacing w:after="0" w:line="27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Commitments to extend credit -</w:t>
      </w:r>
    </w:p>
    <w:p>
      <w:pPr>
        <w:spacing w:after="0" w:line="283" w:lineRule="exact"/>
        <w:rPr>
          <w:rFonts w:ascii="Times New Roman" w:cs="Times New Roman" w:eastAsia="Times New Roman" w:hAnsi="Times New Roman"/>
          <w:sz w:val="18"/>
          <w:szCs w:val="18"/>
          <w:color w:val="auto"/>
        </w:rPr>
      </w:pPr>
    </w:p>
    <w:p>
      <w:pPr>
        <w:ind w:left="98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does no have commitments to extend credit. The caption “responsibilities under credit lines agreements” (see note 20), correspond to consumer credit lines and other consumer loans that are cancelable upon notification to the consumer. In addition, these credit lines generally have fixed expiration dates or other termination clauses. The contractual amount of the credit line represents the Company's exposure to credit loss, in the event of default by the borrower and by the amount of the credit line used at the default date. The Group manages this credit risk by using the same credit policies it applies to loans. Collateral is obtained to commercial commitments based on management's credit assessment of the borrower. Since the Group expects many of the commitments to expire without being drawn, or to cancel them in case of client default as allowed by the contracts signed, total responsibilities under credit lines agreements amounts do not necessarily represent the Group's future liquidity requirements. The contract or notional amounts of these credit lines at December 31, 2006 and 2005,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00" w:type="dxa"/>
            <w:vAlign w:val="bottom"/>
          </w:tcPr>
          <w:p>
            <w:pPr>
              <w:spacing w:after="0"/>
              <w:rPr>
                <w:sz w:val="16"/>
                <w:szCs w:val="16"/>
                <w:color w:val="auto"/>
              </w:rPr>
            </w:pPr>
          </w:p>
        </w:tc>
        <w:tc>
          <w:tcPr>
            <w:tcW w:w="12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Expire within</w:t>
            </w:r>
          </w:p>
        </w:tc>
        <w:tc>
          <w:tcPr>
            <w:tcW w:w="1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within</w:t>
            </w:r>
          </w:p>
        </w:tc>
        <w:tc>
          <w:tcPr>
            <w:tcW w:w="11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within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US$(000)</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Consumer credit cards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531,816</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531,816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4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Letters of credit and guarantees -</w:t>
      </w:r>
    </w:p>
    <w:p>
      <w:pPr>
        <w:spacing w:after="0" w:line="283"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 letters of credit and guarantee arrangements as of December 31, 2006, were approximately US$1,204.5 million (approximately US$982.0 million as of December 31, 2005) with a weighted average term of approximately 24 months. The estimated fair value of standby letters of credit and guarantees was approximately US$1.0 million as of December 31, 2006 (approximately US$0.8 million as of December 31, 2005). The contract or notional amounts of letters of credit and guarantees at December 31, 2006 and 2005, were as follows: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00" w:type="dxa"/>
            <w:vAlign w:val="bottom"/>
          </w:tcPr>
          <w:p>
            <w:pPr>
              <w:spacing w:after="0"/>
              <w:rPr>
                <w:sz w:val="16"/>
                <w:szCs w:val="16"/>
                <w:color w:val="auto"/>
              </w:rPr>
            </w:pPr>
          </w:p>
        </w:tc>
        <w:tc>
          <w:tcPr>
            <w:tcW w:w="12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Expire within</w:t>
            </w:r>
          </w:p>
        </w:tc>
        <w:tc>
          <w:tcPr>
            <w:tcW w:w="128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within</w:t>
            </w:r>
          </w:p>
        </w:tc>
        <w:tc>
          <w:tcPr>
            <w:tcW w:w="124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Expire after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Standby letters of credit and guarantees</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1,195,790</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8,710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1,204,500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944,598</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982,044</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Import and export letters of credit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250,466</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250,876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238,902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238,902</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1,446,256</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9,120</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1,455,376</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1,183,500</w:t>
            </w:r>
          </w:p>
        </w:tc>
        <w:tc>
          <w:tcPr>
            <w:tcW w:w="12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1,220,946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980" w:hanging="486"/>
        <w:spacing w:after="0"/>
        <w:tabs>
          <w:tab w:leader="none" w:pos="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Issued US Accounting Standards</w:t>
      </w:r>
    </w:p>
    <w:p>
      <w:pPr>
        <w:spacing w:after="0" w:line="279"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w:t>
      </w:r>
    </w:p>
    <w:p>
      <w:pPr>
        <w:spacing w:after="0" w:line="279" w:lineRule="exact"/>
        <w:rPr>
          <w:rFonts w:ascii="Times New Roman" w:cs="Times New Roman" w:eastAsia="Times New Roman" w:hAnsi="Times New Roman"/>
          <w:sz w:val="18"/>
          <w:szCs w:val="18"/>
          <w:color w:val="auto"/>
        </w:rPr>
      </w:pPr>
    </w:p>
    <w:p>
      <w:pPr>
        <w:ind w:left="162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2004, the FASB issued SFAS No. 123 (revised 2004), Shared Based Payments (SFAS 123R). This statement eliminates the option to apply the intrinsic value measurement provisions of Accounting Principles Board ("APB") Opinion No. 25, "Accounting for Stock Issued to Employees" to stock compensation awards issued to employees. Rather, SFAS 123R requires companies to measure the cost of employee services received in exchange for an award of equity instruments based on the grant-date fair value of the award. That cost will be recognized over the period during which an employee is required to provide services in exchange for the award - the requisite service period (usually the vesting period). SFAS 123R applies to all awards granted after the required effective date, December 15, 2005, and to awards modified, repurchased, or cancelled after that date. SFAS 123R was effective as of the beginning of the first interim or annual reporting period that begins after June 15, 2005 and therefore we applied this standard for U.S. GAAP purposes in the fiscal year beginning January 1, 2006 and as a result, there were not any material effect on its financial position, results of operations or cash flows.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980" w:hanging="486"/>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Issued US Accounting Standards</w:t>
      </w:r>
    </w:p>
    <w:p>
      <w:pPr>
        <w:spacing w:after="0" w:line="279" w:lineRule="exact"/>
        <w:rPr>
          <w:rFonts w:ascii="Times New Roman" w:cs="Times New Roman" w:eastAsia="Times New Roman" w:hAnsi="Times New Roman"/>
          <w:sz w:val="18"/>
          <w:szCs w:val="18"/>
          <w:color w:val="auto"/>
        </w:rPr>
      </w:pPr>
    </w:p>
    <w:p>
      <w:pPr>
        <w:ind w:left="1620" w:right="280" w:hanging="640"/>
        <w:spacing w:after="0" w:line="282" w:lineRule="auto"/>
        <w:tabs>
          <w:tab w:leader="none" w:pos="16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Staff Position (FSP) FAS 115-1 and FAS 124-1 “The Meaning of Other- Than- Temporary Impairment and its Application to Certain Investments” -</w:t>
      </w:r>
    </w:p>
    <w:p>
      <w:pPr>
        <w:spacing w:after="0" w:line="215" w:lineRule="exact"/>
        <w:rPr>
          <w:rFonts w:ascii="Times New Roman" w:cs="Times New Roman" w:eastAsia="Times New Roman" w:hAnsi="Times New Roman"/>
          <w:sz w:val="18"/>
          <w:szCs w:val="18"/>
          <w:color w:val="auto"/>
        </w:rPr>
      </w:pPr>
    </w:p>
    <w:p>
      <w:pPr>
        <w:ind w:left="1620" w:right="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November 2005, the FASB issued FASB Staff Position (FSP) FAS 115-1 and FAS 124-1 “The Meaning of Other- Than- Temporary Impairment and its Application to Certain Investments”. The FSP addresses the determination as to when an investment is considered impaired, whether that impairment is other than temporary, and the measurement of an impairment loss. Credicorp adopted the FSP on January 1, 2006. The adoption of the standard did not have a significant impact on its financial condition or results of operations.</w:t>
      </w:r>
    </w:p>
    <w:p>
      <w:pPr>
        <w:spacing w:after="0" w:line="218" w:lineRule="exact"/>
        <w:rPr>
          <w:rFonts w:ascii="Times New Roman" w:cs="Times New Roman" w:eastAsia="Times New Roman" w:hAnsi="Times New Roman"/>
          <w:sz w:val="18"/>
          <w:szCs w:val="18"/>
          <w:color w:val="auto"/>
        </w:rPr>
      </w:pPr>
    </w:p>
    <w:p>
      <w:pPr>
        <w:ind w:left="1620" w:right="260" w:hanging="640"/>
        <w:spacing w:after="0" w:line="282" w:lineRule="auto"/>
        <w:tabs>
          <w:tab w:leader="none" w:pos="16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Accounting Bulletin (SAB) No. 108 “Considering the Effects of Prior Year Misstatements when Quantifying Misstatements in Current Year Financial Statements” -</w:t>
      </w:r>
    </w:p>
    <w:p>
      <w:pPr>
        <w:spacing w:after="0" w:line="215" w:lineRule="exact"/>
        <w:rPr>
          <w:rFonts w:ascii="Times New Roman" w:cs="Times New Roman" w:eastAsia="Times New Roman" w:hAnsi="Times New Roman"/>
          <w:sz w:val="18"/>
          <w:szCs w:val="18"/>
          <w:color w:val="auto"/>
        </w:rPr>
      </w:pPr>
    </w:p>
    <w:p>
      <w:pPr>
        <w:ind w:left="1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1, 2006, the Securities and Exchange Commission (SEC) issued Staff Accounting Bulletin (SAB) No. 108 “Considering the Effects of Prior Year Misstatements when Quantifying Misstatements in Current Year Financial Statements” (SAB 108). SAB 108 expresses the SEC Staff’s views regarding the process of quantifying financial statement misstatements. SAB 108 states that in evaluating the materiality of financial statement misstatements, a corporation must quantify the impact of correcting misstatements, including both the carryover and reversing effects of prior year misstatements, on the current year financial statements. SAB 108 is effective for the year ended December 31, 2006. The application of SAB 108 did not have an impact on the Group’s financial condition and results of operations.</w:t>
      </w:r>
    </w:p>
    <w:p>
      <w:pPr>
        <w:spacing w:after="0" w:line="24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issued US accounting standards not yet adopted</w:t>
      </w:r>
    </w:p>
    <w:p>
      <w:pPr>
        <w:spacing w:after="0" w:line="279" w:lineRule="exact"/>
        <w:rPr>
          <w:rFonts w:ascii="Times New Roman" w:cs="Times New Roman" w:eastAsia="Times New Roman" w:hAnsi="Times New Roman"/>
          <w:sz w:val="18"/>
          <w:szCs w:val="18"/>
          <w:color w:val="auto"/>
        </w:rPr>
      </w:pPr>
    </w:p>
    <w:p>
      <w:pPr>
        <w:ind w:left="1460" w:right="40" w:hanging="480"/>
        <w:spacing w:after="0" w:line="282" w:lineRule="auto"/>
        <w:tabs>
          <w:tab w:leader="none" w:pos="146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Financial Accounting Standard No. 155: “Accounting for Certain Hybrid Instruments”- an amendment of FASB Statements 133 and 140.</w:t>
      </w:r>
    </w:p>
    <w:p>
      <w:pPr>
        <w:spacing w:after="0" w:line="215" w:lineRule="exact"/>
        <w:rPr>
          <w:rFonts w:ascii="Times New Roman" w:cs="Times New Roman" w:eastAsia="Times New Roman" w:hAnsi="Times New Roman"/>
          <w:sz w:val="18"/>
          <w:szCs w:val="18"/>
          <w:color w:val="auto"/>
        </w:rPr>
      </w:pPr>
    </w:p>
    <w:p>
      <w:pPr>
        <w:ind w:left="1460" w:right="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2006, the FASB issued Statement of Financial Accounting Standard No. 155, Accounting for Certain Hybrid Instruments, an amendment of FASB Statements No. 133 and 140 (SFAS 155). SFAS 155 permits Credicorp to elect to measure any hybrid financial instrument at fair value, with changes in fair value recognized in net profit, if the hybrid instrument contains an embedded derivative that would otherwise require bifurcation under SFAS 133. The election to measure the hybrid instrument at fair value is made on an instrument-by-instrument basis and is irreversible. SFAS 155 is effective after the beginning of an entity’s first fiscal year that begins after September 15, 2006, with early adoption permitted in certain circumstances. At adoption of SFAS 155, any difference between the total carrying amount of the individual components of an existing hybrid instrument and the fair value of the combined hybrid financial instrument is recognized as a cumulative-effect adjustment to beginning retained earnings. Credicorp did not elect to early adopt SFAS 155 and, therefore, will adopt the new standard as of 1 January 2007. Credicorp does not believe that SFAS 155 will have a significant impact on its consolidated financial statements.</w:t>
      </w: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 xml:space="preserve">Notes to the consolidated financial statements </w:t>
      </w:r>
      <w:r>
        <w:rPr>
          <w:rFonts w:ascii="Times New Roman" w:cs="Times New Roman" w:eastAsia="Times New Roman" w:hAnsi="Times New Roman"/>
          <w:sz w:val="18"/>
          <w:szCs w:val="18"/>
          <w:color w:val="auto"/>
        </w:rPr>
        <w:t>(continued)</w:t>
      </w:r>
    </w:p>
    <w:p>
      <w:pPr>
        <w:spacing w:after="0" w:line="283" w:lineRule="exact"/>
        <w:rPr>
          <w:sz w:val="20"/>
          <w:szCs w:val="20"/>
          <w:color w:val="auto"/>
        </w:rPr>
      </w:pPr>
    </w:p>
    <w:p>
      <w:pPr>
        <w:ind w:left="1460" w:right="240" w:hanging="480"/>
        <w:spacing w:after="0" w:line="282" w:lineRule="auto"/>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Financial Accounting Standard No. 156, “Accounting for Servicing of Financial Assets” (SFAS 156)- and amendment of FASB Statement 140</w:t>
      </w:r>
    </w:p>
    <w:p>
      <w:pPr>
        <w:spacing w:after="0" w:line="215" w:lineRule="exact"/>
        <w:rPr>
          <w:rFonts w:ascii="Times New Roman" w:cs="Times New Roman" w:eastAsia="Times New Roman" w:hAnsi="Times New Roman"/>
          <w:sz w:val="18"/>
          <w:szCs w:val="18"/>
          <w:color w:val="auto"/>
        </w:rPr>
      </w:pPr>
    </w:p>
    <w:p>
      <w:pPr>
        <w:ind w:left="146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2006, the FASB issued Statement of Financial Accounting Standard No. 156, Accounting for Servicing of Financial Assets (SFAS 156). SFAS 156 addresses the accounting for recognized servicing assets and servicing liabilities related to certain transfers of the servicer’s financial assets and for acquisitions or assumptions of obligations to service financial assets that do not relate to the financial assets of the service and its related parties. SFAS 156 requires that all recognized servicing assets and servicing liabilities are initially measured at fair value and subsequently measured at either fair value or by applying an amortization method for each class of recognized servicing assets and servicing liabilities. SFAS 156 is effective in fiscal years beginning after September 15, 2006. The adoption of SFAS 156 is not expected to have a material impact on Credicorp’s Financial Statements.</w:t>
      </w:r>
    </w:p>
    <w:p>
      <w:pPr>
        <w:spacing w:after="0" w:line="241" w:lineRule="exact"/>
        <w:rPr>
          <w:rFonts w:ascii="Times New Roman" w:cs="Times New Roman" w:eastAsia="Times New Roman" w:hAnsi="Times New Roman"/>
          <w:sz w:val="18"/>
          <w:szCs w:val="18"/>
          <w:color w:val="auto"/>
        </w:rPr>
      </w:pPr>
    </w:p>
    <w:p>
      <w:pPr>
        <w:ind w:left="1460" w:right="60" w:hanging="480"/>
        <w:spacing w:after="0" w:line="261" w:lineRule="auto"/>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 48, “</w:t>
      </w:r>
      <w:r>
        <w:rPr>
          <w:rFonts w:ascii="Times New Roman" w:cs="Times New Roman" w:eastAsia="Times New Roman" w:hAnsi="Times New Roman"/>
          <w:sz w:val="18"/>
          <w:szCs w:val="18"/>
          <w:i w:val="1"/>
          <w:iCs w:val="1"/>
          <w:color w:val="auto"/>
        </w:rPr>
        <w:t>Accounting for Uncertainty in Income Taxes” - an interpretation of SFAS 109 -</w:t>
      </w:r>
      <w:r>
        <w:rPr>
          <w:rFonts w:ascii="Times New Roman" w:cs="Times New Roman" w:eastAsia="Times New Roman" w:hAnsi="Times New Roman"/>
          <w:sz w:val="18"/>
          <w:szCs w:val="18"/>
          <w:color w:val="auto"/>
        </w:rPr>
        <w:t xml:space="preserve"> In June 2006, the FASB issued FIN 48, </w:t>
      </w:r>
      <w:r>
        <w:rPr>
          <w:rFonts w:ascii="Times New Roman" w:cs="Times New Roman" w:eastAsia="Times New Roman" w:hAnsi="Times New Roman"/>
          <w:sz w:val="18"/>
          <w:szCs w:val="18"/>
          <w:i w:val="1"/>
          <w:iCs w:val="1"/>
          <w:color w:val="auto"/>
        </w:rPr>
        <w:t>Accounting for Uncertainty in Income Taxes - an interpretation of SFAS 109</w:t>
      </w:r>
      <w:r>
        <w:rPr>
          <w:rFonts w:ascii="Times New Roman" w:cs="Times New Roman" w:eastAsia="Times New Roman" w:hAnsi="Times New Roman"/>
          <w:sz w:val="18"/>
          <w:szCs w:val="18"/>
          <w:color w:val="auto"/>
        </w:rPr>
        <w:t>, which prescribes a recognition threshold and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 for financial statement recognition and measurement of tax positions. FIN 48 is effective for years commencing after December 15, 2006. Credicorp is continuing to evaluate the impact of FIN 48 on its Financial Statements.</w:t>
      </w:r>
    </w:p>
    <w:p>
      <w:pPr>
        <w:spacing w:after="0" w:line="234" w:lineRule="exact"/>
        <w:rPr>
          <w:rFonts w:ascii="Times New Roman" w:cs="Times New Roman" w:eastAsia="Times New Roman" w:hAnsi="Times New Roman"/>
          <w:sz w:val="18"/>
          <w:szCs w:val="18"/>
          <w:color w:val="auto"/>
        </w:rPr>
      </w:pPr>
    </w:p>
    <w:p>
      <w:pPr>
        <w:ind w:left="1460" w:hanging="480"/>
        <w:spacing w:after="0" w:line="254" w:lineRule="auto"/>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Financial Accounting Standards No. 157, “</w:t>
      </w:r>
      <w:r>
        <w:rPr>
          <w:rFonts w:ascii="Times New Roman" w:cs="Times New Roman" w:eastAsia="Times New Roman" w:hAnsi="Times New Roman"/>
          <w:sz w:val="18"/>
          <w:szCs w:val="18"/>
          <w:i w:val="1"/>
          <w:iCs w:val="1"/>
          <w:color w:val="auto"/>
        </w:rPr>
        <w:t>Fair Value Measurements” (</w:t>
      </w:r>
      <w:r>
        <w:rPr>
          <w:rFonts w:ascii="Times New Roman" w:cs="Times New Roman" w:eastAsia="Times New Roman" w:hAnsi="Times New Roman"/>
          <w:sz w:val="18"/>
          <w:szCs w:val="18"/>
          <w:color w:val="auto"/>
        </w:rPr>
        <w:t xml:space="preserve">SFAS 157) - In September 2006, the FASB issued Statement of Financial Accounting Standards No. 157, </w:t>
      </w:r>
      <w:r>
        <w:rPr>
          <w:rFonts w:ascii="Times New Roman" w:cs="Times New Roman" w:eastAsia="Times New Roman" w:hAnsi="Times New Roman"/>
          <w:sz w:val="18"/>
          <w:szCs w:val="18"/>
          <w:i w:val="1"/>
          <w:iCs w:val="1"/>
          <w:color w:val="auto"/>
        </w:rPr>
        <w:t>Fair Value Measurements (</w:t>
      </w:r>
      <w:r>
        <w:rPr>
          <w:rFonts w:ascii="Times New Roman" w:cs="Times New Roman" w:eastAsia="Times New Roman" w:hAnsi="Times New Roman"/>
          <w:sz w:val="18"/>
          <w:szCs w:val="18"/>
          <w:color w:val="auto"/>
        </w:rPr>
        <w:t>SFAS 157). SFAS 157 defines fair value, establishes a framework for measuring fair value, and expands the required disclosures about an entity’s fair value measurements. Additionally, SFAS 157 eliminates the requirement to defer calculated profit or loss on transaction values that include unobservable inputs (“Day 1 profit and loss”) and eliminates the use of block discounts for securities traded in an active market. SFAS 157 is effective for financial statements issued for fiscal years beginning after November 15, 2007. The provisions of SFAS 157 should be applied prospectively upon initial adoption, except for the provisions that eliminate prior measurement guidance regarding block discounts and Day 1 profit and loss. These changes should be applied retrospectively as an adjustment to the opening balance of retained earnings in the period of adoption. Credicorp is still assessing the impact that SFAS 157 will have on its Financial Statements.</w:t>
      </w:r>
    </w:p>
    <w:p>
      <w:pPr>
        <w:spacing w:after="0" w:line="24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 of Financial Accounting Standards No. 159, “</w:t>
      </w:r>
      <w:r>
        <w:rPr>
          <w:rFonts w:ascii="Times New Roman" w:cs="Times New Roman" w:eastAsia="Times New Roman" w:hAnsi="Times New Roman"/>
          <w:sz w:val="18"/>
          <w:szCs w:val="18"/>
          <w:i w:val="1"/>
          <w:iCs w:val="1"/>
          <w:color w:val="auto"/>
        </w:rPr>
        <w:t>The Fair Value Option for Financial Assets and Liabilities”</w:t>
      </w:r>
      <w:r>
        <w:rPr>
          <w:rFonts w:ascii="Times New Roman" w:cs="Times New Roman" w:eastAsia="Times New Roman" w:hAnsi="Times New Roman"/>
          <w:sz w:val="18"/>
          <w:szCs w:val="18"/>
          <w:color w:val="auto"/>
        </w:rPr>
        <w:t xml:space="preserve"> (SFAS 159) -</w:t>
      </w:r>
    </w:p>
    <w:p>
      <w:pPr>
        <w:spacing w:after="0" w:line="333" w:lineRule="exact"/>
        <w:rPr>
          <w:rFonts w:ascii="Times New Roman" w:cs="Times New Roman" w:eastAsia="Times New Roman" w:hAnsi="Times New Roman"/>
          <w:sz w:val="18"/>
          <w:szCs w:val="18"/>
          <w:color w:val="auto"/>
        </w:rPr>
      </w:pPr>
    </w:p>
    <w:p>
      <w:pPr>
        <w:ind w:left="1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2007, the FASB issued Statement of Financial Accounting Standards No. 159, </w:t>
      </w:r>
      <w:r>
        <w:rPr>
          <w:rFonts w:ascii="Times New Roman" w:cs="Times New Roman" w:eastAsia="Times New Roman" w:hAnsi="Times New Roman"/>
          <w:sz w:val="18"/>
          <w:szCs w:val="18"/>
          <w:i w:val="1"/>
          <w:iCs w:val="1"/>
          <w:color w:val="auto"/>
        </w:rPr>
        <w:t>The Fair Value Option for Financial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Liabilities </w:t>
      </w:r>
      <w:r>
        <w:rPr>
          <w:rFonts w:ascii="Times New Roman" w:cs="Times New Roman" w:eastAsia="Times New Roman" w:hAnsi="Times New Roman"/>
          <w:sz w:val="18"/>
          <w:szCs w:val="18"/>
          <w:color w:val="auto"/>
        </w:rPr>
        <w:t>(SFAS 159). This new standard permits entities to irrevocably choose to measure many financial instruments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items at fair value. Unrealized gains and losses on items for which the fair value option has been elected are recognized in net profit at each subsequent reporting date. The election in SFAS 159 is similar, but not identical, to the fair value option in IAS 39. The fair value option in IAS 39 is subject to certain qualifying criteria not include in this standard, and it applies to a slightly different set of instruments. SFAS 159 is effective for fiscal years beginning after November 15, 2007. Early adoption is permitted only if the provisions of SFAS 157 are also applied. Credicorp is currently assessing the impact SFAS 159 will have on its Financial Statements.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6" w:right="2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color w:val="auto"/>
        </w:rPr>
        <w:t>Exhibit 12.1</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Dionisio Romero, certify that:</w:t>
      </w:r>
    </w:p>
    <w:p>
      <w:pPr>
        <w:spacing w:after="0" w:line="279" w:lineRule="exact"/>
        <w:rPr>
          <w:sz w:val="20"/>
          <w:szCs w:val="20"/>
          <w:color w:val="auto"/>
        </w:rPr>
      </w:pPr>
    </w:p>
    <w:p>
      <w:pPr>
        <w:ind w:left="180" w:hanging="172"/>
        <w:spacing w:after="0"/>
        <w:tabs>
          <w:tab w:leader="none" w:pos="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Credicorp Ltd.;</w:t>
      </w:r>
    </w:p>
    <w:p>
      <w:pPr>
        <w:spacing w:after="0" w:line="279"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0"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15"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0" w:lineRule="exact"/>
        <w:rPr>
          <w:sz w:val="20"/>
          <w:szCs w:val="20"/>
          <w:color w:val="auto"/>
        </w:rPr>
      </w:pPr>
    </w:p>
    <w:p>
      <w:pPr>
        <w:jc w:val="both"/>
        <w:ind w:firstLine="8"/>
        <w:spacing w:after="0" w:line="266" w:lineRule="auto"/>
        <w:tabs>
          <w:tab w:leader="none" w:pos="1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1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16" w:lineRule="exact"/>
        <w:rPr>
          <w:sz w:val="20"/>
          <w:szCs w:val="20"/>
          <w:color w:val="auto"/>
        </w:rPr>
      </w:pPr>
    </w:p>
    <w:p>
      <w:pPr>
        <w:ind w:firstLine="8"/>
        <w:spacing w:after="0" w:line="282" w:lineRule="auto"/>
        <w:tabs>
          <w:tab w:leader="none" w:pos="20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16" w:lineRule="exact"/>
        <w:rPr>
          <w:sz w:val="20"/>
          <w:szCs w:val="20"/>
          <w:color w:val="auto"/>
        </w:rPr>
      </w:pPr>
    </w:p>
    <w:p>
      <w:pPr>
        <w:ind w:firstLine="8"/>
        <w:spacing w:after="0" w:line="282" w:lineRule="auto"/>
        <w:tabs>
          <w:tab w:leader="none" w:pos="19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25939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Dionisio Romero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color w:val="auto"/>
        </w:rPr>
        <w:t>Exhibit 12.2</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Walter Bayly, certify that:</w:t>
      </w:r>
    </w:p>
    <w:p>
      <w:pPr>
        <w:spacing w:after="0" w:line="279" w:lineRule="exact"/>
        <w:rPr>
          <w:sz w:val="20"/>
          <w:szCs w:val="20"/>
          <w:color w:val="auto"/>
        </w:rPr>
      </w:pPr>
    </w:p>
    <w:p>
      <w:pPr>
        <w:ind w:left="180" w:hanging="172"/>
        <w:spacing w:after="0"/>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Credicorp Ltd.;</w:t>
      </w:r>
    </w:p>
    <w:p>
      <w:pPr>
        <w:spacing w:after="0" w:line="279"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0"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15"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0" w:lineRule="exact"/>
        <w:rPr>
          <w:sz w:val="20"/>
          <w:szCs w:val="20"/>
          <w:color w:val="auto"/>
        </w:rPr>
      </w:pPr>
    </w:p>
    <w:p>
      <w:pPr>
        <w:jc w:val="both"/>
        <w:ind w:firstLine="8"/>
        <w:spacing w:after="0" w:line="266" w:lineRule="auto"/>
        <w:tabs>
          <w:tab w:leader="none" w:pos="1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1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16" w:lineRule="exact"/>
        <w:rPr>
          <w:sz w:val="20"/>
          <w:szCs w:val="20"/>
          <w:color w:val="auto"/>
        </w:rPr>
      </w:pPr>
    </w:p>
    <w:p>
      <w:pPr>
        <w:ind w:firstLine="8"/>
        <w:spacing w:after="0" w:line="282" w:lineRule="auto"/>
        <w:tabs>
          <w:tab w:leader="none" w:pos="20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16" w:lineRule="exact"/>
        <w:rPr>
          <w:sz w:val="20"/>
          <w:szCs w:val="20"/>
          <w:color w:val="auto"/>
        </w:rPr>
      </w:pPr>
    </w:p>
    <w:p>
      <w:pPr>
        <w:ind w:firstLine="8"/>
        <w:spacing w:after="0" w:line="282" w:lineRule="auto"/>
        <w:tabs>
          <w:tab w:leader="none" w:pos="19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25939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Walter Bayly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t>Exhibit 13.1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906 of the Sarbanes-Oxley Act of 2002 (18 U.S.C. Sections 1350(a) and (b)), the undersigned hereby certifies as follows:</w:t>
      </w:r>
    </w:p>
    <w:p>
      <w:pPr>
        <w:spacing w:after="0" w:line="256" w:lineRule="exact"/>
        <w:rPr>
          <w:sz w:val="20"/>
          <w:szCs w:val="20"/>
          <w:color w:val="auto"/>
        </w:rPr>
      </w:pPr>
    </w:p>
    <w:p>
      <w:pPr>
        <w:ind w:left="680" w:hanging="672"/>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Chairman Executive Officer of Credicorp Ltd. (the “Company”).</w:t>
      </w:r>
    </w:p>
    <w:p>
      <w:pPr>
        <w:spacing w:after="0" w:line="33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w:t>
      </w:r>
    </w:p>
    <w:p>
      <w:pPr>
        <w:spacing w:after="0" w:line="333" w:lineRule="exact"/>
        <w:rPr>
          <w:sz w:val="20"/>
          <w:szCs w:val="20"/>
          <w:color w:val="auto"/>
        </w:rPr>
      </w:pPr>
    </w:p>
    <w:p>
      <w:pPr>
        <w:jc w:val="both"/>
        <w:ind w:firstLine="8"/>
        <w:spacing w:after="0" w:line="274" w:lineRule="auto"/>
        <w:tabs>
          <w:tab w:leader="none" w:pos="83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63"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25939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Dionisio Romero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t>Exhibit 13.2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906 of the Sarbanes-Oxley Act of 2002 (18 U.S.C. Sections 1350(a) and (b)), the undersigned hereby certifies as follows:</w:t>
      </w:r>
    </w:p>
    <w:p>
      <w:pPr>
        <w:spacing w:after="0" w:line="256" w:lineRule="exact"/>
        <w:rPr>
          <w:sz w:val="20"/>
          <w:szCs w:val="20"/>
          <w:color w:val="auto"/>
        </w:rPr>
      </w:pPr>
    </w:p>
    <w:p>
      <w:pPr>
        <w:ind w:left="680" w:hanging="672"/>
        <w:spacing w:after="0"/>
        <w:tabs>
          <w:tab w:leader="none" w:pos="6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Chief Financial and Accounting Officer of Credicorp Ltd. (the “Company”).</w:t>
      </w:r>
    </w:p>
    <w:p>
      <w:pPr>
        <w:spacing w:after="0" w:line="33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w:t>
      </w:r>
    </w:p>
    <w:p>
      <w:pPr>
        <w:spacing w:after="0" w:line="333" w:lineRule="exact"/>
        <w:rPr>
          <w:sz w:val="20"/>
          <w:szCs w:val="20"/>
          <w:color w:val="auto"/>
        </w:rPr>
      </w:pPr>
    </w:p>
    <w:p>
      <w:pPr>
        <w:jc w:val="both"/>
        <w:ind w:firstLine="8"/>
        <w:spacing w:after="0" w:line="274" w:lineRule="auto"/>
        <w:tabs>
          <w:tab w:leader="none" w:pos="83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63" w:lineRule="exact"/>
        <w:rPr>
          <w:rFonts w:ascii="Times New Roman" w:cs="Times New Roman" w:eastAsia="Times New Roman" w:hAnsi="Times New Roman"/>
          <w:sz w:val="18"/>
          <w:szCs w:val="18"/>
          <w:color w:val="auto"/>
        </w:rPr>
      </w:pPr>
    </w:p>
    <w:p>
      <w:pPr>
        <w:ind w:left="780" w:hanging="772"/>
        <w:spacing w:after="0"/>
        <w:tabs>
          <w:tab w:leader="none" w:pos="7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28,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83820</wp:posOffset>
            </wp:positionV>
            <wp:extent cx="243078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Walter Bayly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708C9AF"/>
    <w:multiLevelType w:val="hybridMultilevel"/>
    <w:lvl w:ilvl="0">
      <w:lvlJc w:val="left"/>
      <w:lvlText w:val="o"/>
      <w:numFmt w:val="bullet"/>
      <w:start w:val="1"/>
    </w:lvl>
  </w:abstractNum>
  <w:abstractNum w:abstractNumId="1">
    <w:nsid w:val="5B25ACE2"/>
    <w:multiLevelType w:val="hybridMultilevel"/>
    <w:lvl w:ilvl="0">
      <w:lvlJc w:val="left"/>
      <w:lvlText w:val="x"/>
      <w:numFmt w:val="bullet"/>
      <w:start w:val="1"/>
    </w:lvl>
  </w:abstractNum>
  <w:abstractNum w:abstractNumId="2">
    <w:nsid w:val="175DFCF0"/>
    <w:multiLevelType w:val="hybridMultilevel"/>
    <w:lvl w:ilvl="0">
      <w:lvlJc w:val="left"/>
      <w:lvlText w:val="o"/>
      <w:numFmt w:val="bullet"/>
      <w:start w:val="1"/>
    </w:lvl>
  </w:abstractNum>
  <w:abstractNum w:abstractNumId="3">
    <w:nsid w:val="4F97E3E4"/>
    <w:multiLevelType w:val="hybridMultilevel"/>
    <w:lvl w:ilvl="0">
      <w:lvlJc w:val="left"/>
      <w:lvlText w:val="(%1)"/>
      <w:numFmt w:val="upperLetter"/>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1)"/>
      <w:numFmt w:val="upperLetter"/>
      <w:start w:val="1"/>
    </w:lvl>
  </w:abstractNum>
  <w:abstractNum w:abstractNumId="6">
    <w:nsid w:val="5915FF32"/>
    <w:multiLevelType w:val="hybridMultilevel"/>
    <w:lvl w:ilvl="0">
      <w:lvlJc w:val="left"/>
      <w:lvlText w:val="(%1)"/>
      <w:numFmt w:val="decimal"/>
      <w:start w:val="1"/>
    </w:lvl>
  </w:abstractNum>
  <w:abstractNum w:abstractNumId="7">
    <w:nsid w:val="56438D15"/>
    <w:multiLevelType w:val="hybridMultilevel"/>
    <w:lvl w:ilvl="0">
      <w:lvlJc w:val="left"/>
      <w:lvlText w:val="(%1)"/>
      <w:numFmt w:val="decimal"/>
      <w:start w:val="2"/>
    </w:lvl>
  </w:abstractNum>
  <w:abstractNum w:abstractNumId="8">
    <w:nsid w:val="519E3149"/>
    <w:multiLevelType w:val="hybridMultilevel"/>
    <w:lvl w:ilvl="0">
      <w:lvlJc w:val="left"/>
      <w:lvlText w:val="(%1)"/>
      <w:numFmt w:val="decimal"/>
      <w:start w:val="1"/>
    </w:lvl>
  </w:abstractNum>
  <w:abstractNum w:abstractNumId="9">
    <w:nsid w:val="2C6E4AFD"/>
    <w:multiLevelType w:val="hybridMultilevel"/>
    <w:lvl w:ilvl="0">
      <w:lvlJc w:val="left"/>
      <w:lvlText w:val="(%1)"/>
      <w:numFmt w:val="decimal"/>
      <w:start w:val="1"/>
    </w:lvl>
  </w:abstractNum>
  <w:abstractNum w:abstractNumId="10">
    <w:nsid w:val="17A1B582"/>
    <w:multiLevelType w:val="hybridMultilevel"/>
    <w:lvl w:ilvl="0">
      <w:lvlJc w:val="left"/>
      <w:lvlText w:val="(%1)"/>
      <w:numFmt w:val="upperLetter"/>
      <w:start w:val="2"/>
    </w:lvl>
  </w:abstractNum>
  <w:abstractNum w:abstractNumId="11">
    <w:nsid w:val="4DF72E4E"/>
    <w:multiLevelType w:val="hybridMultilevel"/>
    <w:lvl w:ilvl="0">
      <w:lvlJc w:val="left"/>
      <w:lvlText w:val="(%1)"/>
      <w:numFmt w:val="upperLetter"/>
      <w:start w:val="1"/>
    </w:lvl>
  </w:abstractNum>
  <w:abstractNum w:abstractNumId="12">
    <w:nsid w:val="5046B5A9"/>
    <w:multiLevelType w:val="hybridMultilevel"/>
    <w:lvl w:ilvl="0">
      <w:lvlJc w:val="left"/>
      <w:lvlText w:val="(%1)"/>
      <w:numFmt w:val="decimal"/>
      <w:start w:val="1"/>
    </w:lvl>
  </w:abstractNum>
  <w:abstractNum w:abstractNumId="13">
    <w:nsid w:val="5D888A08"/>
    <w:multiLevelType w:val="hybridMultilevel"/>
    <w:lvl w:ilvl="0">
      <w:lvlJc w:val="left"/>
      <w:lvlText w:val="(%1)"/>
      <w:numFmt w:val="decimal"/>
      <w:start w:val="1"/>
    </w:lvl>
  </w:abstractNum>
  <w:abstractNum w:abstractNumId="14">
    <w:nsid w:val="2A082C70"/>
    <w:multiLevelType w:val="hybridMultilevel"/>
    <w:lvl w:ilvl="0">
      <w:lvlJc w:val="left"/>
      <w:lvlText w:val="(%1)"/>
      <w:numFmt w:val="upperLetter"/>
      <w:start w:val="2"/>
    </w:lvl>
  </w:abstractNum>
  <w:abstractNum w:abstractNumId="15">
    <w:nsid w:val="5EC6AFD4"/>
    <w:multiLevelType w:val="hybridMultilevel"/>
    <w:lvl w:ilvl="0">
      <w:lvlJc w:val="left"/>
      <w:lvlText w:val="(%1)"/>
      <w:numFmt w:val="decimal"/>
      <w:start w:val="1"/>
    </w:lvl>
  </w:abstractNum>
  <w:abstractNum w:abstractNumId="16">
    <w:nsid w:val="19E21BB2"/>
    <w:multiLevelType w:val="hybridMultilevel"/>
    <w:lvl w:ilvl="0">
      <w:lvlJc w:val="left"/>
      <w:lvlText w:val="(%1)"/>
      <w:numFmt w:val="decimal"/>
      <w:start w:val="2"/>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1)"/>
      <w:numFmt w:val="decimal"/>
      <w:start w:val="4"/>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1)"/>
      <w:numFmt w:val="lowerRoman"/>
      <w:start w:val="1"/>
    </w:lvl>
    <w:lvl w:ilvl="1">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1)"/>
      <w:numFmt w:val="lowerRoman"/>
      <w:start w:val="3"/>
    </w:lvl>
  </w:abstractNum>
  <w:abstractNum w:abstractNumId="29">
    <w:nsid w:val="49D0FEAC"/>
    <w:multiLevelType w:val="hybridMultilevel"/>
    <w:lvl w:ilvl="0">
      <w:lvlJc w:val="left"/>
      <w:lvlText w:val="(%1)"/>
      <w:numFmt w:val="lowerRoman"/>
      <w:start w:val="4"/>
    </w:lvl>
  </w:abstractNum>
  <w:abstractNum w:abstractNumId="30">
    <w:nsid w:val="4BEE5A5B"/>
    <w:multiLevelType w:val="hybridMultilevel"/>
    <w:lvl w:ilvl="0">
      <w:lvlJc w:val="left"/>
      <w:lvlText w:val="(%1)"/>
      <w:numFmt w:val="lowerRoman"/>
      <w:start w:val="5"/>
    </w:lvl>
  </w:abstractNum>
  <w:abstractNum w:abstractNumId="31">
    <w:nsid w:val="5551B9F3"/>
    <w:multiLevelType w:val="hybridMultilevel"/>
    <w:lvl w:ilvl="0">
      <w:lvlJc w:val="left"/>
      <w:lvlText w:val="(%1)"/>
      <w:numFmt w:val="lowerRoman"/>
      <w:start w:val="6"/>
    </w:lvl>
  </w:abstractNum>
  <w:abstractNum w:abstractNumId="32">
    <w:nsid w:val="24F6AB8E"/>
    <w:multiLevelType w:val="hybridMultilevel"/>
    <w:lvl w:ilvl="0">
      <w:lvlJc w:val="left"/>
      <w:lvlText w:val="(%1)"/>
      <w:numFmt w:val="decimal"/>
      <w:start w:val="1"/>
    </w:lvl>
  </w:abstractNum>
  <w:abstractNum w:abstractNumId="33">
    <w:nsid w:val="634C574C"/>
    <w:multiLevelType w:val="hybridMultilevel"/>
    <w:lvl w:ilvl="0">
      <w:lvlJc w:val="left"/>
      <w:lvlText w:val="(%1)"/>
      <w:numFmt w:val="lowerRoman"/>
      <w:start w:val="7"/>
    </w:lvl>
  </w:abstractNum>
  <w:abstractNum w:abstractNumId="34">
    <w:nsid w:val="24E99DD7"/>
    <w:multiLevelType w:val="hybridMultilevel"/>
    <w:lvl w:ilvl="0">
      <w:lvlJc w:val="left"/>
      <w:lvlText w:val="(%1)"/>
      <w:numFmt w:val="lowerRoman"/>
      <w:start w:val="8"/>
    </w:lvl>
  </w:abstractNum>
  <w:abstractNum w:abstractNumId="35">
    <w:nsid w:val="2A31B62D"/>
    <w:multiLevelType w:val="hybridMultilevel"/>
    <w:lvl w:ilvl="0">
      <w:lvlJc w:val="left"/>
      <w:lvlText w:val="(%1)"/>
      <w:numFmt w:val="lowerRoman"/>
      <w:start w:val="9"/>
    </w:lvl>
  </w:abstractNum>
  <w:abstractNum w:abstractNumId="36">
    <w:nsid w:val="1849C29B"/>
    <w:multiLevelType w:val="hybridMultilevel"/>
    <w:lvl w:ilvl="0">
      <w:lvlJc w:val="left"/>
      <w:lvlText w:val="(%1)"/>
      <w:numFmt w:val="lowerRoman"/>
      <w:start w:val="10"/>
    </w:lvl>
  </w:abstractNum>
  <w:abstractNum w:abstractNumId="37">
    <w:nsid w:val="7DFF9D09"/>
    <w:multiLevelType w:val="hybridMultilevel"/>
    <w:lvl w:ilvl="0">
      <w:lvlJc w:val="left"/>
      <w:lvlText w:val="(%1)"/>
      <w:numFmt w:val="decimal"/>
      <w:start w:val="5"/>
    </w:lvl>
  </w:abstractNum>
  <w:abstractNum w:abstractNumId="38">
    <w:nsid w:val="754342"/>
    <w:multiLevelType w:val="hybridMultilevel"/>
    <w:lvl w:ilvl="0">
      <w:lvlJc w:val="left"/>
      <w:lvlText w:val="(%1)"/>
      <w:numFmt w:val="decimal"/>
      <w:start w:val="6"/>
    </w:lvl>
  </w:abstractNum>
  <w:abstractNum w:abstractNumId="39">
    <w:nsid w:val="69E7F3E5"/>
    <w:multiLevelType w:val="hybridMultilevel"/>
    <w:lvl w:ilvl="0">
      <w:lvlJc w:val="left"/>
      <w:lvlText w:val="(%1)"/>
      <w:numFmt w:val="lowerRoman"/>
      <w:start w:val="1"/>
    </w:lvl>
  </w:abstractNum>
  <w:abstractNum w:abstractNumId="40">
    <w:nsid w:val="2A6DE806"/>
    <w:multiLevelType w:val="hybridMultilevel"/>
    <w:lvl w:ilvl="0">
      <w:lvlJc w:val="left"/>
      <w:lvlText w:val="(%1)"/>
      <w:numFmt w:val="lowerRoman"/>
      <w:start w:val="2"/>
    </w:lvl>
  </w:abstractNum>
  <w:abstractNum w:abstractNumId="41">
    <w:nsid w:val="1816F8C4"/>
    <w:multiLevelType w:val="hybridMultilevel"/>
    <w:lvl w:ilvl="0">
      <w:lvlJc w:val="left"/>
      <w:lvlText w:val="(%1)"/>
      <w:numFmt w:val="lowerRoman"/>
      <w:start w:val="3"/>
    </w:lvl>
  </w:abstractNum>
  <w:abstractNum w:abstractNumId="42">
    <w:nsid w:val="37DF2233"/>
    <w:multiLevelType w:val="hybridMultilevel"/>
    <w:lvl w:ilvl="0">
      <w:lvlJc w:val="left"/>
      <w:lvlText w:val="(%1)"/>
      <w:numFmt w:val="decimal"/>
      <w:start w:val="7"/>
    </w:lvl>
  </w:abstractNum>
  <w:abstractNum w:abstractNumId="43">
    <w:nsid w:val="7AB49DAF"/>
    <w:multiLevelType w:val="hybridMultilevel"/>
    <w:lvl w:ilvl="0">
      <w:lvlJc w:val="left"/>
      <w:lvlText w:val="(%1)"/>
      <w:numFmt w:val="decimal"/>
      <w:start w:val="1"/>
    </w:lvl>
  </w:abstractNum>
  <w:abstractNum w:abstractNumId="44">
    <w:nsid w:val="759F82CD"/>
    <w:multiLevelType w:val="hybridMultilevel"/>
    <w:lvl w:ilvl="0">
      <w:lvlJc w:val="left"/>
      <w:lvlText w:val="(%1)"/>
      <w:numFmt w:val="decimal"/>
      <w:start w:val="8"/>
    </w:lvl>
    <w:lvl w:ilvl="1">
      <w:lvlJc w:val="left"/>
      <w:lvlText w:val="(%2)"/>
      <w:numFmt w:val="lowerRoman"/>
      <w:start w:val="1"/>
    </w:lvl>
  </w:abstractNum>
  <w:abstractNum w:abstractNumId="45">
    <w:nsid w:val="61E74EA3"/>
    <w:multiLevelType w:val="hybridMultilevel"/>
    <w:lvl w:ilvl="0">
      <w:lvlJc w:val="left"/>
      <w:lvlText w:val="(%1)"/>
      <w:numFmt w:val="lowerRoman"/>
      <w:start w:val="2"/>
    </w:lvl>
  </w:abstractNum>
  <w:abstractNum w:abstractNumId="46">
    <w:nsid w:val="597B4D84"/>
    <w:multiLevelType w:val="hybridMultilevel"/>
    <w:lvl w:ilvl="0">
      <w:lvlJc w:val="left"/>
      <w:lvlText w:val="(%1)"/>
      <w:numFmt w:val="lowerRoman"/>
      <w:start w:val="3"/>
    </w:lvl>
  </w:abstractNum>
  <w:abstractNum w:abstractNumId="47">
    <w:nsid w:val="F819E7F"/>
    <w:multiLevelType w:val="hybridMultilevel"/>
    <w:lvl w:ilvl="0">
      <w:lvlJc w:val="left"/>
      <w:lvlText w:val="(%1)"/>
      <w:numFmt w:val="lowerRoman"/>
      <w:start w:val="4"/>
    </w:lvl>
  </w:abstractNum>
  <w:abstractNum w:abstractNumId="48">
    <w:nsid w:val="57C7D42D"/>
    <w:multiLevelType w:val="hybridMultilevel"/>
    <w:lvl w:ilvl="0">
      <w:lvlJc w:val="left"/>
      <w:lvlText w:val="(%1)"/>
      <w:numFmt w:val="decimal"/>
      <w:start w:val="9"/>
    </w:lvl>
  </w:abstractNum>
  <w:abstractNum w:abstractNumId="49">
    <w:nsid w:val="312167AD"/>
    <w:multiLevelType w:val="hybridMultilevel"/>
    <w:lvl w:ilvl="0">
      <w:lvlJc w:val="left"/>
      <w:lvlText w:val="(%1)"/>
      <w:numFmt w:val="lowerRoman"/>
      <w:start w:val="1"/>
    </w:lvl>
  </w:abstractNum>
  <w:abstractNum w:abstractNumId="50">
    <w:nsid w:val="631B64D4"/>
    <w:multiLevelType w:val="hybridMultilevel"/>
    <w:lvl w:ilvl="0">
      <w:lvlJc w:val="left"/>
      <w:lvlText w:val="(%1)"/>
      <w:numFmt w:val="lowerRoman"/>
      <w:start w:val="2"/>
    </w:lvl>
  </w:abstractNum>
  <w:abstractNum w:abstractNumId="51">
    <w:nsid w:val="78B5E776"/>
    <w:multiLevelType w:val="hybridMultilevel"/>
    <w:lvl w:ilvl="0">
      <w:lvlJc w:val="left"/>
      <w:lvlText w:val="(%1)"/>
      <w:numFmt w:val="decimal"/>
      <w:start w:val="10"/>
    </w:lvl>
  </w:abstractNum>
  <w:abstractNum w:abstractNumId="52">
    <w:nsid w:val="75486E47"/>
    <w:multiLevelType w:val="hybridMultilevel"/>
    <w:lvl w:ilvl="0">
      <w:lvlJc w:val="left"/>
      <w:lvlText w:val="(%1)"/>
      <w:numFmt w:val="lowerRoman"/>
      <w:start w:val="1"/>
    </w:lvl>
  </w:abstractNum>
  <w:abstractNum w:abstractNumId="53">
    <w:nsid w:val="6E534CDE"/>
    <w:multiLevelType w:val="hybridMultilevel"/>
    <w:lvl w:ilvl="0">
      <w:lvlJc w:val="left"/>
      <w:lvlText w:val="(%1)"/>
      <w:numFmt w:val="lowerRoman"/>
      <w:start w:val="2"/>
    </w:lvl>
  </w:abstractNum>
  <w:abstractNum w:abstractNumId="54">
    <w:nsid w:val="1A0DDE32"/>
    <w:multiLevelType w:val="hybridMultilevel"/>
    <w:lvl w:ilvl="0">
      <w:lvlJc w:val="left"/>
      <w:lvlText w:val="(%1)"/>
      <w:numFmt w:val="lowerRoman"/>
      <w:start w:val="3"/>
    </w:lvl>
  </w:abstractNum>
  <w:abstractNum w:abstractNumId="55">
    <w:nsid w:val="65968C1C"/>
    <w:multiLevelType w:val="hybridMultilevel"/>
    <w:lvl w:ilvl="0">
      <w:lvlJc w:val="left"/>
      <w:lvlText w:val="(%1)"/>
      <w:numFmt w:val="lowerRoman"/>
      <w:start w:val="4"/>
    </w:lvl>
  </w:abstractNum>
  <w:abstractNum w:abstractNumId="56">
    <w:nsid w:val="46263DEC"/>
    <w:multiLevelType w:val="hybridMultilevel"/>
    <w:lvl w:ilvl="0">
      <w:lvlJc w:val="left"/>
      <w:lvlText w:val="(%1)"/>
      <w:numFmt w:val="decimal"/>
      <w:start w:val="11"/>
    </w:lvl>
    <w:lvl w:ilvl="1">
      <w:lvlJc w:val="left"/>
      <w:lvlText w:val="(%2)"/>
      <w:numFmt w:val="lowerRoman"/>
      <w:start w:val="1"/>
    </w:lvl>
  </w:abstractNum>
  <w:abstractNum w:abstractNumId="57">
    <w:nsid w:val="260D8C4A"/>
    <w:multiLevelType w:val="hybridMultilevel"/>
    <w:lvl w:ilvl="0">
      <w:lvlJc w:val="left"/>
      <w:lvlText w:val="(%1)"/>
      <w:numFmt w:val="upperLetter"/>
      <w:start w:val="3"/>
    </w:lvl>
    <w:lvl w:ilvl="1">
      <w:lvlJc w:val="left"/>
      <w:lvlText w:val="(%2)"/>
      <w:numFmt w:val="lowerRoman"/>
      <w:start w:val="2"/>
    </w:lvl>
  </w:abstractNum>
  <w:abstractNum w:abstractNumId="58">
    <w:nsid w:val="73D4D3C4"/>
    <w:multiLevelType w:val="hybridMultilevel"/>
    <w:lvl w:ilvl="0">
      <w:lvlJc w:val="left"/>
      <w:lvlText w:val="(%1)"/>
      <w:numFmt w:val="lowerRoman"/>
      <w:start w:val="3"/>
    </w:lvl>
  </w:abstractNum>
  <w:abstractNum w:abstractNumId="59">
    <w:nsid w:val="746F2E30"/>
    <w:multiLevelType w:val="hybridMultilevel"/>
    <w:lvl w:ilvl="0">
      <w:lvlJc w:val="left"/>
      <w:lvlText w:val="(%1)"/>
      <w:numFmt w:val="lowerRoman"/>
      <w:start w:val="4"/>
    </w:lvl>
  </w:abstractNum>
  <w:abstractNum w:abstractNumId="60">
    <w:nsid w:val="6FDE8AF6"/>
    <w:multiLevelType w:val="hybridMultilevel"/>
    <w:lvl w:ilvl="0">
      <w:lvlJc w:val="left"/>
      <w:lvlText w:val="(%1)"/>
      <w:numFmt w:val="lowerRoman"/>
      <w:start w:val="5"/>
    </w:lvl>
  </w:abstractNum>
  <w:abstractNum w:abstractNumId="61">
    <w:nsid w:val="3FC32E20"/>
    <w:multiLevelType w:val="hybridMultilevel"/>
    <w:lvl w:ilvl="0">
      <w:lvlJc w:val="left"/>
      <w:lvlText w:val="(%1)"/>
      <w:numFmt w:val="decimal"/>
      <w:start w:val="12"/>
    </w:lvl>
  </w:abstractNum>
  <w:abstractNum w:abstractNumId="62">
    <w:nsid w:val="49C0E823"/>
    <w:multiLevelType w:val="hybridMultilevel"/>
    <w:lvl w:ilvl="0">
      <w:lvlJc w:val="left"/>
      <w:lvlText w:val="(%1)"/>
      <w:numFmt w:val="lowerRoman"/>
      <w:start w:val="1"/>
    </w:lvl>
  </w:abstractNum>
  <w:abstractNum w:abstractNumId="63">
    <w:nsid w:val="14D53685"/>
    <w:multiLevelType w:val="hybridMultilevel"/>
    <w:lvl w:ilvl="0">
      <w:lvlJc w:val="left"/>
      <w:lvlText w:val="I"/>
      <w:numFmt w:val="bullet"/>
      <w:start w:val="1"/>
    </w:lvl>
  </w:abstractNum>
  <w:abstractNum w:abstractNumId="64">
    <w:nsid w:val="230F856C"/>
    <w:multiLevelType w:val="hybridMultilevel"/>
    <w:lvl w:ilvl="0">
      <w:lvlJc w:val="left"/>
      <w:lvlText w:val="(%1)"/>
      <w:numFmt w:val="decimal"/>
      <w:start w:val="1"/>
    </w:lvl>
  </w:abstractNum>
  <w:abstractNum w:abstractNumId="65">
    <w:nsid w:val="6EAA85FB"/>
    <w:multiLevelType w:val="hybridMultilevel"/>
    <w:lvl w:ilvl="0">
      <w:lvlJc w:val="left"/>
      <w:lvlText w:val="(%1)"/>
      <w:numFmt w:val="decimal"/>
      <w:start w:val="1"/>
    </w:lvl>
  </w:abstractNum>
  <w:abstractNum w:abstractNumId="66">
    <w:nsid w:val="3F06ECB2"/>
    <w:multiLevelType w:val="hybridMultilevel"/>
    <w:lvl w:ilvl="0">
      <w:lvlJc w:val="left"/>
      <w:lvlText w:val="(%1)"/>
      <w:numFmt w:val="decimal"/>
      <w:start w:val="1"/>
    </w:lvl>
  </w:abstractNum>
  <w:abstractNum w:abstractNumId="67">
    <w:nsid w:val="3B594807"/>
    <w:multiLevelType w:val="hybridMultilevel"/>
    <w:lvl w:ilvl="0">
      <w:lvlJc w:val="left"/>
      <w:lvlText w:val="(%1)"/>
      <w:numFmt w:val="lowerRoman"/>
      <w:start w:val="2"/>
    </w:lvl>
  </w:abstractNum>
  <w:abstractNum w:abstractNumId="68">
    <w:nsid w:val="6CAA2304"/>
    <w:multiLevelType w:val="hybridMultilevel"/>
    <w:lvl w:ilvl="0">
      <w:lvlJc w:val="left"/>
      <w:lvlText w:val="(%1)"/>
      <w:numFmt w:val="lowerRoman"/>
      <w:start w:val="3"/>
    </w:lvl>
  </w:abstractNum>
  <w:abstractNum w:abstractNumId="69">
    <w:nsid w:val="3F7C2FF4"/>
    <w:multiLevelType w:val="hybridMultilevel"/>
    <w:lvl w:ilvl="0">
      <w:lvlJc w:val="left"/>
      <w:lvlText w:val="(%1)"/>
      <w:numFmt w:val="decimal"/>
      <w:start w:val="1"/>
    </w:lvl>
  </w:abstractNum>
  <w:abstractNum w:abstractNumId="70">
    <w:nsid w:val="25413BEC"/>
    <w:multiLevelType w:val="hybridMultilevel"/>
    <w:lvl w:ilvl="0">
      <w:lvlJc w:val="left"/>
      <w:lvlText w:val="(%1)"/>
      <w:numFmt w:val="decimal"/>
      <w:start w:val="1"/>
    </w:lvl>
  </w:abstractNum>
  <w:abstractNum w:abstractNumId="71">
    <w:nsid w:val="17180B0B"/>
    <w:multiLevelType w:val="hybridMultilevel"/>
    <w:lvl w:ilvl="0">
      <w:lvlJc w:val="left"/>
      <w:lvlText w:val="(%1)"/>
      <w:numFmt w:val="decimal"/>
      <w:start w:val="11"/>
    </w:lvl>
  </w:abstractNum>
  <w:abstractNum w:abstractNumId="72">
    <w:nsid w:val="579328B9"/>
    <w:multiLevelType w:val="hybridMultilevel"/>
    <w:lvl w:ilvl="0">
      <w:lvlJc w:val="left"/>
      <w:lvlText w:val="(%1)"/>
      <w:numFmt w:val="decimal"/>
      <w:start w:val="1"/>
    </w:lvl>
  </w:abstractNum>
  <w:abstractNum w:abstractNumId="73">
    <w:nsid w:val="5D205E20"/>
    <w:multiLevelType w:val="hybridMultilevel"/>
    <w:lvl w:ilvl="0">
      <w:lvlJc w:val="left"/>
      <w:lvlText w:val="(%1)"/>
      <w:numFmt w:val="lowerRoman"/>
      <w:start w:val="5"/>
    </w:lvl>
  </w:abstractNum>
  <w:abstractNum w:abstractNumId="74">
    <w:nsid w:val="11CCA8BA"/>
    <w:multiLevelType w:val="hybridMultilevel"/>
    <w:lvl w:ilvl="0">
      <w:lvlJc w:val="left"/>
      <w:lvlText w:val="(%1)"/>
      <w:numFmt w:val="decimal"/>
      <w:start w:val="1"/>
    </w:lvl>
  </w:abstractNum>
  <w:abstractNum w:abstractNumId="75">
    <w:nsid w:val="4D32AB86"/>
    <w:multiLevelType w:val="hybridMultilevel"/>
    <w:lvl w:ilvl="0">
      <w:lvlJc w:val="left"/>
      <w:lvlText w:val="(%1)"/>
      <w:numFmt w:val="lowerRoman"/>
      <w:start w:val="6"/>
    </w:lvl>
  </w:abstractNum>
  <w:abstractNum w:abstractNumId="76">
    <w:nsid w:val="3F07ACC3"/>
    <w:multiLevelType w:val="hybridMultilevel"/>
    <w:lvl w:ilvl="0">
      <w:lvlJc w:val="left"/>
      <w:lvlText w:val="(%1)"/>
      <w:numFmt w:val="upperLetter"/>
      <w:start w:val="4"/>
    </w:lvl>
  </w:abstractNum>
  <w:abstractNum w:abstractNumId="77">
    <w:nsid w:val="6B47F63E"/>
    <w:multiLevelType w:val="hybridMultilevel"/>
    <w:lvl w:ilvl="0">
      <w:lvlJc w:val="left"/>
      <w:lvlText w:val="(%1)"/>
      <w:numFmt w:val="upperLetter"/>
      <w:start w:val="1"/>
    </w:lvl>
  </w:abstractNum>
  <w:abstractNum w:abstractNumId="78">
    <w:nsid w:val="5CB44A05"/>
    <w:multiLevelType w:val="hybridMultilevel"/>
    <w:lvl w:ilvl="0">
      <w:lvlJc w:val="left"/>
      <w:lvlText w:val="(%1)"/>
      <w:numFmt w:val="decimal"/>
      <w:start w:val="1"/>
    </w:lvl>
  </w:abstractNum>
  <w:abstractNum w:abstractNumId="79">
    <w:nsid w:val="16CF80F1"/>
    <w:multiLevelType w:val="hybridMultilevel"/>
    <w:lvl w:ilvl="0">
      <w:lvlJc w:val="left"/>
      <w:lvlText w:val="(%1)"/>
      <w:numFmt w:val="lowerRoman"/>
      <w:start w:val="2"/>
    </w:lvl>
  </w:abstractNum>
  <w:abstractNum w:abstractNumId="80">
    <w:nsid w:val="1C695DEC"/>
    <w:multiLevelType w:val="hybridMultilevel"/>
    <w:lvl w:ilvl="0">
      <w:lvlJc w:val="left"/>
      <w:lvlText w:val="(%1)"/>
      <w:numFmt w:val="decimal"/>
      <w:start w:val="2"/>
    </w:lvl>
  </w:abstractNum>
  <w:abstractNum w:abstractNumId="81">
    <w:nsid w:val="3FCFAED9"/>
    <w:multiLevelType w:val="hybridMultilevel"/>
    <w:lvl w:ilvl="0">
      <w:lvlJc w:val="left"/>
      <w:lvlText w:val="(%1)"/>
      <w:numFmt w:val="decimal"/>
      <w:start w:val="1"/>
    </w:lvl>
  </w:abstractNum>
  <w:abstractNum w:abstractNumId="82">
    <w:nsid w:val="F856867"/>
    <w:multiLevelType w:val="hybridMultilevel"/>
    <w:lvl w:ilvl="0">
      <w:lvlJc w:val="left"/>
      <w:lvlText w:val="(%1)"/>
      <w:numFmt w:val="upperLetter"/>
      <w:start w:val="3"/>
    </w:lvl>
  </w:abstractNum>
  <w:abstractNum w:abstractNumId="83">
    <w:nsid w:val="11B1CC33"/>
    <w:multiLevelType w:val="hybridMultilevel"/>
    <w:lvl w:ilvl="0">
      <w:lvlJc w:val="left"/>
      <w:lvlText w:val="(%1)"/>
      <w:numFmt w:val="upperLetter"/>
      <w:start w:val="5"/>
    </w:lvl>
  </w:abstractNum>
  <w:abstractNum w:abstractNumId="84">
    <w:nsid w:val="2E22FBB7"/>
    <w:multiLevelType w:val="hybridMultilevel"/>
    <w:lvl w:ilvl="0">
      <w:lvlJc w:val="left"/>
      <w:lvlText w:val="(%1)"/>
      <w:numFmt w:val="upperLetter"/>
      <w:start w:val="6"/>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1)"/>
      <w:numFmt w:val="upperLetter"/>
      <w:start w:val="1"/>
    </w:lvl>
  </w:abstractNum>
  <w:abstractNum w:abstractNumId="88">
    <w:nsid w:val="4FA0D2E3"/>
    <w:multiLevelType w:val="hybridMultilevel"/>
    <w:lvl w:ilvl="0">
      <w:lvlJc w:val="left"/>
      <w:lvlText w:val="(%1)"/>
      <w:numFmt w:val="decimal"/>
      <w:start w:val="1"/>
    </w:lvl>
  </w:abstractNum>
  <w:abstractNum w:abstractNumId="89">
    <w:nsid w:val="6B1D2C14"/>
    <w:multiLevelType w:val="hybridMultilevel"/>
    <w:lvl w:ilvl="0">
      <w:lvlJc w:val="left"/>
      <w:lvlText w:val="(%1)"/>
      <w:numFmt w:val="decimal"/>
      <w:start w:val="1"/>
    </w:lvl>
  </w:abstractNum>
  <w:abstractNum w:abstractNumId="90">
    <w:nsid w:val="68B867D3"/>
    <w:multiLevelType w:val="hybridMultilevel"/>
    <w:lvl w:ilvl="0">
      <w:lvlJc w:val="left"/>
      <w:lvlText w:val="(%1)"/>
      <w:numFmt w:val="upperLetter"/>
      <w:start w:val="2"/>
    </w:lvl>
  </w:abstractNum>
  <w:abstractNum w:abstractNumId="91">
    <w:nsid w:val="3F7F5DD9"/>
    <w:multiLevelType w:val="hybridMultilevel"/>
    <w:lvl w:ilvl="0">
      <w:lvlJc w:val="left"/>
      <w:lvlText w:val="(%1)"/>
      <w:numFmt w:val="upperLetter"/>
      <w:start w:val="3"/>
    </w:lvl>
  </w:abstractNum>
  <w:abstractNum w:abstractNumId="92">
    <w:nsid w:val="2AE05A34"/>
    <w:multiLevelType w:val="hybridMultilevel"/>
    <w:lvl w:ilvl="0">
      <w:lvlJc w:val="left"/>
      <w:lvlText w:val="(%1)"/>
      <w:numFmt w:val="upperLetter"/>
      <w:start w:val="4"/>
    </w:lvl>
  </w:abstractNum>
  <w:abstractNum w:abstractNumId="93">
    <w:nsid w:val="32794FF7"/>
    <w:multiLevelType w:val="hybridMultilevel"/>
    <w:lvl w:ilvl="0">
      <w:lvlJc w:val="left"/>
      <w:lvlText w:val="(%1)"/>
      <w:numFmt w:val="upperLetter"/>
      <w:start w:val="5"/>
    </w:lvl>
  </w:abstractNum>
  <w:abstractNum w:abstractNumId="94">
    <w:nsid w:val="5454945E"/>
    <w:multiLevelType w:val="hybridMultilevel"/>
    <w:lvl w:ilvl="0">
      <w:lvlJc w:val="left"/>
      <w:lvlText w:val="(%1)"/>
      <w:numFmt w:val="upperLetter"/>
      <w:start w:val="1"/>
    </w:lvl>
  </w:abstractNum>
  <w:abstractNum w:abstractNumId="95">
    <w:nsid w:val="4DEFDFA0"/>
    <w:multiLevelType w:val="hybridMultilevel"/>
    <w:lvl w:ilvl="0">
      <w:lvlJc w:val="left"/>
      <w:lvlText w:val="(%1)"/>
      <w:numFmt w:val="decimal"/>
      <w:start w:val="1"/>
    </w:lvl>
  </w:abstractNum>
  <w:abstractNum w:abstractNumId="96">
    <w:nsid w:val="2123D5F2"/>
    <w:multiLevelType w:val="hybridMultilevel"/>
    <w:lvl w:ilvl="0">
      <w:lvlJc w:val="left"/>
      <w:lvlText w:val="(%1)"/>
      <w:numFmt w:val="upperLetter"/>
      <w:start w:val="2"/>
    </w:lvl>
    <w:lvl w:ilvl="1">
      <w:lvlJc w:val="left"/>
      <w:lvlText w:val="(%2)"/>
      <w:numFmt w:val="lowerRoman"/>
      <w:start w:val="1"/>
    </w:lvl>
  </w:abstractNum>
  <w:abstractNum w:abstractNumId="97">
    <w:nsid w:val="135B8110"/>
    <w:multiLevelType w:val="hybridMultilevel"/>
    <w:lvl w:ilvl="0">
      <w:lvlJc w:val="left"/>
      <w:lvlText w:val="(%1)"/>
      <w:numFmt w:val="upperLetter"/>
      <w:start w:val="3"/>
    </w:lvl>
  </w:abstractNum>
  <w:abstractNum w:abstractNumId="98">
    <w:nsid w:val="94927A8"/>
    <w:multiLevelType w:val="hybridMultilevel"/>
    <w:lvl w:ilvl="0">
      <w:lvlJc w:val="left"/>
      <w:lvlText w:val="(%1)"/>
      <w:numFmt w:val="upperLetter"/>
      <w:start w:val="1"/>
    </w:lvl>
  </w:abstractNum>
  <w:abstractNum w:abstractNumId="99">
    <w:nsid w:val="DCDF8F6"/>
    <w:multiLevelType w:val="hybridMultilevel"/>
    <w:lvl w:ilvl="0">
      <w:lvlJc w:val="left"/>
      <w:lvlText w:val="(%1)"/>
      <w:numFmt w:val="upperLetter"/>
      <w:start w:val="2"/>
    </w:lvl>
  </w:abstractNum>
  <w:abstractNum w:abstractNumId="100">
    <w:nsid w:val="52D7B105"/>
    <w:multiLevelType w:val="hybridMultilevel"/>
    <w:lvl w:ilvl="0">
      <w:lvlJc w:val="left"/>
      <w:lvlText w:val="(%1)"/>
      <w:numFmt w:val="upperLetter"/>
      <w:start w:val="1"/>
    </w:lvl>
  </w:abstractNum>
  <w:abstractNum w:abstractNumId="101">
    <w:nsid w:val="2E8A6394"/>
    <w:multiLevelType w:val="hybridMultilevel"/>
    <w:lvl w:ilvl="0">
      <w:lvlJc w:val="left"/>
      <w:lvlText w:val="(%1)"/>
      <w:numFmt w:val="decimal"/>
      <w:start w:val="1"/>
    </w:lvl>
  </w:abstractNum>
  <w:abstractNum w:abstractNumId="102">
    <w:nsid w:val="24E60401"/>
    <w:multiLevelType w:val="hybridMultilevel"/>
    <w:lvl w:ilvl="0">
      <w:lvlJc w:val="left"/>
      <w:lvlText w:val="(%1)"/>
      <w:numFmt w:val="decimal"/>
      <w:start w:val="1"/>
    </w:lvl>
  </w:abstractNum>
  <w:abstractNum w:abstractNumId="103">
    <w:nsid w:val="2A6AD9BE"/>
    <w:multiLevelType w:val="hybridMultilevel"/>
    <w:lvl w:ilvl="0">
      <w:lvlJc w:val="left"/>
      <w:lvlText w:val="(%1)"/>
      <w:numFmt w:val="upperLetter"/>
      <w:start w:val="2"/>
    </w:lvl>
    <w:lvl w:ilvl="1">
      <w:lvlJc w:val="left"/>
      <w:lvlText w:val="(%2)"/>
      <w:numFmt w:val="lowerRoman"/>
      <w:start w:val="1"/>
    </w:lvl>
  </w:abstractNum>
  <w:abstractNum w:abstractNumId="104">
    <w:nsid w:val="BAAC1B4"/>
    <w:multiLevelType w:val="hybridMultilevel"/>
    <w:lvl w:ilvl="0">
      <w:lvlJc w:val="left"/>
      <w:lvlText w:val="(%1)"/>
      <w:numFmt w:val="upperLetter"/>
      <w:start w:val="4"/>
    </w:lvl>
  </w:abstractNum>
  <w:abstractNum w:abstractNumId="105">
    <w:nsid w:val="36B2ACBC"/>
    <w:multiLevelType w:val="hybridMultilevel"/>
    <w:lvl w:ilvl="0">
      <w:lvlJc w:val="left"/>
      <w:lvlText w:val="(%1)"/>
      <w:numFmt w:val="upperLetter"/>
      <w:start w:val="5"/>
    </w:lvl>
  </w:abstractNum>
  <w:abstractNum w:abstractNumId="106">
    <w:nsid w:val="779D8544"/>
    <w:multiLevelType w:val="hybridMultilevel"/>
    <w:lvl w:ilvl="0">
      <w:lvlJc w:val="left"/>
      <w:lvlText w:val="(%1)"/>
      <w:numFmt w:val="upperLetter"/>
      <w:start w:val="1"/>
    </w:lvl>
  </w:abstractNum>
  <w:abstractNum w:abstractNumId="107">
    <w:nsid w:val="4AB26E78"/>
    <w:multiLevelType w:val="hybridMultilevel"/>
    <w:lvl w:ilvl="0">
      <w:lvlJc w:val="left"/>
      <w:lvlText w:val="(%1)"/>
      <w:numFmt w:val="upperLetter"/>
      <w:start w:val="3"/>
    </w:lvl>
  </w:abstractNum>
  <w:abstractNum w:abstractNumId="108">
    <w:nsid w:val="21FAA2FA"/>
    <w:multiLevelType w:val="hybridMultilevel"/>
    <w:lvl w:ilvl="0">
      <w:lvlJc w:val="left"/>
      <w:lvlText w:val="(%1)"/>
      <w:numFmt w:val="upperLetter"/>
      <w:start w:val="5"/>
    </w:lvl>
  </w:abstractNum>
  <w:abstractNum w:abstractNumId="109">
    <w:nsid w:val="5451CF49"/>
    <w:multiLevelType w:val="hybridMultilevel"/>
    <w:lvl w:ilvl="0">
      <w:lvlJc w:val="left"/>
      <w:lvlText w:val="(%1)"/>
      <w:numFmt w:val="upperLetter"/>
      <w:start w:val="6"/>
    </w:lvl>
  </w:abstractNum>
  <w:abstractNum w:abstractNumId="110">
    <w:nsid w:val="6181EF69"/>
    <w:multiLevelType w:val="hybridMultilevel"/>
    <w:lvl w:ilvl="0">
      <w:lvlJc w:val="left"/>
      <w:lvlText w:val="(%1)"/>
      <w:numFmt w:val="upperLetter"/>
      <w:start w:val="8"/>
    </w:lvl>
  </w:abstractNum>
  <w:abstractNum w:abstractNumId="111">
    <w:nsid w:val="3E6400E6"/>
    <w:multiLevelType w:val="hybridMultilevel"/>
    <w:lvl w:ilvl="0">
      <w:lvlJc w:val="left"/>
      <w:lvlText w:val="(%1)"/>
      <w:numFmt w:val="decimal"/>
      <w:start w:val="1"/>
    </w:lvl>
  </w:abstractNum>
  <w:abstractNum w:abstractNumId="112">
    <w:nsid w:val="14217E23"/>
    <w:multiLevelType w:val="hybridMultilevel"/>
    <w:lvl w:ilvl="0">
      <w:lvlJc w:val="left"/>
      <w:lvlText w:val="(%1)"/>
      <w:numFmt w:val="decimal"/>
      <w:start w:val="1"/>
    </w:lvl>
  </w:abstractNum>
  <w:abstractNum w:abstractNumId="113">
    <w:nsid w:val="710757D0"/>
    <w:multiLevelType w:val="hybridMultilevel"/>
    <w:lvl w:ilvl="0">
      <w:lvlJc w:val="left"/>
      <w:lvlText w:val="(%1)"/>
      <w:numFmt w:val="upperLetter"/>
      <w:start w:val="1"/>
    </w:lvl>
  </w:abstractNum>
  <w:abstractNum w:abstractNumId="114">
    <w:nsid w:val="5015CD1A"/>
    <w:multiLevelType w:val="hybridMultilevel"/>
    <w:lvl w:ilvl="0">
      <w:lvlJc w:val="left"/>
      <w:lvlText w:val="(%1)"/>
      <w:numFmt w:val="upperLetter"/>
      <w:start w:val="1"/>
    </w:lvl>
  </w:abstractNum>
  <w:abstractNum w:abstractNumId="115">
    <w:nsid w:val="424479DA"/>
    <w:multiLevelType w:val="hybridMultilevel"/>
    <w:lvl w:ilvl="0">
      <w:lvlJc w:val="left"/>
      <w:lvlText w:val="(%1)"/>
      <w:numFmt w:val="upperLetter"/>
      <w:start w:val="2"/>
    </w:lvl>
  </w:abstractNum>
  <w:abstractNum w:abstractNumId="116">
    <w:nsid w:val="1A9A9E69"/>
    <w:multiLevelType w:val="hybridMultilevel"/>
    <w:lvl w:ilvl="0">
      <w:lvlJc w:val="left"/>
      <w:lvlText w:val="(%1)"/>
      <w:numFmt w:val="lowerRoman"/>
      <w:start w:val="1"/>
    </w:lvl>
  </w:abstractNum>
  <w:abstractNum w:abstractNumId="117">
    <w:nsid w:val="475E256A"/>
    <w:multiLevelType w:val="hybridMultilevel"/>
    <w:lvl w:ilvl="0">
      <w:lvlJc w:val="left"/>
      <w:lvlText w:val="(%1)"/>
      <w:numFmt w:val="upperLetter"/>
      <w:start w:val="3"/>
    </w:lvl>
  </w:abstractNum>
  <w:abstractNum w:abstractNumId="118">
    <w:nsid w:val="368DB37E"/>
    <w:multiLevelType w:val="hybridMultilevel"/>
    <w:lvl w:ilvl="0">
      <w:lvlJc w:val="left"/>
      <w:lvlText w:val="(%1)"/>
      <w:numFmt w:val="upperLetter"/>
      <w:start w:val="4"/>
    </w:lvl>
  </w:abstractNum>
  <w:abstractNum w:abstractNumId="119">
    <w:nsid w:val="6A3B714C"/>
    <w:multiLevelType w:val="hybridMultilevel"/>
    <w:lvl w:ilvl="0">
      <w:lvlJc w:val="left"/>
      <w:lvlText w:val="8"/>
      <w:numFmt w:val="bullet"/>
      <w:start w:val="1"/>
    </w:lvl>
  </w:abstractNum>
  <w:abstractNum w:abstractNumId="120">
    <w:nsid w:val="327B517E"/>
    <w:multiLevelType w:val="hybridMultilevel"/>
    <w:lvl w:ilvl="0">
      <w:lvlJc w:val="left"/>
      <w:lvlText w:val="%1."/>
      <w:numFmt w:val="decimal"/>
      <w:start w:val="1"/>
    </w:lvl>
    <w:lvl w:ilvl="1">
      <w:lvlJc w:val="left"/>
      <w:lvlText w:val="(%2)"/>
      <w:numFmt w:val="lowerLetter"/>
      <w:start w:val="1"/>
    </w:lvl>
  </w:abstractNum>
  <w:abstractNum w:abstractNumId="121">
    <w:nsid w:val="1F461B51"/>
    <w:multiLevelType w:val="hybridMultilevel"/>
    <w:lvl w:ilvl="0">
      <w:lvlJc w:val="left"/>
      <w:lvlText w:val="(*)"/>
      <w:numFmt w:val="bullet"/>
      <w:start w:val="1"/>
    </w:lvl>
  </w:abstractNum>
  <w:abstractNum w:abstractNumId="122">
    <w:nsid w:val="29BACF25"/>
    <w:multiLevelType w:val="hybridMultilevel"/>
    <w:lvl w:ilvl="0">
      <w:lvlJc w:val="left"/>
      <w:lvlText w:val="(%1)"/>
      <w:numFmt w:val="lowerLetter"/>
      <w:start w:val="2"/>
    </w:lvl>
  </w:abstractNum>
  <w:abstractNum w:abstractNumId="123">
    <w:nsid w:val="5D5BABB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4">
    <w:nsid w:val="51BF6B48"/>
    <w:multiLevelType w:val="hybridMultilevel"/>
    <w:lvl w:ilvl="0">
      <w:lvlJc w:val="left"/>
      <w:lvlText w:val="·"/>
      <w:numFmt w:val="bullet"/>
      <w:start w:val="1"/>
    </w:lvl>
  </w:abstractNum>
  <w:abstractNum w:abstractNumId="125">
    <w:nsid w:val="7E0F6384"/>
    <w:multiLevelType w:val="hybridMultilevel"/>
    <w:lvl w:ilvl="0">
      <w:lvlJc w:val="left"/>
      <w:lvlText w:val="·"/>
      <w:numFmt w:val="bullet"/>
      <w:start w:val="1"/>
    </w:lvl>
    <w:lvl w:ilvl="1">
      <w:lvlJc w:val="left"/>
      <w:lvlText w:val="(%2)"/>
      <w:numFmt w:val="lowerRoman"/>
      <w:start w:val="1"/>
    </w:lvl>
  </w:abstractNum>
  <w:abstractNum w:abstractNumId="126">
    <w:nsid w:val="2B4B8B53"/>
    <w:multiLevelType w:val="hybridMultilevel"/>
    <w:lvl w:ilvl="0">
      <w:lvlJc w:val="left"/>
      <w:lvlText w:val="(%1)"/>
      <w:numFmt w:val="lowerLetter"/>
      <w:start w:val="1"/>
    </w:lvl>
    <w:lvl w:ilvl="1">
      <w:lvlJc w:val="left"/>
      <w:lvlText w:val="·"/>
      <w:numFmt w:val="bullet"/>
      <w:start w:val="1"/>
    </w:lvl>
  </w:abstractNum>
  <w:abstractNum w:abstractNumId="127">
    <w:nsid w:val="72E3413A"/>
    <w:multiLevelType w:val="hybridMultilevel"/>
    <w:lvl w:ilvl="0">
      <w:lvlJc w:val="left"/>
      <w:lvlText w:val="(%1)"/>
      <w:numFmt w:val="lowerRoman"/>
      <w:start w:val="1"/>
    </w:lvl>
  </w:abstractNum>
  <w:abstractNum w:abstractNumId="128">
    <w:nsid w:val="116AE494"/>
    <w:multiLevelType w:val="hybridMultilevel"/>
    <w:lvl w:ilvl="0">
      <w:lvlJc w:val="left"/>
      <w:lvlText w:val="(%1)"/>
      <w:numFmt w:val="lowerRoman"/>
      <w:start w:val="3"/>
    </w:lvl>
  </w:abstractNum>
  <w:abstractNum w:abstractNumId="129">
    <w:nsid w:val="3494B2FB"/>
    <w:multiLevelType w:val="hybridMultilevel"/>
    <w:lvl w:ilvl="0">
      <w:lvlJc w:val="left"/>
      <w:lvlText w:val="(%1)"/>
      <w:numFmt w:val="lowerLetter"/>
      <w:start w:val="3"/>
    </w:lvl>
  </w:abstractNum>
  <w:abstractNum w:abstractNumId="130">
    <w:nsid w:val="B13A31"/>
    <w:multiLevelType w:val="hybridMultilevel"/>
    <w:lvl w:ilvl="0">
      <w:lvlJc w:val="left"/>
      <w:lvlText w:val="(%1)"/>
      <w:numFmt w:val="lowerLetter"/>
      <w:start w:val="3"/>
    </w:lvl>
    <w:lvl w:ilvl="1">
      <w:lvlJc w:val="left"/>
      <w:lvlText w:val="·"/>
      <w:numFmt w:val="bullet"/>
      <w:start w:val="1"/>
    </w:lvl>
  </w:abstractNum>
  <w:abstractNum w:abstractNumId="131">
    <w:nsid w:val="64429599"/>
    <w:multiLevelType w:val="hybridMultilevel"/>
    <w:lvl w:ilvl="0">
      <w:lvlJc w:val="left"/>
      <w:lvlText w:val="(%1)"/>
      <w:numFmt w:val="lowerLetter"/>
      <w:start w:val="6"/>
    </w:lvl>
  </w:abstractNum>
  <w:abstractNum w:abstractNumId="132">
    <w:nsid w:val="631F1690"/>
    <w:multiLevelType w:val="hybridMultilevel"/>
    <w:lvl w:ilvl="0">
      <w:lvlJc w:val="left"/>
      <w:lvlText w:val="(%1)"/>
      <w:numFmt w:val="lowerLetter"/>
      <w:start w:val="7"/>
    </w:lvl>
  </w:abstractNum>
  <w:abstractNum w:abstractNumId="133">
    <w:nsid w:val="25973E32"/>
    <w:multiLevelType w:val="hybridMultilevel"/>
    <w:lvl w:ilvl="0">
      <w:lvlJc w:val="left"/>
      <w:lvlText w:val="(%1)"/>
      <w:numFmt w:val="lowerLetter"/>
      <w:start w:val="9"/>
    </w:lvl>
  </w:abstractNum>
  <w:abstractNum w:abstractNumId="134">
    <w:nsid w:val="EAD6F57"/>
    <w:multiLevelType w:val="hybridMultilevel"/>
    <w:lvl w:ilvl="0">
      <w:lvlJc w:val="left"/>
      <w:lvlText w:val="(%1)"/>
      <w:numFmt w:val="lowerLetter"/>
      <w:start w:val="11"/>
    </w:lvl>
  </w:abstractNum>
  <w:abstractNum w:abstractNumId="135">
    <w:nsid w:val="6EC9D844"/>
    <w:multiLevelType w:val="hybridMultilevel"/>
    <w:lvl w:ilvl="0">
      <w:lvlJc w:val="left"/>
      <w:lvlText w:val="(%1)"/>
      <w:numFmt w:val="lowerLetter"/>
      <w:start w:val="14"/>
    </w:lvl>
  </w:abstractNum>
  <w:abstractNum w:abstractNumId="136">
    <w:nsid w:val="5C49EAEE"/>
    <w:multiLevelType w:val="hybridMultilevel"/>
    <w:lvl w:ilvl="0">
      <w:lvlJc w:val="left"/>
      <w:lvlText w:val="(%1)"/>
      <w:numFmt w:val="lowerLetter"/>
      <w:start w:val="15"/>
    </w:lvl>
  </w:abstractNum>
  <w:abstractNum w:abstractNumId="137">
    <w:nsid w:val="64AF49B"/>
    <w:multiLevelType w:val="hybridMultilevel"/>
    <w:lvl w:ilvl="0">
      <w:lvlJc w:val="left"/>
      <w:lvlText w:val="(%1)"/>
      <w:numFmt w:val="lowerLetter"/>
      <w:start w:val="19"/>
    </w:lvl>
  </w:abstractNum>
  <w:abstractNum w:abstractNumId="138">
    <w:nsid w:val="397C46BC"/>
    <w:multiLevelType w:val="hybridMultilevel"/>
    <w:lvl w:ilvl="0">
      <w:lvlJc w:val="left"/>
      <w:lvlText w:val="(%1)"/>
      <w:numFmt w:val="lowerLetter"/>
      <w:start w:val="22"/>
    </w:lvl>
  </w:abstractNum>
  <w:abstractNum w:abstractNumId="139">
    <w:nsid w:val="7E448DE9"/>
    <w:multiLevelType w:val="hybridMultilevel"/>
    <w:lvl w:ilvl="0">
      <w:lvlJc w:val="left"/>
      <w:lvlText w:val="(%1)"/>
      <w:numFmt w:val="lowerLetter"/>
      <w:start w:val="25"/>
    </w:lvl>
  </w:abstractNum>
  <w:abstractNum w:abstractNumId="140">
    <w:nsid w:val="5A9CC3E5"/>
    <w:multiLevelType w:val="hybridMultilevel"/>
    <w:lvl w:ilvl="0">
      <w:lvlJc w:val="left"/>
      <w:lvlText w:val="(%1)"/>
      <w:numFmt w:val="lowerLetter"/>
      <w:start w:val="27"/>
    </w:lvl>
    <w:lvl w:ilvl="1">
      <w:lvlJc w:val="left"/>
      <w:lvlText w:val="(%2)"/>
      <w:numFmt w:val="lowerRoman"/>
      <w:start w:val="1"/>
    </w:lvl>
  </w:abstractNum>
  <w:abstractNum w:abstractNumId="141">
    <w:nsid w:val="1AFE3625"/>
    <w:multiLevelType w:val="hybridMultilevel"/>
    <w:lvl w:ilvl="0">
      <w:lvlJc w:val="left"/>
      <w:lvlText w:val="·"/>
      <w:numFmt w:val="bullet"/>
      <w:start w:val="1"/>
    </w:lvl>
  </w:abstractNum>
  <w:abstractNum w:abstractNumId="142">
    <w:nsid w:val="3CA88ECF"/>
    <w:multiLevelType w:val="hybridMultilevel"/>
    <w:lvl w:ilvl="0">
      <w:lvlJc w:val="left"/>
      <w:lvlText w:val="%1."/>
      <w:numFmt w:val="decimal"/>
      <w:start w:val="4"/>
    </w:lvl>
    <w:lvl w:ilvl="1">
      <w:lvlJc w:val="left"/>
      <w:lvlText w:val="(%2)"/>
      <w:numFmt w:val="lowerLetter"/>
      <w:start w:val="1"/>
    </w:lvl>
  </w:abstractNum>
  <w:abstractNum w:abstractNumId="143">
    <w:nsid w:val="6EBE4208"/>
    <w:multiLevelType w:val="hybridMultilevel"/>
    <w:lvl w:ilvl="0">
      <w:lvlJc w:val="left"/>
      <w:lvlText w:val="(%1)"/>
      <w:numFmt w:val="lowerLetter"/>
      <w:start w:val="2"/>
    </w:lvl>
  </w:abstractNum>
  <w:abstractNum w:abstractNumId="144">
    <w:nsid w:val="C058DF5"/>
    <w:multiLevelType w:val="hybridMultilevel"/>
    <w:lvl w:ilvl="0">
      <w:lvlJc w:val="left"/>
      <w:lvlText w:val="%1."/>
      <w:numFmt w:val="decimal"/>
      <w:start w:val="5"/>
    </w:lvl>
    <w:lvl w:ilvl="1">
      <w:lvlJc w:val="left"/>
      <w:lvlText w:val="(%2)"/>
      <w:numFmt w:val="lowerLetter"/>
      <w:start w:val="1"/>
    </w:lvl>
  </w:abstractNum>
  <w:abstractNum w:abstractNumId="145">
    <w:nsid w:val="CBE5BE9"/>
    <w:multiLevelType w:val="hybridMultilevel"/>
    <w:lvl w:ilvl="0">
      <w:lvlJc w:val="left"/>
      <w:lvlText w:val="(%1)"/>
      <w:numFmt w:val="lowerLetter"/>
      <w:start w:val="2"/>
    </w:lvl>
  </w:abstractNum>
  <w:abstractNum w:abstractNumId="146">
    <w:nsid w:val="3102BBE2"/>
    <w:multiLevelType w:val="hybridMultilevel"/>
    <w:lvl w:ilvl="0">
      <w:lvlJc w:val="left"/>
      <w:lvlText w:val="%1."/>
      <w:numFmt w:val="decimal"/>
      <w:start w:val="6"/>
    </w:lvl>
    <w:lvl w:ilvl="1">
      <w:lvlJc w:val="left"/>
      <w:lvlText w:val="(%2)"/>
      <w:numFmt w:val="lowerLetter"/>
      <w:start w:val="1"/>
    </w:lvl>
  </w:abstractNum>
  <w:abstractNum w:abstractNumId="147">
    <w:nsid w:val="26A02C5E"/>
    <w:multiLevelType w:val="hybridMultilevel"/>
    <w:lvl w:ilvl="0">
      <w:lvlJc w:val="left"/>
      <w:lvlText w:val="(%1)"/>
      <w:numFmt w:val="lowerLetter"/>
      <w:start w:val="2"/>
    </w:lvl>
  </w:abstractNum>
  <w:abstractNum w:abstractNumId="148">
    <w:nsid w:val="541C8153"/>
    <w:multiLevelType w:val="hybridMultilevel"/>
    <w:lvl w:ilvl="0">
      <w:lvlJc w:val="left"/>
      <w:lvlText w:val="(%1)"/>
      <w:numFmt w:val="lowerLetter"/>
      <w:start w:val="3"/>
    </w:lvl>
  </w:abstractNum>
  <w:abstractNum w:abstractNumId="149">
    <w:nsid w:val="67906F60"/>
    <w:multiLevelType w:val="hybridMultilevel"/>
    <w:lvl w:ilvl="0">
      <w:lvlJc w:val="left"/>
      <w:lvlText w:val="(%1)"/>
      <w:numFmt w:val="lowerLetter"/>
      <w:start w:val="4"/>
    </w:lvl>
  </w:abstractNum>
  <w:abstractNum w:abstractNumId="150">
    <w:nsid w:val="10DB9DAA"/>
    <w:multiLevelType w:val="hybridMultilevel"/>
    <w:lvl w:ilvl="0">
      <w:lvlJc w:val="left"/>
      <w:lvlText w:val="(%1)"/>
      <w:numFmt w:val="lowerLetter"/>
      <w:start w:val="7"/>
    </w:lvl>
  </w:abstractNum>
  <w:abstractNum w:abstractNumId="151">
    <w:nsid w:val="697D2D2"/>
    <w:multiLevelType w:val="hybridMultilevel"/>
    <w:lvl w:ilvl="0">
      <w:lvlJc w:val="left"/>
      <w:lvlText w:val="(%1)"/>
      <w:numFmt w:val="lowerLetter"/>
      <w:start w:val="11"/>
    </w:lvl>
  </w:abstractNum>
  <w:abstractNum w:abstractNumId="152">
    <w:nsid w:val="6D68AB2"/>
    <w:multiLevelType w:val="hybridMultilevel"/>
    <w:lvl w:ilvl="0">
      <w:lvlJc w:val="left"/>
      <w:lvlText w:val="%1."/>
      <w:numFmt w:val="decimal"/>
      <w:start w:val="7"/>
    </w:lvl>
    <w:lvl w:ilvl="1">
      <w:lvlJc w:val="left"/>
      <w:lvlText w:val="(%2)"/>
      <w:numFmt w:val="lowerLetter"/>
      <w:start w:val="1"/>
    </w:lvl>
  </w:abstractNum>
  <w:abstractNum w:abstractNumId="153">
    <w:nsid w:val="3A966CD0"/>
    <w:multiLevelType w:val="hybridMultilevel"/>
    <w:lvl w:ilvl="0">
      <w:lvlJc w:val="left"/>
      <w:lvlText w:val="(%1)"/>
      <w:numFmt w:val="lowerLetter"/>
      <w:start w:val="2"/>
    </w:lvl>
  </w:abstractNum>
  <w:abstractNum w:abstractNumId="154">
    <w:nsid w:val="63F37E85"/>
    <w:multiLevelType w:val="hybridMultilevel"/>
    <w:lvl w:ilvl="0">
      <w:lvlJc w:val="left"/>
      <w:lvlText w:val="(%1)"/>
      <w:numFmt w:val="lowerLetter"/>
      <w:start w:val="4"/>
    </w:lvl>
  </w:abstractNum>
  <w:abstractNum w:abstractNumId="155">
    <w:nsid w:val="5895F5FA"/>
    <w:multiLevelType w:val="hybridMultilevel"/>
    <w:lvl w:ilvl="0">
      <w:lvlJc w:val="left"/>
      <w:lvlText w:val="(%1)"/>
      <w:numFmt w:val="lowerLetter"/>
      <w:start w:val="5"/>
    </w:lvl>
  </w:abstractNum>
  <w:abstractNum w:abstractNumId="156">
    <w:nsid w:val="38A5D054"/>
    <w:multiLevelType w:val="hybridMultilevel"/>
    <w:lvl w:ilvl="0">
      <w:lvlJc w:val="left"/>
      <w:lvlText w:val="(%1)"/>
      <w:numFmt w:val="lowerLetter"/>
      <w:start w:val="6"/>
    </w:lvl>
  </w:abstractNum>
  <w:abstractNum w:abstractNumId="157">
    <w:nsid w:val="F3F09D8"/>
    <w:multiLevelType w:val="hybridMultilevel"/>
    <w:lvl w:ilvl="0">
      <w:lvlJc w:val="left"/>
      <w:lvlText w:val="(*)"/>
      <w:numFmt w:val="bullet"/>
      <w:start w:val="1"/>
    </w:lvl>
  </w:abstractNum>
  <w:abstractNum w:abstractNumId="158">
    <w:nsid w:val="4B793735"/>
    <w:multiLevelType w:val="hybridMultilevel"/>
    <w:lvl w:ilvl="0">
      <w:lvlJc w:val="left"/>
      <w:lvlText w:val="(%1)"/>
      <w:numFmt w:val="lowerLetter"/>
      <w:start w:val="7"/>
    </w:lvl>
  </w:abstractNum>
  <w:abstractNum w:abstractNumId="159">
    <w:nsid w:val="4A10B4E8"/>
    <w:multiLevelType w:val="hybridMultilevel"/>
    <w:lvl w:ilvl="0">
      <w:lvlJc w:val="left"/>
      <w:lvlText w:val="(%1)"/>
      <w:numFmt w:val="lowerLetter"/>
      <w:start w:val="8"/>
    </w:lvl>
  </w:abstractNum>
  <w:abstractNum w:abstractNumId="160">
    <w:nsid w:val="43D3BCD4"/>
    <w:multiLevelType w:val="hybridMultilevel"/>
    <w:lvl w:ilvl="0">
      <w:lvlJc w:val="left"/>
      <w:lvlText w:val="(%1)"/>
      <w:numFmt w:val="lowerRoman"/>
      <w:start w:val="1"/>
    </w:lvl>
  </w:abstractNum>
  <w:abstractNum w:abstractNumId="161">
    <w:nsid w:val="4C2A7166"/>
    <w:multiLevelType w:val="hybridMultilevel"/>
    <w:lvl w:ilvl="0">
      <w:lvlJc w:val="left"/>
      <w:lvlText w:val="%1."/>
      <w:numFmt w:val="decimal"/>
      <w:start w:val="8"/>
    </w:lvl>
    <w:lvl w:ilvl="1">
      <w:lvlJc w:val="left"/>
      <w:lvlText w:val="(%2)"/>
      <w:numFmt w:val="lowerLetter"/>
      <w:start w:val="1"/>
    </w:lvl>
  </w:abstractNum>
  <w:abstractNum w:abstractNumId="162">
    <w:nsid w:val="2E534A82"/>
    <w:multiLevelType w:val="hybridMultilevel"/>
    <w:lvl w:ilvl="0">
      <w:lvlJc w:val="left"/>
      <w:lvlText w:val="%1"/>
      <w:numFmt w:val="decimal"/>
      <w:start w:val="1"/>
    </w:lvl>
    <w:lvl w:ilvl="1">
      <w:lvlJc w:val="left"/>
      <w:lvlText w:val="(%2)"/>
      <w:numFmt w:val="lowerLetter"/>
      <w:start w:val="2"/>
    </w:lvl>
  </w:abstractNum>
  <w:abstractNum w:abstractNumId="163">
    <w:nsid w:val="26F2D364"/>
    <w:multiLevelType w:val="hybridMultilevel"/>
    <w:lvl w:ilvl="0">
      <w:lvlJc w:val="left"/>
      <w:lvlText w:val="%1."/>
      <w:numFmt w:val="decimal"/>
      <w:start w:val="9"/>
    </w:lvl>
    <w:lvl w:ilvl="1">
      <w:lvlJc w:val="left"/>
      <w:lvlText w:val="(%2)"/>
      <w:numFmt w:val="lowerLetter"/>
      <w:start w:val="1"/>
    </w:lvl>
  </w:abstractNum>
  <w:abstractNum w:abstractNumId="164">
    <w:nsid w:val="71C1AF98"/>
    <w:multiLevelType w:val="hybridMultilevel"/>
    <w:lvl w:ilvl="0">
      <w:lvlJc w:val="left"/>
      <w:lvlText w:val="(%1)"/>
      <w:numFmt w:val="lowerLetter"/>
      <w:start w:val="2"/>
    </w:lvl>
  </w:abstractNum>
  <w:abstractNum w:abstractNumId="165">
    <w:nsid w:val="3D00B9D9"/>
    <w:multiLevelType w:val="hybridMultilevel"/>
    <w:lvl w:ilvl="0">
      <w:lvlJc w:val="left"/>
      <w:lvlText w:val="%1."/>
      <w:numFmt w:val="decimal"/>
      <w:start w:val="10"/>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2"/>
    </w:lvl>
  </w:abstractNum>
  <w:abstractNum w:abstractNumId="168">
    <w:nsid w:val="434BAE75"/>
    <w:multiLevelType w:val="hybridMultilevel"/>
    <w:lvl w:ilvl="0">
      <w:lvlJc w:val="left"/>
      <w:lvlText w:val="%1."/>
      <w:numFmt w:val="decimal"/>
      <w:start w:val="11"/>
    </w:lvl>
    <w:lvl w:ilvl="1">
      <w:lvlJc w:val="left"/>
      <w:lvlText w:val="(%2)"/>
      <w:numFmt w:val="lowerLetter"/>
      <w:start w:val="1"/>
    </w:lvl>
  </w:abstractNum>
  <w:abstractNum w:abstractNumId="169">
    <w:nsid w:val="4F38F265"/>
    <w:multiLevelType w:val="hybridMultilevel"/>
    <w:lvl w:ilvl="0">
      <w:lvlJc w:val="left"/>
      <w:lvlText w:val="(%1)"/>
      <w:numFmt w:val="lowerLetter"/>
      <w:start w:val="2"/>
    </w:lvl>
  </w:abstractNum>
  <w:abstractNum w:abstractNumId="170">
    <w:nsid w:val="4C502870"/>
    <w:multiLevelType w:val="hybridMultilevel"/>
    <w:lvl w:ilvl="0">
      <w:lvlJc w:val="left"/>
      <w:lvlText w:val="(%1)"/>
      <w:numFmt w:val="lowerLetter"/>
      <w:start w:val="3"/>
    </w:lvl>
  </w:abstractNum>
  <w:abstractNum w:abstractNumId="171">
    <w:nsid w:val="1DE8725A"/>
    <w:multiLevelType w:val="hybridMultilevel"/>
    <w:lvl w:ilvl="0">
      <w:lvlJc w:val="left"/>
      <w:lvlText w:val="(%1)"/>
      <w:numFmt w:val="lowerLetter"/>
      <w:start w:val="4"/>
    </w:lvl>
  </w:abstractNum>
  <w:abstractNum w:abstractNumId="172">
    <w:nsid w:val="6A37288A"/>
    <w:multiLevelType w:val="hybridMultilevel"/>
    <w:lvl w:ilvl="0">
      <w:lvlJc w:val="left"/>
      <w:lvlText w:val="%1."/>
      <w:numFmt w:val="decimal"/>
      <w:start w:val="12"/>
    </w:lvl>
    <w:lvl w:ilvl="1">
      <w:lvlJc w:val="left"/>
      <w:lvlText w:val="(%2)"/>
      <w:numFmt w:val="lowerLetter"/>
      <w:start w:val="1"/>
    </w:lvl>
  </w:abstractNum>
  <w:abstractNum w:abstractNumId="173">
    <w:nsid w:val="8F8B73F"/>
    <w:multiLevelType w:val="hybridMultilevel"/>
    <w:lvl w:ilvl="0">
      <w:lvlJc w:val="left"/>
      <w:lvlText w:val="%1"/>
      <w:numFmt w:val="decimal"/>
      <w:start w:val="1"/>
    </w:lvl>
    <w:lvl w:ilvl="1">
      <w:lvlJc w:val="left"/>
      <w:lvlText w:val="(%2)"/>
      <w:numFmt w:val="lowerLetter"/>
      <w:start w:val="3"/>
    </w:lvl>
  </w:abstractNum>
  <w:abstractNum w:abstractNumId="174">
    <w:nsid w:val="CA6B462"/>
    <w:multiLevelType w:val="hybridMultilevel"/>
    <w:lvl w:ilvl="0">
      <w:lvlJc w:val="left"/>
      <w:lvlText w:val="%1."/>
      <w:numFmt w:val="decimal"/>
      <w:start w:val="13"/>
    </w:lvl>
    <w:lvl w:ilvl="1">
      <w:lvlJc w:val="left"/>
      <w:lvlText w:val="(%2)"/>
      <w:numFmt w:val="lowerLetter"/>
      <w:start w:val="1"/>
    </w:lvl>
  </w:abstractNum>
  <w:abstractNum w:abstractNumId="175">
    <w:nsid w:val="763CB680"/>
    <w:multiLevelType w:val="hybridMultilevel"/>
    <w:lvl w:ilvl="0">
      <w:lvlJc w:val="left"/>
      <w:lvlText w:val="(%1)"/>
      <w:numFmt w:val="lowerLetter"/>
      <w:start w:val="2"/>
    </w:lvl>
  </w:abstractNum>
  <w:abstractNum w:abstractNumId="176">
    <w:nsid w:val="15B71329"/>
    <w:multiLevelType w:val="hybridMultilevel"/>
    <w:lvl w:ilvl="0">
      <w:lvlJc w:val="left"/>
      <w:lvlText w:val="(%1)"/>
      <w:numFmt w:val="lowerLetter"/>
      <w:start w:val="3"/>
    </w:lvl>
  </w:abstractNum>
  <w:abstractNum w:abstractNumId="177">
    <w:nsid w:val="3DA97044"/>
    <w:multiLevelType w:val="hybridMultilevel"/>
    <w:lvl w:ilvl="0">
      <w:lvlJc w:val="left"/>
      <w:lvlText w:val="%1."/>
      <w:numFmt w:val="decimal"/>
      <w:start w:val="14"/>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lowerRoman"/>
      <w:start w:val="1"/>
    </w:lvl>
  </w:abstractNum>
  <w:abstractNum w:abstractNumId="180">
    <w:nsid w:val="2539DFA5"/>
    <w:multiLevelType w:val="hybridMultilevel"/>
    <w:lvl w:ilvl="0">
      <w:lvlJc w:val="left"/>
      <w:lvlText w:val="(%1)"/>
      <w:numFmt w:val="lowerRoman"/>
      <w:start w:val="2"/>
    </w:lvl>
  </w:abstractNum>
  <w:abstractNum w:abstractNumId="181">
    <w:nsid w:val="2DB88089"/>
    <w:multiLevelType w:val="hybridMultilevel"/>
    <w:lvl w:ilvl="0">
      <w:lvlJc w:val="left"/>
      <w:lvlText w:val="(%1)"/>
      <w:numFmt w:val="lowerLetter"/>
      <w:start w:val="2"/>
    </w:lvl>
  </w:abstractNum>
  <w:abstractNum w:abstractNumId="182">
    <w:nsid w:val="706B674E"/>
    <w:multiLevelType w:val="hybridMultilevel"/>
    <w:lvl w:ilvl="0">
      <w:lvlJc w:val="left"/>
      <w:lvlText w:val="(%1)"/>
      <w:numFmt w:val="lowerRoman"/>
      <w:start w:val="1"/>
    </w:lvl>
  </w:abstractNum>
  <w:abstractNum w:abstractNumId="183">
    <w:nsid w:val="2C106A57"/>
    <w:multiLevelType w:val="hybridMultilevel"/>
    <w:lvl w:ilvl="0">
      <w:lvlJc w:val="left"/>
      <w:lvlText w:val="(%1)"/>
      <w:numFmt w:val="lowerRoman"/>
      <w:start w:val="2"/>
    </w:lvl>
  </w:abstractNum>
  <w:abstractNum w:abstractNumId="184">
    <w:nsid w:val="684EED59"/>
    <w:multiLevelType w:val="hybridMultilevel"/>
    <w:lvl w:ilvl="0">
      <w:lvlJc w:val="left"/>
      <w:lvlText w:val="(%1)"/>
      <w:numFmt w:val="lowerLetter"/>
      <w:start w:val="3"/>
    </w:lvl>
  </w:abstractNum>
  <w:abstractNum w:abstractNumId="185">
    <w:nsid w:val="545EE5D3"/>
    <w:multiLevelType w:val="hybridMultilevel"/>
    <w:lvl w:ilvl="0">
      <w:lvlJc w:val="left"/>
      <w:lvlText w:val="%1"/>
      <w:numFmt w:val="decimal"/>
      <w:start w:val="1"/>
    </w:lvl>
    <w:lvl w:ilvl="1">
      <w:lvlJc w:val="left"/>
      <w:lvlText w:val="(%2)"/>
      <w:numFmt w:val="lowerLetter"/>
      <w:start w:val="4"/>
    </w:lvl>
  </w:abstractNum>
  <w:abstractNum w:abstractNumId="186">
    <w:nsid w:val="4A66051"/>
    <w:multiLevelType w:val="hybridMultilevel"/>
    <w:lvl w:ilvl="0">
      <w:lvlJc w:val="left"/>
      <w:lvlText w:val="%1."/>
      <w:numFmt w:val="decimal"/>
      <w:start w:val="15"/>
    </w:lvl>
    <w:lvl w:ilvl="1">
      <w:lvlJc w:val="left"/>
      <w:lvlText w:val="%2"/>
      <w:numFmt w:val="lowerLetter"/>
      <w:start w:val="1"/>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decimal"/>
      <w:start w:val="16"/>
    </w:lvl>
    <w:lvl w:ilvl="1">
      <w:lvlJc w:val="left"/>
      <w:lvlText w:val="(%2)"/>
      <w:numFmt w:val="lowerLetter"/>
      <w:start w:val="1"/>
    </w:lvl>
  </w:abstractNum>
  <w:abstractNum w:abstractNumId="189">
    <w:nsid w:val="501F9786"/>
    <w:multiLevelType w:val="hybridMultilevel"/>
    <w:lvl w:ilvl="0">
      <w:lvlJc w:val="left"/>
      <w:lvlText w:val="(%1)"/>
      <w:numFmt w:val="lowerRoman"/>
      <w:start w:val="1"/>
    </w:lvl>
  </w:abstractNum>
  <w:abstractNum w:abstractNumId="190">
    <w:nsid w:val="6B057295"/>
    <w:multiLevelType w:val="hybridMultilevel"/>
    <w:lvl w:ilvl="0">
      <w:lvlJc w:val="left"/>
      <w:lvlText w:val="(%1)"/>
      <w:numFmt w:val="lowerRoman"/>
      <w:start w:val="2"/>
    </w:lvl>
  </w:abstractNum>
  <w:abstractNum w:abstractNumId="191">
    <w:nsid w:val="2771AC80"/>
    <w:multiLevelType w:val="hybridMultilevel"/>
    <w:lvl w:ilvl="0">
      <w:lvlJc w:val="left"/>
      <w:lvlText w:val="(%1)"/>
      <w:numFmt w:val="lowerLetter"/>
      <w:start w:val="2"/>
    </w:lvl>
  </w:abstractNum>
  <w:abstractNum w:abstractNumId="192">
    <w:nsid w:val="1C4A08EC"/>
    <w:multiLevelType w:val="hybridMultilevel"/>
    <w:lvl w:ilvl="0">
      <w:lvlJc w:val="left"/>
      <w:lvlText w:val="%1."/>
      <w:numFmt w:val="decimal"/>
      <w:start w:val="17"/>
    </w:lvl>
    <w:lvl w:ilvl="1">
      <w:lvlJc w:val="left"/>
      <w:lvlText w:val="(%2)"/>
      <w:numFmt w:val="lowerLetter"/>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3"/>
    </w:lvl>
  </w:abstractNum>
  <w:abstractNum w:abstractNumId="195">
    <w:nsid w:val="E0BB885"/>
    <w:multiLevelType w:val="hybridMultilevel"/>
    <w:lvl w:ilvl="0">
      <w:lvlJc w:val="left"/>
      <w:lvlText w:val="(%1)"/>
      <w:numFmt w:val="lowerLetter"/>
      <w:start w:val="4"/>
    </w:lvl>
  </w:abstractNum>
  <w:abstractNum w:abstractNumId="196">
    <w:nsid w:val="565976F1"/>
    <w:multiLevelType w:val="hybridMultilevel"/>
    <w:lvl w:ilvl="0">
      <w:lvlJc w:val="left"/>
      <w:lvlText w:val="(%1)"/>
      <w:numFmt w:val="lowerLetter"/>
      <w:start w:val="5"/>
    </w:lvl>
  </w:abstractNum>
  <w:abstractNum w:abstractNumId="197">
    <w:nsid w:val="64212B8C"/>
    <w:multiLevelType w:val="hybridMultilevel"/>
    <w:lvl w:ilvl="0">
      <w:lvlJc w:val="left"/>
      <w:lvlText w:val="%1."/>
      <w:numFmt w:val="decimal"/>
      <w:start w:val="18"/>
    </w:lvl>
    <w:lvl w:ilvl="1">
      <w:lvlJc w:val="left"/>
      <w:lvlText w:val="(%2)"/>
      <w:numFmt w:val="lowerLetter"/>
      <w:start w:val="1"/>
    </w:lvl>
  </w:abstractNum>
  <w:abstractNum w:abstractNumId="198">
    <w:nsid w:val="5C17530C"/>
    <w:multiLevelType w:val="hybridMultilevel"/>
    <w:lvl w:ilvl="0">
      <w:lvlJc w:val="left"/>
      <w:lvlText w:val="(%1)"/>
      <w:numFmt w:val="lowerRoman"/>
      <w:start w:val="1"/>
    </w:lvl>
  </w:abstractNum>
  <w:abstractNum w:abstractNumId="199">
    <w:nsid w:val="19A52566"/>
    <w:multiLevelType w:val="hybridMultilevel"/>
    <w:lvl w:ilvl="0">
      <w:lvlJc w:val="left"/>
      <w:lvlText w:val="(%1)"/>
      <w:numFmt w:val="lowerLetter"/>
      <w:start w:val="2"/>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Letter"/>
      <w:start w:val="4"/>
    </w:lvl>
  </w:abstractNum>
  <w:abstractNum w:abstractNumId="202">
    <w:nsid w:val="378D97C0"/>
    <w:multiLevelType w:val="hybridMultilevel"/>
    <w:lvl w:ilvl="0">
      <w:lvlJc w:val="left"/>
      <w:lvlText w:val="%1."/>
      <w:numFmt w:val="decimal"/>
      <w:start w:val="19"/>
    </w:lvl>
  </w:abstractNum>
  <w:abstractNum w:abstractNumId="203">
    <w:nsid w:val="1D91467C"/>
    <w:multiLevelType w:val="hybridMultilevel"/>
    <w:lvl w:ilvl="0">
      <w:lvlJc w:val="left"/>
      <w:lvlText w:val="(%1)"/>
      <w:numFmt w:val="lowerLetter"/>
      <w:start w:val="2"/>
    </w:lvl>
  </w:abstractNum>
  <w:abstractNum w:abstractNumId="204">
    <w:nsid w:val="316032BB"/>
    <w:multiLevelType w:val="hybridMultilevel"/>
    <w:lvl w:ilvl="0">
      <w:lvlJc w:val="left"/>
      <w:lvlText w:val="(%1)"/>
      <w:numFmt w:val="lowerLetter"/>
      <w:start w:val="3"/>
    </w:lvl>
  </w:abstractNum>
  <w:abstractNum w:abstractNumId="205">
    <w:nsid w:val="44344C22"/>
    <w:multiLevelType w:val="hybridMultilevel"/>
    <w:lvl w:ilvl="0">
      <w:lvlJc w:val="left"/>
      <w:lvlText w:val="%1."/>
      <w:numFmt w:val="decimal"/>
      <w:start w:val="21"/>
    </w:lvl>
  </w:abstractNum>
  <w:abstractNum w:abstractNumId="206">
    <w:nsid w:val="13CDFCFC"/>
    <w:multiLevelType w:val="hybridMultilevel"/>
    <w:lvl w:ilvl="0">
      <w:lvlJc w:val="left"/>
      <w:lvlText w:val="(*)"/>
      <w:numFmt w:val="bullet"/>
      <w:start w:val="1"/>
    </w:lvl>
  </w:abstractNum>
  <w:abstractNum w:abstractNumId="207">
    <w:nsid w:val="471745E4"/>
    <w:multiLevelType w:val="hybridMultilevel"/>
    <w:lvl w:ilvl="0">
      <w:lvlJc w:val="left"/>
      <w:lvlText w:val="%1."/>
      <w:numFmt w:val="decimal"/>
      <w:start w:val="22"/>
    </w:lvl>
  </w:abstractNum>
  <w:abstractNum w:abstractNumId="208">
    <w:nsid w:val="1DDBC66"/>
    <w:multiLevelType w:val="hybridMultilevel"/>
    <w:lvl w:ilvl="0">
      <w:lvlJc w:val="left"/>
      <w:lvlText w:val="%1."/>
      <w:numFmt w:val="decimal"/>
      <w:start w:val="24"/>
    </w:lvl>
  </w:abstractNum>
  <w:abstractNum w:abstractNumId="209">
    <w:nsid w:val="30AADFDA"/>
    <w:multiLevelType w:val="hybridMultilevel"/>
    <w:lvl w:ilvl="0">
      <w:lvlJc w:val="left"/>
      <w:lvlText w:val="%1."/>
      <w:numFmt w:val="decimal"/>
      <w:start w:val="25"/>
    </w:lvl>
    <w:lvl w:ilvl="1">
      <w:lvlJc w:val="left"/>
      <w:lvlText w:val="(%2)"/>
      <w:numFmt w:val="lowerRoman"/>
      <w:start w:val="1"/>
    </w:lvl>
  </w:abstractNum>
  <w:abstractNum w:abstractNumId="210">
    <w:nsid w:val="30EADA61"/>
    <w:multiLevelType w:val="hybridMultilevel"/>
    <w:lvl w:ilvl="0">
      <w:lvlJc w:val="left"/>
      <w:lvlText w:val="(%1)"/>
      <w:numFmt w:val="lowerRoman"/>
      <w:start w:val="1"/>
    </w:lvl>
  </w:abstractNum>
  <w:abstractNum w:abstractNumId="211">
    <w:nsid w:val="27179C0B"/>
    <w:multiLevelType w:val="hybridMultilevel"/>
    <w:lvl w:ilvl="0">
      <w:lvlJc w:val="left"/>
      <w:lvlText w:val="(%1)"/>
      <w:numFmt w:val="lowerRoman"/>
      <w:start w:val="2"/>
    </w:lvl>
  </w:abstractNum>
  <w:abstractNum w:abstractNumId="212">
    <w:nsid w:val="5E636063"/>
    <w:multiLevelType w:val="hybridMultilevel"/>
    <w:lvl w:ilvl="0">
      <w:lvlJc w:val="left"/>
      <w:lvlText w:val="(*)"/>
      <w:numFmt w:val="bullet"/>
      <w:start w:val="1"/>
    </w:lvl>
  </w:abstractNum>
  <w:abstractNum w:abstractNumId="213">
    <w:nsid w:val="215641AF"/>
    <w:multiLevelType w:val="hybridMultilevel"/>
    <w:lvl w:ilvl="0">
      <w:lvlJc w:val="left"/>
      <w:lvlText w:val="(**)"/>
      <w:numFmt w:val="bullet"/>
      <w:start w:val="1"/>
    </w:lvl>
  </w:abstractNum>
  <w:abstractNum w:abstractNumId="214">
    <w:nsid w:val="53280662"/>
    <w:multiLevelType w:val="hybridMultilevel"/>
    <w:lvl w:ilvl="0">
      <w:lvlJc w:val="left"/>
      <w:lvlText w:val="(***)"/>
      <w:numFmt w:val="bullet"/>
      <w:start w:val="1"/>
    </w:lvl>
  </w:abstractNum>
  <w:abstractNum w:abstractNumId="215">
    <w:nsid w:val="46B24DBC"/>
    <w:multiLevelType w:val="hybridMultilevel"/>
    <w:lvl w:ilvl="0">
      <w:lvlJc w:val="left"/>
      <w:lvlText w:val="%1."/>
      <w:numFmt w:val="decimal"/>
      <w:start w:val="26"/>
    </w:lvl>
  </w:abstractNum>
  <w:abstractNum w:abstractNumId="216">
    <w:nsid w:val="75B52783"/>
    <w:multiLevelType w:val="hybridMultilevel"/>
    <w:lvl w:ilvl="0">
      <w:lvlJc w:val="left"/>
      <w:lvlText w:val="%1."/>
      <w:numFmt w:val="decimal"/>
      <w:start w:val="27"/>
    </w:lvl>
  </w:abstractNum>
  <w:abstractNum w:abstractNumId="217">
    <w:nsid w:val="57CE66B4"/>
    <w:multiLevelType w:val="hybridMultilevel"/>
    <w:lvl w:ilvl="0">
      <w:lvlJc w:val="left"/>
      <w:lvlText w:val="·"/>
      <w:numFmt w:val="bullet"/>
      <w:start w:val="1"/>
    </w:lvl>
  </w:abstractNum>
  <w:abstractNum w:abstractNumId="218">
    <w:nsid w:val="67A70B69"/>
    <w:multiLevelType w:val="hybridMultilevel"/>
    <w:lvl w:ilvl="0">
      <w:lvlJc w:val="left"/>
      <w:lvlText w:val="%1."/>
      <w:numFmt w:val="decimal"/>
      <w:start w:val="28"/>
    </w:lvl>
    <w:lvl w:ilvl="1">
      <w:lvlJc w:val="left"/>
      <w:lvlText w:val="(%2)"/>
      <w:numFmt w:val="lowerLetter"/>
      <w:start w:val="1"/>
    </w:lvl>
  </w:abstractNum>
  <w:abstractNum w:abstractNumId="219">
    <w:nsid w:val="5953172F"/>
    <w:multiLevelType w:val="hybridMultilevel"/>
    <w:lvl w:ilvl="0">
      <w:lvlJc w:val="left"/>
      <w:lvlText w:val="(%1)"/>
      <w:numFmt w:val="lowerLetter"/>
      <w:start w:val="3"/>
    </w:lvl>
  </w:abstractNum>
  <w:abstractNum w:abstractNumId="220">
    <w:nsid w:val="27EDFE3A"/>
    <w:multiLevelType w:val="hybridMultilevel"/>
    <w:lvl w:ilvl="0">
      <w:lvlJc w:val="left"/>
      <w:lvlText w:val="(%1)"/>
      <w:numFmt w:val="lowerLetter"/>
      <w:start w:val="4"/>
    </w:lvl>
  </w:abstractNum>
  <w:abstractNum w:abstractNumId="221">
    <w:nsid w:val="52AC7DFF"/>
    <w:multiLevelType w:val="hybridMultilevel"/>
    <w:lvl w:ilvl="0">
      <w:lvlJc w:val="left"/>
      <w:lvlText w:val="%1."/>
      <w:numFmt w:val="decimal"/>
      <w:start w:val="29"/>
    </w:lvl>
    <w:lvl w:ilvl="1">
      <w:lvlJc w:val="left"/>
      <w:lvlText w:val="(%2)"/>
      <w:numFmt w:val="lowerLetter"/>
      <w:start w:val="1"/>
    </w:lvl>
  </w:abstractNum>
  <w:abstractNum w:abstractNumId="222">
    <w:nsid w:val="C4C3AF"/>
    <w:multiLevelType w:val="hybridMultilevel"/>
    <w:lvl w:ilvl="0">
      <w:lvlJc w:val="left"/>
      <w:lvlText w:val="(%1)"/>
      <w:numFmt w:val="lowerLetter"/>
      <w:start w:val="4"/>
    </w:lvl>
  </w:abstractNum>
  <w:abstractNum w:abstractNumId="223">
    <w:nsid w:val="44380727"/>
    <w:multiLevelType w:val="hybridMultilevel"/>
    <w:lvl w:ilvl="0">
      <w:lvlJc w:val="left"/>
      <w:lvlText w:val="(%1)"/>
      <w:numFmt w:val="lowerLetter"/>
      <w:start w:val="7"/>
    </w:lvl>
  </w:abstractNum>
  <w:abstractNum w:abstractNumId="224">
    <w:nsid w:val="6C053B16"/>
    <w:multiLevelType w:val="hybridMultilevel"/>
    <w:lvl w:ilvl="0">
      <w:lvlJc w:val="left"/>
      <w:lvlText w:val="(%1)"/>
      <w:numFmt w:val="lowerLetter"/>
      <w:start w:val="8"/>
    </w:lvl>
  </w:abstractNum>
  <w:abstractNum w:abstractNumId="225">
    <w:nsid w:val="4F294393"/>
    <w:multiLevelType w:val="hybridMultilevel"/>
    <w:lvl w:ilvl="0">
      <w:lvlJc w:val="left"/>
      <w:lvlText w:val="(*)"/>
      <w:numFmt w:val="bullet"/>
      <w:start w:val="1"/>
    </w:lvl>
  </w:abstractNum>
  <w:abstractNum w:abstractNumId="226">
    <w:nsid w:val="5243BFAC"/>
    <w:multiLevelType w:val="hybridMultilevel"/>
    <w:lvl w:ilvl="0">
      <w:lvlJc w:val="left"/>
      <w:lvlText w:val="(**)"/>
      <w:numFmt w:val="bullet"/>
      <w:start w:val="1"/>
    </w:lvl>
  </w:abstractNum>
  <w:abstractNum w:abstractNumId="227">
    <w:nsid w:val="425EB207"/>
    <w:multiLevelType w:val="hybridMultilevel"/>
    <w:lvl w:ilvl="0">
      <w:lvlJc w:val="left"/>
      <w:lvlText w:val="(%1)"/>
      <w:numFmt w:val="lowerLetter"/>
      <w:start w:val="10"/>
    </w:lvl>
  </w:abstractNum>
  <w:abstractNum w:abstractNumId="228">
    <w:nsid w:val="334A6F1F"/>
    <w:multiLevelType w:val="hybridMultilevel"/>
    <w:lvl w:ilvl="0">
      <w:lvlJc w:val="left"/>
      <w:lvlText w:val="(%1)"/>
      <w:numFmt w:val="lowerLetter"/>
      <w:start w:val="11"/>
    </w:lvl>
    <w:lvl w:ilvl="1">
      <w:lvlJc w:val="left"/>
      <w:lvlText w:val="-"/>
      <w:numFmt w:val="bullet"/>
      <w:start w:val="1"/>
    </w:lvl>
  </w:abstractNum>
  <w:abstractNum w:abstractNumId="229">
    <w:nsid w:val="2E5B12B8"/>
    <w:multiLevelType w:val="hybridMultilevel"/>
    <w:lvl w:ilvl="0">
      <w:lvlJc w:val="left"/>
      <w:lvlText w:val="(%1)"/>
      <w:numFmt w:val="lowerLetter"/>
      <w:start w:val="12"/>
    </w:lvl>
    <w:lvl w:ilvl="1">
      <w:lvlJc w:val="left"/>
      <w:lvlText w:val="-"/>
      <w:numFmt w:val="bullet"/>
      <w:start w:val="1"/>
    </w:lvl>
  </w:abstractNum>
  <w:abstractNum w:abstractNumId="230">
    <w:nsid w:val="5C03D76D"/>
    <w:multiLevelType w:val="hybridMultilevel"/>
    <w:lvl w:ilvl="0">
      <w:lvlJc w:val="left"/>
      <w:lvlText w:val="-"/>
      <w:numFmt w:val="bullet"/>
      <w:start w:val="1"/>
    </w:lvl>
  </w:abstractNum>
  <w:abstractNum w:abstractNumId="231">
    <w:nsid w:val="66A48D11"/>
    <w:multiLevelType w:val="hybridMultilevel"/>
    <w:lvl w:ilvl="0">
      <w:lvlJc w:val="left"/>
      <w:lvlText w:val="%1."/>
      <w:numFmt w:val="decimal"/>
      <w:start w:val="1"/>
    </w:lvl>
  </w:abstractNum>
  <w:abstractNum w:abstractNumId="232">
    <w:nsid w:val="56C28E34"/>
    <w:multiLevelType w:val="hybridMultilevel"/>
    <w:lvl w:ilvl="0">
      <w:lvlJc w:val="left"/>
      <w:lvlText w:val="%1)"/>
      <w:numFmt w:val="lowerLetter"/>
      <w:start w:val="1"/>
    </w:lvl>
  </w:abstractNum>
  <w:abstractNum w:abstractNumId="233">
    <w:nsid w:val="13916F2D"/>
    <w:multiLevelType w:val="hybridMultilevel"/>
    <w:lvl w:ilvl="0">
      <w:lvlJc w:val="left"/>
      <w:lvlText w:val="%1."/>
      <w:numFmt w:val="decimal"/>
      <w:start w:val="5"/>
    </w:lvl>
  </w:abstractNum>
  <w:abstractNum w:abstractNumId="234">
    <w:nsid w:val="435D38D"/>
    <w:multiLevelType w:val="hybridMultilevel"/>
    <w:lvl w:ilvl="0">
      <w:lvlJc w:val="left"/>
      <w:lvlText w:val="%1)"/>
      <w:numFmt w:val="lowerLetter"/>
      <w:start w:val="1"/>
    </w:lvl>
  </w:abstractNum>
  <w:abstractNum w:abstractNumId="235">
    <w:nsid w:val="822C0EF"/>
    <w:multiLevelType w:val="hybridMultilevel"/>
    <w:lvl w:ilvl="0">
      <w:lvlJc w:val="left"/>
      <w:lvlText w:val="%1."/>
      <w:numFmt w:val="decimal"/>
      <w:start w:val="1"/>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decimal"/>
      <w:start w:val="5"/>
    </w:lvl>
  </w:abstractNum>
  <w:abstractNum w:abstractNumId="238">
    <w:nsid w:val="4F3A06D4"/>
    <w:multiLevelType w:val="hybridMultilevel"/>
    <w:lvl w:ilvl="0">
      <w:lvlJc w:val="left"/>
      <w:lvlText w:val="%1)"/>
      <w:numFmt w:val="lowerLetter"/>
      <w:start w:val="1"/>
    </w:lvl>
  </w:abstractNum>
  <w:abstractNum w:abstractNumId="239">
    <w:nsid w:val="59A377B6"/>
    <w:multiLevelType w:val="hybridMultilevel"/>
    <w:lvl w:ilvl="0">
      <w:lvlJc w:val="left"/>
      <w:lvlText w:val="%1."/>
      <w:numFmt w:val="decimal"/>
      <w:start w:val="1"/>
    </w:lvl>
  </w:abstractNum>
  <w:abstractNum w:abstractNumId="240">
    <w:nsid w:val="48AEB063"/>
    <w:multiLevelType w:val="hybridMultilevel"/>
    <w:lvl w:ilvl="0">
      <w:lvlJc w:val="left"/>
      <w:lvlText w:val="(%1)"/>
      <w:numFmt w:val="upperLetter"/>
      <w:start w:val="1"/>
    </w:lvl>
  </w:abstractNum>
  <w:abstractNum w:abstractNumId="241">
    <w:nsid w:val="24E135"/>
    <w:multiLevelType w:val="hybridMultilevel"/>
    <w:lvl w:ilvl="0">
      <w:lvlJc w:val="left"/>
      <w:lvlText w:val="%1."/>
      <w:numFmt w:val="decimal"/>
      <w:start w:val="1"/>
    </w:lvl>
  </w:abstractNum>
  <w:abstractNum w:abstractNumId="242">
    <w:nsid w:val="BB13C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2019-12-14T06:50:00Z</dcterms:created>
  <dcterms:modified xsi:type="dcterms:W3CDTF">2019-12-14T06:50:00Z</dcterms:modified>
</cp:coreProperties>
</file>