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CREDICORP LTD</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G2519Y108</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2012</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G2519Y108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4336684</w:t>
      </w:r>
    </w:p>
    <w:p>
      <w:pPr>
        <w:spacing w:after="0" w:line="11" w:lineRule="exact"/>
        <w:rPr>
          <w:rFonts w:ascii="Courier New" w:cs="Courier New" w:eastAsia="Courier New" w:hAnsi="Courier New"/>
          <w:sz w:val="18"/>
          <w:szCs w:val="18"/>
          <w:color w:val="auto"/>
        </w:rPr>
      </w:pPr>
    </w:p>
    <w:p>
      <w:pPr>
        <w:ind w:left="540" w:right="7779" w:hanging="532"/>
        <w:spacing w:after="0" w:line="470" w:lineRule="auto"/>
        <w:tabs>
          <w:tab w:leader="none" w:pos="435"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None</w:t>
      </w:r>
    </w:p>
    <w:p>
      <w:pPr>
        <w:spacing w:after="0" w:line="11"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4336684</w:t>
      </w:r>
    </w:p>
    <w:p>
      <w:pPr>
        <w:sectPr>
          <w:pgSz w:w="11900" w:h="16848" w:orient="portrait"/>
          <w:cols w:equalWidth="0" w:num="1">
            <w:col w:w="10219"/>
          </w:cols>
          <w:pgMar w:left="240" w:top="244" w:right="1440" w:bottom="0" w:gutter="0" w:footer="0" w:header="0"/>
        </w:sectPr>
      </w:pPr>
    </w:p>
    <w:bookmarkStart w:id="1" w:name="page2"/>
    <w:bookmarkEnd w:id="1"/>
    <w:p>
      <w:pPr>
        <w:ind w:left="540" w:right="7259" w:hanging="532"/>
        <w:spacing w:after="0" w:line="470" w:lineRule="auto"/>
        <w:tabs>
          <w:tab w:leader="none" w:pos="4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11"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4336684</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5.43%</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CREDICORP LTD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CLARENDON HOUSE, 2 CHURCH STREET P.O. BOX HM 666</w:t>
      </w:r>
    </w:p>
    <w:p>
      <w:pPr>
        <w:spacing w:after="0" w:line="238" w:lineRule="auto"/>
        <w:rPr>
          <w:sz w:val="20"/>
          <w:szCs w:val="20"/>
          <w:color w:val="auto"/>
        </w:rPr>
      </w:pPr>
      <w:r>
        <w:rPr>
          <w:rFonts w:ascii="Courier New" w:cs="Courier New" w:eastAsia="Courier New" w:hAnsi="Courier New"/>
          <w:sz w:val="18"/>
          <w:szCs w:val="18"/>
          <w:color w:val="auto"/>
        </w:rPr>
        <w:t>HAMILTON D0HMCX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40 East 52nd Street</w:t>
      </w:r>
    </w:p>
    <w:p>
      <w:pPr>
        <w:spacing w:after="0" w:line="238" w:lineRule="auto"/>
        <w:rPr>
          <w:sz w:val="20"/>
          <w:szCs w:val="20"/>
          <w:color w:val="auto"/>
        </w:rPr>
      </w:pPr>
      <w:r>
        <w:rPr>
          <w:rFonts w:ascii="Courier New" w:cs="Courier New" w:eastAsia="Courier New" w:hAnsi="Courier New"/>
          <w:sz w:val="18"/>
          <w:szCs w:val="18"/>
          <w:color w:val="auto"/>
        </w:rPr>
        <w:t>New York, NY 10022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42"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4336684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5.43%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4336684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4336684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Various persons have the right to receive or the power to direct</w:t>
      </w:r>
    </w:p>
    <w:p>
      <w:pPr>
        <w:spacing w:after="0" w:line="238" w:lineRule="auto"/>
        <w:rPr>
          <w:sz w:val="20"/>
          <w:szCs w:val="20"/>
          <w:color w:val="auto"/>
        </w:rPr>
      </w:pPr>
      <w:r>
        <w:rPr>
          <w:rFonts w:ascii="Courier New" w:cs="Courier New" w:eastAsia="Courier New" w:hAnsi="Courier New"/>
          <w:sz w:val="18"/>
          <w:szCs w:val="18"/>
          <w:color w:val="auto"/>
        </w:rPr>
        <w:t>the receipt of dividends from, or the proceeds from the sale of</w:t>
      </w:r>
    </w:p>
    <w:p>
      <w:pPr>
        <w:spacing w:after="0"/>
        <w:rPr>
          <w:sz w:val="20"/>
          <w:szCs w:val="20"/>
          <w:color w:val="auto"/>
        </w:rPr>
      </w:pPr>
      <w:r>
        <w:rPr>
          <w:rFonts w:ascii="Courier New" w:cs="Courier New" w:eastAsia="Courier New" w:hAnsi="Courier New"/>
          <w:sz w:val="18"/>
          <w:szCs w:val="18"/>
          <w:color w:val="auto"/>
        </w:rPr>
        <w:t>the common stock of</w:t>
      </w:r>
    </w:p>
    <w:p>
      <w:pPr>
        <w:spacing w:after="0" w:line="237" w:lineRule="auto"/>
        <w:rPr>
          <w:sz w:val="20"/>
          <w:szCs w:val="20"/>
          <w:color w:val="auto"/>
        </w:rPr>
      </w:pPr>
      <w:r>
        <w:rPr>
          <w:rFonts w:ascii="Courier New" w:cs="Courier New" w:eastAsia="Courier New" w:hAnsi="Courier New"/>
          <w:sz w:val="18"/>
          <w:szCs w:val="18"/>
          <w:color w:val="auto"/>
        </w:rPr>
        <w:t>CREDICORP LTD.</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CREDICORP LTD</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February 4, 2013</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Name/Title</w:t>
        <w:tab/>
        <w:t>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Advisors, LLC</w:t>
      </w:r>
    </w:p>
    <w:p>
      <w:pPr>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37" w:lineRule="auto"/>
        <w:rPr>
          <w:sz w:val="20"/>
          <w:szCs w:val="20"/>
          <w:color w:val="auto"/>
        </w:rPr>
      </w:pPr>
      <w:r>
        <w:rPr>
          <w:rFonts w:ascii="Courier New" w:cs="Courier New" w:eastAsia="Courier New" w:hAnsi="Courier New"/>
          <w:sz w:val="18"/>
          <w:szCs w:val="18"/>
          <w:color w:val="auto"/>
        </w:rPr>
        <w:t>BlackRock Investment Management (Korea) Ltd</w:t>
      </w:r>
    </w:p>
    <w:p>
      <w:pPr>
        <w:spacing w:after="0" w:line="238" w:lineRule="auto"/>
        <w:rPr>
          <w:sz w:val="20"/>
          <w:szCs w:val="20"/>
          <w:color w:val="auto"/>
        </w:rPr>
      </w:pPr>
      <w:r>
        <w:rPr>
          <w:rFonts w:ascii="Courier New" w:cs="Courier New" w:eastAsia="Courier New" w:hAnsi="Courier New"/>
          <w:sz w:val="18"/>
          <w:szCs w:val="18"/>
          <w:color w:val="auto"/>
        </w:rPr>
        <w:t>BlackRock (Luxembourg) S.A.</w:t>
      </w:r>
    </w:p>
    <w:p>
      <w:pPr>
        <w:spacing w:after="0"/>
        <w:rPr>
          <w:sz w:val="20"/>
          <w:szCs w:val="20"/>
          <w:color w:val="auto"/>
        </w:rPr>
      </w:pPr>
      <w:r>
        <w:rPr>
          <w:rFonts w:ascii="Courier New" w:cs="Courier New" w:eastAsia="Courier New" w:hAnsi="Courier New"/>
          <w:sz w:val="18"/>
          <w:szCs w:val="18"/>
          <w:color w:val="auto"/>
        </w:rPr>
        <w:t>BlackRock Fund Managers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Australia Limited</w:t>
      </w:r>
    </w:p>
    <w:p>
      <w:pPr>
        <w:spacing w:after="0"/>
        <w:rPr>
          <w:sz w:val="20"/>
          <w:szCs w:val="20"/>
          <w:color w:val="auto"/>
        </w:rPr>
      </w:pPr>
      <w:r>
        <w:rPr>
          <w:rFonts w:ascii="Courier New" w:cs="Courier New" w:eastAsia="Courier New" w:hAnsi="Courier New"/>
          <w:sz w:val="18"/>
          <w:szCs w:val="18"/>
          <w:color w:val="auto"/>
        </w:rPr>
        <w:t>BlackRock Asset Management Canada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spacing w:after="0"/>
        <w:rPr>
          <w:sz w:val="20"/>
          <w:szCs w:val="20"/>
          <w:color w:val="auto"/>
        </w:rPr>
      </w:pPr>
      <w:r>
        <w:rPr>
          <w:rFonts w:ascii="Courier New" w:cs="Courier New" w:eastAsia="Courier New" w:hAnsi="Courier New"/>
          <w:sz w:val="18"/>
          <w:szCs w:val="18"/>
          <w:color w:val="auto"/>
        </w:rPr>
        <w:t>BlackRock Advisors (UK) Limited</w:t>
      </w:r>
    </w:p>
    <w:p>
      <w:pPr>
        <w:spacing w:after="0" w:line="237" w:lineRule="auto"/>
        <w:rPr>
          <w:sz w:val="20"/>
          <w:szCs w:val="20"/>
          <w:color w:val="auto"/>
        </w:rPr>
      </w:pPr>
      <w:r>
        <w:rPr>
          <w:rFonts w:ascii="Courier New" w:cs="Courier New" w:eastAsia="Courier New" w:hAnsi="Courier New"/>
          <w:sz w:val="18"/>
          <w:szCs w:val="18"/>
          <w:color w:val="auto"/>
        </w:rPr>
        <w:t>BlackRock Fund Advisors</w:t>
      </w:r>
    </w:p>
    <w:p>
      <w:pPr>
        <w:spacing w:after="0" w:line="238" w:lineRule="auto"/>
        <w:rPr>
          <w:sz w:val="20"/>
          <w:szCs w:val="20"/>
          <w:color w:val="auto"/>
        </w:rPr>
      </w:pPr>
      <w:r>
        <w:rPr>
          <w:rFonts w:ascii="Courier New" w:cs="Courier New" w:eastAsia="Courier New" w:hAnsi="Courier New"/>
          <w:sz w:val="18"/>
          <w:szCs w:val="18"/>
          <w:color w:val="auto"/>
        </w:rPr>
        <w:t>BlackRock International Limited</w:t>
      </w:r>
    </w:p>
    <w:p>
      <w:pPr>
        <w:spacing w:after="0"/>
        <w:rPr>
          <w:sz w:val="20"/>
          <w:szCs w:val="20"/>
          <w:color w:val="auto"/>
        </w:rPr>
      </w:pPr>
      <w:r>
        <w:rPr>
          <w:rFonts w:ascii="Courier New" w:cs="Courier New" w:eastAsia="Courier New" w:hAnsi="Courier New"/>
          <w:sz w:val="18"/>
          <w:szCs w:val="18"/>
          <w:color w:val="auto"/>
        </w:rPr>
        <w:t>BlackRock Institutional Trust Company, N.A.</w:t>
      </w:r>
    </w:p>
    <w:p>
      <w:pPr>
        <w:spacing w:after="0" w:line="237" w:lineRule="auto"/>
        <w:rPr>
          <w:sz w:val="20"/>
          <w:szCs w:val="20"/>
          <w:color w:val="auto"/>
        </w:rPr>
      </w:pPr>
      <w:r>
        <w:rPr>
          <w:rFonts w:ascii="Courier New" w:cs="Courier New" w:eastAsia="Courier New" w:hAnsi="Courier New"/>
          <w:sz w:val="18"/>
          <w:szCs w:val="18"/>
          <w:color w:val="auto"/>
        </w:rPr>
        <w:t>BlackRock Japan Co. Ltd.</w:t>
      </w:r>
    </w:p>
    <w:p>
      <w:pPr>
        <w:spacing w:after="0"/>
        <w:rPr>
          <w:sz w:val="20"/>
          <w:szCs w:val="20"/>
          <w:color w:val="auto"/>
        </w:rPr>
      </w:pPr>
      <w:r>
        <w:rPr>
          <w:rFonts w:ascii="Courier New" w:cs="Courier New" w:eastAsia="Courier New" w:hAnsi="Courier New"/>
          <w:sz w:val="18"/>
          <w:szCs w:val="18"/>
          <w:color w:val="auto"/>
        </w:rPr>
        <w:t>BlackRock Investment Management (UK) Limited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Mallow,Howard Surloff,Edward Baer, Bartholomew Battista,</w:t>
      </w:r>
    </w:p>
    <w:p>
      <w:pPr>
        <w:spacing w:after="0" w:line="1"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Dan Waltcher, Karen Clark, Daniel Ronnen,John Stelley, Brian Kindelan, John Blevins, Richard Froio, Matthew Fitzgerald and Con Tzatzakis acting severally, as its true and lawful attorneys-in-fact, for the purpose of, from time to time,executing in its name and on its behalf, whether the Company is acting individually or as representative of others, any and all documents, certificates, instruments, statements, other filings and amendments tothe foregoing (collectively, "documents") determined by such person to be necessary or appropriate to comply with ownership or control-person reporting requirements imposed by any United States</w:t>
      </w:r>
    </w:p>
    <w:p>
      <w:pPr>
        <w:spacing w:after="0" w:line="2" w:lineRule="exact"/>
        <w:rPr>
          <w:sz w:val="20"/>
          <w:szCs w:val="20"/>
          <w:color w:val="auto"/>
        </w:rPr>
      </w:pPr>
    </w:p>
    <w:p>
      <w:pPr>
        <w:ind w:right="3039"/>
        <w:spacing w:after="0" w:line="270" w:lineRule="auto"/>
        <w:rPr>
          <w:sz w:val="20"/>
          <w:szCs w:val="20"/>
          <w:color w:val="auto"/>
        </w:rPr>
      </w:pPr>
      <w:r>
        <w:rPr>
          <w:rFonts w:ascii="Courier New" w:cs="Courier New" w:eastAsia="Courier New" w:hAnsi="Courier New"/>
          <w:sz w:val="16"/>
          <w:szCs w:val="16"/>
          <w:color w:val="auto"/>
        </w:rPr>
        <w:t>or non-United States governmental or regulatory authority, including without limitation Forms 3, 4, 5,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189"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8"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November,2011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10th day of July, 2012.</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Leavy</w:t>
      </w:r>
    </w:p>
    <w:p>
      <w:pPr>
        <w:spacing w:after="0" w:line="238" w:lineRule="auto"/>
        <w:rPr>
          <w:sz w:val="20"/>
          <w:szCs w:val="20"/>
          <w:color w:val="auto"/>
        </w:rPr>
      </w:pPr>
      <w:r>
        <w:rPr>
          <w:rFonts w:ascii="Courier New" w:cs="Courier New" w:eastAsia="Courier New" w:hAnsi="Courier New"/>
          <w:sz w:val="18"/>
          <w:szCs w:val="18"/>
          <w:color w:val="auto"/>
        </w:rPr>
        <w:t>Name: Chris Leavy</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2019-12-06T15:14:15Z</dcterms:created>
  <dcterms:modified xsi:type="dcterms:W3CDTF">2019-12-06T15:14:15Z</dcterms:modified>
</cp:coreProperties>
</file>