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302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271780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Report of Foreign Private Issuer</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Pursuant to Rule 13a-16 or 15d-16 under the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month of February 2025</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Commission File Number: 001-14014</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CREDICORP LTD.</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our subsidiary</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Banco de Credito del Peru:</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Calle Centenario 156</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La Molina</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Lima 12, Peru</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3"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220345</wp:posOffset>
            </wp:positionV>
            <wp:extent cx="713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311785</wp:posOffset>
            </wp:positionV>
            <wp:extent cx="7136130"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3302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445135</wp:posOffset>
            </wp:positionV>
            <wp:extent cx="713613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 w:name="page2"/>
    <w:bookmarkEnd w:id="1"/>
    <w:p>
      <w:pPr>
        <w:jc w:val="both"/>
        <w:spacing w:after="0" w:line="277" w:lineRule="auto"/>
        <w:rPr>
          <w:sz w:val="20"/>
          <w:szCs w:val="20"/>
          <w:color w:val="auto"/>
        </w:rPr>
      </w:pPr>
      <w:r>
        <w:rPr>
          <w:rFonts w:ascii="Times New Roman" w:cs="Times New Roman" w:eastAsia="Times New Roman" w:hAnsi="Times New Roman"/>
          <w:sz w:val="17"/>
          <w:szCs w:val="17"/>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3" w:lineRule="exact"/>
        <w:rPr>
          <w:sz w:val="20"/>
          <w:szCs w:val="20"/>
          <w:color w:val="auto"/>
        </w:rPr>
      </w:pPr>
    </w:p>
    <w:p>
      <w:pPr>
        <w:ind w:right="740" w:firstLine="519"/>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February 14, 2025</w:t>
      </w:r>
    </w:p>
    <w:p>
      <w:pPr>
        <w:spacing w:after="0" w:line="21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CREDICORP LTD.</w:t>
      </w:r>
    </w:p>
    <w:p>
      <w:pPr>
        <w:spacing w:after="0" w:line="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(Registrant)</w:t>
      </w:r>
    </w:p>
    <w:p>
      <w:pPr>
        <w:spacing w:after="0" w:line="1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20955</wp:posOffset>
            </wp:positionV>
            <wp:extent cx="238125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1250" cy="16510"/>
                    </a:xfrm>
                    <a:prstGeom prst="rect">
                      <a:avLst/>
                    </a:prstGeom>
                    <a:noFill/>
                  </pic:spPr>
                </pic:pic>
              </a:graphicData>
            </a:graphic>
          </wp:anchor>
        </w:drawing>
      </w:r>
    </w:p>
    <w:p>
      <w:pPr>
        <w:spacing w:after="0" w:line="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b w:val="1"/>
          <w:bCs w:val="1"/>
          <w:color w:val="auto"/>
        </w:rPr>
        <w:t>Milagros Cigüeñas</w:t>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1361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92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3302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132715</wp:posOffset>
            </wp:positionV>
            <wp:extent cx="7136130" cy="8485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8485505"/>
                    </a:xfrm>
                    <a:prstGeom prst="rect">
                      <a:avLst/>
                    </a:prstGeom>
                    <a:noFill/>
                  </pic:spPr>
                </pic:pic>
              </a:graphicData>
            </a:graphic>
          </wp:anchor>
        </w:drawing>
      </w:r>
    </w:p>
    <w:p>
      <w:pPr>
        <w:sectPr>
          <w:pgSz w:w="11900" w:h="16838" w:orient="portrait"/>
          <w:cols w:equalWidth="0" w:num="1">
            <w:col w:w="10120"/>
          </w:cols>
          <w:pgMar w:left="1440" w:top="256" w:right="339" w:bottom="1440" w:gutter="0" w:footer="0" w:header="0"/>
        </w:sectPr>
      </w:pPr>
    </w:p>
    <w:bookmarkStart w:id="3" w:name="page4"/>
    <w:bookmarkEnd w:id="3"/>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7"/>
          <w:szCs w:val="47"/>
          <w:b w:val="1"/>
          <w:bCs w:val="1"/>
          <w:color w:val="2AD2C8"/>
        </w:rPr>
        <w:t>Table of Contents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256"/>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Operatng and Financial Highlights</w:t>
            </w:r>
          </w:p>
        </w:tc>
        <w:tc>
          <w:tcPr>
            <w:tcW w:w="3180" w:type="dxa"/>
            <w:vAlign w:val="bottom"/>
          </w:tcPr>
          <w:p>
            <w:pPr>
              <w:jc w:val="right"/>
              <w:spacing w:after="0"/>
              <w:rPr>
                <w:sz w:val="20"/>
                <w:szCs w:val="20"/>
                <w:color w:val="auto"/>
              </w:rPr>
            </w:pPr>
            <w:r>
              <w:rPr>
                <w:rFonts w:ascii="Calibri" w:cs="Calibri" w:eastAsia="Calibri" w:hAnsi="Calibri"/>
                <w:sz w:val="21"/>
                <w:szCs w:val="21"/>
                <w:color w:val="auto"/>
              </w:rPr>
              <w:t>03</w:t>
            </w:r>
          </w:p>
        </w:tc>
      </w:tr>
      <w:tr>
        <w:trPr>
          <w:trHeight w:val="525"/>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Senior Management Quotes</w:t>
            </w:r>
          </w:p>
        </w:tc>
        <w:tc>
          <w:tcPr>
            <w:tcW w:w="3180" w:type="dxa"/>
            <w:vAlign w:val="bottom"/>
          </w:tcPr>
          <w:p>
            <w:pPr>
              <w:jc w:val="right"/>
              <w:spacing w:after="0"/>
              <w:rPr>
                <w:sz w:val="20"/>
                <w:szCs w:val="20"/>
                <w:color w:val="auto"/>
              </w:rPr>
            </w:pPr>
            <w:r>
              <w:rPr>
                <w:rFonts w:ascii="Calibri" w:cs="Calibri" w:eastAsia="Calibri" w:hAnsi="Calibri"/>
                <w:sz w:val="21"/>
                <w:szCs w:val="21"/>
                <w:color w:val="auto"/>
              </w:rPr>
              <w:t>05</w:t>
            </w:r>
          </w:p>
        </w:tc>
      </w:tr>
      <w:tr>
        <w:trPr>
          <w:trHeight w:val="525"/>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Fourth Quarter 2024 Earnings Conference Call</w:t>
            </w:r>
          </w:p>
        </w:tc>
        <w:tc>
          <w:tcPr>
            <w:tcW w:w="3180" w:type="dxa"/>
            <w:vAlign w:val="bottom"/>
          </w:tcPr>
          <w:p>
            <w:pPr>
              <w:jc w:val="right"/>
              <w:spacing w:after="0"/>
              <w:rPr>
                <w:sz w:val="20"/>
                <w:szCs w:val="20"/>
                <w:color w:val="auto"/>
              </w:rPr>
            </w:pPr>
            <w:r>
              <w:rPr>
                <w:rFonts w:ascii="Calibri" w:cs="Calibri" w:eastAsia="Calibri" w:hAnsi="Calibri"/>
                <w:sz w:val="21"/>
                <w:szCs w:val="21"/>
                <w:color w:val="auto"/>
              </w:rPr>
              <w:t>06</w:t>
            </w:r>
          </w:p>
        </w:tc>
      </w:tr>
      <w:tr>
        <w:trPr>
          <w:trHeight w:val="525"/>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Summary of Financial Performance and Outlook</w:t>
            </w:r>
          </w:p>
        </w:tc>
        <w:tc>
          <w:tcPr>
            <w:tcW w:w="3180" w:type="dxa"/>
            <w:vAlign w:val="bottom"/>
          </w:tcPr>
          <w:p>
            <w:pPr>
              <w:jc w:val="right"/>
              <w:spacing w:after="0"/>
              <w:rPr>
                <w:sz w:val="20"/>
                <w:szCs w:val="20"/>
                <w:color w:val="auto"/>
              </w:rPr>
            </w:pPr>
            <w:r>
              <w:rPr>
                <w:rFonts w:ascii="Calibri" w:cs="Calibri" w:eastAsia="Calibri" w:hAnsi="Calibri"/>
                <w:sz w:val="21"/>
                <w:szCs w:val="21"/>
                <w:color w:val="auto"/>
              </w:rPr>
              <w:t>07</w:t>
            </w:r>
          </w:p>
        </w:tc>
      </w:tr>
      <w:tr>
        <w:trPr>
          <w:trHeight w:val="525"/>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Financial Overview</w:t>
            </w:r>
          </w:p>
        </w:tc>
        <w:tc>
          <w:tcPr>
            <w:tcW w:w="3180" w:type="dxa"/>
            <w:vAlign w:val="bottom"/>
          </w:tcPr>
          <w:p>
            <w:pPr>
              <w:jc w:val="right"/>
              <w:spacing w:after="0"/>
              <w:rPr>
                <w:sz w:val="20"/>
                <w:szCs w:val="20"/>
                <w:color w:val="auto"/>
              </w:rPr>
            </w:pPr>
            <w:r>
              <w:rPr>
                <w:rFonts w:ascii="Calibri" w:cs="Calibri" w:eastAsia="Calibri" w:hAnsi="Calibri"/>
                <w:sz w:val="21"/>
                <w:szCs w:val="21"/>
                <w:color w:val="auto"/>
              </w:rPr>
              <w:t>12</w:t>
            </w:r>
          </w:p>
        </w:tc>
      </w:tr>
      <w:tr>
        <w:trPr>
          <w:trHeight w:val="525"/>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Credicorp’s Strategy Update</w:t>
            </w:r>
          </w:p>
        </w:tc>
        <w:tc>
          <w:tcPr>
            <w:tcW w:w="3180" w:type="dxa"/>
            <w:vAlign w:val="bottom"/>
          </w:tcPr>
          <w:p>
            <w:pPr>
              <w:jc w:val="right"/>
              <w:spacing w:after="0"/>
              <w:rPr>
                <w:sz w:val="20"/>
                <w:szCs w:val="20"/>
                <w:color w:val="auto"/>
              </w:rPr>
            </w:pPr>
            <w:r>
              <w:rPr>
                <w:rFonts w:ascii="Calibri" w:cs="Calibri" w:eastAsia="Calibri" w:hAnsi="Calibri"/>
                <w:sz w:val="21"/>
                <w:szCs w:val="21"/>
                <w:color w:val="auto"/>
              </w:rPr>
              <w:t>13</w:t>
            </w:r>
          </w:p>
        </w:tc>
      </w:tr>
      <w:tr>
        <w:trPr>
          <w:trHeight w:val="459"/>
        </w:trPr>
        <w:tc>
          <w:tcPr>
            <w:tcW w:w="7120" w:type="dxa"/>
            <w:vAlign w:val="bottom"/>
          </w:tcPr>
          <w:p>
            <w:pPr>
              <w:spacing w:after="0"/>
              <w:rPr>
                <w:sz w:val="20"/>
                <w:szCs w:val="20"/>
                <w:color w:val="auto"/>
              </w:rPr>
            </w:pPr>
            <w:r>
              <w:rPr>
                <w:rFonts w:ascii="Calibri" w:cs="Calibri" w:eastAsia="Calibri" w:hAnsi="Calibri"/>
                <w:sz w:val="21"/>
                <w:szCs w:val="21"/>
                <w:b w:val="1"/>
                <w:bCs w:val="1"/>
                <w:color w:val="A6A6A6"/>
              </w:rPr>
              <w:t>Analysis of 4Q24 Consolidated Results</w:t>
            </w:r>
          </w:p>
        </w:tc>
        <w:tc>
          <w:tcPr>
            <w:tcW w:w="3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-2089150</wp:posOffset>
            </wp:positionV>
            <wp:extent cx="125095" cy="13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09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-1755775</wp:posOffset>
            </wp:positionV>
            <wp:extent cx="125095"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09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-1423035</wp:posOffset>
            </wp:positionV>
            <wp:extent cx="125095" cy="133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09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-1089660</wp:posOffset>
            </wp:positionV>
            <wp:extent cx="125095" cy="133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09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-756920</wp:posOffset>
            </wp:positionV>
            <wp:extent cx="125095" cy="133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09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-423545</wp:posOffset>
            </wp:positionV>
            <wp:extent cx="125095"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09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-132080</wp:posOffset>
            </wp:positionV>
            <wp:extent cx="125095"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095" cy="13335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156"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01</w:t>
      </w:r>
    </w:p>
    <w:p>
      <w:pPr>
        <w:spacing w:after="0" w:line="12"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02</w:t>
      </w:r>
    </w:p>
    <w:p>
      <w:pPr>
        <w:spacing w:after="0" w:line="25"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03</w:t>
      </w:r>
    </w:p>
    <w:p>
      <w:pPr>
        <w:spacing w:after="0" w:line="12"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04</w:t>
      </w:r>
    </w:p>
    <w:p>
      <w:pPr>
        <w:spacing w:after="0" w:line="25"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05</w:t>
      </w:r>
    </w:p>
    <w:p>
      <w:pPr>
        <w:spacing w:after="0" w:line="12"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06</w:t>
      </w:r>
    </w:p>
    <w:p>
      <w:pPr>
        <w:spacing w:after="0" w:line="12"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07</w:t>
      </w:r>
    </w:p>
    <w:p>
      <w:pPr>
        <w:spacing w:after="0" w:line="12"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08</w:t>
      </w:r>
    </w:p>
    <w:p>
      <w:pPr>
        <w:spacing w:after="0" w:line="25"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09</w:t>
      </w:r>
    </w:p>
    <w:p>
      <w:pPr>
        <w:spacing w:after="0" w:line="12"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10</w:t>
      </w:r>
    </w:p>
    <w:p>
      <w:pPr>
        <w:spacing w:after="0" w:line="25"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11</w:t>
      </w:r>
    </w:p>
    <w:p>
      <w:pPr>
        <w:spacing w:after="0" w:line="25" w:lineRule="exact"/>
        <w:rPr>
          <w:sz w:val="20"/>
          <w:szCs w:val="20"/>
          <w:color w:val="auto"/>
        </w:rPr>
      </w:pPr>
    </w:p>
    <w:p>
      <w:pPr>
        <w:ind w:left="900"/>
        <w:spacing w:after="0"/>
        <w:rPr>
          <w:sz w:val="20"/>
          <w:szCs w:val="20"/>
          <w:color w:val="auto"/>
        </w:rPr>
      </w:pPr>
      <w:r>
        <w:rPr>
          <w:rFonts w:ascii="Calibri" w:cs="Calibri" w:eastAsia="Calibri" w:hAnsi="Calibri"/>
          <w:sz w:val="42"/>
          <w:szCs w:val="42"/>
          <w:b w:val="1"/>
          <w:bCs w:val="1"/>
          <w:color w:val="E93BAC"/>
        </w:rPr>
        <w:t>12</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180" w:type="dxa"/>
            <w:vAlign w:val="bottom"/>
          </w:tcPr>
          <w:p>
            <w:pPr>
              <w:spacing w:after="0"/>
              <w:rPr>
                <w:sz w:val="20"/>
                <w:szCs w:val="20"/>
                <w:color w:val="auto"/>
              </w:rPr>
            </w:pPr>
            <w:r>
              <w:rPr>
                <w:rFonts w:ascii="Calibri" w:cs="Calibri" w:eastAsia="Calibri" w:hAnsi="Calibri"/>
                <w:sz w:val="21"/>
                <w:szCs w:val="21"/>
                <w:color w:val="E93BAC"/>
              </w:rPr>
              <w:t>Loan Portolio</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17</w:t>
            </w:r>
          </w:p>
        </w:tc>
      </w:tr>
      <w:tr>
        <w:trPr>
          <w:trHeight w:val="577"/>
        </w:trPr>
        <w:tc>
          <w:tcPr>
            <w:tcW w:w="6180" w:type="dxa"/>
            <w:vAlign w:val="bottom"/>
          </w:tcPr>
          <w:p>
            <w:pPr>
              <w:spacing w:after="0"/>
              <w:rPr>
                <w:sz w:val="20"/>
                <w:szCs w:val="20"/>
                <w:color w:val="auto"/>
              </w:rPr>
            </w:pPr>
            <w:r>
              <w:rPr>
                <w:rFonts w:ascii="Calibri" w:cs="Calibri" w:eastAsia="Calibri" w:hAnsi="Calibri"/>
                <w:sz w:val="21"/>
                <w:szCs w:val="21"/>
                <w:color w:val="E93BAC"/>
              </w:rPr>
              <w:t>Deposits</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20</w:t>
            </w:r>
          </w:p>
        </w:tc>
      </w:tr>
      <w:tr>
        <w:trPr>
          <w:trHeight w:val="525"/>
        </w:trPr>
        <w:tc>
          <w:tcPr>
            <w:tcW w:w="6180" w:type="dxa"/>
            <w:vAlign w:val="bottom"/>
          </w:tcPr>
          <w:p>
            <w:pPr>
              <w:spacing w:after="0"/>
              <w:rPr>
                <w:sz w:val="20"/>
                <w:szCs w:val="20"/>
                <w:color w:val="auto"/>
              </w:rPr>
            </w:pPr>
            <w:r>
              <w:rPr>
                <w:rFonts w:ascii="Calibri" w:cs="Calibri" w:eastAsia="Calibri" w:hAnsi="Calibri"/>
                <w:sz w:val="21"/>
                <w:szCs w:val="21"/>
                <w:color w:val="E93BAC"/>
              </w:rPr>
              <w:t>Interest Earning Assets and Funding</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23</w:t>
            </w:r>
          </w:p>
        </w:tc>
      </w:tr>
      <w:tr>
        <w:trPr>
          <w:trHeight w:val="538"/>
        </w:trPr>
        <w:tc>
          <w:tcPr>
            <w:tcW w:w="6180" w:type="dxa"/>
            <w:vAlign w:val="bottom"/>
          </w:tcPr>
          <w:p>
            <w:pPr>
              <w:spacing w:after="0"/>
              <w:rPr>
                <w:sz w:val="20"/>
                <w:szCs w:val="20"/>
                <w:color w:val="auto"/>
              </w:rPr>
            </w:pPr>
            <w:r>
              <w:rPr>
                <w:rFonts w:ascii="Calibri" w:cs="Calibri" w:eastAsia="Calibri" w:hAnsi="Calibri"/>
                <w:sz w:val="21"/>
                <w:szCs w:val="21"/>
                <w:color w:val="E93BAC"/>
              </w:rPr>
              <w:t>Net Interest Income (NII)</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24</w:t>
            </w:r>
          </w:p>
        </w:tc>
      </w:tr>
      <w:tr>
        <w:trPr>
          <w:trHeight w:val="577"/>
        </w:trPr>
        <w:tc>
          <w:tcPr>
            <w:tcW w:w="6180" w:type="dxa"/>
            <w:vAlign w:val="bottom"/>
          </w:tcPr>
          <w:p>
            <w:pPr>
              <w:spacing w:after="0"/>
              <w:rPr>
                <w:sz w:val="20"/>
                <w:szCs w:val="20"/>
                <w:color w:val="auto"/>
              </w:rPr>
            </w:pPr>
            <w:r>
              <w:rPr>
                <w:rFonts w:ascii="Calibri" w:cs="Calibri" w:eastAsia="Calibri" w:hAnsi="Calibri"/>
                <w:sz w:val="21"/>
                <w:szCs w:val="21"/>
                <w:color w:val="E93BAC"/>
              </w:rPr>
              <w:t>Portolio Quality and Provisions</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27</w:t>
            </w:r>
          </w:p>
        </w:tc>
      </w:tr>
      <w:tr>
        <w:trPr>
          <w:trHeight w:val="485"/>
        </w:trPr>
        <w:tc>
          <w:tcPr>
            <w:tcW w:w="6180" w:type="dxa"/>
            <w:vAlign w:val="bottom"/>
          </w:tcPr>
          <w:p>
            <w:pPr>
              <w:spacing w:after="0"/>
              <w:rPr>
                <w:sz w:val="20"/>
                <w:szCs w:val="20"/>
                <w:color w:val="auto"/>
              </w:rPr>
            </w:pPr>
            <w:r>
              <w:rPr>
                <w:rFonts w:ascii="Calibri" w:cs="Calibri" w:eastAsia="Calibri" w:hAnsi="Calibri"/>
                <w:sz w:val="21"/>
                <w:szCs w:val="21"/>
                <w:color w:val="E93BAC"/>
              </w:rPr>
              <w:t>Other Income</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31</w:t>
            </w:r>
          </w:p>
        </w:tc>
      </w:tr>
      <w:tr>
        <w:trPr>
          <w:trHeight w:val="525"/>
        </w:trPr>
        <w:tc>
          <w:tcPr>
            <w:tcW w:w="6180" w:type="dxa"/>
            <w:vAlign w:val="bottom"/>
          </w:tcPr>
          <w:p>
            <w:pPr>
              <w:spacing w:after="0"/>
              <w:rPr>
                <w:sz w:val="20"/>
                <w:szCs w:val="20"/>
                <w:color w:val="auto"/>
              </w:rPr>
            </w:pPr>
            <w:r>
              <w:rPr>
                <w:rFonts w:ascii="Calibri" w:cs="Calibri" w:eastAsia="Calibri" w:hAnsi="Calibri"/>
                <w:sz w:val="21"/>
                <w:szCs w:val="21"/>
                <w:color w:val="E93BAC"/>
              </w:rPr>
              <w:t>Insurance Underwritng Results</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35</w:t>
            </w:r>
          </w:p>
        </w:tc>
      </w:tr>
      <w:tr>
        <w:trPr>
          <w:trHeight w:val="525"/>
        </w:trPr>
        <w:tc>
          <w:tcPr>
            <w:tcW w:w="6180" w:type="dxa"/>
            <w:vAlign w:val="bottom"/>
          </w:tcPr>
          <w:p>
            <w:pPr>
              <w:spacing w:after="0"/>
              <w:rPr>
                <w:sz w:val="20"/>
                <w:szCs w:val="20"/>
                <w:color w:val="auto"/>
              </w:rPr>
            </w:pPr>
            <w:r>
              <w:rPr>
                <w:rFonts w:ascii="Calibri" w:cs="Calibri" w:eastAsia="Calibri" w:hAnsi="Calibri"/>
                <w:sz w:val="21"/>
                <w:szCs w:val="21"/>
                <w:color w:val="E93BAC"/>
              </w:rPr>
              <w:t>Operatng Expenses</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37</w:t>
            </w:r>
          </w:p>
        </w:tc>
      </w:tr>
      <w:tr>
        <w:trPr>
          <w:trHeight w:val="525"/>
        </w:trPr>
        <w:tc>
          <w:tcPr>
            <w:tcW w:w="6180" w:type="dxa"/>
            <w:vAlign w:val="bottom"/>
          </w:tcPr>
          <w:p>
            <w:pPr>
              <w:spacing w:after="0"/>
              <w:rPr>
                <w:sz w:val="20"/>
                <w:szCs w:val="20"/>
                <w:color w:val="auto"/>
              </w:rPr>
            </w:pPr>
            <w:r>
              <w:rPr>
                <w:rFonts w:ascii="Calibri" w:cs="Calibri" w:eastAsia="Calibri" w:hAnsi="Calibri"/>
                <w:sz w:val="21"/>
                <w:szCs w:val="21"/>
                <w:color w:val="E93BAC"/>
              </w:rPr>
              <w:t>Operatng Efciency</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39</w:t>
            </w:r>
          </w:p>
        </w:tc>
      </w:tr>
      <w:tr>
        <w:trPr>
          <w:trHeight w:val="538"/>
        </w:trPr>
        <w:tc>
          <w:tcPr>
            <w:tcW w:w="6180" w:type="dxa"/>
            <w:vAlign w:val="bottom"/>
          </w:tcPr>
          <w:p>
            <w:pPr>
              <w:spacing w:after="0"/>
              <w:rPr>
                <w:sz w:val="20"/>
                <w:szCs w:val="20"/>
                <w:color w:val="auto"/>
              </w:rPr>
            </w:pPr>
            <w:r>
              <w:rPr>
                <w:rFonts w:ascii="Calibri" w:cs="Calibri" w:eastAsia="Calibri" w:hAnsi="Calibri"/>
                <w:sz w:val="21"/>
                <w:szCs w:val="21"/>
                <w:color w:val="E93BAC"/>
              </w:rPr>
              <w:t>Regulatory Capital</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40</w:t>
            </w:r>
          </w:p>
        </w:tc>
      </w:tr>
      <w:tr>
        <w:trPr>
          <w:trHeight w:val="525"/>
        </w:trPr>
        <w:tc>
          <w:tcPr>
            <w:tcW w:w="6180" w:type="dxa"/>
            <w:vAlign w:val="bottom"/>
          </w:tcPr>
          <w:p>
            <w:pPr>
              <w:spacing w:after="0"/>
              <w:rPr>
                <w:sz w:val="20"/>
                <w:szCs w:val="20"/>
                <w:color w:val="auto"/>
              </w:rPr>
            </w:pPr>
            <w:r>
              <w:rPr>
                <w:rFonts w:ascii="Calibri" w:cs="Calibri" w:eastAsia="Calibri" w:hAnsi="Calibri"/>
                <w:sz w:val="21"/>
                <w:szCs w:val="21"/>
                <w:color w:val="E93BAC"/>
              </w:rPr>
              <w:t>Economic Outlook</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42</w:t>
            </w:r>
          </w:p>
        </w:tc>
      </w:tr>
      <w:tr>
        <w:trPr>
          <w:trHeight w:val="538"/>
        </w:trPr>
        <w:tc>
          <w:tcPr>
            <w:tcW w:w="6180" w:type="dxa"/>
            <w:vAlign w:val="bottom"/>
          </w:tcPr>
          <w:p>
            <w:pPr>
              <w:spacing w:after="0"/>
              <w:rPr>
                <w:sz w:val="20"/>
                <w:szCs w:val="20"/>
                <w:color w:val="auto"/>
              </w:rPr>
            </w:pPr>
            <w:r>
              <w:rPr>
                <w:rFonts w:ascii="Calibri" w:cs="Calibri" w:eastAsia="Calibri" w:hAnsi="Calibri"/>
                <w:sz w:val="21"/>
                <w:szCs w:val="21"/>
                <w:color w:val="E93BAC"/>
              </w:rPr>
              <w:t>Appendix</w:t>
            </w:r>
          </w:p>
        </w:tc>
        <w:tc>
          <w:tcPr>
            <w:tcW w:w="3360" w:type="dxa"/>
            <w:vAlign w:val="bottom"/>
          </w:tcPr>
          <w:p>
            <w:pPr>
              <w:jc w:val="right"/>
              <w:spacing w:after="0"/>
              <w:rPr>
                <w:sz w:val="20"/>
                <w:szCs w:val="20"/>
                <w:color w:val="auto"/>
              </w:rPr>
            </w:pPr>
            <w:r>
              <w:rPr>
                <w:rFonts w:ascii="Calibri" w:cs="Calibri" w:eastAsia="Calibri" w:hAnsi="Calibri"/>
                <w:sz w:val="21"/>
                <w:szCs w:val="21"/>
                <w:color w:val="auto"/>
              </w:rPr>
              <w:t>46</w:t>
            </w:r>
          </w:p>
        </w:tc>
      </w:tr>
    </w:tbl>
    <w:p>
      <w:pPr>
        <w:spacing w:after="0" w:line="291" w:lineRule="exact"/>
        <w:rPr>
          <w:sz w:val="20"/>
          <w:szCs w:val="20"/>
          <w:color w:val="auto"/>
        </w:rPr>
      </w:pPr>
    </w:p>
    <w:p>
      <w:pPr>
        <w:sectPr>
          <w:pgSz w:w="11900" w:h="16838" w:orient="portrait"/>
          <w:cols w:equalWidth="0" w:num="2">
            <w:col w:w="1340" w:space="360"/>
            <w:col w:w="9540"/>
          </w:cols>
          <w:pgMar w:left="320" w:top="279" w:right="339" w:bottom="1440" w:gutter="0" w:footer="0" w:header="0"/>
          <w:type w:val="continuous"/>
        </w:sectPr>
      </w:pPr>
    </w:p>
    <w:p>
      <w:pPr>
        <w:spacing w:after="0" w:line="18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 w:name="page5"/>
    <w:bookmarkEnd w:id="4"/>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182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80"/>
        <w:spacing w:after="0"/>
        <w:rPr>
          <w:sz w:val="20"/>
          <w:szCs w:val="20"/>
          <w:color w:val="auto"/>
        </w:rPr>
      </w:pPr>
      <w:r>
        <w:rPr>
          <w:rFonts w:ascii="Calibri" w:cs="Calibri" w:eastAsia="Calibri" w:hAnsi="Calibri"/>
          <w:sz w:val="19"/>
          <w:szCs w:val="19"/>
          <w:b w:val="1"/>
          <w:bCs w:val="1"/>
          <w:color w:val="auto"/>
        </w:rPr>
        <w:t>Credicorp Ltd. Reports Financial and Operatng Results for 4Q24</w:t>
      </w:r>
    </w:p>
    <w:p>
      <w:pPr>
        <w:spacing w:after="0" w:line="163" w:lineRule="exact"/>
        <w:rPr>
          <w:sz w:val="20"/>
          <w:szCs w:val="20"/>
          <w:color w:val="auto"/>
        </w:rPr>
      </w:pPr>
    </w:p>
    <w:p>
      <w:pPr>
        <w:jc w:val="center"/>
        <w:ind w:right="280"/>
        <w:spacing w:after="0" w:line="242" w:lineRule="auto"/>
        <w:rPr>
          <w:sz w:val="20"/>
          <w:szCs w:val="20"/>
          <w:color w:val="auto"/>
        </w:rPr>
      </w:pPr>
      <w:r>
        <w:rPr>
          <w:rFonts w:ascii="Calibri" w:cs="Calibri" w:eastAsia="Calibri" w:hAnsi="Calibri"/>
          <w:sz w:val="19"/>
          <w:szCs w:val="19"/>
          <w:i w:val="1"/>
          <w:iCs w:val="1"/>
          <w:color w:val="auto"/>
        </w:rPr>
        <w:t>Strong 4Q24 performance, with positve operatonal trends supported by improved CoR, a resilient margin and diversifed non-interest revenue streams</w:t>
      </w:r>
    </w:p>
    <w:p>
      <w:pPr>
        <w:spacing w:after="0" w:line="147" w:lineRule="exact"/>
        <w:rPr>
          <w:sz w:val="20"/>
          <w:szCs w:val="20"/>
          <w:color w:val="auto"/>
        </w:rPr>
      </w:pPr>
    </w:p>
    <w:p>
      <w:pPr>
        <w:jc w:val="center"/>
        <w:ind w:right="280"/>
        <w:spacing w:after="0"/>
        <w:rPr>
          <w:sz w:val="20"/>
          <w:szCs w:val="20"/>
          <w:color w:val="auto"/>
        </w:rPr>
      </w:pPr>
      <w:r>
        <w:rPr>
          <w:rFonts w:ascii="Calibri" w:cs="Calibri" w:eastAsia="Calibri" w:hAnsi="Calibri"/>
          <w:sz w:val="19"/>
          <w:szCs w:val="19"/>
          <w:i w:val="1"/>
          <w:iCs w:val="1"/>
          <w:color w:val="auto"/>
        </w:rPr>
        <w:t>NIM at 6.34% underpinned by our low-cost funding advantage and disciplined interest rate management strategy</w:t>
      </w:r>
    </w:p>
    <w:p>
      <w:pPr>
        <w:spacing w:after="0" w:line="161" w:lineRule="exact"/>
        <w:rPr>
          <w:sz w:val="20"/>
          <w:szCs w:val="20"/>
          <w:color w:val="auto"/>
        </w:rPr>
      </w:pPr>
    </w:p>
    <w:p>
      <w:pPr>
        <w:jc w:val="center"/>
        <w:ind w:right="280"/>
        <w:spacing w:after="0"/>
        <w:rPr>
          <w:sz w:val="20"/>
          <w:szCs w:val="20"/>
          <w:color w:val="auto"/>
        </w:rPr>
      </w:pPr>
      <w:r>
        <w:rPr>
          <w:rFonts w:ascii="Calibri" w:cs="Calibri" w:eastAsia="Calibri" w:hAnsi="Calibri"/>
          <w:sz w:val="19"/>
          <w:szCs w:val="19"/>
          <w:i w:val="1"/>
          <w:iCs w:val="1"/>
          <w:color w:val="auto"/>
        </w:rPr>
        <w:t>Yape reached 13.7 million monthly actve users, maintaining its growth trajectory toward the 2026 target of 16.5 million.</w:t>
      </w:r>
    </w:p>
    <w:p>
      <w:pPr>
        <w:spacing w:after="0" w:line="137" w:lineRule="exact"/>
        <w:rPr>
          <w:sz w:val="20"/>
          <w:szCs w:val="20"/>
          <w:color w:val="auto"/>
        </w:rPr>
      </w:pPr>
    </w:p>
    <w:p>
      <w:pPr>
        <w:jc w:val="center"/>
        <w:ind w:right="280"/>
        <w:spacing w:after="0" w:line="242" w:lineRule="auto"/>
        <w:rPr>
          <w:sz w:val="20"/>
          <w:szCs w:val="20"/>
          <w:color w:val="auto"/>
        </w:rPr>
      </w:pPr>
      <w:r>
        <w:rPr>
          <w:rFonts w:ascii="Calibri" w:cs="Calibri" w:eastAsia="Calibri" w:hAnsi="Calibri"/>
          <w:sz w:val="19"/>
          <w:szCs w:val="19"/>
          <w:i w:val="1"/>
          <w:iCs w:val="1"/>
          <w:color w:val="auto"/>
        </w:rPr>
        <w:t>FY24 Net Income reached a historic high with ROE at 16.5%, or 17.2% excluding extraordinary items related to the Sartor case, in line with guidance</w:t>
      </w:r>
    </w:p>
    <w:p>
      <w:pPr>
        <w:spacing w:after="0" w:line="149" w:lineRule="exact"/>
        <w:rPr>
          <w:sz w:val="20"/>
          <w:szCs w:val="20"/>
          <w:color w:val="auto"/>
        </w:rPr>
      </w:pPr>
    </w:p>
    <w:p>
      <w:pPr>
        <w:jc w:val="both"/>
        <w:spacing w:after="0" w:line="243" w:lineRule="auto"/>
        <w:rPr>
          <w:sz w:val="20"/>
          <w:szCs w:val="20"/>
          <w:color w:val="auto"/>
        </w:rPr>
      </w:pPr>
      <w:r>
        <w:rPr>
          <w:rFonts w:ascii="Calibri" w:cs="Calibri" w:eastAsia="Calibri" w:hAnsi="Calibri"/>
          <w:sz w:val="19"/>
          <w:szCs w:val="19"/>
          <w:b w:val="1"/>
          <w:bCs w:val="1"/>
          <w:color w:val="auto"/>
        </w:rPr>
        <w:t>Lima, Peru – February 10, 2025 – Credicorp Ltd. (“Credicorp” or “the Company”) (NYSE: BAP | BVL: BAP)</w:t>
      </w:r>
      <w:r>
        <w:rPr>
          <w:rFonts w:ascii="Calibri" w:cs="Calibri" w:eastAsia="Calibri" w:hAnsi="Calibri"/>
          <w:sz w:val="19"/>
          <w:szCs w:val="19"/>
          <w:color w:val="auto"/>
        </w:rPr>
        <w:t>, the leading fnancial services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holding company in Peru with a presence in Chile, Colombia, Bolivia, and Panama today reported its unaudited results for the quarter ended December 31, 2024. Financial results are expressed in Soles and are presented in accordance with IFRS.</w:t>
      </w:r>
    </w:p>
    <w:p>
      <w:pPr>
        <w:spacing w:after="0" w:line="14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4Q24 OPERATING AND FINANCIAL HIGHLIGHTS</w:t>
      </w:r>
    </w:p>
    <w:p>
      <w:pPr>
        <w:spacing w:after="0" w:line="163" w:lineRule="exact"/>
        <w:rPr>
          <w:sz w:val="20"/>
          <w:szCs w:val="20"/>
          <w:color w:val="auto"/>
        </w:rPr>
      </w:pPr>
    </w:p>
    <w:p>
      <w:pPr>
        <w:jc w:val="both"/>
        <w:ind w:left="540" w:hanging="299"/>
        <w:spacing w:after="0" w:line="243"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Net Income </w:t>
      </w:r>
      <w:r>
        <w:rPr>
          <w:rFonts w:ascii="Calibri" w:cs="Calibri" w:eastAsia="Calibri" w:hAnsi="Calibri"/>
          <w:sz w:val="19"/>
          <w:szCs w:val="19"/>
          <w:color w:val="auto"/>
        </w:rPr>
        <w:t>atributed to Credicorp declined 26.1% QoQ, but increased 33.8% YoY to S/1,126.7 million. As a result, ROE stood at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13.3%, impacted by a 259 million soles one-ofs related to Sartor case. FY24 net income increased 13.1% YoY to a record high of S/5,501 million, with ROE reaching 16.5% and 17.2% when excluding the above- mentoned one-tme charge.</w:t>
      </w:r>
    </w:p>
    <w:p>
      <w:pPr>
        <w:spacing w:after="0" w:line="108" w:lineRule="exact"/>
        <w:rPr>
          <w:rFonts w:ascii="Times New Roman" w:cs="Times New Roman" w:eastAsia="Times New Roman" w:hAnsi="Times New Roman"/>
          <w:sz w:val="19"/>
          <w:szCs w:val="19"/>
          <w:color w:val="auto"/>
        </w:rPr>
      </w:pPr>
    </w:p>
    <w:p>
      <w:pPr>
        <w:jc w:val="both"/>
        <w:ind w:left="540" w:hanging="299"/>
        <w:spacing w:after="0" w:line="248"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Total Loans, </w:t>
      </w:r>
      <w:r>
        <w:rPr>
          <w:rFonts w:ascii="Calibri" w:cs="Calibri" w:eastAsia="Calibri" w:hAnsi="Calibri"/>
          <w:sz w:val="19"/>
          <w:szCs w:val="19"/>
          <w:color w:val="auto"/>
        </w:rPr>
        <w:t>measured in average daily balances (ADB) expanded by 0.7% QoQ, driven mainly by short-term corporate loans,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government program loans at SME-Business and Mortgages </w:t>
      </w:r>
      <w:r>
        <w:rPr>
          <w:rFonts w:ascii="Times New Roman" w:cs="Times New Roman" w:eastAsia="Times New Roman" w:hAnsi="Times New Roman"/>
          <w:sz w:val="19"/>
          <w:szCs w:val="19"/>
          <w:color w:val="auto"/>
        </w:rPr>
        <w:t>-</w:t>
      </w:r>
      <w:r>
        <w:rPr>
          <w:rFonts w:ascii="Calibri" w:cs="Calibri" w:eastAsia="Calibri" w:hAnsi="Calibri"/>
          <w:sz w:val="19"/>
          <w:szCs w:val="19"/>
          <w:color w:val="auto"/>
        </w:rPr>
        <w:t xml:space="preserve"> marking an infecton point. YoY, total loans declined 0.5% mainly due to stricter credit policies at Mibanco, higher amortzatons of short-term Middle Market banking loans, and a decrease in long-term SME-Pyme disbursements.</w:t>
      </w:r>
    </w:p>
    <w:p>
      <w:pPr>
        <w:spacing w:after="0" w:line="103" w:lineRule="exact"/>
        <w:rPr>
          <w:rFonts w:ascii="Times New Roman" w:cs="Times New Roman" w:eastAsia="Times New Roman" w:hAnsi="Times New Roman"/>
          <w:sz w:val="19"/>
          <w:szCs w:val="19"/>
          <w:color w:val="auto"/>
        </w:rPr>
      </w:pPr>
    </w:p>
    <w:p>
      <w:pPr>
        <w:ind w:left="540" w:hanging="299"/>
        <w:spacing w:after="0" w:line="242"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Total Deposits </w:t>
      </w:r>
      <w:r>
        <w:rPr>
          <w:rFonts w:ascii="Calibri" w:cs="Calibri" w:eastAsia="Calibri" w:hAnsi="Calibri"/>
          <w:sz w:val="19"/>
          <w:szCs w:val="19"/>
          <w:color w:val="auto"/>
        </w:rPr>
        <w:t>increased by 4.8% QoQ due to a seasonal increase in savings deposits, and 9.6% YoY driven by Low- Cost deposits, in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the context of higher system liquidity. Low-cost deposits accounted for 69.4% of total deposits.</w:t>
      </w:r>
    </w:p>
    <w:p>
      <w:pPr>
        <w:spacing w:after="0" w:line="109" w:lineRule="exact"/>
        <w:rPr>
          <w:rFonts w:ascii="Times New Roman" w:cs="Times New Roman" w:eastAsia="Times New Roman" w:hAnsi="Times New Roman"/>
          <w:sz w:val="19"/>
          <w:szCs w:val="19"/>
          <w:color w:val="auto"/>
        </w:rPr>
      </w:pPr>
    </w:p>
    <w:p>
      <w:pPr>
        <w:ind w:left="540" w:hanging="299"/>
        <w:spacing w:after="0" w:line="242"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NPL Rato </w:t>
      </w:r>
      <w:r>
        <w:rPr>
          <w:rFonts w:ascii="Calibri" w:cs="Calibri" w:eastAsia="Calibri" w:hAnsi="Calibri"/>
          <w:sz w:val="19"/>
          <w:szCs w:val="19"/>
          <w:color w:val="auto"/>
        </w:rPr>
        <w:t>improved 60 bps QoQ and 63 bps YoY to 5.3%, which refected improvements in risk management measures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repayments at BCP and Mibanco.</w:t>
      </w:r>
    </w:p>
    <w:p>
      <w:pPr>
        <w:spacing w:after="0" w:line="109" w:lineRule="exact"/>
        <w:rPr>
          <w:rFonts w:ascii="Times New Roman" w:cs="Times New Roman" w:eastAsia="Times New Roman" w:hAnsi="Times New Roman"/>
          <w:sz w:val="19"/>
          <w:szCs w:val="19"/>
          <w:color w:val="auto"/>
        </w:rPr>
      </w:pPr>
    </w:p>
    <w:p>
      <w:pPr>
        <w:ind w:left="540" w:hanging="299"/>
        <w:spacing w:after="0" w:line="242"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Provisions </w:t>
      </w:r>
      <w:r>
        <w:rPr>
          <w:rFonts w:ascii="Calibri" w:cs="Calibri" w:eastAsia="Calibri" w:hAnsi="Calibri"/>
          <w:sz w:val="19"/>
          <w:szCs w:val="19"/>
          <w:color w:val="auto"/>
        </w:rPr>
        <w:t>fell 14.4% QoQ, driven by beter payment performance in SMEs and Individuals. CoR declined to 2.1%, down 34 bps QoQ</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and 118 bps YoY, allowing for proactve lending at both BCP and Mibanco.</w:t>
      </w:r>
    </w:p>
    <w:p>
      <w:pPr>
        <w:spacing w:after="0" w:line="109" w:lineRule="exact"/>
        <w:rPr>
          <w:rFonts w:ascii="Times New Roman" w:cs="Times New Roman" w:eastAsia="Times New Roman" w:hAnsi="Times New Roman"/>
          <w:sz w:val="19"/>
          <w:szCs w:val="19"/>
          <w:color w:val="auto"/>
        </w:rPr>
      </w:pPr>
    </w:p>
    <w:p>
      <w:pPr>
        <w:ind w:left="540" w:hanging="299"/>
        <w:spacing w:after="0" w:line="242"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Core Income </w:t>
      </w:r>
      <w:r>
        <w:rPr>
          <w:rFonts w:ascii="Calibri" w:cs="Calibri" w:eastAsia="Calibri" w:hAnsi="Calibri"/>
          <w:sz w:val="19"/>
          <w:szCs w:val="19"/>
          <w:color w:val="auto"/>
        </w:rPr>
        <w:t>expanded by 1.7% QoQ and 8.9% YoY, driven by solid NII and record-high transactonal volumes, mainly via growth in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digital transactons and FX.</w:t>
      </w:r>
    </w:p>
    <w:p>
      <w:pPr>
        <w:spacing w:after="0" w:line="109" w:lineRule="exact"/>
        <w:rPr>
          <w:rFonts w:ascii="Times New Roman" w:cs="Times New Roman" w:eastAsia="Times New Roman" w:hAnsi="Times New Roman"/>
          <w:sz w:val="19"/>
          <w:szCs w:val="19"/>
          <w:color w:val="auto"/>
        </w:rPr>
      </w:pPr>
    </w:p>
    <w:p>
      <w:pPr>
        <w:ind w:left="540" w:hanging="299"/>
        <w:spacing w:after="0" w:line="242"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Insurance Underwritng Results </w:t>
      </w:r>
      <w:r>
        <w:rPr>
          <w:rFonts w:ascii="Calibri" w:cs="Calibri" w:eastAsia="Calibri" w:hAnsi="Calibri"/>
          <w:sz w:val="19"/>
          <w:szCs w:val="19"/>
          <w:color w:val="auto"/>
        </w:rPr>
        <w:t>increased by 7.2% QoQ, largely driven by stronger reinsurance results in the P&amp;C business, and was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up 8.8% YoY.</w:t>
      </w:r>
    </w:p>
    <w:p>
      <w:pPr>
        <w:spacing w:after="0" w:line="109" w:lineRule="exact"/>
        <w:rPr>
          <w:rFonts w:ascii="Times New Roman" w:cs="Times New Roman" w:eastAsia="Times New Roman" w:hAnsi="Times New Roman"/>
          <w:sz w:val="19"/>
          <w:szCs w:val="19"/>
          <w:color w:val="auto"/>
        </w:rPr>
      </w:pPr>
    </w:p>
    <w:p>
      <w:pPr>
        <w:jc w:val="both"/>
        <w:ind w:left="540" w:hanging="299"/>
        <w:spacing w:after="0" w:line="243"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Yape </w:t>
      </w:r>
      <w:r>
        <w:rPr>
          <w:rFonts w:ascii="Calibri" w:cs="Calibri" w:eastAsia="Calibri" w:hAnsi="Calibri"/>
          <w:sz w:val="19"/>
          <w:szCs w:val="19"/>
          <w:color w:val="auto"/>
        </w:rPr>
        <w:t>reached 13.7 million Monthly Actve Users (MAU), with an average of 51 monthly transactons per user. Afer reaching break-even in May 2024, the super app contnues its growth trajectory across its three business lines: payments, fnancial and e-commerce. In 4Q24, monthly revenues per actve user increased to S/6.5, while costs per actve user reached S/5.3, due to seasonal expenses recorded during the quarter.</w:t>
      </w:r>
    </w:p>
    <w:p>
      <w:pPr>
        <w:spacing w:after="0" w:line="109" w:lineRule="exact"/>
        <w:rPr>
          <w:rFonts w:ascii="Times New Roman" w:cs="Times New Roman" w:eastAsia="Times New Roman" w:hAnsi="Times New Roman"/>
          <w:sz w:val="19"/>
          <w:szCs w:val="19"/>
          <w:color w:val="auto"/>
        </w:rPr>
      </w:pPr>
    </w:p>
    <w:p>
      <w:pPr>
        <w:ind w:left="540" w:right="60" w:hanging="299"/>
        <w:spacing w:after="0" w:line="243"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 xml:space="preserve">Efciency Rato </w:t>
      </w:r>
      <w:r>
        <w:rPr>
          <w:rFonts w:ascii="Calibri" w:cs="Calibri" w:eastAsia="Calibri" w:hAnsi="Calibri"/>
          <w:sz w:val="19"/>
          <w:szCs w:val="19"/>
          <w:color w:val="auto"/>
        </w:rPr>
        <w:t>improved 30 bps YoY to 45.8% for FY24, refectng mainly growth in interest income and fee income. Operatng</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expenses increased 9.4% YoY, primarily due to BCP´s core business and disruptve initatves at Credicorp, where expenses rose 27.1%. Yape, Tenpo and Culqi were the main consumers of expenses, representng 61% of total expenses for disruptve initatves.</w:t>
      </w:r>
    </w:p>
    <w:p>
      <w:pPr>
        <w:spacing w:after="0" w:line="108" w:lineRule="exact"/>
        <w:rPr>
          <w:rFonts w:ascii="Times New Roman" w:cs="Times New Roman" w:eastAsia="Times New Roman" w:hAnsi="Times New Roman"/>
          <w:sz w:val="19"/>
          <w:szCs w:val="19"/>
          <w:color w:val="auto"/>
        </w:rPr>
      </w:pPr>
    </w:p>
    <w:p>
      <w:pPr>
        <w:ind w:left="540" w:right="620" w:hanging="299"/>
        <w:spacing w:after="0" w:line="242" w:lineRule="auto"/>
        <w:tabs>
          <w:tab w:leader="none" w:pos="540" w:val="left"/>
        </w:tabs>
        <w:numPr>
          <w:ilvl w:val="0"/>
          <w:numId w:val="1"/>
        </w:numPr>
        <w:rPr>
          <w:rFonts w:ascii="Times New Roman" w:cs="Times New Roman" w:eastAsia="Times New Roman" w:hAnsi="Times New Roman"/>
          <w:sz w:val="19"/>
          <w:szCs w:val="19"/>
          <w:color w:val="auto"/>
        </w:rPr>
      </w:pPr>
      <w:r>
        <w:rPr>
          <w:rFonts w:ascii="Calibri" w:cs="Calibri" w:eastAsia="Calibri" w:hAnsi="Calibri"/>
          <w:sz w:val="19"/>
          <w:szCs w:val="19"/>
          <w:b w:val="1"/>
          <w:bCs w:val="1"/>
          <w:color w:val="auto"/>
        </w:rPr>
        <w:t>Strong capital base</w:t>
      </w:r>
      <w:r>
        <w:rPr>
          <w:rFonts w:ascii="Calibri" w:cs="Calibri" w:eastAsia="Calibri" w:hAnsi="Calibri"/>
          <w:sz w:val="19"/>
          <w:szCs w:val="19"/>
          <w:color w:val="auto"/>
        </w:rPr>
        <w:t>, with IFRS CET1 Rato at BCP at 13.32% at quarter-end, down 10 bps QoQ, while Mibanco’s IFRS CET1 Rato</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declined 83 bps to 17.53% in the same period.</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 w:name="page6"/>
    <w:bookmarkEnd w:id="5"/>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182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8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169545</wp:posOffset>
            </wp:positionV>
            <wp:extent cx="5987415" cy="5012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87415" cy="501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 w:name="page7"/>
    <w:bookmarkEnd w:id="6"/>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6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291"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FFFFFF"/>
        </w:rPr>
        <w:t>Fourth Quarter 2024 Earnings Conference Call</w:t>
      </w:r>
    </w:p>
    <w:p>
      <w:pPr>
        <w:spacing w:after="0" w:line="21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FOURTH QUARTER 2024 EARNINGS CONFERENCE CALL</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Date: </w:t>
      </w:r>
      <w:r>
        <w:rPr>
          <w:rFonts w:ascii="Calibri" w:cs="Calibri" w:eastAsia="Calibri" w:hAnsi="Calibri"/>
          <w:sz w:val="19"/>
          <w:szCs w:val="19"/>
          <w:color w:val="121212"/>
        </w:rPr>
        <w:t>Tuesday, February 11</w:t>
      </w:r>
      <w:r>
        <w:rPr>
          <w:rFonts w:ascii="Calibri" w:cs="Calibri" w:eastAsia="Calibri" w:hAnsi="Calibri"/>
          <w:sz w:val="32"/>
          <w:szCs w:val="32"/>
          <w:color w:val="121212"/>
          <w:vertAlign w:val="superscript"/>
        </w:rPr>
        <w:t>th</w:t>
      </w:r>
      <w:r>
        <w:rPr>
          <w:rFonts w:ascii="Times New Roman" w:cs="Times New Roman" w:eastAsia="Times New Roman" w:hAnsi="Times New Roman"/>
          <w:sz w:val="19"/>
          <w:szCs w:val="19"/>
          <w:color w:val="121212"/>
        </w:rPr>
        <w:t>,</w:t>
      </w:r>
      <w:r>
        <w:rPr>
          <w:rFonts w:ascii="Calibri" w:cs="Calibri" w:eastAsia="Calibri" w:hAnsi="Calibri"/>
          <w:sz w:val="19"/>
          <w:szCs w:val="19"/>
          <w:b w:val="1"/>
          <w:bCs w:val="1"/>
          <w:color w:val="121212"/>
        </w:rPr>
        <w:t xml:space="preserve"> </w:t>
      </w:r>
      <w:r>
        <w:rPr>
          <w:rFonts w:ascii="Calibri" w:cs="Calibri" w:eastAsia="Calibri" w:hAnsi="Calibri"/>
          <w:sz w:val="19"/>
          <w:szCs w:val="19"/>
          <w:color w:val="121212"/>
        </w:rPr>
        <w:t>2025</w:t>
      </w:r>
    </w:p>
    <w:p>
      <w:pPr>
        <w:spacing w:after="0" w:line="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Time: </w:t>
      </w:r>
      <w:r>
        <w:rPr>
          <w:rFonts w:ascii="Calibri" w:cs="Calibri" w:eastAsia="Calibri" w:hAnsi="Calibri"/>
          <w:sz w:val="19"/>
          <w:szCs w:val="19"/>
          <w:color w:val="121212"/>
        </w:rPr>
        <w:t>9:30 am E.T. (9:30 am Lima, Perú)</w:t>
      </w:r>
    </w:p>
    <w:p>
      <w:pPr>
        <w:spacing w:after="0" w:line="244" w:lineRule="exact"/>
        <w:rPr>
          <w:sz w:val="20"/>
          <w:szCs w:val="20"/>
          <w:color w:val="auto"/>
        </w:rPr>
      </w:pPr>
    </w:p>
    <w:p>
      <w:pPr>
        <w:jc w:val="both"/>
        <w:spacing w:after="0" w:line="249" w:lineRule="auto"/>
        <w:rPr>
          <w:sz w:val="20"/>
          <w:szCs w:val="20"/>
          <w:color w:val="auto"/>
        </w:rPr>
      </w:pPr>
      <w:r>
        <w:rPr>
          <w:rFonts w:ascii="Calibri" w:cs="Calibri" w:eastAsia="Calibri" w:hAnsi="Calibri"/>
          <w:sz w:val="19"/>
          <w:szCs w:val="19"/>
          <w:b w:val="1"/>
          <w:bCs w:val="1"/>
          <w:color w:val="121212"/>
        </w:rPr>
        <w:t xml:space="preserve">Hosts: </w:t>
      </w:r>
      <w:r>
        <w:rPr>
          <w:rFonts w:ascii="Calibri" w:cs="Calibri" w:eastAsia="Calibri" w:hAnsi="Calibri"/>
          <w:sz w:val="19"/>
          <w:szCs w:val="19"/>
          <w:color w:val="121212"/>
        </w:rPr>
        <w:t>Gianfranco Ferrari</w:t>
      </w:r>
      <w:r>
        <w:rPr>
          <w:rFonts w:ascii="Calibri" w:cs="Calibri" w:eastAsia="Calibri" w:hAnsi="Calibri"/>
          <w:sz w:val="19"/>
          <w:szCs w:val="19"/>
          <w:b w:val="1"/>
          <w:bCs w:val="1"/>
          <w:color w:val="121212"/>
        </w:rPr>
        <w:t xml:space="preserve"> </w:t>
      </w:r>
      <w:r>
        <w:rPr>
          <w:rFonts w:ascii="Times New Roman" w:cs="Times New Roman" w:eastAsia="Times New Roman" w:hAnsi="Times New Roman"/>
          <w:sz w:val="19"/>
          <w:szCs w:val="19"/>
          <w:color w:val="121212"/>
        </w:rPr>
        <w:t>-</w:t>
      </w:r>
      <w:r>
        <w:rPr>
          <w:rFonts w:ascii="Calibri" w:cs="Calibri" w:eastAsia="Calibri" w:hAnsi="Calibri"/>
          <w:sz w:val="19"/>
          <w:szCs w:val="19"/>
          <w:b w:val="1"/>
          <w:bCs w:val="1"/>
          <w:color w:val="121212"/>
        </w:rPr>
        <w:t xml:space="preserve"> </w:t>
      </w:r>
      <w:r>
        <w:rPr>
          <w:rFonts w:ascii="Calibri" w:cs="Calibri" w:eastAsia="Calibri" w:hAnsi="Calibri"/>
          <w:sz w:val="19"/>
          <w:szCs w:val="19"/>
          <w:color w:val="121212"/>
        </w:rPr>
        <w:t>Chief Executve Ofcer, Alejandro Perez Reyes</w:t>
      </w:r>
      <w:r>
        <w:rPr>
          <w:rFonts w:ascii="Calibri" w:cs="Calibri" w:eastAsia="Calibri" w:hAnsi="Calibri"/>
          <w:sz w:val="19"/>
          <w:szCs w:val="19"/>
          <w:b w:val="1"/>
          <w:bCs w:val="1"/>
          <w:color w:val="121212"/>
        </w:rPr>
        <w:t xml:space="preserve"> </w:t>
      </w:r>
      <w:r>
        <w:rPr>
          <w:rFonts w:ascii="Times New Roman" w:cs="Times New Roman" w:eastAsia="Times New Roman" w:hAnsi="Times New Roman"/>
          <w:sz w:val="19"/>
          <w:szCs w:val="19"/>
          <w:color w:val="121212"/>
        </w:rPr>
        <w:t>-</w:t>
      </w:r>
      <w:r>
        <w:rPr>
          <w:rFonts w:ascii="Calibri" w:cs="Calibri" w:eastAsia="Calibri" w:hAnsi="Calibri"/>
          <w:sz w:val="19"/>
          <w:szCs w:val="19"/>
          <w:b w:val="1"/>
          <w:bCs w:val="1"/>
          <w:color w:val="121212"/>
        </w:rPr>
        <w:t xml:space="preserve"> </w:t>
      </w:r>
      <w:r>
        <w:rPr>
          <w:rFonts w:ascii="Calibri" w:cs="Calibri" w:eastAsia="Calibri" w:hAnsi="Calibri"/>
          <w:sz w:val="19"/>
          <w:szCs w:val="19"/>
          <w:color w:val="121212"/>
        </w:rPr>
        <w:t>Chief Financial Ofcer, Francesca Rafo</w:t>
      </w:r>
      <w:r>
        <w:rPr>
          <w:rFonts w:ascii="Calibri" w:cs="Calibri" w:eastAsia="Calibri" w:hAnsi="Calibri"/>
          <w:sz w:val="19"/>
          <w:szCs w:val="19"/>
          <w:b w:val="1"/>
          <w:bCs w:val="1"/>
          <w:color w:val="121212"/>
        </w:rPr>
        <w:t xml:space="preserve"> </w:t>
      </w:r>
      <w:r>
        <w:rPr>
          <w:rFonts w:ascii="Times New Roman" w:cs="Times New Roman" w:eastAsia="Times New Roman" w:hAnsi="Times New Roman"/>
          <w:sz w:val="19"/>
          <w:szCs w:val="19"/>
          <w:color w:val="121212"/>
        </w:rPr>
        <w:t>-</w:t>
      </w:r>
      <w:r>
        <w:rPr>
          <w:rFonts w:ascii="Calibri" w:cs="Calibri" w:eastAsia="Calibri" w:hAnsi="Calibri"/>
          <w:sz w:val="19"/>
          <w:szCs w:val="19"/>
          <w:b w:val="1"/>
          <w:bCs w:val="1"/>
          <w:color w:val="121212"/>
        </w:rPr>
        <w:t xml:space="preserve"> </w:t>
      </w:r>
      <w:r>
        <w:rPr>
          <w:rFonts w:ascii="Calibri" w:cs="Calibri" w:eastAsia="Calibri" w:hAnsi="Calibri"/>
          <w:sz w:val="19"/>
          <w:szCs w:val="19"/>
          <w:color w:val="121212"/>
        </w:rPr>
        <w:t>Chief Innovaton Ofcer,</w:t>
      </w:r>
      <w:r>
        <w:rPr>
          <w:rFonts w:ascii="Calibri" w:cs="Calibri" w:eastAsia="Calibri" w:hAnsi="Calibri"/>
          <w:sz w:val="19"/>
          <w:szCs w:val="19"/>
          <w:b w:val="1"/>
          <w:bCs w:val="1"/>
          <w:color w:val="121212"/>
        </w:rPr>
        <w:t xml:space="preserve"> </w:t>
      </w:r>
      <w:r>
        <w:rPr>
          <w:rFonts w:ascii="Calibri" w:cs="Calibri" w:eastAsia="Calibri" w:hAnsi="Calibri"/>
          <w:sz w:val="19"/>
          <w:szCs w:val="19"/>
          <w:color w:val="121212"/>
        </w:rPr>
        <w:t>Cesar Rios - Chief Risk Ofcer, Diego Cavero – Head of Universal Banking, Cesar Rivera - Head of Insurance and Pensions, Carlos Sotelo - Mibanco CFO and Investor Relatons Team.</w:t>
      </w:r>
    </w:p>
    <w:p>
      <w:pPr>
        <w:spacing w:after="0" w:line="181" w:lineRule="exact"/>
        <w:rPr>
          <w:sz w:val="20"/>
          <w:szCs w:val="20"/>
          <w:color w:val="auto"/>
        </w:rPr>
      </w:pPr>
    </w:p>
    <w:p>
      <w:pPr>
        <w:ind w:right="340"/>
        <w:spacing w:after="0" w:line="242" w:lineRule="auto"/>
        <w:rPr>
          <w:sz w:val="20"/>
          <w:szCs w:val="20"/>
          <w:color w:val="auto"/>
        </w:rPr>
      </w:pPr>
      <w:r>
        <w:rPr>
          <w:rFonts w:ascii="Calibri" w:cs="Calibri" w:eastAsia="Calibri" w:hAnsi="Calibri"/>
          <w:sz w:val="19"/>
          <w:szCs w:val="19"/>
          <w:color w:val="auto"/>
        </w:rPr>
        <w:t xml:space="preserve">To pre-register for the listen-only webcast presentaton use the following link: </w:t>
      </w:r>
      <w:r>
        <w:rPr>
          <w:rFonts w:ascii="Calibri" w:cs="Calibri" w:eastAsia="Calibri" w:hAnsi="Calibri"/>
          <w:sz w:val="19"/>
          <w:szCs w:val="19"/>
          <w:u w:val="single" w:color="auto"/>
          <w:color w:val="0070C0"/>
        </w:rPr>
        <w:t>htps://dpregister.com/DiamondPassRegistraton/register?</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0070C0"/>
        </w:rPr>
        <w:t>confrmatonNumber=10196121&amp;linkSecurityString=fe53fdc c1c</w:t>
      </w:r>
    </w:p>
    <w:p>
      <w:pPr>
        <w:spacing w:after="0" w:line="135" w:lineRule="exact"/>
        <w:rPr>
          <w:sz w:val="20"/>
          <w:szCs w:val="20"/>
          <w:color w:val="auto"/>
        </w:rPr>
      </w:pPr>
    </w:p>
    <w:p>
      <w:pPr>
        <w:ind w:right="720"/>
        <w:spacing w:after="0" w:line="242" w:lineRule="auto"/>
        <w:rPr>
          <w:sz w:val="20"/>
          <w:szCs w:val="20"/>
          <w:color w:val="auto"/>
        </w:rPr>
      </w:pPr>
      <w:r>
        <w:rPr>
          <w:rFonts w:ascii="Calibri" w:cs="Calibri" w:eastAsia="Calibri" w:hAnsi="Calibri"/>
          <w:sz w:val="19"/>
          <w:szCs w:val="19"/>
          <w:color w:val="121212"/>
        </w:rPr>
        <w:t>Callers who pre-register will be given a conference passcode and unique PIN to gain immediate access to the call and bypass the live operator. Partcipants may pre-register at any tme, including up to and afer the call start tme.</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color w:val="121212"/>
        </w:rPr>
        <w:t>Those unable to pre-register may dial in by calling:</w:t>
      </w:r>
    </w:p>
    <w:p>
      <w:pPr>
        <w:spacing w:after="0" w:line="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1 844 435 0321 </w:t>
      </w:r>
      <w:r>
        <w:rPr>
          <w:rFonts w:ascii="Calibri" w:cs="Calibri" w:eastAsia="Calibri" w:hAnsi="Calibri"/>
          <w:sz w:val="19"/>
          <w:szCs w:val="19"/>
          <w:color w:val="121212"/>
        </w:rPr>
        <w:t>(U.S. toll free)</w:t>
      </w:r>
    </w:p>
    <w:p>
      <w:pPr>
        <w:spacing w:after="0" w:line="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1 412 317 5615 </w:t>
      </w:r>
      <w:r>
        <w:rPr>
          <w:rFonts w:ascii="Calibri" w:cs="Calibri" w:eastAsia="Calibri" w:hAnsi="Calibri"/>
          <w:sz w:val="19"/>
          <w:szCs w:val="19"/>
          <w:color w:val="121212"/>
        </w:rPr>
        <w:t>(Internatonal)</w:t>
      </w:r>
    </w:p>
    <w:p>
      <w:pPr>
        <w:spacing w:after="0" w:line="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121212"/>
        </w:rPr>
        <w:t xml:space="preserve">Partcipant Web Phone: </w:t>
      </w:r>
      <w:r>
        <w:rPr>
          <w:rFonts w:ascii="Calibri" w:cs="Calibri" w:eastAsia="Calibri" w:hAnsi="Calibri"/>
          <w:sz w:val="19"/>
          <w:szCs w:val="19"/>
          <w:u w:val="single" w:color="auto"/>
          <w:color w:val="0070C0"/>
        </w:rPr>
        <w:t>Click Here</w:t>
      </w:r>
    </w:p>
    <w:p>
      <w:pPr>
        <w:spacing w:after="0" w:line="4" w:lineRule="exact"/>
        <w:rPr>
          <w:sz w:val="20"/>
          <w:szCs w:val="20"/>
          <w:color w:val="auto"/>
        </w:rPr>
      </w:pPr>
    </w:p>
    <w:p>
      <w:pPr>
        <w:ind w:left="40"/>
        <w:spacing w:after="0"/>
        <w:rPr>
          <w:sz w:val="20"/>
          <w:szCs w:val="20"/>
          <w:color w:val="auto"/>
        </w:rPr>
      </w:pPr>
      <w:r>
        <w:rPr>
          <w:rFonts w:ascii="Calibri" w:cs="Calibri" w:eastAsia="Calibri" w:hAnsi="Calibri"/>
          <w:sz w:val="19"/>
          <w:szCs w:val="19"/>
          <w:b w:val="1"/>
          <w:bCs w:val="1"/>
          <w:color w:val="121212"/>
        </w:rPr>
        <w:t>Conference ID: Credicorp Conference Call</w:t>
      </w:r>
    </w:p>
    <w:p>
      <w:pPr>
        <w:spacing w:after="0" w:line="188" w:lineRule="exact"/>
        <w:rPr>
          <w:sz w:val="20"/>
          <w:szCs w:val="20"/>
          <w:color w:val="auto"/>
        </w:rPr>
      </w:pPr>
    </w:p>
    <w:p>
      <w:pPr>
        <w:spacing w:after="0"/>
        <w:rPr>
          <w:sz w:val="20"/>
          <w:szCs w:val="20"/>
          <w:color w:val="auto"/>
        </w:rPr>
      </w:pPr>
      <w:r>
        <w:rPr>
          <w:rFonts w:ascii="Calibri" w:cs="Calibri" w:eastAsia="Calibri" w:hAnsi="Calibri"/>
          <w:sz w:val="19"/>
          <w:szCs w:val="19"/>
          <w:color w:val="121212"/>
        </w:rPr>
        <w:t>The webcast will be archived for one year on our investor relatons website at:</w:t>
      </w:r>
    </w:p>
    <w:p>
      <w:pPr>
        <w:spacing w:after="0" w:line="4"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0070C0"/>
        </w:rPr>
        <w:t>htps://credicorp.gcs-web.com/events-and-presentatons/upcoming-events</w:t>
      </w:r>
    </w:p>
    <w:p>
      <w:pPr>
        <w:spacing w:after="0" w:line="227" w:lineRule="exact"/>
        <w:rPr>
          <w:sz w:val="20"/>
          <w:szCs w:val="20"/>
          <w:color w:val="auto"/>
        </w:rPr>
      </w:pPr>
    </w:p>
    <w:p>
      <w:pPr>
        <w:spacing w:after="0"/>
        <w:rPr>
          <w:sz w:val="20"/>
          <w:szCs w:val="20"/>
          <w:color w:val="auto"/>
        </w:rPr>
      </w:pPr>
      <w:r>
        <w:rPr>
          <w:rFonts w:ascii="Calibri" w:cs="Calibri" w:eastAsia="Calibri" w:hAnsi="Calibri"/>
          <w:sz w:val="19"/>
          <w:szCs w:val="19"/>
          <w:color w:val="121212"/>
        </w:rPr>
        <w:t>For a full version of Credicorp´s Third Quarter 2024 Earnings Release, please visit:</w:t>
      </w:r>
    </w:p>
    <w:p>
      <w:pPr>
        <w:spacing w:after="0" w:line="4" w:lineRule="exact"/>
        <w:rPr>
          <w:sz w:val="20"/>
          <w:szCs w:val="20"/>
          <w:color w:val="auto"/>
        </w:rPr>
      </w:pPr>
    </w:p>
    <w:p>
      <w:pPr>
        <w:spacing w:after="0"/>
        <w:rPr>
          <w:sz w:val="20"/>
          <w:szCs w:val="20"/>
          <w:color w:val="auto"/>
        </w:rPr>
      </w:pPr>
      <w:r>
        <w:rPr>
          <w:rFonts w:ascii="Calibri" w:cs="Calibri" w:eastAsia="Calibri" w:hAnsi="Calibri"/>
          <w:sz w:val="19"/>
          <w:szCs w:val="19"/>
          <w:u w:val="single" w:color="auto"/>
          <w:color w:val="0070C0"/>
        </w:rPr>
        <w:t>htps://credicorp.gcs-web.com/company-reports/quarterly-materials</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 w:name="page8"/>
    <w:bookmarkEnd w:id="7"/>
    <w:p>
      <w:pPr>
        <w:ind w:left="2680"/>
        <w:spacing w:after="0"/>
        <w:tabs>
          <w:tab w:leader="none" w:pos="296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Loans in Average Daily Balances (ADB)</w:t>
      </w:r>
    </w:p>
    <w:p>
      <w:pPr>
        <w:spacing w:after="0" w:line="247"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Total loans measured in ADB rose 0.7% QoQ to stand at S/141,838 million. This evoluton was mainly driven by: (i) Corporate Banking at BCP, via an uptck in short-term loans, (ii) SME-Business Banking, due to growth in government program loans and negotable invoices, and (iii) Mortgage, via a rebound in disbursements. This growth was partally ofset by a drop in Middle Market Banking and Mibanco.</w:t>
      </w:r>
    </w:p>
    <w:p>
      <w:pPr>
        <w:spacing w:after="0" w:line="148"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YoY, the portolio contracted 0.5%, driven mainly by: (i) Mibanco, which was impacted by tghter lending guidelines, (ii) Middle Market Banking, which registered growth in short-term loans amortzatons, and (iii) SME-Pyme, which registered a reducton in long-term loan disbursements. This YoY contracton was partally ofset by growth in balances in Corporate Banking, Mortgage, and SME-Business.</w:t>
      </w:r>
    </w:p>
    <w:p>
      <w:pPr>
        <w:spacing w:after="0" w:line="135"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YTD, loans in ADB dropped 1.1%, driven mainly by Mibanco and Middle Market Banking.</w:t>
      </w:r>
    </w:p>
    <w:p>
      <w:pPr>
        <w:spacing w:after="0" w:line="143"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Deposits</w:t>
      </w:r>
    </w:p>
    <w:p>
      <w:pPr>
        <w:spacing w:after="0" w:line="195"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Our deposit base, measured in quarter-end balances, expanded 4.8% QoQ. This evoluton refects growth in balances for Savings Deposits and Time Deposits, which was partally ofset by a reducton in the balance for Demand Deposits.</w:t>
      </w:r>
    </w:p>
    <w:p>
      <w:pPr>
        <w:spacing w:after="0" w:line="147"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YoY, the deposit base increased 9.6%. This evoluton was fueled by growth in Low-Cost Deposits, which rose 11.7% to represent 69.4% of total deposits are quarter-end.</w:t>
      </w:r>
    </w:p>
    <w:p>
      <w:pPr>
        <w:spacing w:after="0" w:line="212"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At BCP the 30-day Liquidity Coverage Rato (LCR) in PEN stood at 162.7% under regulatory standards and 132.5% according to stricter internal standards. The 30-day LCR in USD stood at 184.6% under regulatory standards and 133.1% according to stricter internal standards.</w:t>
      </w:r>
    </w:p>
    <w:p>
      <w:pPr>
        <w:spacing w:after="0" w:line="131"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Net Interest Income (NII) and Margin (NIM)</w:t>
      </w:r>
    </w:p>
    <w:p>
      <w:pPr>
        <w:spacing w:after="0" w:line="177" w:lineRule="exact"/>
        <w:rPr>
          <w:sz w:val="20"/>
          <w:szCs w:val="20"/>
          <w:color w:val="auto"/>
        </w:rPr>
      </w:pPr>
    </w:p>
    <w:p>
      <w:pPr>
        <w:jc w:val="both"/>
        <w:ind w:right="1540"/>
        <w:spacing w:after="0" w:line="234" w:lineRule="auto"/>
        <w:rPr>
          <w:sz w:val="20"/>
          <w:szCs w:val="20"/>
          <w:color w:val="auto"/>
        </w:rPr>
      </w:pPr>
      <w:r>
        <w:rPr>
          <w:rFonts w:ascii="Calibri" w:cs="Calibri" w:eastAsia="Calibri" w:hAnsi="Calibri"/>
          <w:sz w:val="19"/>
          <w:szCs w:val="19"/>
          <w:color w:val="auto"/>
        </w:rPr>
        <w:t xml:space="preserve">NII rose </w:t>
      </w:r>
      <w:r>
        <w:rPr>
          <w:rFonts w:ascii="Calibri" w:cs="Calibri" w:eastAsia="Calibri" w:hAnsi="Calibri"/>
          <w:sz w:val="17"/>
          <w:szCs w:val="17"/>
          <w:color w:val="auto"/>
        </w:rPr>
        <w:t>1.1% QoQ, driven mainly by a drop in Interest and Similar Expenses</w:t>
      </w:r>
      <w:r>
        <w:rPr>
          <w:rFonts w:ascii="Calibri" w:cs="Calibri" w:eastAsia="Calibri" w:hAnsi="Calibri"/>
          <w:sz w:val="19"/>
          <w:szCs w:val="19"/>
          <w:color w:val="auto"/>
        </w:rPr>
        <w:t xml:space="preserve"> </w:t>
      </w:r>
      <w:r>
        <w:rPr>
          <w:rFonts w:ascii="Calibri" w:cs="Calibri" w:eastAsia="Calibri" w:hAnsi="Calibri"/>
          <w:sz w:val="17"/>
          <w:szCs w:val="17"/>
          <w:color w:val="auto"/>
        </w:rPr>
        <w:t>which was impacted by a drop in market rates and an increase in low-cost deposits’ share of the mix. In this context, NIM stood at</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6.34% at the end of the quarter, versus 6.43% in 3Q24 and 6.20% in 4Q23.</w:t>
      </w:r>
    </w:p>
    <w:p>
      <w:pPr>
        <w:spacing w:after="0" w:line="213"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YoY, NII increased 8.4%, driven mainly by growth in Interest and Similar Income. This evoluton was atributable to an uptck in Interest on deposits in other banks, which registered a marked increase in volumes in a context of high liquidity. Interest and Similar Expenses dropped 9.2%, impacted by lower interest rates afer the Fed and BCRP insttuted rate cuts, and growth in low-cost deposits’ share of funding. In this context, NIM rose 14 bps YoY.</w:t>
      </w:r>
    </w:p>
    <w:p>
      <w:pPr>
        <w:spacing w:after="0" w:line="108" w:lineRule="exact"/>
        <w:rPr>
          <w:sz w:val="20"/>
          <w:szCs w:val="20"/>
          <w:color w:val="auto"/>
        </w:rPr>
      </w:pPr>
    </w:p>
    <w:p>
      <w:pPr>
        <w:jc w:val="both"/>
        <w:ind w:right="1560"/>
        <w:spacing w:after="0" w:line="242" w:lineRule="auto"/>
        <w:rPr>
          <w:sz w:val="20"/>
          <w:szCs w:val="20"/>
          <w:color w:val="auto"/>
        </w:rPr>
      </w:pPr>
      <w:r>
        <w:rPr>
          <w:rFonts w:ascii="Calibri" w:cs="Calibri" w:eastAsia="Calibri" w:hAnsi="Calibri"/>
          <w:sz w:val="17"/>
          <w:szCs w:val="17"/>
          <w:color w:val="auto"/>
        </w:rPr>
        <w:t>YTD, NII increased 9.1%, mainly due to an increase in Interest and Similar Income, which was driven by a shif in the compositon of the loan portolio towards retail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Calibri" w:cs="Calibri" w:eastAsia="Calibri" w:hAnsi="Calibri"/>
          <w:sz w:val="16"/>
          <w:szCs w:val="16"/>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275590</wp:posOffset>
            </wp:positionV>
            <wp:extent cx="2548255" cy="53790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8255" cy="537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2">
            <w:col w:w="6940" w:space="720"/>
            <w:col w:w="3580"/>
          </w:cols>
          <w:pgMar w:left="320" w:top="279" w:right="339" w:bottom="1440" w:gutter="0" w:footer="0" w:header="0"/>
        </w:sectPr>
      </w:pPr>
    </w:p>
    <w:bookmarkStart w:id="8" w:name="page9"/>
    <w:bookmarkEnd w:id="8"/>
    <w:p>
      <w:pPr>
        <w:ind w:left="2680"/>
        <w:spacing w:after="0"/>
        <w:tabs>
          <w:tab w:leader="none" w:pos="296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Portolio Quality and Cost of Risk</w:t>
      </w:r>
    </w:p>
    <w:p>
      <w:pPr>
        <w:spacing w:after="0" w:line="195"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 xml:space="preserve">QoQ, the NPL balance dropped 8.3%, driven primarily by </w:t>
      </w:r>
      <w:r>
        <w:rPr>
          <w:rFonts w:ascii="Calibri" w:cs="Calibri" w:eastAsia="Calibri" w:hAnsi="Calibri"/>
          <w:sz w:val="17"/>
          <w:szCs w:val="17"/>
          <w:b w:val="1"/>
          <w:bCs w:val="1"/>
          <w:color w:val="auto"/>
        </w:rPr>
        <w:t>BCP</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At BCP, the decline was fueled mainly by: (i) a drop in overdue loans in </w:t>
      </w:r>
      <w:r>
        <w:rPr>
          <w:rFonts w:ascii="Calibri" w:cs="Calibri" w:eastAsia="Calibri" w:hAnsi="Calibri"/>
          <w:sz w:val="17"/>
          <w:szCs w:val="17"/>
          <w:b w:val="1"/>
          <w:bCs w:val="1"/>
          <w:color w:val="auto"/>
        </w:rPr>
        <w:t>SMEs</w:t>
      </w:r>
      <w:r>
        <w:rPr>
          <w:rFonts w:ascii="Calibri" w:cs="Calibri" w:eastAsia="Calibri" w:hAnsi="Calibri"/>
          <w:sz w:val="17"/>
          <w:szCs w:val="17"/>
          <w:color w:val="auto"/>
        </w:rPr>
        <w:t>;</w:t>
      </w:r>
    </w:p>
    <w:p>
      <w:pPr>
        <w:spacing w:after="0" w:line="1" w:lineRule="exact"/>
        <w:rPr>
          <w:sz w:val="20"/>
          <w:szCs w:val="20"/>
          <w:color w:val="auto"/>
        </w:rPr>
      </w:pPr>
    </w:p>
    <w:p>
      <w:pPr>
        <w:jc w:val="both"/>
        <w:ind w:right="1540" w:firstLine="5"/>
        <w:spacing w:after="0" w:line="242" w:lineRule="auto"/>
        <w:tabs>
          <w:tab w:leader="none" w:pos="233" w:val="left"/>
        </w:tabs>
        <w:numPr>
          <w:ilvl w:val="0"/>
          <w:numId w:val="2"/>
        </w:numPr>
        <w:rPr>
          <w:rFonts w:ascii="Calibri" w:cs="Calibri" w:eastAsia="Calibri" w:hAnsi="Calibri"/>
          <w:sz w:val="17"/>
          <w:szCs w:val="17"/>
          <w:color w:val="auto"/>
        </w:rPr>
      </w:pPr>
      <w:r>
        <w:rPr>
          <w:rFonts w:ascii="Calibri" w:cs="Calibri" w:eastAsia="Calibri" w:hAnsi="Calibri"/>
          <w:sz w:val="17"/>
          <w:szCs w:val="17"/>
          <w:color w:val="auto"/>
        </w:rPr>
        <w:t xml:space="preserve">debt repayments in </w:t>
      </w:r>
      <w:r>
        <w:rPr>
          <w:rFonts w:ascii="Calibri" w:cs="Calibri" w:eastAsia="Calibri" w:hAnsi="Calibri"/>
          <w:sz w:val="17"/>
          <w:szCs w:val="17"/>
          <w:b w:val="1"/>
          <w:bCs w:val="1"/>
          <w:color w:val="auto"/>
        </w:rPr>
        <w:t>Wholesale</w:t>
      </w:r>
      <w:r>
        <w:rPr>
          <w:rFonts w:ascii="Calibri" w:cs="Calibri" w:eastAsia="Calibri" w:hAnsi="Calibri"/>
          <w:sz w:val="17"/>
          <w:szCs w:val="17"/>
          <w:color w:val="auto"/>
        </w:rPr>
        <w:t xml:space="preserve"> banking; and (iii) an increase in write-ofs and debt repayments in </w:t>
      </w:r>
      <w:r>
        <w:rPr>
          <w:rFonts w:ascii="Calibri" w:cs="Calibri" w:eastAsia="Calibri" w:hAnsi="Calibri"/>
          <w:sz w:val="17"/>
          <w:szCs w:val="17"/>
          <w:b w:val="1"/>
          <w:bCs w:val="1"/>
          <w:color w:val="auto"/>
        </w:rPr>
        <w:t>Consumer</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Credit Cards</w:t>
      </w:r>
      <w:r>
        <w:rPr>
          <w:rFonts w:ascii="Calibri" w:cs="Calibri" w:eastAsia="Calibri" w:hAnsi="Calibri"/>
          <w:sz w:val="17"/>
          <w:szCs w:val="17"/>
          <w:color w:val="auto"/>
        </w:rPr>
        <w:t xml:space="preserve">.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the reducton in NPLs was mainly on the back of a decrease in overdue loans, which primarily refected positve impacts from tghter originaton guidelines and improvements in collectons management.</w:t>
      </w:r>
    </w:p>
    <w:p>
      <w:pPr>
        <w:spacing w:after="0" w:line="213" w:lineRule="exact"/>
        <w:rPr>
          <w:sz w:val="20"/>
          <w:szCs w:val="20"/>
          <w:color w:val="auto"/>
        </w:rPr>
      </w:pPr>
    </w:p>
    <w:p>
      <w:pPr>
        <w:ind w:right="1580"/>
        <w:spacing w:after="0" w:line="246" w:lineRule="auto"/>
        <w:rPr>
          <w:sz w:val="20"/>
          <w:szCs w:val="20"/>
          <w:color w:val="auto"/>
        </w:rPr>
      </w:pPr>
      <w:r>
        <w:rPr>
          <w:rFonts w:ascii="Calibri" w:cs="Calibri" w:eastAsia="Calibri" w:hAnsi="Calibri"/>
          <w:sz w:val="17"/>
          <w:szCs w:val="17"/>
          <w:color w:val="auto"/>
        </w:rPr>
        <w:t xml:space="preserve">YoY, the overdue portolio decreased 10.2%, fueled by the evoluton at BCP and Mibanco. This decline was mainly atributable to:(i) </w:t>
      </w:r>
      <w:r>
        <w:rPr>
          <w:rFonts w:ascii="Calibri" w:cs="Calibri" w:eastAsia="Calibri" w:hAnsi="Calibri"/>
          <w:sz w:val="19"/>
          <w:szCs w:val="19"/>
          <w:b w:val="1"/>
          <w:bCs w:val="1"/>
          <w:color w:val="auto"/>
        </w:rPr>
        <w:t>SME- Pyme,</w:t>
      </w:r>
      <w:r>
        <w:rPr>
          <w:rFonts w:ascii="Calibri" w:cs="Calibri" w:eastAsia="Calibri" w:hAnsi="Calibri"/>
          <w:sz w:val="17"/>
          <w:szCs w:val="17"/>
          <w:color w:val="auto"/>
        </w:rPr>
        <w:t xml:space="preserve"> due to an uptck in honoring of Reactva loans and to the same dynamics seen </w:t>
      </w:r>
      <w:r>
        <w:rPr>
          <w:rFonts w:ascii="Calibri" w:cs="Calibri" w:eastAsia="Calibri" w:hAnsi="Calibri"/>
          <w:sz w:val="19"/>
          <w:szCs w:val="19"/>
          <w:b w:val="1"/>
          <w:bCs w:val="1"/>
          <w:color w:val="auto"/>
        </w:rPr>
        <w:t>QoQ</w:t>
      </w:r>
      <w:r>
        <w:rPr>
          <w:rFonts w:ascii="Times New Roman" w:cs="Times New Roman" w:eastAsia="Times New Roman" w:hAnsi="Times New Roman"/>
          <w:sz w:val="19"/>
          <w:szCs w:val="19"/>
          <w:color w:val="auto"/>
        </w:rPr>
        <w:t>,</w:t>
      </w:r>
      <w:r>
        <w:rPr>
          <w:rFonts w:ascii="Calibri" w:cs="Calibri" w:eastAsia="Calibri" w:hAnsi="Calibri"/>
          <w:sz w:val="17"/>
          <w:szCs w:val="17"/>
          <w:color w:val="auto"/>
        </w:rPr>
        <w:t xml:space="preserve"> and (ii) </w:t>
      </w:r>
      <w:r>
        <w:rPr>
          <w:rFonts w:ascii="Calibri" w:cs="Calibri" w:eastAsia="Calibri" w:hAnsi="Calibri"/>
          <w:sz w:val="19"/>
          <w:szCs w:val="19"/>
          <w:b w:val="1"/>
          <w:bCs w:val="1"/>
          <w:color w:val="auto"/>
        </w:rPr>
        <w:t>Wholesale Banking,</w:t>
      </w:r>
      <w:r>
        <w:rPr>
          <w:rFonts w:ascii="Calibri" w:cs="Calibri" w:eastAsia="Calibri" w:hAnsi="Calibri"/>
          <w:sz w:val="17"/>
          <w:szCs w:val="17"/>
          <w:color w:val="auto"/>
        </w:rPr>
        <w:t xml:space="preserve"> due primarily to debt cancellaton by a refnanced client.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the reducton in NPLS was driven by the same dynamics in play </w:t>
      </w:r>
      <w:r>
        <w:rPr>
          <w:rFonts w:ascii="Calibri" w:cs="Calibri" w:eastAsia="Calibri" w:hAnsi="Calibri"/>
          <w:sz w:val="17"/>
          <w:szCs w:val="17"/>
          <w:b w:val="1"/>
          <w:bCs w:val="1"/>
          <w:color w:val="auto"/>
        </w:rPr>
        <w:t>QoQ.</w:t>
      </w:r>
    </w:p>
    <w:p>
      <w:pPr>
        <w:spacing w:after="0" w:line="144" w:lineRule="exact"/>
        <w:rPr>
          <w:sz w:val="20"/>
          <w:szCs w:val="20"/>
          <w:color w:val="auto"/>
        </w:rPr>
      </w:pPr>
    </w:p>
    <w:p>
      <w:pPr>
        <w:ind w:right="1600"/>
        <w:spacing w:after="0" w:line="242" w:lineRule="auto"/>
        <w:rPr>
          <w:sz w:val="20"/>
          <w:szCs w:val="20"/>
          <w:color w:val="auto"/>
        </w:rPr>
      </w:pPr>
      <w:r>
        <w:rPr>
          <w:rFonts w:ascii="Calibri" w:cs="Calibri" w:eastAsia="Calibri" w:hAnsi="Calibri"/>
          <w:sz w:val="17"/>
          <w:szCs w:val="17"/>
          <w:color w:val="auto"/>
        </w:rPr>
        <w:t>In this context, the NPL Rato dropped 60 bps QoQ and 63 bps YoY to stand at 5.3% at quarter-end.</w:t>
      </w:r>
    </w:p>
    <w:p>
      <w:pPr>
        <w:spacing w:after="0" w:line="211" w:lineRule="exact"/>
        <w:rPr>
          <w:sz w:val="20"/>
          <w:szCs w:val="20"/>
          <w:color w:val="auto"/>
        </w:rPr>
      </w:pPr>
    </w:p>
    <w:p>
      <w:pPr>
        <w:ind w:right="1600"/>
        <w:spacing w:after="0" w:line="243" w:lineRule="auto"/>
        <w:rPr>
          <w:sz w:val="20"/>
          <w:szCs w:val="20"/>
          <w:color w:val="auto"/>
        </w:rPr>
      </w:pPr>
      <w:r>
        <w:rPr>
          <w:rFonts w:ascii="Calibri" w:cs="Calibri" w:eastAsia="Calibri" w:hAnsi="Calibri"/>
          <w:sz w:val="17"/>
          <w:szCs w:val="17"/>
          <w:color w:val="auto"/>
        </w:rPr>
        <w:t xml:space="preserve">Provisions this quarter fell 14.4% QoQ, driven mainly by BCP and Mibanco. At </w:t>
      </w:r>
      <w:r>
        <w:rPr>
          <w:rFonts w:ascii="Calibri" w:cs="Calibri" w:eastAsia="Calibri" w:hAnsi="Calibri"/>
          <w:sz w:val="19"/>
          <w:szCs w:val="19"/>
          <w:b w:val="1"/>
          <w:bCs w:val="1"/>
          <w:color w:val="auto"/>
        </w:rPr>
        <w:t xml:space="preserve">BCP Stand-alone, </w:t>
      </w:r>
      <w:r>
        <w:rPr>
          <w:rFonts w:ascii="Calibri" w:cs="Calibri" w:eastAsia="Calibri" w:hAnsi="Calibri"/>
          <w:sz w:val="17"/>
          <w:szCs w:val="17"/>
          <w:color w:val="auto"/>
        </w:rPr>
        <w:t>the reducton in provisions was due primarily to an</w:t>
      </w:r>
      <w:r>
        <w:rPr>
          <w:rFonts w:ascii="Calibri" w:cs="Calibri" w:eastAsia="Calibri" w:hAnsi="Calibri"/>
          <w:sz w:val="19"/>
          <w:szCs w:val="19"/>
          <w:b w:val="1"/>
          <w:bCs w:val="1"/>
          <w:color w:val="auto"/>
        </w:rPr>
        <w:t xml:space="preserve"> </w:t>
      </w:r>
      <w:r>
        <w:rPr>
          <w:rFonts w:ascii="Calibri" w:cs="Calibri" w:eastAsia="Calibri" w:hAnsi="Calibri"/>
          <w:sz w:val="17"/>
          <w:szCs w:val="17"/>
          <w:color w:val="auto"/>
        </w:rPr>
        <w:t xml:space="preserve">improvement in payment performance in (i) </w:t>
      </w:r>
      <w:r>
        <w:rPr>
          <w:rFonts w:ascii="Calibri" w:cs="Calibri" w:eastAsia="Calibri" w:hAnsi="Calibri"/>
          <w:sz w:val="19"/>
          <w:szCs w:val="19"/>
          <w:b w:val="1"/>
          <w:bCs w:val="1"/>
          <w:color w:val="auto"/>
        </w:rPr>
        <w:t>SME- Pyme,</w:t>
      </w:r>
      <w:r>
        <w:rPr>
          <w:rFonts w:ascii="Calibri" w:cs="Calibri" w:eastAsia="Calibri" w:hAnsi="Calibri"/>
          <w:sz w:val="17"/>
          <w:szCs w:val="17"/>
          <w:color w:val="auto"/>
        </w:rPr>
        <w:t xml:space="preserve"> thanks to an uptck in low-risk vintages’ share of total loans; and (ii) </w:t>
      </w:r>
      <w:r>
        <w:rPr>
          <w:rFonts w:ascii="Calibri" w:cs="Calibri" w:eastAsia="Calibri" w:hAnsi="Calibri"/>
          <w:sz w:val="19"/>
          <w:szCs w:val="19"/>
          <w:b w:val="1"/>
          <w:bCs w:val="1"/>
          <w:color w:val="auto"/>
        </w:rPr>
        <w:t>Mortgage</w:t>
      </w:r>
      <w:r>
        <w:rPr>
          <w:rFonts w:ascii="Calibri" w:cs="Calibri" w:eastAsia="Calibri" w:hAnsi="Calibri"/>
          <w:sz w:val="17"/>
          <w:szCs w:val="17"/>
          <w:color w:val="auto"/>
        </w:rPr>
        <w:t xml:space="preserve">, due to an update to our risk models’ parameters. At </w:t>
      </w:r>
      <w:r>
        <w:rPr>
          <w:rFonts w:ascii="Calibri" w:cs="Calibri" w:eastAsia="Calibri" w:hAnsi="Calibri"/>
          <w:sz w:val="19"/>
          <w:szCs w:val="19"/>
          <w:b w:val="1"/>
          <w:bCs w:val="1"/>
          <w:color w:val="auto"/>
        </w:rPr>
        <w:t>Mibanco,</w:t>
      </w:r>
      <w:r>
        <w:rPr>
          <w:rFonts w:ascii="Calibri" w:cs="Calibri" w:eastAsia="Calibri" w:hAnsi="Calibri"/>
          <w:sz w:val="17"/>
          <w:szCs w:val="17"/>
          <w:color w:val="auto"/>
        </w:rPr>
        <w:t xml:space="preserve"> the drop in provisions was mainly driven by stricter originaton policies. This evoluton was partally ofset by </w:t>
      </w:r>
      <w:r>
        <w:rPr>
          <w:rFonts w:ascii="Calibri" w:cs="Calibri" w:eastAsia="Calibri" w:hAnsi="Calibri"/>
          <w:sz w:val="19"/>
          <w:szCs w:val="19"/>
          <w:b w:val="1"/>
          <w:bCs w:val="1"/>
          <w:color w:val="auto"/>
        </w:rPr>
        <w:t>Consumer</w:t>
      </w:r>
      <w:r>
        <w:rPr>
          <w:rFonts w:ascii="Calibri" w:cs="Calibri" w:eastAsia="Calibri" w:hAnsi="Calibri"/>
          <w:sz w:val="17"/>
          <w:szCs w:val="17"/>
          <w:color w:val="auto"/>
        </w:rPr>
        <w:t xml:space="preserve"> and </w:t>
      </w:r>
      <w:r>
        <w:rPr>
          <w:rFonts w:ascii="Calibri" w:cs="Calibri" w:eastAsia="Calibri" w:hAnsi="Calibri"/>
          <w:sz w:val="19"/>
          <w:szCs w:val="19"/>
          <w:b w:val="1"/>
          <w:bCs w:val="1"/>
          <w:color w:val="auto"/>
        </w:rPr>
        <w:t>Credit Cards</w:t>
      </w:r>
      <w:r>
        <w:rPr>
          <w:rFonts w:ascii="Calibri" w:cs="Calibri" w:eastAsia="Calibri" w:hAnsi="Calibri"/>
          <w:sz w:val="17"/>
          <w:szCs w:val="17"/>
          <w:color w:val="auto"/>
        </w:rPr>
        <w:t>, due to risk model calibratons. Notably, the underlying risk has improved for both products afer healthier vintages increased their weight within portolios and rescheduling eforts were ramped up.</w:t>
      </w:r>
    </w:p>
    <w:p>
      <w:pPr>
        <w:spacing w:after="0" w:line="306"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 xml:space="preserve">YoY, and isolatng the efect of provisions set aside for the El Nino Phenomenon in 4Q23, provisions declined 19.2%, driven mainly by </w:t>
      </w:r>
      <w:r>
        <w:rPr>
          <w:rFonts w:ascii="Calibri" w:cs="Calibri" w:eastAsia="Calibri" w:hAnsi="Calibri"/>
          <w:sz w:val="17"/>
          <w:szCs w:val="17"/>
          <w:b w:val="1"/>
          <w:bCs w:val="1"/>
          <w:color w:val="auto"/>
        </w:rPr>
        <w:t>BCP</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Mibanco</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BCP</w:t>
      </w:r>
      <w:r>
        <w:rPr>
          <w:rFonts w:ascii="Calibri" w:cs="Calibri" w:eastAsia="Calibri" w:hAnsi="Calibri"/>
          <w:sz w:val="17"/>
          <w:szCs w:val="17"/>
          <w:color w:val="auto"/>
        </w:rPr>
        <w:t>, this decline was fueled mainly by SME-</w:t>
      </w:r>
      <w:r>
        <w:rPr>
          <w:rFonts w:ascii="Calibri" w:cs="Calibri" w:eastAsia="Calibri" w:hAnsi="Calibri"/>
          <w:sz w:val="17"/>
          <w:szCs w:val="17"/>
          <w:b w:val="1"/>
          <w:bCs w:val="1"/>
          <w:color w:val="auto"/>
        </w:rPr>
        <w:t xml:space="preserve"> Pyme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Consumer</w:t>
      </w:r>
      <w:r>
        <w:rPr>
          <w:rFonts w:ascii="Calibri" w:cs="Calibri" w:eastAsia="Calibri" w:hAnsi="Calibri"/>
          <w:sz w:val="17"/>
          <w:szCs w:val="17"/>
          <w:color w:val="auto"/>
        </w:rPr>
        <w:t>, which registered an improvement in payment performance. At</w:t>
      </w:r>
      <w:r>
        <w:rPr>
          <w:rFonts w:ascii="Calibri" w:cs="Calibri" w:eastAsia="Calibri" w:hAnsi="Calibri"/>
          <w:sz w:val="17"/>
          <w:szCs w:val="17"/>
          <w:b w:val="1"/>
          <w:bCs w:val="1"/>
          <w:color w:val="auto"/>
        </w:rPr>
        <w:t xml:space="preserve"> Mibanco, </w:t>
      </w:r>
      <w:r>
        <w:rPr>
          <w:rFonts w:ascii="Calibri" w:cs="Calibri" w:eastAsia="Calibri" w:hAnsi="Calibri"/>
          <w:sz w:val="17"/>
          <w:szCs w:val="17"/>
          <w:color w:val="auto"/>
        </w:rPr>
        <w:t>the reducton was driven by the same dynamics seen QoQ.</w:t>
      </w:r>
    </w:p>
    <w:p>
      <w:pPr>
        <w:spacing w:after="0" w:line="134" w:lineRule="exact"/>
        <w:rPr>
          <w:sz w:val="20"/>
          <w:szCs w:val="20"/>
          <w:color w:val="auto"/>
        </w:rPr>
      </w:pPr>
    </w:p>
    <w:p>
      <w:pPr>
        <w:jc w:val="both"/>
        <w:ind w:right="1560"/>
        <w:spacing w:after="0" w:line="242" w:lineRule="auto"/>
        <w:rPr>
          <w:sz w:val="20"/>
          <w:szCs w:val="20"/>
          <w:color w:val="auto"/>
        </w:rPr>
      </w:pPr>
      <w:r>
        <w:rPr>
          <w:rFonts w:ascii="Calibri" w:cs="Calibri" w:eastAsia="Calibri" w:hAnsi="Calibri"/>
          <w:sz w:val="17"/>
          <w:szCs w:val="17"/>
          <w:color w:val="auto"/>
        </w:rPr>
        <w:t>On a Full-Year basis, the Cost of Risk stood at 2.4%. The NPL Coverage Rato, in turn, stood at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1361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Calibri" w:cs="Calibri" w:eastAsia="Calibri" w:hAnsi="Calibri"/>
          <w:sz w:val="16"/>
          <w:szCs w:val="16"/>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392430</wp:posOffset>
            </wp:positionV>
            <wp:extent cx="2498090" cy="1665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8090" cy="166560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2432050</wp:posOffset>
            </wp:positionV>
            <wp:extent cx="2498090" cy="1490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8090" cy="149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2">
            <w:col w:w="6940" w:space="720"/>
            <w:col w:w="3580"/>
          </w:cols>
          <w:pgMar w:left="320" w:top="279" w:right="339" w:bottom="1440" w:gutter="0" w:footer="0" w:header="0"/>
        </w:sectPr>
      </w:pPr>
    </w:p>
    <w:bookmarkStart w:id="9" w:name="page10"/>
    <w:bookmarkEnd w:id="9"/>
    <w:p>
      <w:pPr>
        <w:ind w:left="2680"/>
        <w:spacing w:after="0"/>
        <w:tabs>
          <w:tab w:leader="none" w:pos="296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Other Income</w:t>
      </w:r>
    </w:p>
    <w:p>
      <w:pPr>
        <w:spacing w:after="0" w:line="191" w:lineRule="exact"/>
        <w:rPr>
          <w:sz w:val="20"/>
          <w:szCs w:val="20"/>
          <w:color w:val="auto"/>
        </w:rPr>
      </w:pPr>
    </w:p>
    <w:p>
      <w:pPr>
        <w:ind w:right="1940"/>
        <w:spacing w:after="0" w:line="242" w:lineRule="auto"/>
        <w:rPr>
          <w:sz w:val="20"/>
          <w:szCs w:val="20"/>
          <w:color w:val="auto"/>
        </w:rPr>
      </w:pPr>
      <w:r>
        <w:rPr>
          <w:rFonts w:ascii="Calibri" w:cs="Calibri" w:eastAsia="Calibri" w:hAnsi="Calibri"/>
          <w:sz w:val="19"/>
          <w:szCs w:val="19"/>
          <w:color w:val="auto"/>
        </w:rPr>
        <w:t>It is important to note that Other Core Income contnued to be afected by our operaton in BCP Bolivia, which since 2023 has</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evolved and adapted its non-interest income structure for foreign</w:t>
      </w:r>
    </w:p>
    <w:p>
      <w:pPr>
        <w:spacing w:after="0" w:line="68"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transfers to ofset the losses reported for FX transactons. Excluding BCP Bolivia, Other Core Income increased 0.6% QoQ, driven mainly by growth in the Net Gain on FX Transactons at BCP Stand-alone. Other Non-Core Income dropped 7.9% QoQ, pressured by a deterioraton in an asset in Pacifco’s portolio and lower gains on securites at Credicorp Capital.</w:t>
      </w:r>
    </w:p>
    <w:p>
      <w:pPr>
        <w:spacing w:after="0" w:line="147"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YoY and YTD, Other Ordinary Income rose 17.1% and 15.2%, respectvely. Growth in both periods was driven mainly by BCP Stand-alone, via (i) an increase in fee income, which rose on the back of growth in transactons through Yape and Cards, and (ii) an increase in the Net gain on FX transactons, which was driven by higher volumes and beter spreads. Other Non-Core Income fell 23.1% and 0.9% respectvely, due to the same factors seen in the QoQ analysis.</w:t>
      </w:r>
    </w:p>
    <w:p>
      <w:pPr>
        <w:spacing w:after="0" w:line="133"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Insurance Underwritng Result</w:t>
      </w:r>
    </w:p>
    <w:p>
      <w:pPr>
        <w:spacing w:after="0" w:line="11" w:lineRule="exact"/>
        <w:rPr>
          <w:sz w:val="20"/>
          <w:szCs w:val="20"/>
          <w:color w:val="auto"/>
        </w:rPr>
      </w:pPr>
    </w:p>
    <w:p>
      <w:pPr>
        <w:ind w:right="2420"/>
        <w:spacing w:after="0" w:line="287" w:lineRule="auto"/>
        <w:rPr>
          <w:sz w:val="20"/>
          <w:szCs w:val="20"/>
          <w:color w:val="auto"/>
        </w:rPr>
      </w:pPr>
      <w:r>
        <w:rPr>
          <w:rFonts w:ascii="Calibri" w:cs="Calibri" w:eastAsia="Calibri" w:hAnsi="Calibri"/>
          <w:sz w:val="17"/>
          <w:szCs w:val="17"/>
          <w:color w:val="auto"/>
        </w:rPr>
        <w:t>The Insurance Underwritng Result rose 7.2% QoQ. This evoluton was mainly fueled by a stronger Reinsurance Result in P &amp; C.</w:t>
      </w:r>
    </w:p>
    <w:p>
      <w:pPr>
        <w:spacing w:after="0" w:line="133" w:lineRule="exact"/>
        <w:rPr>
          <w:sz w:val="20"/>
          <w:szCs w:val="20"/>
          <w:color w:val="auto"/>
        </w:rPr>
      </w:pPr>
    </w:p>
    <w:p>
      <w:pPr>
        <w:ind w:right="1840"/>
        <w:spacing w:after="0" w:line="242" w:lineRule="auto"/>
        <w:rPr>
          <w:sz w:val="20"/>
          <w:szCs w:val="20"/>
          <w:color w:val="auto"/>
        </w:rPr>
      </w:pPr>
      <w:r>
        <w:rPr>
          <w:rFonts w:ascii="Calibri" w:cs="Calibri" w:eastAsia="Calibri" w:hAnsi="Calibri"/>
          <w:sz w:val="17"/>
          <w:szCs w:val="17"/>
          <w:color w:val="auto"/>
        </w:rPr>
        <w:t>YoY, the uptck of 8.8% was atributable to a decrease in Insurance Service Expenses in the Life Business.</w:t>
      </w:r>
    </w:p>
    <w:p>
      <w:pPr>
        <w:spacing w:after="0" w:line="145" w:lineRule="exact"/>
        <w:rPr>
          <w:sz w:val="20"/>
          <w:szCs w:val="20"/>
          <w:color w:val="auto"/>
        </w:rPr>
      </w:pPr>
    </w:p>
    <w:p>
      <w:pPr>
        <w:ind w:right="2060"/>
        <w:spacing w:after="0" w:line="242" w:lineRule="auto"/>
        <w:rPr>
          <w:sz w:val="20"/>
          <w:szCs w:val="20"/>
          <w:color w:val="auto"/>
        </w:rPr>
      </w:pPr>
      <w:r>
        <w:rPr>
          <w:rFonts w:ascii="Calibri" w:cs="Calibri" w:eastAsia="Calibri" w:hAnsi="Calibri"/>
          <w:sz w:val="17"/>
          <w:szCs w:val="17"/>
          <w:color w:val="auto"/>
        </w:rPr>
        <w:t>YTD, the Insurance Underwritng Result dropped 1.0% on the back of a weaker Reinsurance Result, primarily in P &amp; C Risks.</w:t>
      </w:r>
    </w:p>
    <w:p>
      <w:pPr>
        <w:spacing w:after="0" w:line="300"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Efciency</w:t>
      </w:r>
    </w:p>
    <w:p>
      <w:pPr>
        <w:spacing w:after="0" w:line="195"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Operatng Expenses rose 9.4% YTD, driven primarily by core businesses at BCP Stand-alone and by disruptve initatves at Credicorp. Operatng Income rose 10.1% YTD.</w:t>
      </w:r>
    </w:p>
    <w:p>
      <w:pPr>
        <w:spacing w:after="0" w:line="133" w:lineRule="exact"/>
        <w:rPr>
          <w:sz w:val="20"/>
          <w:szCs w:val="20"/>
          <w:color w:val="auto"/>
        </w:rPr>
      </w:pPr>
    </w:p>
    <w:p>
      <w:pPr>
        <w:jc w:val="both"/>
        <w:ind w:right="1540"/>
        <w:spacing w:after="0" w:line="242" w:lineRule="auto"/>
        <w:rPr>
          <w:sz w:val="20"/>
          <w:szCs w:val="20"/>
          <w:color w:val="auto"/>
        </w:rPr>
      </w:pPr>
      <w:r>
        <w:rPr>
          <w:rFonts w:ascii="Calibri" w:cs="Calibri" w:eastAsia="Calibri" w:hAnsi="Calibri"/>
          <w:sz w:val="17"/>
          <w:szCs w:val="17"/>
          <w:color w:val="auto"/>
        </w:rPr>
        <w:t>In this context, the Efciency rato stood at 45.8% on a full-year basis, which represents an improvement of 30 bps with regard to the result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1504315</wp:posOffset>
            </wp:positionV>
            <wp:extent cx="71361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Calibri" w:cs="Calibri" w:eastAsia="Calibri" w:hAnsi="Calibri"/>
          <w:sz w:val="16"/>
          <w:szCs w:val="16"/>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392430</wp:posOffset>
            </wp:positionV>
            <wp:extent cx="2498090" cy="5928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8090" cy="592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2">
            <w:col w:w="6940" w:space="720"/>
            <w:col w:w="3580"/>
          </w:cols>
          <w:pgMar w:left="320" w:top="279" w:right="339" w:bottom="1440" w:gutter="0" w:footer="0" w:header="0"/>
        </w:sectPr>
      </w:pPr>
    </w:p>
    <w:bookmarkStart w:id="10" w:name="page11"/>
    <w:bookmarkEnd w:id="10"/>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397510</wp:posOffset>
            </wp:positionV>
            <wp:extent cx="2498090" cy="141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8090" cy="141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2AD2C8"/>
        </w:rPr>
        <w:t>Net earnings atributable to Credicorp</w:t>
      </w:r>
    </w:p>
    <w:p>
      <w:pPr>
        <w:spacing w:after="0" w:line="195" w:lineRule="exact"/>
        <w:rPr>
          <w:sz w:val="20"/>
          <w:szCs w:val="20"/>
          <w:color w:val="auto"/>
        </w:rPr>
      </w:pPr>
    </w:p>
    <w:p>
      <w:pPr>
        <w:jc w:val="both"/>
        <w:ind w:right="5840"/>
        <w:spacing w:after="0" w:line="242" w:lineRule="auto"/>
        <w:rPr>
          <w:sz w:val="20"/>
          <w:szCs w:val="20"/>
          <w:color w:val="auto"/>
        </w:rPr>
      </w:pPr>
      <w:r>
        <w:rPr>
          <w:rFonts w:ascii="Calibri" w:cs="Calibri" w:eastAsia="Calibri" w:hAnsi="Calibri"/>
          <w:sz w:val="17"/>
          <w:szCs w:val="17"/>
          <w:color w:val="auto"/>
        </w:rPr>
        <w:t>In 4Q24, net earnings atributable to Credicorp stood at S/1,126.7 million, -26.1% QoQ and +33.8% YoY. Net shareholders’ equity, in turn, stood at S/34,346 million (+2.6% QoQ and +5.8% YoY). As a result, ROE stood at 13.3%, impacted by a 259 million soles one-ofs related to Sartor case*.</w:t>
      </w:r>
    </w:p>
    <w:p>
      <w:pPr>
        <w:spacing w:after="0" w:line="147" w:lineRule="exact"/>
        <w:rPr>
          <w:sz w:val="20"/>
          <w:szCs w:val="20"/>
          <w:color w:val="auto"/>
        </w:rPr>
      </w:pPr>
    </w:p>
    <w:p>
      <w:pPr>
        <w:jc w:val="both"/>
        <w:ind w:right="5840"/>
        <w:spacing w:after="0" w:line="242" w:lineRule="auto"/>
        <w:rPr>
          <w:sz w:val="20"/>
          <w:szCs w:val="20"/>
          <w:color w:val="auto"/>
        </w:rPr>
      </w:pPr>
      <w:r>
        <w:rPr>
          <w:rFonts w:ascii="Calibri" w:cs="Calibri" w:eastAsia="Calibri" w:hAnsi="Calibri"/>
          <w:sz w:val="17"/>
          <w:szCs w:val="17"/>
          <w:color w:val="auto"/>
        </w:rPr>
        <w:t>YTD, Credicorp's net income increased 13.1%, reaching a record high of S/5,501.3 million As a results, ROE stood at 16.5% and 17.2% when excluding the above-mentoned one-tme charge.</w:t>
      </w:r>
    </w:p>
    <w:p>
      <w:pPr>
        <w:spacing w:after="0" w:line="208" w:lineRule="exact"/>
        <w:rPr>
          <w:sz w:val="20"/>
          <w:szCs w:val="20"/>
          <w:color w:val="auto"/>
        </w:rPr>
      </w:pPr>
    </w:p>
    <w:p>
      <w:pPr>
        <w:spacing w:after="0"/>
        <w:rPr>
          <w:sz w:val="20"/>
          <w:szCs w:val="20"/>
          <w:color w:val="auto"/>
        </w:rPr>
      </w:pPr>
      <w:r>
        <w:rPr>
          <w:rFonts w:ascii="Calibri" w:cs="Calibri" w:eastAsia="Calibri" w:hAnsi="Calibri"/>
          <w:sz w:val="12"/>
          <w:szCs w:val="12"/>
          <w:color w:val="auto"/>
        </w:rPr>
        <w:t>*Please refer to our Dec 30th press release for more details on the Sartor case.</w:t>
      </w:r>
    </w:p>
    <w:p>
      <w:pPr>
        <w:spacing w:after="0" w:line="170" w:lineRule="exact"/>
        <w:rPr>
          <w:sz w:val="20"/>
          <w:szCs w:val="20"/>
          <w:color w:val="auto"/>
        </w:rPr>
      </w:pPr>
    </w:p>
    <w:p>
      <w:pPr>
        <w:jc w:val="center"/>
        <w:ind w:right="280"/>
        <w:spacing w:after="0"/>
        <w:rPr>
          <w:sz w:val="20"/>
          <w:szCs w:val="20"/>
          <w:color w:val="auto"/>
        </w:rPr>
      </w:pPr>
      <w:r>
        <w:rPr>
          <w:rFonts w:ascii="Calibri" w:cs="Calibri" w:eastAsia="Calibri" w:hAnsi="Calibri"/>
          <w:sz w:val="24"/>
          <w:szCs w:val="24"/>
          <w:b w:val="1"/>
          <w:bCs w:val="1"/>
          <w:color w:val="2AD2C8"/>
        </w:rPr>
        <w:t>Contributons and ROE by subsidiary in 4Q24</w:t>
      </w:r>
    </w:p>
    <w:p>
      <w:pPr>
        <w:spacing w:after="0" w:line="32" w:lineRule="exact"/>
        <w:rPr>
          <w:sz w:val="20"/>
          <w:szCs w:val="20"/>
          <w:color w:val="auto"/>
        </w:rPr>
      </w:pPr>
    </w:p>
    <w:p>
      <w:pPr>
        <w:jc w:val="center"/>
        <w:ind w:right="260"/>
        <w:spacing w:after="0"/>
        <w:rPr>
          <w:sz w:val="20"/>
          <w:szCs w:val="20"/>
          <w:color w:val="auto"/>
        </w:rPr>
      </w:pPr>
      <w:r>
        <w:rPr>
          <w:rFonts w:ascii="Calibri" w:cs="Calibri" w:eastAsia="Calibri" w:hAnsi="Calibri"/>
          <w:sz w:val="16"/>
          <w:szCs w:val="16"/>
          <w:b w:val="1"/>
          <w:bCs w:val="1"/>
          <w:color w:val="2AD2C8"/>
        </w:rPr>
        <w:t>(S/ millions)</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26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rPr>
              <w:t>ROE</w:t>
            </w:r>
          </w:p>
        </w:tc>
        <w:tc>
          <w:tcPr>
            <w:tcW w:w="220" w:type="dxa"/>
            <w:vAlign w:val="bottom"/>
            <w:tcBorders>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ind w:left="480"/>
              <w:spacing w:after="0"/>
              <w:rPr>
                <w:sz w:val="20"/>
                <w:szCs w:val="20"/>
                <w:color w:val="auto"/>
              </w:rPr>
            </w:pPr>
            <w:r>
              <w:rPr>
                <w:rFonts w:ascii="Calibri" w:cs="Calibri" w:eastAsia="Calibri" w:hAnsi="Calibri"/>
                <w:sz w:val="16"/>
                <w:szCs w:val="16"/>
                <w:b w:val="1"/>
                <w:bCs w:val="1"/>
                <w:color w:val="auto"/>
              </w:rPr>
              <w:t>ROE</w:t>
            </w:r>
          </w:p>
        </w:tc>
        <w:tc>
          <w:tcPr>
            <w:tcW w:w="200" w:type="dxa"/>
            <w:vAlign w:val="bottom"/>
            <w:tcBorders>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rPr>
              <w:t>ROE</w:t>
            </w:r>
          </w:p>
        </w:tc>
        <w:tc>
          <w:tcPr>
            <w:tcW w:w="220" w:type="dxa"/>
            <w:vAlign w:val="bottom"/>
            <w:tcBorders>
              <w:right w:val="single" w:sz="8" w:color="auto"/>
            </w:tcBorders>
          </w:tcPr>
          <w:p>
            <w:pPr>
              <w:spacing w:after="0"/>
              <w:rPr>
                <w:sz w:val="21"/>
                <w:szCs w:val="21"/>
                <w:color w:val="auto"/>
              </w:rPr>
            </w:pPr>
          </w:p>
        </w:tc>
        <w:tc>
          <w:tcPr>
            <w:tcW w:w="12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3"/>
              </w:rPr>
              <w:t>ROE</w:t>
            </w:r>
          </w:p>
        </w:tc>
        <w:tc>
          <w:tcPr>
            <w:tcW w:w="120" w:type="dxa"/>
            <w:vAlign w:val="bottom"/>
            <w:tcBorders>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3"/>
              </w:rPr>
              <w:t>ROE</w:t>
            </w:r>
          </w:p>
        </w:tc>
        <w:tc>
          <w:tcPr>
            <w:tcW w:w="240" w:type="dxa"/>
            <w:vAlign w:val="bottom"/>
            <w:tcBorders>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3"/>
              </w:rPr>
              <w:t>ROE</w:t>
            </w:r>
          </w:p>
        </w:tc>
        <w:tc>
          <w:tcPr>
            <w:tcW w:w="160" w:type="dxa"/>
            <w:vAlign w:val="bottom"/>
            <w:tcBorders>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rPr>
              <w:t>ROE</w:t>
            </w:r>
          </w:p>
        </w:tc>
        <w:tc>
          <w:tcPr>
            <w:tcW w:w="220" w:type="dxa"/>
            <w:vAlign w:val="bottom"/>
            <w:tcBorders>
              <w:right w:val="single" w:sz="8" w:color="auto"/>
            </w:tcBorders>
          </w:tcPr>
          <w:p>
            <w:pPr>
              <w:spacing w:after="0"/>
              <w:rPr>
                <w:sz w:val="21"/>
                <w:szCs w:val="21"/>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3"/>
              </w:rPr>
              <w:t>ROE</w:t>
            </w:r>
          </w:p>
        </w:tc>
      </w:tr>
      <w:tr>
        <w:trPr>
          <w:trHeight w:val="244"/>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9"/>
              </w:rPr>
              <w:t>20.1%</w:t>
            </w:r>
          </w:p>
        </w:tc>
        <w:tc>
          <w:tcPr>
            <w:tcW w:w="220" w:type="dxa"/>
            <w:vAlign w:val="bottom"/>
            <w:tcBorders>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ind w:left="460"/>
              <w:spacing w:after="0"/>
              <w:rPr>
                <w:sz w:val="20"/>
                <w:szCs w:val="20"/>
                <w:color w:val="auto"/>
              </w:rPr>
            </w:pPr>
            <w:r>
              <w:rPr>
                <w:rFonts w:ascii="Calibri" w:cs="Calibri" w:eastAsia="Calibri" w:hAnsi="Calibri"/>
                <w:sz w:val="16"/>
                <w:szCs w:val="16"/>
                <w:b w:val="1"/>
                <w:bCs w:val="1"/>
                <w:color w:val="auto"/>
              </w:rPr>
              <w:t>9.5%</w:t>
            </w:r>
          </w:p>
        </w:tc>
        <w:tc>
          <w:tcPr>
            <w:tcW w:w="200" w:type="dxa"/>
            <w:vAlign w:val="bottom"/>
            <w:tcBorders>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341"/>
              <w:spacing w:after="0"/>
              <w:rPr>
                <w:sz w:val="20"/>
                <w:szCs w:val="20"/>
                <w:color w:val="auto"/>
              </w:rPr>
            </w:pPr>
            <w:r>
              <w:rPr>
                <w:rFonts w:ascii="Calibri" w:cs="Calibri" w:eastAsia="Calibri" w:hAnsi="Calibri"/>
                <w:sz w:val="16"/>
                <w:szCs w:val="16"/>
                <w:b w:val="1"/>
                <w:bCs w:val="1"/>
                <w:color w:val="auto"/>
              </w:rPr>
              <w:t>17.3%</w:t>
            </w:r>
          </w:p>
        </w:tc>
        <w:tc>
          <w:tcPr>
            <w:tcW w:w="220" w:type="dxa"/>
            <w:vAlign w:val="bottom"/>
            <w:tcBorders>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361"/>
              <w:spacing w:after="0"/>
              <w:rPr>
                <w:sz w:val="20"/>
                <w:szCs w:val="20"/>
                <w:color w:val="auto"/>
              </w:rPr>
            </w:pPr>
            <w:r>
              <w:rPr>
                <w:rFonts w:ascii="Calibri" w:cs="Calibri" w:eastAsia="Calibri" w:hAnsi="Calibri"/>
                <w:sz w:val="16"/>
                <w:szCs w:val="16"/>
                <w:b w:val="1"/>
                <w:bCs w:val="1"/>
                <w:color w:val="auto"/>
              </w:rPr>
              <w:t>12.9%</w:t>
            </w:r>
          </w:p>
        </w:tc>
        <w:tc>
          <w:tcPr>
            <w:tcW w:w="120" w:type="dxa"/>
            <w:vAlign w:val="bottom"/>
            <w:tcBorders>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right"/>
              <w:ind w:right="321"/>
              <w:spacing w:after="0"/>
              <w:rPr>
                <w:sz w:val="20"/>
                <w:szCs w:val="20"/>
                <w:color w:val="auto"/>
              </w:rPr>
            </w:pPr>
            <w:r>
              <w:rPr>
                <w:rFonts w:ascii="Calibri" w:cs="Calibri" w:eastAsia="Calibri" w:hAnsi="Calibri"/>
                <w:sz w:val="16"/>
                <w:szCs w:val="16"/>
                <w:b w:val="1"/>
                <w:bCs w:val="1"/>
                <w:color w:val="auto"/>
              </w:rPr>
              <w:t>20.5%</w:t>
            </w:r>
          </w:p>
        </w:tc>
        <w:tc>
          <w:tcPr>
            <w:tcW w:w="240" w:type="dxa"/>
            <w:vAlign w:val="bottom"/>
            <w:tcBorders>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341"/>
              <w:spacing w:after="0"/>
              <w:rPr>
                <w:sz w:val="20"/>
                <w:szCs w:val="20"/>
                <w:color w:val="auto"/>
              </w:rPr>
            </w:pPr>
            <w:r>
              <w:rPr>
                <w:rFonts w:ascii="Calibri" w:cs="Calibri" w:eastAsia="Calibri" w:hAnsi="Calibri"/>
                <w:sz w:val="16"/>
                <w:szCs w:val="16"/>
                <w:b w:val="1"/>
                <w:bCs w:val="1"/>
                <w:color w:val="auto"/>
              </w:rPr>
              <w:t>19.7%</w:t>
            </w:r>
          </w:p>
        </w:tc>
        <w:tc>
          <w:tcPr>
            <w:tcW w:w="160" w:type="dxa"/>
            <w:vAlign w:val="bottom"/>
            <w:tcBorders>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341"/>
              <w:spacing w:after="0"/>
              <w:rPr>
                <w:sz w:val="20"/>
                <w:szCs w:val="20"/>
                <w:color w:val="auto"/>
              </w:rPr>
            </w:pPr>
            <w:r>
              <w:rPr>
                <w:rFonts w:ascii="Calibri" w:cs="Calibri" w:eastAsia="Calibri" w:hAnsi="Calibri"/>
                <w:sz w:val="16"/>
                <w:szCs w:val="16"/>
                <w:b w:val="1"/>
                <w:bCs w:val="1"/>
                <w:color w:val="auto"/>
              </w:rPr>
              <w:t>18.0%</w:t>
            </w:r>
          </w:p>
        </w:tc>
        <w:tc>
          <w:tcPr>
            <w:tcW w:w="220" w:type="dxa"/>
            <w:vAlign w:val="bottom"/>
            <w:tcBorders>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rPr>
              <w:t>-</w:t>
            </w:r>
            <w:r>
              <w:rPr>
                <w:rFonts w:ascii="Calibri" w:cs="Calibri" w:eastAsia="Calibri" w:hAnsi="Calibri"/>
                <w:sz w:val="16"/>
                <w:szCs w:val="16"/>
                <w:b w:val="1"/>
                <w:bCs w:val="1"/>
                <w:color w:val="auto"/>
              </w:rPr>
              <w:t>1.4%</w:t>
            </w:r>
          </w:p>
        </w:tc>
      </w:tr>
      <w:tr>
        <w:trPr>
          <w:trHeight w:val="327"/>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1,131.1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100330</wp:posOffset>
            </wp:positionV>
            <wp:extent cx="5579110" cy="22313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9110" cy="2231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hanging="235"/>
        <w:spacing w:after="0"/>
        <w:tabs>
          <w:tab w:leader="none" w:pos="240" w:val="left"/>
        </w:tabs>
        <w:numPr>
          <w:ilvl w:val="0"/>
          <w:numId w:val="3"/>
        </w:numPr>
        <w:rPr>
          <w:rFonts w:ascii="Calibri" w:cs="Calibri" w:eastAsia="Calibri" w:hAnsi="Calibri"/>
          <w:sz w:val="11"/>
          <w:szCs w:val="11"/>
          <w:color w:val="auto"/>
        </w:rPr>
      </w:pPr>
      <w:r>
        <w:rPr>
          <w:rFonts w:ascii="Calibri" w:cs="Calibri" w:eastAsia="Calibri" w:hAnsi="Calibri"/>
          <w:sz w:val="11"/>
          <w:szCs w:val="11"/>
          <w:color w:val="auto"/>
        </w:rPr>
        <w:t>In BCP Stand-alone, the fgure is lower than the net proft since the contributon eliminates investment gains in other subsidiaries of Credicorp (Mibanco)</w:t>
      </w:r>
    </w:p>
    <w:p>
      <w:pPr>
        <w:ind w:left="240" w:hanging="235"/>
        <w:spacing w:after="0" w:line="234" w:lineRule="auto"/>
        <w:tabs>
          <w:tab w:leader="none" w:pos="240" w:val="left"/>
        </w:tabs>
        <w:numPr>
          <w:ilvl w:val="0"/>
          <w:numId w:val="3"/>
        </w:numPr>
        <w:rPr>
          <w:rFonts w:ascii="Calibri" w:cs="Calibri" w:eastAsia="Calibri" w:hAnsi="Calibri"/>
          <w:sz w:val="11"/>
          <w:szCs w:val="11"/>
          <w:color w:val="auto"/>
        </w:rPr>
      </w:pPr>
      <w:r>
        <w:rPr>
          <w:rFonts w:ascii="Calibri" w:cs="Calibri" w:eastAsia="Calibri" w:hAnsi="Calibri"/>
          <w:sz w:val="11"/>
          <w:szCs w:val="11"/>
          <w:color w:val="auto"/>
        </w:rPr>
        <w:t>In Mibanco, the fgure is less than the net proft because Credicorp owns (directly and indirectly) 99.921% of Mibanco.</w:t>
      </w:r>
    </w:p>
    <w:p>
      <w:pPr>
        <w:ind w:left="240" w:hanging="235"/>
        <w:spacing w:after="0" w:line="234" w:lineRule="auto"/>
        <w:tabs>
          <w:tab w:leader="none" w:pos="240" w:val="left"/>
        </w:tabs>
        <w:numPr>
          <w:ilvl w:val="0"/>
          <w:numId w:val="3"/>
        </w:numPr>
        <w:rPr>
          <w:rFonts w:ascii="Calibri" w:cs="Calibri" w:eastAsia="Calibri" w:hAnsi="Calibri"/>
          <w:sz w:val="11"/>
          <w:szCs w:val="11"/>
          <w:color w:val="auto"/>
        </w:rPr>
      </w:pPr>
      <w:r>
        <w:rPr>
          <w:rFonts w:ascii="Calibri" w:cs="Calibri" w:eastAsia="Calibri" w:hAnsi="Calibri"/>
          <w:sz w:val="11"/>
          <w:szCs w:val="11"/>
          <w:color w:val="auto"/>
        </w:rPr>
        <w:t>The contributon of Grupo Pacífco presented here is greater than the proft of Pacifco Seguros since 100% of Crediseguros is being included (including 48% under Grupo Crédito).</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1" w:name="page12"/>
    <w:bookmarkEnd w:id="11"/>
    <w:p>
      <w:pPr>
        <w:jc w:val="both"/>
        <w:ind w:left="2640"/>
        <w:spacing w:after="0"/>
        <w:tabs>
          <w:tab w:leader="none" w:pos="2920" w:val="left"/>
          <w:tab w:leader="none" w:pos="760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280670</wp:posOffset>
            </wp:positionV>
            <wp:extent cx="7136130" cy="382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3829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740"/>
        <w:spacing w:after="0"/>
        <w:tabs>
          <w:tab w:leader="none" w:pos="7840" w:val="left"/>
        </w:tabs>
        <w:rPr>
          <w:sz w:val="20"/>
          <w:szCs w:val="20"/>
          <w:color w:val="auto"/>
        </w:rPr>
      </w:pPr>
      <w:r>
        <w:rPr>
          <w:rFonts w:ascii="Arial" w:cs="Arial" w:eastAsia="Arial" w:hAnsi="Arial"/>
          <w:sz w:val="21"/>
          <w:szCs w:val="21"/>
          <w:b w:val="1"/>
          <w:bCs w:val="1"/>
          <w:color w:val="FFFFFF"/>
        </w:rPr>
        <w:t>Universal Banking</w:t>
      </w:r>
      <w:r>
        <w:rPr>
          <w:sz w:val="20"/>
          <w:szCs w:val="20"/>
          <w:color w:val="auto"/>
        </w:rPr>
        <w:tab/>
      </w:r>
      <w:r>
        <w:rPr>
          <w:rFonts w:ascii="Arial" w:cs="Arial" w:eastAsia="Arial" w:hAnsi="Arial"/>
          <w:sz w:val="21"/>
          <w:szCs w:val="21"/>
          <w:b w:val="1"/>
          <w:bCs w:val="1"/>
          <w:color w:val="FFFFFF"/>
        </w:rPr>
        <w:t>Microfinance</w:t>
      </w:r>
    </w:p>
    <w:p>
      <w:pPr>
        <w:sectPr>
          <w:pgSz w:w="11900" w:h="16838" w:orient="portrait"/>
          <w:cols w:equalWidth="0" w:num="1">
            <w:col w:w="11200"/>
          </w:cols>
          <w:pgMar w:left="360" w:top="279" w:right="339" w:bottom="1440" w:gutter="0" w:footer="0" w:header="0"/>
        </w:sectPr>
      </w:pPr>
    </w:p>
    <w:p>
      <w:pPr>
        <w:spacing w:after="0" w:line="391" w:lineRule="exact"/>
        <w:rPr>
          <w:sz w:val="20"/>
          <w:szCs w:val="20"/>
          <w:color w:val="auto"/>
        </w:rPr>
      </w:pPr>
    </w:p>
    <w:p>
      <w:pPr>
        <w:jc w:val="both"/>
        <w:spacing w:after="0" w:line="244" w:lineRule="auto"/>
        <w:rPr>
          <w:sz w:val="20"/>
          <w:szCs w:val="20"/>
          <w:color w:val="auto"/>
        </w:rPr>
      </w:pPr>
      <w:r>
        <w:rPr>
          <w:rFonts w:ascii="Calibri" w:cs="Calibri" w:eastAsia="Calibri" w:hAnsi="Calibri"/>
          <w:sz w:val="19"/>
          <w:szCs w:val="19"/>
          <w:color w:val="auto"/>
        </w:rPr>
        <w:t>BCP registered a strong performance, which was mainly driven by resilient margins amid a shif in the loan portolio to retail and solid transactonal funding, alongside diversifed income streams. NIM stood at 6.0%, primarily bolstered by an improvement in the funding cost, and by uptck in the yield on interest earning assets. Other core income rose 15.2%, as fee income was boosted by Yape ´s consolidaton as a key revenue stream and BCP´s strong transactonal actvity. These dynamics were partally ofset by growth in operatng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-1346200</wp:posOffset>
            </wp:positionV>
            <wp:extent cx="3422650" cy="1880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2650" cy="1880235"/>
                    </a:xfrm>
                    <a:prstGeom prst="rect">
                      <a:avLst/>
                    </a:prstGeom>
                    <a:noFill/>
                  </pic:spPr>
                </pic:pic>
              </a:graphicData>
            </a:graphic>
          </wp:anchor>
        </w:drawing>
      </w:r>
    </w:p>
    <w:p>
      <w:pPr>
        <w:spacing w:after="0" w:line="372" w:lineRule="exact"/>
        <w:rPr>
          <w:sz w:val="20"/>
          <w:szCs w:val="20"/>
          <w:color w:val="auto"/>
        </w:rPr>
      </w:pPr>
    </w:p>
    <w:p>
      <w:pPr>
        <w:ind w:left="1460"/>
        <w:spacing w:after="0"/>
        <w:rPr>
          <w:sz w:val="20"/>
          <w:szCs w:val="20"/>
          <w:color w:val="auto"/>
        </w:rPr>
      </w:pPr>
      <w:r>
        <w:rPr>
          <w:rFonts w:ascii="Arial" w:cs="Arial" w:eastAsia="Arial" w:hAnsi="Arial"/>
          <w:sz w:val="21"/>
          <w:szCs w:val="21"/>
          <w:b w:val="1"/>
          <w:bCs w:val="1"/>
          <w:color w:val="FFFFFF"/>
        </w:rPr>
        <w:t>Insurance and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249555</wp:posOffset>
            </wp:positionV>
            <wp:extent cx="3418205" cy="928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18205" cy="928370"/>
                    </a:xfrm>
                    <a:prstGeom prst="rect">
                      <a:avLst/>
                    </a:prstGeom>
                    <a:noFill/>
                  </pic:spPr>
                </pic:pic>
              </a:graphicData>
            </a:graphic>
          </wp:anchor>
        </w:drawing>
      </w:r>
    </w:p>
    <w:p>
      <w:pPr>
        <w:spacing w:after="0" w:line="380" w:lineRule="exact"/>
        <w:rPr>
          <w:sz w:val="20"/>
          <w:szCs w:val="20"/>
          <w:color w:val="auto"/>
        </w:rPr>
      </w:pPr>
    </w:p>
    <w:p>
      <w:pPr>
        <w:jc w:val="both"/>
        <w:spacing w:after="0" w:line="257" w:lineRule="auto"/>
        <w:rPr>
          <w:sz w:val="20"/>
          <w:szCs w:val="20"/>
          <w:color w:val="auto"/>
        </w:rPr>
      </w:pPr>
      <w:r>
        <w:rPr>
          <w:rFonts w:ascii="Calibri" w:cs="Calibri" w:eastAsia="Calibri" w:hAnsi="Calibri"/>
          <w:sz w:val="18"/>
          <w:szCs w:val="18"/>
          <w:color w:val="auto"/>
        </w:rPr>
        <w:t>Grupo Pacifco concluded 2024 with another year of remarkable performance, achieving an ROE of 23.7% on the back of solid commercial dynamics in both the P&amp;C and Life business lines. Net Income slightly dropped 5% mainly driven by (i) lower Insurance Underwritng Results, due to normalizaton of underwritng margins in the Life business, and (ii) higher Operatng Expenses.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jc w:val="both"/>
        <w:ind w:right="40"/>
        <w:spacing w:after="0" w:line="257" w:lineRule="auto"/>
        <w:rPr>
          <w:sz w:val="20"/>
          <w:szCs w:val="20"/>
          <w:color w:val="auto"/>
        </w:rPr>
      </w:pPr>
      <w:r>
        <w:rPr>
          <w:rFonts w:ascii="Calibri" w:cs="Calibri" w:eastAsia="Calibri" w:hAnsi="Calibri"/>
          <w:sz w:val="18"/>
          <w:szCs w:val="18"/>
          <w:color w:val="auto"/>
        </w:rPr>
        <w:t>In 2024, Mibanco registered a 51.7% increase in Net Income. This evoluton was mainly driven by a drop in provisions, which fell due to the risk- management measures implemented and to growth in Net interest income, which rose on the back of actve pricing management of loans and a reducton in the cost of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-750570</wp:posOffset>
            </wp:positionV>
            <wp:extent cx="3418205" cy="1470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18205" cy="1470025"/>
                    </a:xfrm>
                    <a:prstGeom prst="rect">
                      <a:avLst/>
                    </a:prstGeom>
                    <a:noFill/>
                  </pic:spPr>
                </pic:pic>
              </a:graphicData>
            </a:graphic>
          </wp:anchor>
        </w:drawing>
      </w:r>
    </w:p>
    <w:p>
      <w:pPr>
        <w:spacing w:after="0" w:line="128" w:lineRule="exact"/>
        <w:rPr>
          <w:sz w:val="20"/>
          <w:szCs w:val="20"/>
          <w:color w:val="auto"/>
        </w:rPr>
      </w:pPr>
    </w:p>
    <w:p>
      <w:pPr>
        <w:jc w:val="both"/>
        <w:ind w:right="20"/>
        <w:spacing w:after="0" w:line="257" w:lineRule="auto"/>
        <w:rPr>
          <w:sz w:val="20"/>
          <w:szCs w:val="20"/>
          <w:color w:val="auto"/>
        </w:rPr>
      </w:pPr>
      <w:r>
        <w:rPr>
          <w:rFonts w:ascii="Calibri" w:cs="Calibri" w:eastAsia="Calibri" w:hAnsi="Calibri"/>
          <w:sz w:val="18"/>
          <w:szCs w:val="18"/>
          <w:color w:val="auto"/>
        </w:rPr>
        <w:t>Mibanco Colombia's results improved signifcantly thanks to a focus on efciency and disciplined risk processes and controls, despite a challenging business environment. This helped us become the third largest private microfnance lender in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145415</wp:posOffset>
            </wp:positionV>
            <wp:extent cx="3422650" cy="532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2650" cy="532765"/>
                    </a:xfrm>
                    <a:prstGeom prst="rect">
                      <a:avLst/>
                    </a:prstGeom>
                    <a:noFill/>
                  </pic:spPr>
                </pic:pic>
              </a:graphicData>
            </a:graphic>
          </wp:anchor>
        </w:drawing>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FFFFFF"/>
        </w:rPr>
        <w:t>Investment Management</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FFFFFF"/>
        </w:rPr>
        <w:t>and 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235585</wp:posOffset>
            </wp:positionV>
            <wp:extent cx="3418205" cy="928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18205" cy="928370"/>
                    </a:xfrm>
                    <a:prstGeom prst="rect">
                      <a:avLst/>
                    </a:prstGeom>
                    <a:noFill/>
                  </pic:spPr>
                </pic:pic>
              </a:graphicData>
            </a:graphic>
          </wp:anchor>
        </w:drawing>
      </w:r>
    </w:p>
    <w:p>
      <w:pPr>
        <w:spacing w:after="0" w:line="358" w:lineRule="exact"/>
        <w:rPr>
          <w:sz w:val="20"/>
          <w:szCs w:val="20"/>
          <w:color w:val="auto"/>
        </w:rPr>
      </w:pPr>
    </w:p>
    <w:p>
      <w:pPr>
        <w:jc w:val="both"/>
        <w:ind w:right="20"/>
        <w:spacing w:after="0" w:line="257" w:lineRule="auto"/>
        <w:rPr>
          <w:sz w:val="20"/>
          <w:szCs w:val="20"/>
          <w:color w:val="auto"/>
        </w:rPr>
      </w:pPr>
      <w:r>
        <w:rPr>
          <w:rFonts w:ascii="Calibri" w:cs="Calibri" w:eastAsia="Calibri" w:hAnsi="Calibri"/>
          <w:sz w:val="18"/>
          <w:szCs w:val="18"/>
          <w:color w:val="auto"/>
        </w:rPr>
        <w:t>Operatng dynamics have been strong throughout the year for IM&amp;A, which afrms that our new strategic approach is on target and puts us in good stead for 2025. Excluding one-ofs for the Sartor case, net income rose 15%, led primarily by Sales actvites in our Capital Markets Business. Our Wealth and Asset Management businesses also contributed to growth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262890</wp:posOffset>
            </wp:positionV>
            <wp:extent cx="7136130" cy="382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382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520"/>
            <w:col w:w="5360"/>
          </w:cols>
          <w:pgMar w:left="360" w:top="279" w:right="339" w:bottom="1440" w:gutter="0" w:footer="0" w:header="0"/>
          <w:type w:val="continuous"/>
        </w:sect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FFFFFF"/>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133350</wp:posOffset>
            </wp:positionV>
            <wp:extent cx="7132320" cy="561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561975"/>
                    </a:xfrm>
                    <a:prstGeom prst="rect">
                      <a:avLst/>
                    </a:prstGeom>
                    <a:noFill/>
                  </pic:spPr>
                </pic:pic>
              </a:graphicData>
            </a:graphic>
          </wp:anchor>
        </w:drawing>
      </w:r>
    </w:p>
    <w:p>
      <w:pPr>
        <w:spacing w:after="0" w:line="37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We expect to close the year in 2025 with a ROE around 17.5%. We antcipate that this result will be</w:t>
      </w:r>
    </w:p>
    <w:p>
      <w:pPr>
        <w:spacing w:after="0" w:line="16"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driven by: (i) growth in our loan portolio, partcularly in the retail segment, (ii) the resilience of our NIM, and (iii) a reducton in the cost of risk.</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36830</wp:posOffset>
            </wp:positionV>
            <wp:extent cx="713613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60" w:top="279" w:right="33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415"/>
        </w:trPr>
        <w:tc>
          <w:tcPr>
            <w:tcW w:w="2920" w:type="dxa"/>
            <w:vAlign w:val="bottom"/>
            <w:tcBorders>
              <w:left w:val="single" w:sz="8" w:color="auto"/>
            </w:tcBorders>
            <w:shd w:val="clear" w:color="auto" w:fill="000000"/>
          </w:tcPr>
          <w:p>
            <w:pPr>
              <w:ind w:left="2680"/>
              <w:spacing w:after="0"/>
              <w:rPr>
                <w:sz w:val="20"/>
                <w:szCs w:val="20"/>
                <w:color w:val="auto"/>
              </w:rPr>
            </w:pPr>
            <w:r>
              <w:rPr>
                <w:rFonts w:ascii="Calibri" w:cs="Calibri" w:eastAsia="Calibri" w:hAnsi="Calibri"/>
                <w:sz w:val="19"/>
                <w:szCs w:val="19"/>
                <w:color w:val="A6A6A6"/>
              </w:rPr>
              <w:t>|</w:t>
            </w:r>
          </w:p>
        </w:tc>
        <w:tc>
          <w:tcPr>
            <w:tcW w:w="2380" w:type="dxa"/>
            <w:vAlign w:val="bottom"/>
            <w:gridSpan w:val="2"/>
            <w:shd w:val="clear" w:color="auto" w:fill="000000"/>
          </w:tcPr>
          <w:p>
            <w:pPr>
              <w:ind w:left="60"/>
              <w:spacing w:after="0"/>
              <w:rPr>
                <w:sz w:val="20"/>
                <w:szCs w:val="20"/>
                <w:color w:val="auto"/>
              </w:rPr>
            </w:pPr>
            <w:r>
              <w:rPr>
                <w:rFonts w:ascii="Calibri" w:cs="Calibri" w:eastAsia="Calibri" w:hAnsi="Calibri"/>
                <w:sz w:val="16"/>
                <w:szCs w:val="16"/>
                <w:color w:val="FFFFFF"/>
              </w:rPr>
              <w:t>Earnings Release 4Q / 2024</w:t>
            </w:r>
          </w:p>
        </w:tc>
        <w:tc>
          <w:tcPr>
            <w:tcW w:w="920" w:type="dxa"/>
            <w:vAlign w:val="bottom"/>
            <w:shd w:val="clear" w:color="auto" w:fill="000000"/>
          </w:tcPr>
          <w:p>
            <w:pPr>
              <w:spacing w:after="0"/>
              <w:rPr>
                <w:sz w:val="24"/>
                <w:szCs w:val="24"/>
                <w:color w:val="auto"/>
              </w:rPr>
            </w:pPr>
          </w:p>
        </w:tc>
        <w:tc>
          <w:tcPr>
            <w:tcW w:w="940" w:type="dxa"/>
            <w:vAlign w:val="bottom"/>
            <w:tcBorders>
              <w:right w:val="single" w:sz="8" w:color="auto"/>
            </w:tcBorders>
            <w:shd w:val="clear" w:color="auto" w:fill="000000"/>
          </w:tcPr>
          <w:p>
            <w:pPr>
              <w:spacing w:after="0"/>
              <w:rPr>
                <w:sz w:val="24"/>
                <w:szCs w:val="24"/>
                <w:color w:val="auto"/>
              </w:rPr>
            </w:pPr>
          </w:p>
        </w:tc>
        <w:tc>
          <w:tcPr>
            <w:tcW w:w="3260" w:type="dxa"/>
            <w:vAlign w:val="bottom"/>
            <w:tcBorders>
              <w:right w:val="single" w:sz="8" w:color="auto"/>
            </w:tcBorders>
            <w:gridSpan w:val="4"/>
            <w:shd w:val="clear" w:color="auto" w:fill="000000"/>
          </w:tcPr>
          <w:p>
            <w:pPr>
              <w:ind w:left="500"/>
              <w:spacing w:after="0"/>
              <w:rPr>
                <w:sz w:val="20"/>
                <w:szCs w:val="20"/>
                <w:color w:val="auto"/>
              </w:rPr>
            </w:pPr>
            <w:r>
              <w:rPr>
                <w:rFonts w:ascii="Calibri" w:cs="Calibri" w:eastAsia="Calibri" w:hAnsi="Calibri"/>
                <w:sz w:val="16"/>
                <w:szCs w:val="16"/>
                <w:color w:val="ED3FA8"/>
              </w:rPr>
              <w:t>Analysis of 4Q24 Consolidated Results</w:t>
            </w:r>
          </w:p>
        </w:tc>
        <w:tc>
          <w:tcPr>
            <w:tcW w:w="82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920" w:type="dxa"/>
            <w:vAlign w:val="bottom"/>
            <w:tcBorders>
              <w:left w:val="single" w:sz="8" w:color="auto"/>
            </w:tcBorders>
            <w:shd w:val="clear" w:color="auto" w:fill="000000"/>
          </w:tcPr>
          <w:p>
            <w:pPr>
              <w:spacing w:after="0"/>
              <w:rPr>
                <w:sz w:val="20"/>
                <w:szCs w:val="20"/>
                <w:color w:val="auto"/>
              </w:rPr>
            </w:pPr>
          </w:p>
        </w:tc>
        <w:tc>
          <w:tcPr>
            <w:tcW w:w="1480" w:type="dxa"/>
            <w:vAlign w:val="bottom"/>
            <w:tcBorders>
              <w:right w:val="single" w:sz="8" w:color="auto"/>
            </w:tcBorders>
            <w:shd w:val="clear" w:color="auto" w:fill="000000"/>
          </w:tcPr>
          <w:p>
            <w:pPr>
              <w:spacing w:after="0"/>
              <w:rPr>
                <w:sz w:val="20"/>
                <w:szCs w:val="20"/>
                <w:color w:val="auto"/>
              </w:rPr>
            </w:pPr>
          </w:p>
        </w:tc>
        <w:tc>
          <w:tcPr>
            <w:tcW w:w="900" w:type="dxa"/>
            <w:vAlign w:val="bottom"/>
            <w:shd w:val="clear" w:color="auto" w:fill="000000"/>
          </w:tcPr>
          <w:p>
            <w:pPr>
              <w:spacing w:after="0"/>
              <w:rPr>
                <w:sz w:val="20"/>
                <w:szCs w:val="20"/>
                <w:color w:val="auto"/>
              </w:rPr>
            </w:pPr>
          </w:p>
        </w:tc>
        <w:tc>
          <w:tcPr>
            <w:tcW w:w="920" w:type="dxa"/>
            <w:vAlign w:val="bottom"/>
            <w:shd w:val="clear" w:color="auto" w:fill="000000"/>
          </w:tcPr>
          <w:p>
            <w:pPr>
              <w:spacing w:after="0"/>
              <w:rPr>
                <w:sz w:val="20"/>
                <w:szCs w:val="20"/>
                <w:color w:val="auto"/>
              </w:rPr>
            </w:pPr>
          </w:p>
        </w:tc>
        <w:tc>
          <w:tcPr>
            <w:tcW w:w="940" w:type="dxa"/>
            <w:vAlign w:val="bottom"/>
            <w:tcBorders>
              <w:right w:val="single" w:sz="8" w:color="auto"/>
            </w:tcBorders>
            <w:shd w:val="clear" w:color="auto" w:fill="000000"/>
          </w:tcPr>
          <w:p>
            <w:pPr>
              <w:spacing w:after="0"/>
              <w:rPr>
                <w:sz w:val="20"/>
                <w:szCs w:val="20"/>
                <w:color w:val="auto"/>
              </w:rPr>
            </w:pPr>
          </w:p>
        </w:tc>
        <w:tc>
          <w:tcPr>
            <w:tcW w:w="780" w:type="dxa"/>
            <w:vAlign w:val="bottom"/>
            <w:tcBorders>
              <w:right w:val="single" w:sz="8" w:color="auto"/>
            </w:tcBorders>
            <w:shd w:val="clear" w:color="auto" w:fill="000000"/>
          </w:tcPr>
          <w:p>
            <w:pPr>
              <w:spacing w:after="0"/>
              <w:rPr>
                <w:sz w:val="20"/>
                <w:szCs w:val="20"/>
                <w:color w:val="auto"/>
              </w:rPr>
            </w:pPr>
          </w:p>
        </w:tc>
        <w:tc>
          <w:tcPr>
            <w:tcW w:w="820" w:type="dxa"/>
            <w:vAlign w:val="bottom"/>
            <w:tcBorders>
              <w:right w:val="single" w:sz="8" w:color="auto"/>
            </w:tcBorders>
            <w:shd w:val="clear" w:color="auto" w:fill="000000"/>
          </w:tcPr>
          <w:p>
            <w:pPr>
              <w:spacing w:after="0"/>
              <w:rPr>
                <w:sz w:val="20"/>
                <w:szCs w:val="20"/>
                <w:color w:val="auto"/>
              </w:rPr>
            </w:pPr>
          </w:p>
        </w:tc>
        <w:tc>
          <w:tcPr>
            <w:tcW w:w="80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820" w:type="dxa"/>
            <w:vAlign w:val="bottom"/>
            <w:tcBorders>
              <w:right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920" w:type="dxa"/>
            <w:vAlign w:val="bottom"/>
            <w:tcBorders>
              <w:left w:val="single" w:sz="8" w:color="2AD2C8"/>
            </w:tcBorders>
            <w:shd w:val="clear" w:color="auto" w:fill="2AD2C8"/>
          </w:tcPr>
          <w:p>
            <w:pPr>
              <w:ind w:left="60"/>
              <w:spacing w:after="0"/>
              <w:rPr>
                <w:sz w:val="20"/>
                <w:szCs w:val="20"/>
                <w:color w:val="auto"/>
              </w:rPr>
            </w:pPr>
            <w:r>
              <w:rPr>
                <w:rFonts w:ascii="Calibri" w:cs="Calibri" w:eastAsia="Calibri" w:hAnsi="Calibri"/>
                <w:sz w:val="19"/>
                <w:szCs w:val="19"/>
                <w:b w:val="1"/>
                <w:bCs w:val="1"/>
                <w:color w:val="FFFFFF"/>
              </w:rPr>
              <w:t>Financial Overview</w:t>
            </w:r>
          </w:p>
        </w:tc>
        <w:tc>
          <w:tcPr>
            <w:tcW w:w="1480" w:type="dxa"/>
            <w:vAlign w:val="bottom"/>
            <w:tcBorders>
              <w:right w:val="single" w:sz="8" w:color="2AD2C8"/>
            </w:tcBorders>
            <w:shd w:val="clear" w:color="auto" w:fill="2AD2C8"/>
          </w:tcPr>
          <w:p>
            <w:pPr>
              <w:spacing w:after="0"/>
              <w:rPr>
                <w:sz w:val="22"/>
                <w:szCs w:val="22"/>
                <w:color w:val="auto"/>
              </w:rPr>
            </w:pPr>
          </w:p>
        </w:tc>
        <w:tc>
          <w:tcPr>
            <w:tcW w:w="900" w:type="dxa"/>
            <w:vAlign w:val="bottom"/>
            <w:shd w:val="clear" w:color="auto" w:fill="2AD2C8"/>
          </w:tcPr>
          <w:p>
            <w:pPr>
              <w:spacing w:after="0"/>
              <w:rPr>
                <w:sz w:val="22"/>
                <w:szCs w:val="22"/>
                <w:color w:val="auto"/>
              </w:rPr>
            </w:pPr>
          </w:p>
        </w:tc>
        <w:tc>
          <w:tcPr>
            <w:tcW w:w="920" w:type="dxa"/>
            <w:vAlign w:val="bottom"/>
            <w:shd w:val="clear" w:color="auto" w:fill="2AD2C8"/>
          </w:tcPr>
          <w:p>
            <w:pPr>
              <w:spacing w:after="0"/>
              <w:rPr>
                <w:sz w:val="22"/>
                <w:szCs w:val="22"/>
                <w:color w:val="auto"/>
              </w:rPr>
            </w:pPr>
          </w:p>
        </w:tc>
        <w:tc>
          <w:tcPr>
            <w:tcW w:w="940" w:type="dxa"/>
            <w:vAlign w:val="bottom"/>
            <w:tcBorders>
              <w:right w:val="single" w:sz="8" w:color="2AD2C8"/>
            </w:tcBorders>
            <w:shd w:val="clear" w:color="auto" w:fill="2AD2C8"/>
          </w:tcPr>
          <w:p>
            <w:pPr>
              <w:spacing w:after="0"/>
              <w:rPr>
                <w:sz w:val="22"/>
                <w:szCs w:val="22"/>
                <w:color w:val="auto"/>
              </w:rPr>
            </w:pPr>
          </w:p>
        </w:tc>
        <w:tc>
          <w:tcPr>
            <w:tcW w:w="780" w:type="dxa"/>
            <w:vAlign w:val="bottom"/>
            <w:tcBorders>
              <w:right w:val="single" w:sz="8" w:color="2AD2C8"/>
            </w:tcBorders>
            <w:shd w:val="clear" w:color="auto" w:fill="2AD2C8"/>
          </w:tcPr>
          <w:p>
            <w:pPr>
              <w:spacing w:after="0"/>
              <w:rPr>
                <w:sz w:val="22"/>
                <w:szCs w:val="22"/>
                <w:color w:val="auto"/>
              </w:rPr>
            </w:pPr>
          </w:p>
        </w:tc>
        <w:tc>
          <w:tcPr>
            <w:tcW w:w="820" w:type="dxa"/>
            <w:vAlign w:val="bottom"/>
            <w:tcBorders>
              <w:right w:val="single" w:sz="8" w:color="2AD2C8"/>
            </w:tcBorders>
            <w:shd w:val="clear" w:color="auto" w:fill="2AD2C8"/>
          </w:tcPr>
          <w:p>
            <w:pPr>
              <w:spacing w:after="0"/>
              <w:rPr>
                <w:sz w:val="22"/>
                <w:szCs w:val="22"/>
                <w:color w:val="auto"/>
              </w:rPr>
            </w:pPr>
          </w:p>
        </w:tc>
        <w:tc>
          <w:tcPr>
            <w:tcW w:w="800" w:type="dxa"/>
            <w:vAlign w:val="bottom"/>
            <w:shd w:val="clear" w:color="auto" w:fill="2AD2C8"/>
          </w:tcPr>
          <w:p>
            <w:pPr>
              <w:spacing w:after="0"/>
              <w:rPr>
                <w:sz w:val="22"/>
                <w:szCs w:val="22"/>
                <w:color w:val="auto"/>
              </w:rPr>
            </w:pPr>
          </w:p>
        </w:tc>
        <w:tc>
          <w:tcPr>
            <w:tcW w:w="860" w:type="dxa"/>
            <w:vAlign w:val="bottom"/>
            <w:tcBorders>
              <w:right w:val="single" w:sz="8" w:color="2AD2C8"/>
            </w:tcBorders>
            <w:shd w:val="clear" w:color="auto" w:fill="2AD2C8"/>
          </w:tcPr>
          <w:p>
            <w:pPr>
              <w:spacing w:after="0"/>
              <w:rPr>
                <w:sz w:val="22"/>
                <w:szCs w:val="22"/>
                <w:color w:val="auto"/>
              </w:rPr>
            </w:pPr>
          </w:p>
        </w:tc>
        <w:tc>
          <w:tcPr>
            <w:tcW w:w="820" w:type="dxa"/>
            <w:vAlign w:val="bottom"/>
            <w:tcBorders>
              <w:right w:val="single" w:sz="8" w:color="2AD2C8"/>
            </w:tcBorders>
            <w:shd w:val="clear" w:color="auto" w:fill="2AD2C8"/>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2920" w:type="dxa"/>
            <w:vAlign w:val="bottom"/>
            <w:tcBorders>
              <w:left w:val="single" w:sz="8" w:color="2AD2C8"/>
            </w:tcBorders>
            <w:shd w:val="clear" w:color="auto" w:fill="2AD2C8"/>
          </w:tcPr>
          <w:p>
            <w:pPr>
              <w:spacing w:after="0"/>
              <w:rPr>
                <w:sz w:val="7"/>
                <w:szCs w:val="7"/>
                <w:color w:val="auto"/>
              </w:rPr>
            </w:pPr>
          </w:p>
        </w:tc>
        <w:tc>
          <w:tcPr>
            <w:tcW w:w="1480" w:type="dxa"/>
            <w:vAlign w:val="bottom"/>
            <w:tcBorders>
              <w:right w:val="single" w:sz="8" w:color="2AD2C8"/>
            </w:tcBorders>
            <w:shd w:val="clear" w:color="auto" w:fill="2AD2C8"/>
          </w:tcPr>
          <w:p>
            <w:pPr>
              <w:spacing w:after="0"/>
              <w:rPr>
                <w:sz w:val="7"/>
                <w:szCs w:val="7"/>
                <w:color w:val="auto"/>
              </w:rPr>
            </w:pPr>
          </w:p>
        </w:tc>
        <w:tc>
          <w:tcPr>
            <w:tcW w:w="900" w:type="dxa"/>
            <w:vAlign w:val="bottom"/>
            <w:shd w:val="clear" w:color="auto" w:fill="2AD2C8"/>
          </w:tcPr>
          <w:p>
            <w:pPr>
              <w:spacing w:after="0"/>
              <w:rPr>
                <w:sz w:val="7"/>
                <w:szCs w:val="7"/>
                <w:color w:val="auto"/>
              </w:rPr>
            </w:pPr>
          </w:p>
        </w:tc>
        <w:tc>
          <w:tcPr>
            <w:tcW w:w="920" w:type="dxa"/>
            <w:vAlign w:val="bottom"/>
            <w:shd w:val="clear" w:color="auto" w:fill="2AD2C8"/>
          </w:tcPr>
          <w:p>
            <w:pPr>
              <w:spacing w:after="0"/>
              <w:rPr>
                <w:sz w:val="7"/>
                <w:szCs w:val="7"/>
                <w:color w:val="auto"/>
              </w:rPr>
            </w:pPr>
          </w:p>
        </w:tc>
        <w:tc>
          <w:tcPr>
            <w:tcW w:w="940" w:type="dxa"/>
            <w:vAlign w:val="bottom"/>
            <w:tcBorders>
              <w:right w:val="single" w:sz="8" w:color="2AD2C8"/>
            </w:tcBorders>
            <w:shd w:val="clear" w:color="auto" w:fill="2AD2C8"/>
          </w:tcPr>
          <w:p>
            <w:pPr>
              <w:spacing w:after="0"/>
              <w:rPr>
                <w:sz w:val="7"/>
                <w:szCs w:val="7"/>
                <w:color w:val="auto"/>
              </w:rPr>
            </w:pPr>
          </w:p>
        </w:tc>
        <w:tc>
          <w:tcPr>
            <w:tcW w:w="780" w:type="dxa"/>
            <w:vAlign w:val="bottom"/>
            <w:tcBorders>
              <w:right w:val="single" w:sz="8" w:color="2AD2C8"/>
            </w:tcBorders>
            <w:shd w:val="clear" w:color="auto" w:fill="2AD2C8"/>
          </w:tcPr>
          <w:p>
            <w:pPr>
              <w:spacing w:after="0"/>
              <w:rPr>
                <w:sz w:val="7"/>
                <w:szCs w:val="7"/>
                <w:color w:val="auto"/>
              </w:rPr>
            </w:pPr>
          </w:p>
        </w:tc>
        <w:tc>
          <w:tcPr>
            <w:tcW w:w="820" w:type="dxa"/>
            <w:vAlign w:val="bottom"/>
            <w:tcBorders>
              <w:right w:val="single" w:sz="8" w:color="2AD2C8"/>
            </w:tcBorders>
            <w:shd w:val="clear" w:color="auto" w:fill="2AD2C8"/>
          </w:tcPr>
          <w:p>
            <w:pPr>
              <w:spacing w:after="0"/>
              <w:rPr>
                <w:sz w:val="7"/>
                <w:szCs w:val="7"/>
                <w:color w:val="auto"/>
              </w:rPr>
            </w:pPr>
          </w:p>
        </w:tc>
        <w:tc>
          <w:tcPr>
            <w:tcW w:w="1660" w:type="dxa"/>
            <w:vAlign w:val="bottom"/>
            <w:tcBorders>
              <w:right w:val="single" w:sz="8" w:color="2AD2C8"/>
            </w:tcBorders>
            <w:gridSpan w:val="2"/>
            <w:shd w:val="clear" w:color="auto" w:fill="2AD2C8"/>
          </w:tcPr>
          <w:p>
            <w:pPr>
              <w:spacing w:after="0"/>
              <w:rPr>
                <w:sz w:val="7"/>
                <w:szCs w:val="7"/>
                <w:color w:val="auto"/>
              </w:rPr>
            </w:pPr>
          </w:p>
        </w:tc>
        <w:tc>
          <w:tcPr>
            <w:tcW w:w="820" w:type="dxa"/>
            <w:vAlign w:val="bottom"/>
            <w:tcBorders>
              <w:right w:val="single" w:sz="8" w:color="2AD2C8"/>
            </w:tcBorders>
            <w:shd w:val="clear" w:color="auto" w:fill="2AD2C8"/>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9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920" w:type="dxa"/>
            <w:vAlign w:val="bottom"/>
            <w:tcBorders>
              <w:left w:val="single" w:sz="8" w:color="auto"/>
            </w:tcBorders>
            <w:shd w:val="clear" w:color="auto" w:fill="33CCCC"/>
          </w:tcPr>
          <w:p>
            <w:pPr>
              <w:ind w:left="20"/>
              <w:spacing w:after="0" w:line="125" w:lineRule="exact"/>
              <w:rPr>
                <w:sz w:val="20"/>
                <w:szCs w:val="20"/>
                <w:color w:val="auto"/>
              </w:rPr>
            </w:pPr>
            <w:r>
              <w:rPr>
                <w:rFonts w:ascii="Calibri" w:cs="Calibri" w:eastAsia="Calibri" w:hAnsi="Calibri"/>
                <w:sz w:val="11"/>
                <w:szCs w:val="11"/>
                <w:b w:val="1"/>
                <w:bCs w:val="1"/>
                <w:color w:val="FFFFFF"/>
              </w:rPr>
              <w:t>Credicorp Ltd.</w:t>
            </w:r>
          </w:p>
        </w:tc>
        <w:tc>
          <w:tcPr>
            <w:tcW w:w="1480" w:type="dxa"/>
            <w:vAlign w:val="bottom"/>
            <w:tcBorders>
              <w:right w:val="single" w:sz="8" w:color="auto"/>
            </w:tcBorders>
            <w:shd w:val="clear" w:color="auto" w:fill="33CCCC"/>
          </w:tcPr>
          <w:p>
            <w:pPr>
              <w:spacing w:after="0"/>
              <w:rPr>
                <w:sz w:val="10"/>
                <w:szCs w:val="10"/>
                <w:color w:val="auto"/>
              </w:rPr>
            </w:pPr>
          </w:p>
        </w:tc>
        <w:tc>
          <w:tcPr>
            <w:tcW w:w="900" w:type="dxa"/>
            <w:vAlign w:val="bottom"/>
            <w:shd w:val="clear" w:color="auto" w:fill="33CCCC"/>
          </w:tcPr>
          <w:p>
            <w:pPr>
              <w:spacing w:after="0"/>
              <w:rPr>
                <w:sz w:val="10"/>
                <w:szCs w:val="10"/>
                <w:color w:val="auto"/>
              </w:rPr>
            </w:pPr>
          </w:p>
        </w:tc>
        <w:tc>
          <w:tcPr>
            <w:tcW w:w="920" w:type="dxa"/>
            <w:vAlign w:val="bottom"/>
            <w:shd w:val="clear" w:color="auto" w:fill="33CCCC"/>
          </w:tcPr>
          <w:p>
            <w:pPr>
              <w:ind w:left="280"/>
              <w:spacing w:after="0" w:line="125" w:lineRule="exact"/>
              <w:rPr>
                <w:sz w:val="20"/>
                <w:szCs w:val="20"/>
                <w:color w:val="auto"/>
              </w:rPr>
            </w:pPr>
            <w:r>
              <w:rPr>
                <w:rFonts w:ascii="Calibri" w:cs="Calibri" w:eastAsia="Calibri" w:hAnsi="Calibri"/>
                <w:sz w:val="11"/>
                <w:szCs w:val="11"/>
                <w:b w:val="1"/>
                <w:bCs w:val="1"/>
                <w:color w:val="FFFFFF"/>
              </w:rPr>
              <w:t>Quarter</w:t>
            </w:r>
          </w:p>
        </w:tc>
        <w:tc>
          <w:tcPr>
            <w:tcW w:w="940" w:type="dxa"/>
            <w:vAlign w:val="bottom"/>
            <w:tcBorders>
              <w:right w:val="single" w:sz="8" w:color="auto"/>
            </w:tcBorders>
            <w:shd w:val="clear" w:color="auto" w:fill="33CCCC"/>
          </w:tcPr>
          <w:p>
            <w:pPr>
              <w:spacing w:after="0"/>
              <w:rPr>
                <w:sz w:val="10"/>
                <w:szCs w:val="10"/>
                <w:color w:val="auto"/>
              </w:rPr>
            </w:pPr>
          </w:p>
        </w:tc>
        <w:tc>
          <w:tcPr>
            <w:tcW w:w="1600" w:type="dxa"/>
            <w:vAlign w:val="bottom"/>
            <w:tcBorders>
              <w:right w:val="single" w:sz="8" w:color="auto"/>
            </w:tcBorders>
            <w:gridSpan w:val="2"/>
            <w:shd w:val="clear" w:color="auto" w:fill="33CCCC"/>
          </w:tcPr>
          <w:p>
            <w:pPr>
              <w:ind w:left="560"/>
              <w:spacing w:after="0" w:line="125" w:lineRule="exact"/>
              <w:rPr>
                <w:sz w:val="20"/>
                <w:szCs w:val="20"/>
                <w:color w:val="auto"/>
              </w:rPr>
            </w:pPr>
            <w:r>
              <w:rPr>
                <w:rFonts w:ascii="Calibri" w:cs="Calibri" w:eastAsia="Calibri" w:hAnsi="Calibri"/>
                <w:sz w:val="11"/>
                <w:szCs w:val="11"/>
                <w:b w:val="1"/>
                <w:bCs w:val="1"/>
                <w:color w:val="FFFFFF"/>
              </w:rPr>
              <w:t>% change</w:t>
            </w:r>
          </w:p>
        </w:tc>
        <w:tc>
          <w:tcPr>
            <w:tcW w:w="1660" w:type="dxa"/>
            <w:vAlign w:val="bottom"/>
            <w:tcBorders>
              <w:right w:val="single" w:sz="8" w:color="auto"/>
            </w:tcBorders>
            <w:gridSpan w:val="2"/>
            <w:shd w:val="clear" w:color="auto" w:fill="33CCCC"/>
          </w:tcPr>
          <w:p>
            <w:pPr>
              <w:ind w:left="680"/>
              <w:spacing w:after="0" w:line="125" w:lineRule="exact"/>
              <w:rPr>
                <w:sz w:val="20"/>
                <w:szCs w:val="20"/>
                <w:color w:val="auto"/>
              </w:rPr>
            </w:pPr>
            <w:r>
              <w:rPr>
                <w:rFonts w:ascii="Calibri" w:cs="Calibri" w:eastAsia="Calibri" w:hAnsi="Calibri"/>
                <w:sz w:val="11"/>
                <w:szCs w:val="11"/>
                <w:b w:val="1"/>
                <w:bCs w:val="1"/>
                <w:color w:val="FFFFFF"/>
              </w:rPr>
              <w:t>Up to</w:t>
            </w:r>
          </w:p>
        </w:tc>
        <w:tc>
          <w:tcPr>
            <w:tcW w:w="820" w:type="dxa"/>
            <w:vAlign w:val="bottom"/>
            <w:tcBorders>
              <w:right w:val="single" w:sz="8" w:color="auto"/>
            </w:tcBorders>
            <w:shd w:val="clear" w:color="auto" w:fill="33CCCC"/>
          </w:tcPr>
          <w:p>
            <w:pPr>
              <w:jc w:val="center"/>
              <w:spacing w:after="0" w:line="125" w:lineRule="exact"/>
              <w:rPr>
                <w:sz w:val="20"/>
                <w:szCs w:val="20"/>
                <w:color w:val="auto"/>
              </w:rPr>
            </w:pPr>
            <w:r>
              <w:rPr>
                <w:rFonts w:ascii="Calibri" w:cs="Calibri" w:eastAsia="Calibri" w:hAnsi="Calibri"/>
                <w:sz w:val="11"/>
                <w:szCs w:val="11"/>
                <w:b w:val="1"/>
                <w:bCs w:val="1"/>
                <w:color w:val="FFFFFF"/>
              </w:rPr>
              <w:t>% change</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bottom w:val="single" w:sz="8" w:color="auto"/>
            </w:tcBorders>
            <w:shd w:val="clear" w:color="auto" w:fill="33CCCC"/>
          </w:tcPr>
          <w:p>
            <w:pPr>
              <w:ind w:left="20"/>
              <w:spacing w:after="0" w:line="131" w:lineRule="exact"/>
              <w:rPr>
                <w:sz w:val="20"/>
                <w:szCs w:val="20"/>
                <w:color w:val="auto"/>
              </w:rPr>
            </w:pPr>
            <w:r>
              <w:rPr>
                <w:rFonts w:ascii="Calibri" w:cs="Calibri" w:eastAsia="Calibri" w:hAnsi="Calibri"/>
                <w:sz w:val="11"/>
                <w:szCs w:val="11"/>
                <w:b w:val="1"/>
                <w:bCs w:val="1"/>
                <w:color w:val="FFFFFF"/>
              </w:rPr>
              <w:t>S/000</w:t>
            </w:r>
          </w:p>
        </w:tc>
        <w:tc>
          <w:tcPr>
            <w:tcW w:w="1480" w:type="dxa"/>
            <w:vAlign w:val="bottom"/>
            <w:tcBorders>
              <w:bottom w:val="single" w:sz="8" w:color="auto"/>
              <w:right w:val="single" w:sz="8" w:color="auto"/>
            </w:tcBorders>
            <w:shd w:val="clear" w:color="auto" w:fill="33CCCC"/>
          </w:tcPr>
          <w:p>
            <w:pPr>
              <w:spacing w:after="0"/>
              <w:rPr>
                <w:sz w:val="11"/>
                <w:szCs w:val="11"/>
                <w:color w:val="auto"/>
              </w:rPr>
            </w:pPr>
          </w:p>
        </w:tc>
        <w:tc>
          <w:tcPr>
            <w:tcW w:w="90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w w:val="98"/>
              </w:rPr>
              <w:t>4Q23</w:t>
            </w:r>
          </w:p>
        </w:tc>
        <w:tc>
          <w:tcPr>
            <w:tcW w:w="92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w w:val="98"/>
              </w:rPr>
              <w:t>3Q24</w:t>
            </w:r>
          </w:p>
        </w:tc>
        <w:tc>
          <w:tcPr>
            <w:tcW w:w="94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4Q24</w:t>
            </w:r>
          </w:p>
        </w:tc>
        <w:tc>
          <w:tcPr>
            <w:tcW w:w="7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QoQ</w:t>
            </w:r>
          </w:p>
        </w:tc>
        <w:tc>
          <w:tcPr>
            <w:tcW w:w="82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YoY</w:t>
            </w:r>
          </w:p>
        </w:tc>
        <w:tc>
          <w:tcPr>
            <w:tcW w:w="800" w:type="dxa"/>
            <w:vAlign w:val="bottom"/>
            <w:tcBorders>
              <w:bottom w:val="single" w:sz="8" w:color="auto"/>
            </w:tcBorders>
            <w:shd w:val="clear" w:color="auto" w:fill="33CCCC"/>
          </w:tcPr>
          <w:p>
            <w:pPr>
              <w:ind w:left="240"/>
              <w:spacing w:after="0" w:line="131" w:lineRule="exact"/>
              <w:rPr>
                <w:sz w:val="20"/>
                <w:szCs w:val="20"/>
                <w:color w:val="auto"/>
              </w:rPr>
            </w:pPr>
            <w:r>
              <w:rPr>
                <w:rFonts w:ascii="Calibri" w:cs="Calibri" w:eastAsia="Calibri" w:hAnsi="Calibri"/>
                <w:sz w:val="11"/>
                <w:szCs w:val="11"/>
                <w:b w:val="1"/>
                <w:bCs w:val="1"/>
                <w:color w:val="FFFFFF"/>
              </w:rPr>
              <w:t>Dec 23</w:t>
            </w:r>
          </w:p>
        </w:tc>
        <w:tc>
          <w:tcPr>
            <w:tcW w:w="860" w:type="dxa"/>
            <w:vAlign w:val="bottom"/>
            <w:tcBorders>
              <w:bottom w:val="single" w:sz="8" w:color="auto"/>
              <w:right w:val="single" w:sz="8" w:color="auto"/>
            </w:tcBorders>
            <w:shd w:val="clear" w:color="auto" w:fill="33CCCC"/>
          </w:tcPr>
          <w:p>
            <w:pPr>
              <w:ind w:left="260"/>
              <w:spacing w:after="0" w:line="131" w:lineRule="exact"/>
              <w:rPr>
                <w:sz w:val="20"/>
                <w:szCs w:val="20"/>
                <w:color w:val="auto"/>
              </w:rPr>
            </w:pPr>
            <w:r>
              <w:rPr>
                <w:rFonts w:ascii="Calibri" w:cs="Calibri" w:eastAsia="Calibri" w:hAnsi="Calibri"/>
                <w:sz w:val="11"/>
                <w:szCs w:val="11"/>
                <w:b w:val="1"/>
                <w:bCs w:val="1"/>
                <w:color w:val="FFFFFF"/>
              </w:rPr>
              <w:t>Dec 24</w:t>
            </w:r>
          </w:p>
        </w:tc>
        <w:tc>
          <w:tcPr>
            <w:tcW w:w="82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24 / Dec 23</w:t>
            </w:r>
          </w:p>
        </w:tc>
        <w:tc>
          <w:tcPr>
            <w:tcW w:w="0" w:type="dxa"/>
            <w:vAlign w:val="bottom"/>
          </w:tcPr>
          <w:p>
            <w:pPr>
              <w:spacing w:after="0"/>
              <w:rPr>
                <w:sz w:val="1"/>
                <w:szCs w:val="1"/>
                <w:color w:val="auto"/>
              </w:rPr>
            </w:pPr>
          </w:p>
        </w:tc>
      </w:tr>
      <w:tr>
        <w:trPr>
          <w:trHeight w:val="109"/>
        </w:trPr>
        <w:tc>
          <w:tcPr>
            <w:tcW w:w="2920" w:type="dxa"/>
            <w:vAlign w:val="bottom"/>
            <w:tcBorders>
              <w:left w:val="single" w:sz="8" w:color="auto"/>
            </w:tcBorders>
          </w:tcPr>
          <w:p>
            <w:pPr>
              <w:ind w:left="20"/>
              <w:spacing w:after="0" w:line="109" w:lineRule="exact"/>
              <w:rPr>
                <w:sz w:val="20"/>
                <w:szCs w:val="20"/>
                <w:color w:val="auto"/>
              </w:rPr>
            </w:pPr>
            <w:r>
              <w:rPr>
                <w:rFonts w:ascii="Calibri" w:cs="Calibri" w:eastAsia="Calibri" w:hAnsi="Calibri"/>
                <w:sz w:val="11"/>
                <w:szCs w:val="11"/>
                <w:color w:val="auto"/>
              </w:rPr>
              <w:t>Net interest, similar income and expenses</w:t>
            </w:r>
          </w:p>
        </w:tc>
        <w:tc>
          <w:tcPr>
            <w:tcW w:w="1480" w:type="dxa"/>
            <w:vAlign w:val="bottom"/>
            <w:tcBorders>
              <w:right w:val="single" w:sz="8" w:color="auto"/>
            </w:tcBorders>
          </w:tcPr>
          <w:p>
            <w:pPr>
              <w:spacing w:after="0"/>
              <w:rPr>
                <w:sz w:val="9"/>
                <w:szCs w:val="9"/>
                <w:color w:val="auto"/>
              </w:rPr>
            </w:pPr>
          </w:p>
        </w:tc>
        <w:tc>
          <w:tcPr>
            <w:tcW w:w="900" w:type="dxa"/>
            <w:vAlign w:val="bottom"/>
          </w:tcPr>
          <w:p>
            <w:pPr>
              <w:jc w:val="center"/>
              <w:spacing w:after="0" w:line="109" w:lineRule="exact"/>
              <w:rPr>
                <w:sz w:val="20"/>
                <w:szCs w:val="20"/>
                <w:color w:val="auto"/>
              </w:rPr>
            </w:pPr>
            <w:r>
              <w:rPr>
                <w:rFonts w:ascii="Calibri" w:cs="Calibri" w:eastAsia="Calibri" w:hAnsi="Calibri"/>
                <w:sz w:val="11"/>
                <w:szCs w:val="11"/>
                <w:color w:val="auto"/>
              </w:rPr>
              <w:t>3,347,684</w:t>
            </w:r>
          </w:p>
        </w:tc>
        <w:tc>
          <w:tcPr>
            <w:tcW w:w="920" w:type="dxa"/>
            <w:vAlign w:val="bottom"/>
          </w:tcPr>
          <w:p>
            <w:pPr>
              <w:jc w:val="center"/>
              <w:spacing w:after="0" w:line="109" w:lineRule="exact"/>
              <w:rPr>
                <w:sz w:val="20"/>
                <w:szCs w:val="20"/>
                <w:color w:val="auto"/>
              </w:rPr>
            </w:pPr>
            <w:r>
              <w:rPr>
                <w:rFonts w:ascii="Calibri" w:cs="Calibri" w:eastAsia="Calibri" w:hAnsi="Calibri"/>
                <w:sz w:val="11"/>
                <w:szCs w:val="11"/>
                <w:color w:val="auto"/>
              </w:rPr>
              <w:t>3,590,750</w:t>
            </w:r>
          </w:p>
        </w:tc>
        <w:tc>
          <w:tcPr>
            <w:tcW w:w="94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3,629,794</w:t>
            </w:r>
          </w:p>
        </w:tc>
        <w:tc>
          <w:tcPr>
            <w:tcW w:w="7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1.1%</w:t>
            </w:r>
          </w:p>
        </w:tc>
        <w:tc>
          <w:tcPr>
            <w:tcW w:w="82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8.4%</w:t>
            </w:r>
          </w:p>
        </w:tc>
        <w:tc>
          <w:tcPr>
            <w:tcW w:w="800" w:type="dxa"/>
            <w:vAlign w:val="bottom"/>
          </w:tcPr>
          <w:p>
            <w:pPr>
              <w:jc w:val="center"/>
              <w:spacing w:after="0" w:line="109" w:lineRule="exact"/>
              <w:rPr>
                <w:sz w:val="20"/>
                <w:szCs w:val="20"/>
                <w:color w:val="auto"/>
              </w:rPr>
            </w:pPr>
            <w:r>
              <w:rPr>
                <w:rFonts w:ascii="Calibri" w:cs="Calibri" w:eastAsia="Calibri" w:hAnsi="Calibri"/>
                <w:sz w:val="11"/>
                <w:szCs w:val="11"/>
                <w:color w:val="auto"/>
              </w:rPr>
              <w:t>12,937,972</w:t>
            </w:r>
          </w:p>
        </w:tc>
        <w:tc>
          <w:tcPr>
            <w:tcW w:w="8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14,115,131</w:t>
            </w:r>
          </w:p>
        </w:tc>
        <w:tc>
          <w:tcPr>
            <w:tcW w:w="82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9.1%</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Provision for credit losses on loan portolio, net of recoveries</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(1,173,454)</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(868,081)</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(743,296)</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-14.4%</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-36.7%</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(3,622,345)</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(3,519,447)</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-2.8%</w:t>
            </w:r>
          </w:p>
        </w:tc>
        <w:tc>
          <w:tcPr>
            <w:tcW w:w="0" w:type="dxa"/>
            <w:vAlign w:val="bottom"/>
          </w:tcPr>
          <w:p>
            <w:pPr>
              <w:spacing w:after="0"/>
              <w:rPr>
                <w:sz w:val="1"/>
                <w:szCs w:val="1"/>
                <w:color w:val="auto"/>
              </w:rPr>
            </w:pPr>
          </w:p>
        </w:tc>
      </w:tr>
      <w:tr>
        <w:trPr>
          <w:trHeight w:val="131"/>
        </w:trPr>
        <w:tc>
          <w:tcPr>
            <w:tcW w:w="4400" w:type="dxa"/>
            <w:vAlign w:val="bottom"/>
            <w:tcBorders>
              <w:left w:val="single" w:sz="8" w:color="auto"/>
              <w:right w:val="single" w:sz="8" w:color="auto"/>
            </w:tcBorders>
            <w:gridSpan w:val="2"/>
          </w:tcPr>
          <w:p>
            <w:pPr>
              <w:ind w:left="20"/>
              <w:spacing w:after="0" w:line="131" w:lineRule="exact"/>
              <w:rPr>
                <w:sz w:val="20"/>
                <w:szCs w:val="20"/>
                <w:color w:val="auto"/>
              </w:rPr>
            </w:pPr>
            <w:r>
              <w:rPr>
                <w:rFonts w:ascii="Calibri" w:cs="Calibri" w:eastAsia="Calibri" w:hAnsi="Calibri"/>
                <w:sz w:val="11"/>
                <w:szCs w:val="11"/>
                <w:b w:val="1"/>
                <w:bCs w:val="1"/>
                <w:color w:val="auto"/>
              </w:rPr>
              <w:t>Net interest, similar income and expenses, afer provision for credit losses on loan portolio</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2,174,230</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2,722,669</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2,886,498</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w w:val="99"/>
              </w:rPr>
              <w:t>6.0%</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32.8%</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9,315,627</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10,595,684</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13.7%</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Total other income</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1,486,823</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1,621,282</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1,661,964</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2.5%</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11.8%</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5,655,825</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6,404,119</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13.2%</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Insurance underwritng result</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w w:val="99"/>
              </w:rPr>
              <w:t>287,295</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291,775</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312,683</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7.2%</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8.8%</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1,211,100</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1,199,020</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-1.0%</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Total expenses</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(2,661,542)</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(2,524,166)</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(3,105,459)</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23.0%</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16.7%</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(9,334,223)</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(10,374,296)</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11.1%</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Proft before income tax</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1,286,806</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2,111,560</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1,755,686</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-16.9%</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36.4%</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6,848,329</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7,824,527</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14.3%</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Income tax</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(434,648)</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(555,117)</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(598,348)</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7.8%</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37.7%</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(1,888,451)</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(2,201,275)</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16.6%</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Net proft</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w w:val="99"/>
              </w:rPr>
              <w:t>852,158</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1,556,443</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1,157,338</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-25.6%</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35.8%</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4,959,878</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5,623,252</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13.4%</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Non-controlling interest</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10,331</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32,655</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30,625</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-6.2%</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196.4%</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94,338</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9"/>
              </w:rPr>
              <w:t>121,998</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29.3%</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Net proft atributable to Credicorp</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w w:val="99"/>
              </w:rPr>
              <w:t>841,827</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1,523,788</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1,126,713</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-26.1%</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33.8%</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4,865,540</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5,501,254</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13.1%</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Dividends paid to third partes</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0</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875,992</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-100.0%</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n.a.</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1,994,037</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3,667,644</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83.9%</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income / share (S/)</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10.6</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19.1</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14.1</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-26.1%</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33.8%</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61.0</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69.0</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13.1%</w:t>
            </w:r>
          </w:p>
        </w:tc>
        <w:tc>
          <w:tcPr>
            <w:tcW w:w="0" w:type="dxa"/>
            <w:vAlign w:val="bottom"/>
          </w:tcPr>
          <w:p>
            <w:pPr>
              <w:spacing w:after="0"/>
              <w:rPr>
                <w:sz w:val="1"/>
                <w:szCs w:val="1"/>
                <w:color w:val="auto"/>
              </w:rPr>
            </w:pPr>
          </w:p>
        </w:tc>
      </w:tr>
      <w:tr>
        <w:trPr>
          <w:trHeight w:val="141"/>
        </w:trPr>
        <w:tc>
          <w:tcPr>
            <w:tcW w:w="292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1"/>
                <w:szCs w:val="11"/>
                <w:color w:val="auto"/>
              </w:rPr>
              <w:t>Dividends per Share (S/)</w:t>
            </w:r>
          </w:p>
        </w:tc>
        <w:tc>
          <w:tcPr>
            <w:tcW w:w="14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0.0</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11.0</w:t>
            </w:r>
          </w:p>
        </w:tc>
        <w:tc>
          <w:tcPr>
            <w:tcW w:w="9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0.0</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-100.0%</w:t>
            </w:r>
          </w:p>
        </w:tc>
        <w:tc>
          <w:tcPr>
            <w:tcW w:w="8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-100.0%</w:t>
            </w:r>
          </w:p>
        </w:tc>
        <w:tc>
          <w:tcPr>
            <w:tcW w:w="8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25.0</w:t>
            </w:r>
          </w:p>
        </w:tc>
        <w:tc>
          <w:tcPr>
            <w:tcW w:w="8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46.0</w:t>
            </w:r>
          </w:p>
        </w:tc>
        <w:tc>
          <w:tcPr>
            <w:tcW w:w="8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83.9%</w:t>
            </w:r>
          </w:p>
        </w:tc>
        <w:tc>
          <w:tcPr>
            <w:tcW w:w="0" w:type="dxa"/>
            <w:vAlign w:val="bottom"/>
          </w:tcPr>
          <w:p>
            <w:pPr>
              <w:spacing w:after="0"/>
              <w:rPr>
                <w:sz w:val="1"/>
                <w:szCs w:val="1"/>
                <w:color w:val="auto"/>
              </w:rPr>
            </w:pPr>
          </w:p>
        </w:tc>
      </w:tr>
      <w:tr>
        <w:trPr>
          <w:trHeight w:val="115"/>
        </w:trPr>
        <w:tc>
          <w:tcPr>
            <w:tcW w:w="2920" w:type="dxa"/>
            <w:vAlign w:val="bottom"/>
            <w:tcBorders>
              <w:left w:val="single" w:sz="8" w:color="auto"/>
            </w:tcBorders>
          </w:tcPr>
          <w:p>
            <w:pPr>
              <w:ind w:left="20"/>
              <w:spacing w:after="0" w:line="115" w:lineRule="exact"/>
              <w:rPr>
                <w:sz w:val="20"/>
                <w:szCs w:val="20"/>
                <w:color w:val="auto"/>
              </w:rPr>
            </w:pPr>
            <w:r>
              <w:rPr>
                <w:rFonts w:ascii="Calibri" w:cs="Calibri" w:eastAsia="Calibri" w:hAnsi="Calibri"/>
                <w:sz w:val="11"/>
                <w:szCs w:val="11"/>
                <w:color w:val="auto"/>
              </w:rPr>
              <w:t>Loans</w:t>
            </w:r>
          </w:p>
        </w:tc>
        <w:tc>
          <w:tcPr>
            <w:tcW w:w="1480" w:type="dxa"/>
            <w:vAlign w:val="bottom"/>
            <w:tcBorders>
              <w:right w:val="single" w:sz="8" w:color="auto"/>
            </w:tcBorders>
          </w:tcPr>
          <w:p>
            <w:pPr>
              <w:spacing w:after="0"/>
              <w:rPr>
                <w:sz w:val="9"/>
                <w:szCs w:val="9"/>
                <w:color w:val="auto"/>
              </w:rPr>
            </w:pPr>
          </w:p>
        </w:tc>
        <w:tc>
          <w:tcPr>
            <w:tcW w:w="900" w:type="dxa"/>
            <w:vAlign w:val="bottom"/>
          </w:tcPr>
          <w:p>
            <w:pPr>
              <w:jc w:val="center"/>
              <w:spacing w:after="0" w:line="115" w:lineRule="exact"/>
              <w:rPr>
                <w:sz w:val="20"/>
                <w:szCs w:val="20"/>
                <w:color w:val="auto"/>
              </w:rPr>
            </w:pPr>
            <w:r>
              <w:rPr>
                <w:rFonts w:ascii="Calibri" w:cs="Calibri" w:eastAsia="Calibri" w:hAnsi="Calibri"/>
                <w:sz w:val="11"/>
                <w:szCs w:val="11"/>
                <w:color w:val="auto"/>
              </w:rPr>
              <w:t>144,976,051</w:t>
            </w:r>
          </w:p>
        </w:tc>
        <w:tc>
          <w:tcPr>
            <w:tcW w:w="920" w:type="dxa"/>
            <w:vAlign w:val="bottom"/>
          </w:tcPr>
          <w:p>
            <w:pPr>
              <w:jc w:val="center"/>
              <w:spacing w:after="0" w:line="115" w:lineRule="exact"/>
              <w:rPr>
                <w:sz w:val="20"/>
                <w:szCs w:val="20"/>
                <w:color w:val="auto"/>
              </w:rPr>
            </w:pPr>
            <w:r>
              <w:rPr>
                <w:rFonts w:ascii="Calibri" w:cs="Calibri" w:eastAsia="Calibri" w:hAnsi="Calibri"/>
                <w:sz w:val="11"/>
                <w:szCs w:val="11"/>
                <w:color w:val="auto"/>
              </w:rPr>
              <w:t>142,568,785</w:t>
            </w:r>
          </w:p>
        </w:tc>
        <w:tc>
          <w:tcPr>
            <w:tcW w:w="940" w:type="dxa"/>
            <w:vAlign w:val="bottom"/>
            <w:tcBorders>
              <w:right w:val="single" w:sz="8" w:color="auto"/>
            </w:tcBorders>
          </w:tcPr>
          <w:p>
            <w:pPr>
              <w:jc w:val="center"/>
              <w:spacing w:after="0" w:line="115" w:lineRule="exact"/>
              <w:rPr>
                <w:sz w:val="20"/>
                <w:szCs w:val="20"/>
                <w:color w:val="auto"/>
              </w:rPr>
            </w:pPr>
            <w:r>
              <w:rPr>
                <w:rFonts w:ascii="Calibri" w:cs="Calibri" w:eastAsia="Calibri" w:hAnsi="Calibri"/>
                <w:sz w:val="11"/>
                <w:szCs w:val="11"/>
                <w:color w:val="auto"/>
              </w:rPr>
              <w:t>145,732,273</w:t>
            </w:r>
          </w:p>
        </w:tc>
        <w:tc>
          <w:tcPr>
            <w:tcW w:w="780" w:type="dxa"/>
            <w:vAlign w:val="bottom"/>
            <w:tcBorders>
              <w:right w:val="single" w:sz="8" w:color="auto"/>
            </w:tcBorders>
          </w:tcPr>
          <w:p>
            <w:pPr>
              <w:jc w:val="center"/>
              <w:spacing w:after="0" w:line="115" w:lineRule="exact"/>
              <w:rPr>
                <w:sz w:val="20"/>
                <w:szCs w:val="20"/>
                <w:color w:val="auto"/>
              </w:rPr>
            </w:pPr>
            <w:r>
              <w:rPr>
                <w:rFonts w:ascii="Calibri" w:cs="Calibri" w:eastAsia="Calibri" w:hAnsi="Calibri"/>
                <w:sz w:val="11"/>
                <w:szCs w:val="11"/>
                <w:color w:val="auto"/>
              </w:rPr>
              <w:t>2.2%</w:t>
            </w:r>
          </w:p>
        </w:tc>
        <w:tc>
          <w:tcPr>
            <w:tcW w:w="820" w:type="dxa"/>
            <w:vAlign w:val="bottom"/>
            <w:tcBorders>
              <w:right w:val="single" w:sz="8" w:color="auto"/>
            </w:tcBorders>
          </w:tcPr>
          <w:p>
            <w:pPr>
              <w:jc w:val="center"/>
              <w:spacing w:after="0" w:line="115" w:lineRule="exact"/>
              <w:rPr>
                <w:sz w:val="20"/>
                <w:szCs w:val="20"/>
                <w:color w:val="auto"/>
              </w:rPr>
            </w:pPr>
            <w:r>
              <w:rPr>
                <w:rFonts w:ascii="Calibri" w:cs="Calibri" w:eastAsia="Calibri" w:hAnsi="Calibri"/>
                <w:sz w:val="11"/>
                <w:szCs w:val="11"/>
                <w:color w:val="auto"/>
              </w:rPr>
              <w:t>0.5%</w:t>
            </w:r>
          </w:p>
        </w:tc>
        <w:tc>
          <w:tcPr>
            <w:tcW w:w="800" w:type="dxa"/>
            <w:vAlign w:val="bottom"/>
          </w:tcPr>
          <w:p>
            <w:pPr>
              <w:jc w:val="center"/>
              <w:spacing w:after="0" w:line="115" w:lineRule="exact"/>
              <w:rPr>
                <w:sz w:val="20"/>
                <w:szCs w:val="20"/>
                <w:color w:val="auto"/>
              </w:rPr>
            </w:pPr>
            <w:r>
              <w:rPr>
                <w:rFonts w:ascii="Calibri" w:cs="Calibri" w:eastAsia="Calibri" w:hAnsi="Calibri"/>
                <w:sz w:val="11"/>
                <w:szCs w:val="11"/>
                <w:color w:val="auto"/>
              </w:rPr>
              <w:t>144,976,051</w:t>
            </w:r>
          </w:p>
        </w:tc>
        <w:tc>
          <w:tcPr>
            <w:tcW w:w="860" w:type="dxa"/>
            <w:vAlign w:val="bottom"/>
            <w:tcBorders>
              <w:right w:val="single" w:sz="8" w:color="auto"/>
            </w:tcBorders>
          </w:tcPr>
          <w:p>
            <w:pPr>
              <w:jc w:val="center"/>
              <w:spacing w:after="0" w:line="115" w:lineRule="exact"/>
              <w:rPr>
                <w:sz w:val="20"/>
                <w:szCs w:val="20"/>
                <w:color w:val="auto"/>
              </w:rPr>
            </w:pPr>
            <w:r>
              <w:rPr>
                <w:rFonts w:ascii="Calibri" w:cs="Calibri" w:eastAsia="Calibri" w:hAnsi="Calibri"/>
                <w:sz w:val="11"/>
                <w:szCs w:val="11"/>
                <w:color w:val="auto"/>
              </w:rPr>
              <w:t>145,732,273</w:t>
            </w:r>
          </w:p>
        </w:tc>
        <w:tc>
          <w:tcPr>
            <w:tcW w:w="820" w:type="dxa"/>
            <w:vAlign w:val="bottom"/>
            <w:tcBorders>
              <w:right w:val="single" w:sz="8" w:color="auto"/>
            </w:tcBorders>
          </w:tcPr>
          <w:p>
            <w:pPr>
              <w:jc w:val="center"/>
              <w:spacing w:after="0" w:line="115" w:lineRule="exact"/>
              <w:rPr>
                <w:sz w:val="20"/>
                <w:szCs w:val="20"/>
                <w:color w:val="auto"/>
              </w:rPr>
            </w:pPr>
            <w:r>
              <w:rPr>
                <w:rFonts w:ascii="Calibri" w:cs="Calibri" w:eastAsia="Calibri" w:hAnsi="Calibri"/>
                <w:sz w:val="11"/>
                <w:szCs w:val="11"/>
                <w:color w:val="auto"/>
              </w:rPr>
              <w:t>0.5%</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Deposits and obligatons</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147,704,994</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154,435,451</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161,842,066</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4.8%</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9.6%</w:t>
            </w:r>
          </w:p>
        </w:tc>
        <w:tc>
          <w:tcPr>
            <w:tcW w:w="800" w:type="dxa"/>
            <w:vAlign w:val="bottom"/>
          </w:tcPr>
          <w:p>
            <w:pPr>
              <w:jc w:val="center"/>
              <w:spacing w:after="0" w:line="131" w:lineRule="exact"/>
              <w:rPr>
                <w:sz w:val="20"/>
                <w:szCs w:val="20"/>
                <w:color w:val="auto"/>
              </w:rPr>
            </w:pPr>
            <w:r>
              <w:rPr>
                <w:rFonts w:ascii="Calibri" w:cs="Calibri" w:eastAsia="Calibri" w:hAnsi="Calibri"/>
                <w:sz w:val="11"/>
                <w:szCs w:val="11"/>
                <w:color w:val="auto"/>
              </w:rPr>
              <w:t>147,704,994</w:t>
            </w:r>
          </w:p>
        </w:tc>
        <w:tc>
          <w:tcPr>
            <w:tcW w:w="8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161,842,066</w:t>
            </w:r>
          </w:p>
        </w:tc>
        <w:tc>
          <w:tcPr>
            <w:tcW w:w="8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9.6%</w:t>
            </w:r>
          </w:p>
        </w:tc>
        <w:tc>
          <w:tcPr>
            <w:tcW w:w="0" w:type="dxa"/>
            <w:vAlign w:val="bottom"/>
          </w:tcPr>
          <w:p>
            <w:pPr>
              <w:spacing w:after="0"/>
              <w:rPr>
                <w:sz w:val="1"/>
                <w:szCs w:val="1"/>
                <w:color w:val="auto"/>
              </w:rPr>
            </w:pPr>
          </w:p>
        </w:tc>
      </w:tr>
      <w:tr>
        <w:trPr>
          <w:trHeight w:val="141"/>
        </w:trPr>
        <w:tc>
          <w:tcPr>
            <w:tcW w:w="292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1"/>
                <w:szCs w:val="11"/>
                <w:color w:val="auto"/>
              </w:rPr>
              <w:t>Net equity</w:t>
            </w:r>
          </w:p>
        </w:tc>
        <w:tc>
          <w:tcPr>
            <w:tcW w:w="14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32,460,004</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33,462,591</w:t>
            </w:r>
          </w:p>
        </w:tc>
        <w:tc>
          <w:tcPr>
            <w:tcW w:w="9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34,346,451</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2.6%</w:t>
            </w:r>
          </w:p>
        </w:tc>
        <w:tc>
          <w:tcPr>
            <w:tcW w:w="8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5.8%</w:t>
            </w:r>
          </w:p>
        </w:tc>
        <w:tc>
          <w:tcPr>
            <w:tcW w:w="8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32,460,004</w:t>
            </w:r>
          </w:p>
        </w:tc>
        <w:tc>
          <w:tcPr>
            <w:tcW w:w="8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34,346,451</w:t>
            </w:r>
          </w:p>
        </w:tc>
        <w:tc>
          <w:tcPr>
            <w:tcW w:w="8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5.8%</w:t>
            </w:r>
          </w:p>
        </w:tc>
        <w:tc>
          <w:tcPr>
            <w:tcW w:w="0" w:type="dxa"/>
            <w:vAlign w:val="bottom"/>
          </w:tcPr>
          <w:p>
            <w:pPr>
              <w:spacing w:after="0"/>
              <w:rPr>
                <w:sz w:val="1"/>
                <w:szCs w:val="1"/>
                <w:color w:val="auto"/>
              </w:rPr>
            </w:pPr>
          </w:p>
        </w:tc>
      </w:tr>
      <w:tr>
        <w:trPr>
          <w:trHeight w:val="115"/>
        </w:trPr>
        <w:tc>
          <w:tcPr>
            <w:tcW w:w="2920" w:type="dxa"/>
            <w:vAlign w:val="bottom"/>
            <w:tcBorders>
              <w:left w:val="single" w:sz="8" w:color="auto"/>
            </w:tcBorders>
          </w:tcPr>
          <w:p>
            <w:pPr>
              <w:ind w:left="20"/>
              <w:spacing w:after="0" w:line="115" w:lineRule="exact"/>
              <w:rPr>
                <w:sz w:val="20"/>
                <w:szCs w:val="20"/>
                <w:color w:val="auto"/>
              </w:rPr>
            </w:pPr>
            <w:r>
              <w:rPr>
                <w:rFonts w:ascii="Calibri" w:cs="Calibri" w:eastAsia="Calibri" w:hAnsi="Calibri"/>
                <w:sz w:val="11"/>
                <w:szCs w:val="11"/>
                <w:b w:val="1"/>
                <w:bCs w:val="1"/>
                <w:color w:val="auto"/>
              </w:rPr>
              <w:t>Proftability</w:t>
            </w:r>
          </w:p>
        </w:tc>
        <w:tc>
          <w:tcPr>
            <w:tcW w:w="14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interest margin</w:t>
            </w:r>
            <w:r>
              <w:rPr>
                <w:rFonts w:ascii="Calibri" w:cs="Calibri" w:eastAsia="Calibri" w:hAnsi="Calibri"/>
                <w:sz w:val="9"/>
                <w:szCs w:val="9"/>
                <w:color w:val="auto"/>
              </w:rPr>
              <w:t>(1)</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6.20%</w:t>
            </w:r>
          </w:p>
        </w:tc>
        <w:tc>
          <w:tcPr>
            <w:tcW w:w="920" w:type="dxa"/>
            <w:vAlign w:val="bottom"/>
          </w:tcPr>
          <w:p>
            <w:pPr>
              <w:jc w:val="center"/>
              <w:spacing w:after="0"/>
              <w:rPr>
                <w:sz w:val="20"/>
                <w:szCs w:val="20"/>
                <w:color w:val="auto"/>
              </w:rPr>
            </w:pPr>
            <w:r>
              <w:rPr>
                <w:rFonts w:ascii="Arial" w:cs="Arial" w:eastAsia="Arial" w:hAnsi="Arial"/>
                <w:sz w:val="11"/>
                <w:szCs w:val="11"/>
                <w:color w:val="auto"/>
              </w:rPr>
              <w:t>6.43%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6.34%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14 bps</w:t>
            </w:r>
          </w:p>
        </w:tc>
        <w:tc>
          <w:tcPr>
            <w:tcW w:w="800" w:type="dxa"/>
            <w:vAlign w:val="bottom"/>
          </w:tcPr>
          <w:p>
            <w:pPr>
              <w:jc w:val="center"/>
              <w:spacing w:after="0"/>
              <w:rPr>
                <w:sz w:val="20"/>
                <w:szCs w:val="20"/>
                <w:color w:val="auto"/>
              </w:rPr>
            </w:pPr>
            <w:r>
              <w:rPr>
                <w:rFonts w:ascii="Arial" w:cs="Arial" w:eastAsia="Arial" w:hAnsi="Arial"/>
                <w:sz w:val="11"/>
                <w:szCs w:val="11"/>
                <w:color w:val="auto"/>
              </w:rPr>
              <w:t>6.00%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6.29%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29 bps</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Risk-adjusted Net interest margin</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4.10%</w:t>
            </w:r>
          </w:p>
        </w:tc>
        <w:tc>
          <w:tcPr>
            <w:tcW w:w="920" w:type="dxa"/>
            <w:vAlign w:val="bottom"/>
          </w:tcPr>
          <w:p>
            <w:pPr>
              <w:jc w:val="center"/>
              <w:spacing w:after="0"/>
              <w:rPr>
                <w:sz w:val="20"/>
                <w:szCs w:val="20"/>
                <w:color w:val="auto"/>
              </w:rPr>
            </w:pPr>
            <w:r>
              <w:rPr>
                <w:rFonts w:ascii="Arial" w:cs="Arial" w:eastAsia="Arial" w:hAnsi="Arial"/>
                <w:sz w:val="11"/>
                <w:szCs w:val="11"/>
                <w:color w:val="auto"/>
              </w:rPr>
              <w:t>4.93%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5.08%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15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98 bps</w:t>
            </w:r>
          </w:p>
        </w:tc>
        <w:tc>
          <w:tcPr>
            <w:tcW w:w="800" w:type="dxa"/>
            <w:vAlign w:val="bottom"/>
          </w:tcPr>
          <w:p>
            <w:pPr>
              <w:jc w:val="center"/>
              <w:spacing w:after="0"/>
              <w:rPr>
                <w:sz w:val="20"/>
                <w:szCs w:val="20"/>
                <w:color w:val="auto"/>
              </w:rPr>
            </w:pPr>
            <w:r>
              <w:rPr>
                <w:rFonts w:ascii="Arial" w:cs="Arial" w:eastAsia="Arial" w:hAnsi="Arial"/>
                <w:sz w:val="11"/>
                <w:szCs w:val="11"/>
                <w:color w:val="auto"/>
              </w:rPr>
              <w:t>4.38%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4.77%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39 bps</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Funding cost</w:t>
            </w:r>
            <w:r>
              <w:rPr>
                <w:rFonts w:ascii="Calibri" w:cs="Calibri" w:eastAsia="Calibri" w:hAnsi="Calibri"/>
                <w:sz w:val="9"/>
                <w:szCs w:val="9"/>
                <w:color w:val="auto"/>
              </w:rPr>
              <w:t>(2)</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3.0%</w:t>
            </w:r>
          </w:p>
        </w:tc>
        <w:tc>
          <w:tcPr>
            <w:tcW w:w="920" w:type="dxa"/>
            <w:vAlign w:val="bottom"/>
          </w:tcPr>
          <w:p>
            <w:pPr>
              <w:jc w:val="center"/>
              <w:spacing w:after="0"/>
              <w:rPr>
                <w:sz w:val="20"/>
                <w:szCs w:val="20"/>
                <w:color w:val="auto"/>
              </w:rPr>
            </w:pPr>
            <w:r>
              <w:rPr>
                <w:rFonts w:ascii="Arial" w:cs="Arial" w:eastAsia="Arial" w:hAnsi="Arial"/>
                <w:sz w:val="11"/>
                <w:szCs w:val="11"/>
                <w:color w:val="auto"/>
              </w:rPr>
              <w:t>2.7%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-47 bps</w:t>
            </w:r>
          </w:p>
        </w:tc>
        <w:tc>
          <w:tcPr>
            <w:tcW w:w="800" w:type="dxa"/>
            <w:vAlign w:val="bottom"/>
          </w:tcPr>
          <w:p>
            <w:pPr>
              <w:jc w:val="center"/>
              <w:spacing w:after="0"/>
              <w:rPr>
                <w:sz w:val="20"/>
                <w:szCs w:val="20"/>
                <w:color w:val="auto"/>
              </w:rPr>
            </w:pPr>
            <w:r>
              <w:rPr>
                <w:rFonts w:ascii="Arial" w:cs="Arial" w:eastAsia="Arial" w:hAnsi="Arial"/>
                <w:sz w:val="11"/>
                <w:szCs w:val="11"/>
                <w:color w:val="auto"/>
              </w:rPr>
              <w:t>2.9%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-21 bps</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ROAE</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10.6%</w:t>
            </w:r>
          </w:p>
        </w:tc>
        <w:tc>
          <w:tcPr>
            <w:tcW w:w="920" w:type="dxa"/>
            <w:vAlign w:val="bottom"/>
          </w:tcPr>
          <w:p>
            <w:pPr>
              <w:jc w:val="center"/>
              <w:spacing w:after="0"/>
              <w:rPr>
                <w:sz w:val="20"/>
                <w:szCs w:val="20"/>
                <w:color w:val="auto"/>
              </w:rPr>
            </w:pPr>
            <w:r>
              <w:rPr>
                <w:rFonts w:ascii="Arial" w:cs="Arial" w:eastAsia="Arial" w:hAnsi="Arial"/>
                <w:sz w:val="11"/>
                <w:szCs w:val="11"/>
                <w:color w:val="auto"/>
              </w:rPr>
              <w:t>18.5%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13.3%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-521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273 bps</w:t>
            </w:r>
          </w:p>
        </w:tc>
        <w:tc>
          <w:tcPr>
            <w:tcW w:w="800" w:type="dxa"/>
            <w:vAlign w:val="bottom"/>
          </w:tcPr>
          <w:p>
            <w:pPr>
              <w:jc w:val="center"/>
              <w:spacing w:after="0"/>
              <w:rPr>
                <w:sz w:val="20"/>
                <w:szCs w:val="20"/>
                <w:color w:val="auto"/>
              </w:rPr>
            </w:pPr>
            <w:r>
              <w:rPr>
                <w:rFonts w:ascii="Arial" w:cs="Arial" w:eastAsia="Arial" w:hAnsi="Arial"/>
                <w:sz w:val="11"/>
                <w:szCs w:val="11"/>
                <w:color w:val="auto"/>
              </w:rPr>
              <w:t>15.8%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16.5%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63 bps</w:t>
            </w:r>
          </w:p>
        </w:tc>
        <w:tc>
          <w:tcPr>
            <w:tcW w:w="0" w:type="dxa"/>
            <w:vAlign w:val="bottom"/>
          </w:tcPr>
          <w:p>
            <w:pPr>
              <w:spacing w:after="0"/>
              <w:rPr>
                <w:sz w:val="1"/>
                <w:szCs w:val="1"/>
                <w:color w:val="auto"/>
              </w:rPr>
            </w:pPr>
          </w:p>
        </w:tc>
      </w:tr>
      <w:tr>
        <w:trPr>
          <w:trHeight w:val="147"/>
        </w:trPr>
        <w:tc>
          <w:tcPr>
            <w:tcW w:w="292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1"/>
                <w:szCs w:val="11"/>
                <w:color w:val="auto"/>
              </w:rPr>
              <w:t>ROAA</w:t>
            </w:r>
          </w:p>
        </w:tc>
        <w:tc>
          <w:tcPr>
            <w:tcW w:w="14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2.4%</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-67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37 bps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2.1%</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17 bps</w:t>
            </w:r>
          </w:p>
        </w:tc>
        <w:tc>
          <w:tcPr>
            <w:tcW w:w="0" w:type="dxa"/>
            <w:vAlign w:val="bottom"/>
          </w:tcPr>
          <w:p>
            <w:pPr>
              <w:spacing w:after="0"/>
              <w:rPr>
                <w:sz w:val="1"/>
                <w:szCs w:val="1"/>
                <w:color w:val="auto"/>
              </w:rPr>
            </w:pPr>
          </w:p>
        </w:tc>
      </w:tr>
      <w:tr>
        <w:trPr>
          <w:trHeight w:val="109"/>
        </w:trPr>
        <w:tc>
          <w:tcPr>
            <w:tcW w:w="292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1"/>
                <w:szCs w:val="11"/>
                <w:b w:val="1"/>
                <w:bCs w:val="1"/>
                <w:color w:val="auto"/>
              </w:rPr>
              <w:t>Loan portfolio quality</w:t>
            </w:r>
          </w:p>
        </w:tc>
        <w:tc>
          <w:tcPr>
            <w:tcW w:w="14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920" w:type="dxa"/>
            <w:vAlign w:val="bottom"/>
            <w:tcBorders>
              <w:left w:val="single" w:sz="8" w:color="auto"/>
            </w:tcBorders>
          </w:tcPr>
          <w:p>
            <w:pPr>
              <w:ind w:left="20"/>
              <w:spacing w:after="0" w:line="138" w:lineRule="exact"/>
              <w:rPr>
                <w:sz w:val="20"/>
                <w:szCs w:val="20"/>
                <w:color w:val="auto"/>
              </w:rPr>
            </w:pPr>
            <w:r>
              <w:rPr>
                <w:rFonts w:ascii="Arial" w:cs="Arial" w:eastAsia="Arial" w:hAnsi="Arial"/>
                <w:sz w:val="10"/>
                <w:szCs w:val="10"/>
                <w:color w:val="auto"/>
              </w:rPr>
              <w:t>Internal overdue ratio</w:t>
            </w:r>
            <w:r>
              <w:rPr>
                <w:rFonts w:ascii="Arial" w:cs="Arial" w:eastAsia="Arial" w:hAnsi="Arial"/>
                <w:sz w:val="16"/>
                <w:szCs w:val="16"/>
                <w:color w:val="auto"/>
                <w:vertAlign w:val="superscript"/>
              </w:rPr>
              <w:t>(3)</w:t>
            </w:r>
          </w:p>
        </w:tc>
        <w:tc>
          <w:tcPr>
            <w:tcW w:w="1480" w:type="dxa"/>
            <w:vAlign w:val="bottom"/>
            <w:tcBorders>
              <w:right w:val="single" w:sz="8" w:color="auto"/>
            </w:tcBorders>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4.2%</w:t>
            </w:r>
          </w:p>
        </w:tc>
        <w:tc>
          <w:tcPr>
            <w:tcW w:w="920" w:type="dxa"/>
            <w:vAlign w:val="bottom"/>
          </w:tcPr>
          <w:p>
            <w:pPr>
              <w:jc w:val="center"/>
              <w:spacing w:after="0"/>
              <w:rPr>
                <w:sz w:val="20"/>
                <w:szCs w:val="20"/>
                <w:color w:val="auto"/>
              </w:rPr>
            </w:pPr>
            <w:r>
              <w:rPr>
                <w:rFonts w:ascii="Arial" w:cs="Arial" w:eastAsia="Arial" w:hAnsi="Arial"/>
                <w:sz w:val="11"/>
                <w:szCs w:val="11"/>
                <w:color w:val="auto"/>
              </w:rPr>
              <w:t>4.2%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-51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-51 bps</w:t>
            </w:r>
          </w:p>
        </w:tc>
        <w:tc>
          <w:tcPr>
            <w:tcW w:w="800" w:type="dxa"/>
            <w:vAlign w:val="bottom"/>
          </w:tcPr>
          <w:p>
            <w:pPr>
              <w:jc w:val="center"/>
              <w:spacing w:after="0"/>
              <w:rPr>
                <w:sz w:val="20"/>
                <w:szCs w:val="20"/>
                <w:color w:val="auto"/>
              </w:rPr>
            </w:pPr>
            <w:r>
              <w:rPr>
                <w:rFonts w:ascii="Arial" w:cs="Arial" w:eastAsia="Arial" w:hAnsi="Arial"/>
                <w:sz w:val="11"/>
                <w:szCs w:val="11"/>
                <w:color w:val="auto"/>
              </w:rPr>
              <w:t>4.2%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-51 bps</w:t>
            </w:r>
          </w:p>
        </w:tc>
        <w:tc>
          <w:tcPr>
            <w:tcW w:w="0" w:type="dxa"/>
            <w:vAlign w:val="bottom"/>
          </w:tcPr>
          <w:p>
            <w:pPr>
              <w:spacing w:after="0"/>
              <w:rPr>
                <w:sz w:val="1"/>
                <w:szCs w:val="1"/>
                <w:color w:val="auto"/>
              </w:rPr>
            </w:pPr>
          </w:p>
        </w:tc>
      </w:tr>
      <w:tr>
        <w:trPr>
          <w:trHeight w:val="124"/>
        </w:trPr>
        <w:tc>
          <w:tcPr>
            <w:tcW w:w="292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Internal overdue ratio over 90 days</w:t>
            </w:r>
          </w:p>
        </w:tc>
        <w:tc>
          <w:tcPr>
            <w:tcW w:w="1480" w:type="dxa"/>
            <w:vAlign w:val="bottom"/>
            <w:tcBorders>
              <w:right w:val="single" w:sz="8" w:color="auto"/>
            </w:tcBorders>
          </w:tcPr>
          <w:p>
            <w:pPr>
              <w:spacing w:after="0"/>
              <w:rPr>
                <w:sz w:val="10"/>
                <w:szCs w:val="10"/>
                <w:color w:val="auto"/>
              </w:rPr>
            </w:pPr>
          </w:p>
        </w:tc>
        <w:tc>
          <w:tcPr>
            <w:tcW w:w="900" w:type="dxa"/>
            <w:vAlign w:val="bottom"/>
          </w:tcPr>
          <w:p>
            <w:pPr>
              <w:jc w:val="center"/>
              <w:spacing w:after="0" w:line="124" w:lineRule="exact"/>
              <w:rPr>
                <w:sz w:val="20"/>
                <w:szCs w:val="20"/>
                <w:color w:val="auto"/>
              </w:rPr>
            </w:pPr>
            <w:r>
              <w:rPr>
                <w:rFonts w:ascii="Arial" w:cs="Arial" w:eastAsia="Arial" w:hAnsi="Arial"/>
                <w:sz w:val="11"/>
                <w:szCs w:val="11"/>
                <w:color w:val="auto"/>
              </w:rPr>
              <w:t>3.2%</w:t>
            </w:r>
          </w:p>
        </w:tc>
        <w:tc>
          <w:tcPr>
            <w:tcW w:w="920" w:type="dxa"/>
            <w:vAlign w:val="bottom"/>
          </w:tcPr>
          <w:p>
            <w:pPr>
              <w:jc w:val="center"/>
              <w:spacing w:after="0" w:line="124" w:lineRule="exact"/>
              <w:rPr>
                <w:sz w:val="20"/>
                <w:szCs w:val="20"/>
                <w:color w:val="auto"/>
              </w:rPr>
            </w:pPr>
            <w:r>
              <w:rPr>
                <w:rFonts w:ascii="Arial" w:cs="Arial" w:eastAsia="Arial" w:hAnsi="Arial"/>
                <w:sz w:val="11"/>
                <w:szCs w:val="11"/>
                <w:color w:val="auto"/>
              </w:rPr>
              <w:t>3.4%</w:t>
            </w:r>
          </w:p>
        </w:tc>
        <w:tc>
          <w:tcPr>
            <w:tcW w:w="9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3.0%</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-39 bps</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-19 bps</w:t>
            </w:r>
          </w:p>
        </w:tc>
        <w:tc>
          <w:tcPr>
            <w:tcW w:w="800" w:type="dxa"/>
            <w:vAlign w:val="bottom"/>
          </w:tcPr>
          <w:p>
            <w:pPr>
              <w:jc w:val="center"/>
              <w:spacing w:after="0" w:line="124" w:lineRule="exact"/>
              <w:rPr>
                <w:sz w:val="20"/>
                <w:szCs w:val="20"/>
                <w:color w:val="auto"/>
              </w:rPr>
            </w:pPr>
            <w:r>
              <w:rPr>
                <w:rFonts w:ascii="Arial" w:cs="Arial" w:eastAsia="Arial" w:hAnsi="Arial"/>
                <w:sz w:val="11"/>
                <w:szCs w:val="11"/>
                <w:color w:val="auto"/>
              </w:rPr>
              <w:t>3.2%</w:t>
            </w:r>
          </w:p>
        </w:tc>
        <w:tc>
          <w:tcPr>
            <w:tcW w:w="8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3.0%</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-19 bps</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Arial" w:cs="Arial" w:eastAsia="Arial" w:hAnsi="Arial"/>
                <w:sz w:val="10"/>
                <w:szCs w:val="10"/>
                <w:color w:val="auto"/>
              </w:rPr>
              <w:t>NPL ratio</w:t>
            </w:r>
            <w:r>
              <w:rPr>
                <w:rFonts w:ascii="Arial" w:cs="Arial" w:eastAsia="Arial" w:hAnsi="Arial"/>
                <w:sz w:val="15"/>
                <w:szCs w:val="15"/>
                <w:color w:val="auto"/>
                <w:vertAlign w:val="superscript"/>
              </w:rPr>
              <w:t>(4)</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5.9%</w:t>
            </w:r>
          </w:p>
        </w:tc>
        <w:tc>
          <w:tcPr>
            <w:tcW w:w="920" w:type="dxa"/>
            <w:vAlign w:val="bottom"/>
          </w:tcPr>
          <w:p>
            <w:pPr>
              <w:jc w:val="center"/>
              <w:spacing w:after="0"/>
              <w:rPr>
                <w:sz w:val="20"/>
                <w:szCs w:val="20"/>
                <w:color w:val="auto"/>
              </w:rPr>
            </w:pPr>
            <w:r>
              <w:rPr>
                <w:rFonts w:ascii="Arial" w:cs="Arial" w:eastAsia="Arial" w:hAnsi="Arial"/>
                <w:sz w:val="11"/>
                <w:szCs w:val="11"/>
                <w:color w:val="auto"/>
              </w:rPr>
              <w:t>5.9%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-60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-63 bps</w:t>
            </w:r>
          </w:p>
        </w:tc>
        <w:tc>
          <w:tcPr>
            <w:tcW w:w="800" w:type="dxa"/>
            <w:vAlign w:val="bottom"/>
          </w:tcPr>
          <w:p>
            <w:pPr>
              <w:jc w:val="center"/>
              <w:spacing w:after="0"/>
              <w:rPr>
                <w:sz w:val="20"/>
                <w:szCs w:val="20"/>
                <w:color w:val="auto"/>
              </w:rPr>
            </w:pPr>
            <w:r>
              <w:rPr>
                <w:rFonts w:ascii="Arial" w:cs="Arial" w:eastAsia="Arial" w:hAnsi="Arial"/>
                <w:sz w:val="11"/>
                <w:szCs w:val="11"/>
                <w:color w:val="auto"/>
              </w:rPr>
              <w:t>5.9%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-63 bps</w:t>
            </w:r>
          </w:p>
        </w:tc>
        <w:tc>
          <w:tcPr>
            <w:tcW w:w="0" w:type="dxa"/>
            <w:vAlign w:val="bottom"/>
          </w:tcPr>
          <w:p>
            <w:pPr>
              <w:spacing w:after="0"/>
              <w:rPr>
                <w:sz w:val="1"/>
                <w:szCs w:val="1"/>
                <w:color w:val="auto"/>
              </w:rPr>
            </w:pPr>
          </w:p>
        </w:tc>
      </w:tr>
      <w:tr>
        <w:trPr>
          <w:trHeight w:val="138"/>
        </w:trPr>
        <w:tc>
          <w:tcPr>
            <w:tcW w:w="2920" w:type="dxa"/>
            <w:vAlign w:val="bottom"/>
            <w:tcBorders>
              <w:left w:val="single" w:sz="8" w:color="auto"/>
            </w:tcBorders>
          </w:tcPr>
          <w:p>
            <w:pPr>
              <w:ind w:left="20"/>
              <w:spacing w:after="0" w:line="138" w:lineRule="exact"/>
              <w:rPr>
                <w:sz w:val="20"/>
                <w:szCs w:val="20"/>
                <w:color w:val="auto"/>
              </w:rPr>
            </w:pPr>
            <w:r>
              <w:rPr>
                <w:rFonts w:ascii="Arial" w:cs="Arial" w:eastAsia="Arial" w:hAnsi="Arial"/>
                <w:sz w:val="10"/>
                <w:szCs w:val="10"/>
                <w:color w:val="auto"/>
              </w:rPr>
              <w:t>Cost of risk</w:t>
            </w:r>
            <w:r>
              <w:rPr>
                <w:rFonts w:ascii="Arial" w:cs="Arial" w:eastAsia="Arial" w:hAnsi="Arial"/>
                <w:sz w:val="16"/>
                <w:szCs w:val="16"/>
                <w:color w:val="auto"/>
                <w:vertAlign w:val="superscript"/>
              </w:rPr>
              <w:t>(5)</w:t>
            </w:r>
          </w:p>
        </w:tc>
        <w:tc>
          <w:tcPr>
            <w:tcW w:w="1480" w:type="dxa"/>
            <w:vAlign w:val="bottom"/>
            <w:tcBorders>
              <w:right w:val="single" w:sz="8" w:color="auto"/>
            </w:tcBorders>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3.2%</w:t>
            </w:r>
          </w:p>
        </w:tc>
        <w:tc>
          <w:tcPr>
            <w:tcW w:w="920" w:type="dxa"/>
            <w:vAlign w:val="bottom"/>
          </w:tcPr>
          <w:p>
            <w:pPr>
              <w:jc w:val="center"/>
              <w:spacing w:after="0"/>
              <w:rPr>
                <w:sz w:val="20"/>
                <w:szCs w:val="20"/>
                <w:color w:val="auto"/>
              </w:rPr>
            </w:pPr>
            <w:r>
              <w:rPr>
                <w:rFonts w:ascii="Arial" w:cs="Arial" w:eastAsia="Arial" w:hAnsi="Arial"/>
                <w:sz w:val="11"/>
                <w:szCs w:val="11"/>
                <w:color w:val="auto"/>
              </w:rPr>
              <w:t>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-34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-118 bps</w:t>
            </w:r>
          </w:p>
        </w:tc>
        <w:tc>
          <w:tcPr>
            <w:tcW w:w="800" w:type="dxa"/>
            <w:vAlign w:val="bottom"/>
          </w:tcPr>
          <w:p>
            <w:pPr>
              <w:jc w:val="center"/>
              <w:spacing w:after="0"/>
              <w:rPr>
                <w:sz w:val="20"/>
                <w:szCs w:val="20"/>
                <w:color w:val="auto"/>
              </w:rPr>
            </w:pPr>
            <w:r>
              <w:rPr>
                <w:rFonts w:ascii="Arial" w:cs="Arial" w:eastAsia="Arial" w:hAnsi="Arial"/>
                <w:sz w:val="11"/>
                <w:szCs w:val="11"/>
                <w:color w:val="auto"/>
              </w:rPr>
              <w:t>2.5%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 bps</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Coverage ratio of IOLs</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135.1%</w:t>
            </w:r>
          </w:p>
        </w:tc>
        <w:tc>
          <w:tcPr>
            <w:tcW w:w="920" w:type="dxa"/>
            <w:vAlign w:val="bottom"/>
          </w:tcPr>
          <w:p>
            <w:pPr>
              <w:jc w:val="center"/>
              <w:spacing w:after="0"/>
              <w:rPr>
                <w:sz w:val="20"/>
                <w:szCs w:val="20"/>
                <w:color w:val="auto"/>
              </w:rPr>
            </w:pPr>
            <w:r>
              <w:rPr>
                <w:rFonts w:ascii="Arial" w:cs="Arial" w:eastAsia="Arial" w:hAnsi="Arial"/>
                <w:sz w:val="11"/>
                <w:szCs w:val="11"/>
                <w:color w:val="auto"/>
              </w:rPr>
              <w:t>136.9%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147.4%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1052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1230 bps</w:t>
            </w:r>
          </w:p>
        </w:tc>
        <w:tc>
          <w:tcPr>
            <w:tcW w:w="800" w:type="dxa"/>
            <w:vAlign w:val="bottom"/>
          </w:tcPr>
          <w:p>
            <w:pPr>
              <w:jc w:val="center"/>
              <w:spacing w:after="0"/>
              <w:rPr>
                <w:sz w:val="20"/>
                <w:szCs w:val="20"/>
                <w:color w:val="auto"/>
              </w:rPr>
            </w:pPr>
            <w:r>
              <w:rPr>
                <w:rFonts w:ascii="Arial" w:cs="Arial" w:eastAsia="Arial" w:hAnsi="Arial"/>
                <w:sz w:val="11"/>
                <w:szCs w:val="11"/>
                <w:color w:val="auto"/>
              </w:rPr>
              <w:t>135.1%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147.4%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1230 bps</w:t>
            </w:r>
          </w:p>
        </w:tc>
        <w:tc>
          <w:tcPr>
            <w:tcW w:w="0" w:type="dxa"/>
            <w:vAlign w:val="bottom"/>
          </w:tcPr>
          <w:p>
            <w:pPr>
              <w:spacing w:after="0"/>
              <w:rPr>
                <w:sz w:val="1"/>
                <w:szCs w:val="1"/>
                <w:color w:val="auto"/>
              </w:rPr>
            </w:pPr>
          </w:p>
        </w:tc>
      </w:tr>
      <w:tr>
        <w:trPr>
          <w:trHeight w:val="139"/>
        </w:trPr>
        <w:tc>
          <w:tcPr>
            <w:tcW w:w="29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Coverage ratio of NPLs</w:t>
            </w:r>
          </w:p>
        </w:tc>
        <w:tc>
          <w:tcPr>
            <w:tcW w:w="14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97.0%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98.7%</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104.3%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566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732 bps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97.0%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104.3%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732 bps</w:t>
            </w:r>
          </w:p>
        </w:tc>
        <w:tc>
          <w:tcPr>
            <w:tcW w:w="0" w:type="dxa"/>
            <w:vAlign w:val="bottom"/>
          </w:tcPr>
          <w:p>
            <w:pPr>
              <w:spacing w:after="0"/>
              <w:rPr>
                <w:sz w:val="1"/>
                <w:szCs w:val="1"/>
                <w:color w:val="auto"/>
              </w:rPr>
            </w:pPr>
          </w:p>
        </w:tc>
      </w:tr>
      <w:tr>
        <w:trPr>
          <w:trHeight w:val="109"/>
        </w:trPr>
        <w:tc>
          <w:tcPr>
            <w:tcW w:w="292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1"/>
                <w:szCs w:val="11"/>
                <w:b w:val="1"/>
                <w:bCs w:val="1"/>
                <w:color w:val="auto"/>
              </w:rPr>
              <w:t>Operating efficiency</w:t>
            </w:r>
          </w:p>
        </w:tc>
        <w:tc>
          <w:tcPr>
            <w:tcW w:w="1480" w:type="dxa"/>
            <w:vAlign w:val="bottom"/>
            <w:tcBorders>
              <w:right w:val="single" w:sz="8" w:color="auto"/>
            </w:tcBorders>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Calibri" w:cs="Calibri" w:eastAsia="Calibri" w:hAnsi="Calibri"/>
                <w:sz w:val="11"/>
                <w:szCs w:val="11"/>
                <w:color w:val="auto"/>
              </w:rPr>
              <w:t>4,893,605</w:t>
            </w:r>
          </w:p>
        </w:tc>
        <w:tc>
          <w:tcPr>
            <w:tcW w:w="920" w:type="dxa"/>
            <w:vAlign w:val="bottom"/>
            <w:vMerge w:val="restart"/>
          </w:tcPr>
          <w:p>
            <w:pPr>
              <w:jc w:val="center"/>
              <w:spacing w:after="0"/>
              <w:rPr>
                <w:sz w:val="20"/>
                <w:szCs w:val="20"/>
                <w:color w:val="auto"/>
              </w:rPr>
            </w:pPr>
            <w:r>
              <w:rPr>
                <w:rFonts w:ascii="Calibri" w:cs="Calibri" w:eastAsia="Calibri" w:hAnsi="Calibri"/>
                <w:sz w:val="11"/>
                <w:szCs w:val="11"/>
                <w:color w:val="auto"/>
              </w:rPr>
              <w:t>5,287,099</w:t>
            </w:r>
          </w:p>
        </w:tc>
        <w:tc>
          <w:tcPr>
            <w:tcW w:w="9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5,475,434</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3.6%</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11.9%</w:t>
            </w:r>
          </w:p>
        </w:tc>
        <w:tc>
          <w:tcPr>
            <w:tcW w:w="800" w:type="dxa"/>
            <w:vAlign w:val="bottom"/>
            <w:vMerge w:val="restart"/>
          </w:tcPr>
          <w:p>
            <w:pPr>
              <w:jc w:val="center"/>
              <w:spacing w:after="0"/>
              <w:rPr>
                <w:sz w:val="20"/>
                <w:szCs w:val="20"/>
                <w:color w:val="auto"/>
              </w:rPr>
            </w:pPr>
            <w:r>
              <w:rPr>
                <w:rFonts w:ascii="Calibri" w:cs="Calibri" w:eastAsia="Calibri" w:hAnsi="Calibri"/>
                <w:sz w:val="11"/>
                <w:szCs w:val="11"/>
                <w:color w:val="auto"/>
              </w:rPr>
              <w:t>19,056,189</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20,976,379</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10.1%</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Arial" w:cs="Arial" w:eastAsia="Arial" w:hAnsi="Arial"/>
                <w:sz w:val="10"/>
                <w:szCs w:val="10"/>
                <w:color w:val="auto"/>
              </w:rPr>
              <w:t>Operating income</w:t>
            </w:r>
            <w:r>
              <w:rPr>
                <w:rFonts w:ascii="Arial" w:cs="Arial" w:eastAsia="Arial" w:hAnsi="Arial"/>
                <w:sz w:val="15"/>
                <w:szCs w:val="15"/>
                <w:color w:val="auto"/>
                <w:vertAlign w:val="superscript"/>
              </w:rPr>
              <w:t>(6)</w:t>
            </w:r>
          </w:p>
        </w:tc>
        <w:tc>
          <w:tcPr>
            <w:tcW w:w="1480" w:type="dxa"/>
            <w:vAlign w:val="bottom"/>
            <w:tcBorders>
              <w:right w:val="single" w:sz="8" w:color="auto"/>
            </w:tcBorders>
          </w:tcPr>
          <w:p>
            <w:pPr>
              <w:spacing w:after="0"/>
              <w:rPr>
                <w:sz w:val="11"/>
                <w:szCs w:val="11"/>
                <w:color w:val="auto"/>
              </w:rPr>
            </w:pPr>
          </w:p>
        </w:tc>
        <w:tc>
          <w:tcPr>
            <w:tcW w:w="9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tcBorders>
              <w:left w:val="single" w:sz="8" w:color="auto"/>
            </w:tcBorders>
          </w:tcPr>
          <w:p>
            <w:pPr>
              <w:ind w:left="20"/>
              <w:spacing w:after="0" w:line="131" w:lineRule="exact"/>
              <w:rPr>
                <w:sz w:val="20"/>
                <w:szCs w:val="20"/>
                <w:color w:val="auto"/>
              </w:rPr>
            </w:pPr>
            <w:r>
              <w:rPr>
                <w:rFonts w:ascii="Arial" w:cs="Arial" w:eastAsia="Arial" w:hAnsi="Arial"/>
                <w:sz w:val="10"/>
                <w:szCs w:val="10"/>
                <w:color w:val="auto"/>
              </w:rPr>
              <w:t>Operating expenses</w:t>
            </w:r>
            <w:r>
              <w:rPr>
                <w:rFonts w:ascii="Arial" w:cs="Arial" w:eastAsia="Arial" w:hAnsi="Arial"/>
                <w:sz w:val="15"/>
                <w:szCs w:val="15"/>
                <w:color w:val="auto"/>
                <w:vertAlign w:val="superscript"/>
              </w:rPr>
              <w:t>(7)</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line="132" w:lineRule="exact"/>
              <w:rPr>
                <w:sz w:val="20"/>
                <w:szCs w:val="20"/>
                <w:color w:val="auto"/>
              </w:rPr>
            </w:pPr>
            <w:r>
              <w:rPr>
                <w:rFonts w:ascii="Calibri" w:cs="Calibri" w:eastAsia="Calibri" w:hAnsi="Calibri"/>
                <w:sz w:val="11"/>
                <w:szCs w:val="11"/>
                <w:color w:val="auto"/>
              </w:rPr>
              <w:t>2,395,688</w:t>
            </w:r>
          </w:p>
        </w:tc>
        <w:tc>
          <w:tcPr>
            <w:tcW w:w="920" w:type="dxa"/>
            <w:vAlign w:val="bottom"/>
          </w:tcPr>
          <w:p>
            <w:pPr>
              <w:jc w:val="center"/>
              <w:spacing w:after="0" w:line="132" w:lineRule="exact"/>
              <w:rPr>
                <w:sz w:val="20"/>
                <w:szCs w:val="20"/>
                <w:color w:val="auto"/>
              </w:rPr>
            </w:pPr>
            <w:r>
              <w:rPr>
                <w:rFonts w:ascii="Calibri" w:cs="Calibri" w:eastAsia="Calibri" w:hAnsi="Calibri"/>
                <w:sz w:val="11"/>
                <w:szCs w:val="11"/>
                <w:color w:val="auto"/>
              </w:rPr>
              <w:t>2,389,261</w:t>
            </w:r>
          </w:p>
        </w:tc>
        <w:tc>
          <w:tcPr>
            <w:tcW w:w="94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2,692,110</w:t>
            </w:r>
          </w:p>
        </w:tc>
        <w:tc>
          <w:tcPr>
            <w:tcW w:w="78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12.7%</w:t>
            </w:r>
          </w:p>
        </w:tc>
        <w:tc>
          <w:tcPr>
            <w:tcW w:w="82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12.4%</w:t>
            </w:r>
          </w:p>
        </w:tc>
        <w:tc>
          <w:tcPr>
            <w:tcW w:w="800" w:type="dxa"/>
            <w:vAlign w:val="bottom"/>
          </w:tcPr>
          <w:p>
            <w:pPr>
              <w:jc w:val="center"/>
              <w:spacing w:after="0" w:line="132" w:lineRule="exact"/>
              <w:rPr>
                <w:sz w:val="20"/>
                <w:szCs w:val="20"/>
                <w:color w:val="auto"/>
              </w:rPr>
            </w:pPr>
            <w:r>
              <w:rPr>
                <w:rFonts w:ascii="Calibri" w:cs="Calibri" w:eastAsia="Calibri" w:hAnsi="Calibri"/>
                <w:sz w:val="11"/>
                <w:szCs w:val="11"/>
                <w:color w:val="auto"/>
              </w:rPr>
              <w:t>8,780,760</w:t>
            </w:r>
          </w:p>
        </w:tc>
        <w:tc>
          <w:tcPr>
            <w:tcW w:w="86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9,601,950</w:t>
            </w:r>
          </w:p>
        </w:tc>
        <w:tc>
          <w:tcPr>
            <w:tcW w:w="820" w:type="dxa"/>
            <w:vAlign w:val="bottom"/>
            <w:tcBorders>
              <w:right w:val="single" w:sz="8" w:color="auto"/>
            </w:tcBorders>
          </w:tcPr>
          <w:p>
            <w:pPr>
              <w:jc w:val="center"/>
              <w:spacing w:after="0" w:line="132" w:lineRule="exact"/>
              <w:rPr>
                <w:sz w:val="20"/>
                <w:szCs w:val="20"/>
                <w:color w:val="auto"/>
              </w:rPr>
            </w:pPr>
            <w:r>
              <w:rPr>
                <w:rFonts w:ascii="Calibri" w:cs="Calibri" w:eastAsia="Calibri" w:hAnsi="Calibri"/>
                <w:sz w:val="11"/>
                <w:szCs w:val="11"/>
                <w:color w:val="auto"/>
              </w:rPr>
              <w:t>9.4%</w:t>
            </w:r>
          </w:p>
        </w:tc>
        <w:tc>
          <w:tcPr>
            <w:tcW w:w="0" w:type="dxa"/>
            <w:vAlign w:val="bottom"/>
          </w:tcPr>
          <w:p>
            <w:pPr>
              <w:spacing w:after="0"/>
              <w:rPr>
                <w:sz w:val="1"/>
                <w:szCs w:val="1"/>
                <w:color w:val="auto"/>
              </w:rPr>
            </w:pPr>
          </w:p>
        </w:tc>
      </w:tr>
      <w:tr>
        <w:trPr>
          <w:trHeight w:val="138"/>
        </w:trPr>
        <w:tc>
          <w:tcPr>
            <w:tcW w:w="2920" w:type="dxa"/>
            <w:vAlign w:val="bottom"/>
            <w:tcBorders>
              <w:left w:val="single" w:sz="8" w:color="auto"/>
            </w:tcBorders>
          </w:tcPr>
          <w:p>
            <w:pPr>
              <w:ind w:left="20"/>
              <w:spacing w:after="0" w:line="138" w:lineRule="exact"/>
              <w:rPr>
                <w:sz w:val="20"/>
                <w:szCs w:val="20"/>
                <w:color w:val="auto"/>
              </w:rPr>
            </w:pPr>
            <w:r>
              <w:rPr>
                <w:rFonts w:ascii="Arial" w:cs="Arial" w:eastAsia="Arial" w:hAnsi="Arial"/>
                <w:sz w:val="10"/>
                <w:szCs w:val="10"/>
                <w:color w:val="auto"/>
              </w:rPr>
              <w:t>Efficiency ratio</w:t>
            </w:r>
            <w:r>
              <w:rPr>
                <w:rFonts w:ascii="Arial" w:cs="Arial" w:eastAsia="Arial" w:hAnsi="Arial"/>
                <w:sz w:val="16"/>
                <w:szCs w:val="16"/>
                <w:color w:val="auto"/>
                <w:vertAlign w:val="superscript"/>
              </w:rPr>
              <w:t>(8)</w:t>
            </w:r>
          </w:p>
        </w:tc>
        <w:tc>
          <w:tcPr>
            <w:tcW w:w="1480" w:type="dxa"/>
            <w:vAlign w:val="bottom"/>
            <w:tcBorders>
              <w:right w:val="single" w:sz="8" w:color="auto"/>
            </w:tcBorders>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49.0%</w:t>
            </w:r>
          </w:p>
        </w:tc>
        <w:tc>
          <w:tcPr>
            <w:tcW w:w="920" w:type="dxa"/>
            <w:vAlign w:val="bottom"/>
          </w:tcPr>
          <w:p>
            <w:pPr>
              <w:jc w:val="center"/>
              <w:spacing w:after="0"/>
              <w:rPr>
                <w:sz w:val="20"/>
                <w:szCs w:val="20"/>
                <w:color w:val="auto"/>
              </w:rPr>
            </w:pPr>
            <w:r>
              <w:rPr>
                <w:rFonts w:ascii="Arial" w:cs="Arial" w:eastAsia="Arial" w:hAnsi="Arial"/>
                <w:sz w:val="11"/>
                <w:szCs w:val="11"/>
                <w:color w:val="auto"/>
              </w:rPr>
              <w:t>45.2%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49.2%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398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21 bps</w:t>
            </w:r>
          </w:p>
        </w:tc>
        <w:tc>
          <w:tcPr>
            <w:tcW w:w="800" w:type="dxa"/>
            <w:vAlign w:val="bottom"/>
          </w:tcPr>
          <w:p>
            <w:pPr>
              <w:jc w:val="center"/>
              <w:spacing w:after="0"/>
              <w:rPr>
                <w:sz w:val="20"/>
                <w:szCs w:val="20"/>
                <w:color w:val="auto"/>
              </w:rPr>
            </w:pPr>
            <w:r>
              <w:rPr>
                <w:rFonts w:ascii="Arial" w:cs="Arial" w:eastAsia="Arial" w:hAnsi="Arial"/>
                <w:sz w:val="11"/>
                <w:szCs w:val="11"/>
                <w:color w:val="auto"/>
              </w:rPr>
              <w:t>46.1%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45.8%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-30 bps</w:t>
            </w:r>
          </w:p>
        </w:tc>
        <w:tc>
          <w:tcPr>
            <w:tcW w:w="0" w:type="dxa"/>
            <w:vAlign w:val="bottom"/>
          </w:tcPr>
          <w:p>
            <w:pPr>
              <w:spacing w:after="0"/>
              <w:rPr>
                <w:sz w:val="1"/>
                <w:szCs w:val="1"/>
                <w:color w:val="auto"/>
              </w:rPr>
            </w:pPr>
          </w:p>
        </w:tc>
      </w:tr>
      <w:tr>
        <w:trPr>
          <w:trHeight w:val="139"/>
        </w:trPr>
        <w:tc>
          <w:tcPr>
            <w:tcW w:w="29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Operating expenses / Total average assets</w:t>
            </w:r>
          </w:p>
        </w:tc>
        <w:tc>
          <w:tcPr>
            <w:tcW w:w="14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4.0%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3.8%</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42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24 bps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3.7%</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3.9%</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18 bps</w:t>
            </w:r>
          </w:p>
        </w:tc>
        <w:tc>
          <w:tcPr>
            <w:tcW w:w="0" w:type="dxa"/>
            <w:vAlign w:val="bottom"/>
          </w:tcPr>
          <w:p>
            <w:pPr>
              <w:spacing w:after="0"/>
              <w:rPr>
                <w:sz w:val="1"/>
                <w:szCs w:val="1"/>
                <w:color w:val="auto"/>
              </w:rPr>
            </w:pPr>
          </w:p>
        </w:tc>
      </w:tr>
      <w:tr>
        <w:trPr>
          <w:trHeight w:val="109"/>
        </w:trPr>
        <w:tc>
          <w:tcPr>
            <w:tcW w:w="292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1"/>
                <w:szCs w:val="11"/>
                <w:b w:val="1"/>
                <w:bCs w:val="1"/>
                <w:color w:val="auto"/>
              </w:rPr>
              <w:t>Capital adequacy - BCP Stand-alone</w:t>
            </w:r>
          </w:p>
        </w:tc>
        <w:tc>
          <w:tcPr>
            <w:tcW w:w="14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Arial" w:cs="Arial" w:eastAsia="Arial" w:hAnsi="Arial"/>
                <w:sz w:val="10"/>
                <w:szCs w:val="10"/>
                <w:color w:val="auto"/>
              </w:rPr>
              <w:t>Global Capital Ratio</w:t>
            </w:r>
            <w:r>
              <w:rPr>
                <w:rFonts w:ascii="Arial" w:cs="Arial" w:eastAsia="Arial" w:hAnsi="Arial"/>
                <w:sz w:val="15"/>
                <w:szCs w:val="15"/>
                <w:color w:val="auto"/>
                <w:vertAlign w:val="superscript"/>
              </w:rPr>
              <w:t>(9)</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17.46%</w:t>
            </w:r>
          </w:p>
        </w:tc>
        <w:tc>
          <w:tcPr>
            <w:tcW w:w="920" w:type="dxa"/>
            <w:vAlign w:val="bottom"/>
          </w:tcPr>
          <w:p>
            <w:pPr>
              <w:jc w:val="center"/>
              <w:spacing w:after="0"/>
              <w:rPr>
                <w:sz w:val="20"/>
                <w:szCs w:val="20"/>
                <w:color w:val="auto"/>
              </w:rPr>
            </w:pPr>
            <w:r>
              <w:rPr>
                <w:rFonts w:ascii="Arial" w:cs="Arial" w:eastAsia="Arial" w:hAnsi="Arial"/>
                <w:sz w:val="11"/>
                <w:szCs w:val="11"/>
                <w:color w:val="auto"/>
              </w:rPr>
              <w:t>18.96%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18.71%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-25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125 bps</w:t>
            </w:r>
          </w:p>
        </w:tc>
        <w:tc>
          <w:tcPr>
            <w:tcW w:w="800" w:type="dxa"/>
            <w:vAlign w:val="bottom"/>
          </w:tcPr>
          <w:p>
            <w:pPr>
              <w:jc w:val="center"/>
              <w:spacing w:after="0"/>
              <w:rPr>
                <w:sz w:val="20"/>
                <w:szCs w:val="20"/>
                <w:color w:val="auto"/>
              </w:rPr>
            </w:pPr>
            <w:r>
              <w:rPr>
                <w:rFonts w:ascii="Arial" w:cs="Arial" w:eastAsia="Arial" w:hAnsi="Arial"/>
                <w:sz w:val="11"/>
                <w:szCs w:val="11"/>
                <w:color w:val="auto"/>
              </w:rPr>
              <w:t>17.46%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18.71%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125 bps</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Arial" w:cs="Arial" w:eastAsia="Arial" w:hAnsi="Arial"/>
                <w:sz w:val="10"/>
                <w:szCs w:val="10"/>
                <w:color w:val="auto"/>
              </w:rPr>
              <w:t>Ratio Tier 1</w:t>
            </w:r>
            <w:r>
              <w:rPr>
                <w:rFonts w:ascii="Arial" w:cs="Arial" w:eastAsia="Arial" w:hAnsi="Arial"/>
                <w:sz w:val="15"/>
                <w:szCs w:val="15"/>
                <w:color w:val="auto"/>
                <w:vertAlign w:val="superscript"/>
              </w:rPr>
              <w:t>(10)</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13.09%</w:t>
            </w:r>
          </w:p>
        </w:tc>
        <w:tc>
          <w:tcPr>
            <w:tcW w:w="920" w:type="dxa"/>
            <w:vAlign w:val="bottom"/>
          </w:tcPr>
          <w:p>
            <w:pPr>
              <w:jc w:val="center"/>
              <w:spacing w:after="0"/>
              <w:rPr>
                <w:sz w:val="20"/>
                <w:szCs w:val="20"/>
                <w:color w:val="auto"/>
              </w:rPr>
            </w:pPr>
            <w:r>
              <w:rPr>
                <w:rFonts w:ascii="Arial" w:cs="Arial" w:eastAsia="Arial" w:hAnsi="Arial"/>
                <w:sz w:val="11"/>
                <w:szCs w:val="11"/>
                <w:color w:val="auto"/>
              </w:rPr>
              <w:t>13.25%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13.08%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-17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 bps</w:t>
            </w:r>
          </w:p>
        </w:tc>
        <w:tc>
          <w:tcPr>
            <w:tcW w:w="800" w:type="dxa"/>
            <w:vAlign w:val="bottom"/>
          </w:tcPr>
          <w:p>
            <w:pPr>
              <w:jc w:val="center"/>
              <w:spacing w:after="0"/>
              <w:rPr>
                <w:sz w:val="20"/>
                <w:szCs w:val="20"/>
                <w:color w:val="auto"/>
              </w:rPr>
            </w:pPr>
            <w:r>
              <w:rPr>
                <w:rFonts w:ascii="Arial" w:cs="Arial" w:eastAsia="Arial" w:hAnsi="Arial"/>
                <w:sz w:val="11"/>
                <w:szCs w:val="11"/>
                <w:color w:val="auto"/>
              </w:rPr>
              <w:t>13.09%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13.08%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 bps</w:t>
            </w:r>
          </w:p>
        </w:tc>
        <w:tc>
          <w:tcPr>
            <w:tcW w:w="0" w:type="dxa"/>
            <w:vAlign w:val="bottom"/>
          </w:tcPr>
          <w:p>
            <w:pPr>
              <w:spacing w:after="0"/>
              <w:rPr>
                <w:sz w:val="1"/>
                <w:szCs w:val="1"/>
                <w:color w:val="auto"/>
              </w:rPr>
            </w:pPr>
          </w:p>
        </w:tc>
      </w:tr>
      <w:tr>
        <w:trPr>
          <w:trHeight w:val="146"/>
        </w:trPr>
        <w:tc>
          <w:tcPr>
            <w:tcW w:w="2920" w:type="dxa"/>
            <w:vAlign w:val="bottom"/>
            <w:tcBorders>
              <w:left w:val="single" w:sz="8" w:color="auto"/>
              <w:bottom w:val="single" w:sz="8" w:color="auto"/>
            </w:tcBorders>
          </w:tcPr>
          <w:p>
            <w:pPr>
              <w:ind w:left="20"/>
              <w:spacing w:after="0" w:line="146" w:lineRule="exact"/>
              <w:rPr>
                <w:sz w:val="20"/>
                <w:szCs w:val="20"/>
                <w:color w:val="auto"/>
              </w:rPr>
            </w:pPr>
            <w:r>
              <w:rPr>
                <w:rFonts w:ascii="Arial" w:cs="Arial" w:eastAsia="Arial" w:hAnsi="Arial"/>
                <w:sz w:val="10"/>
                <w:szCs w:val="10"/>
                <w:color w:val="auto"/>
              </w:rPr>
              <w:t>Ratio common equity tier 1</w:t>
            </w:r>
            <w:r>
              <w:rPr>
                <w:rFonts w:ascii="Arial" w:cs="Arial" w:eastAsia="Arial" w:hAnsi="Arial"/>
                <w:sz w:val="16"/>
                <w:szCs w:val="16"/>
                <w:color w:val="auto"/>
                <w:vertAlign w:val="superscript"/>
              </w:rPr>
              <w:t>(11) (13)</w:t>
            </w:r>
          </w:p>
        </w:tc>
        <w:tc>
          <w:tcPr>
            <w:tcW w:w="14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13.20%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13.42%</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13.32%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-10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12 bps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13.20%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13.32%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12 bps</w:t>
            </w:r>
          </w:p>
        </w:tc>
        <w:tc>
          <w:tcPr>
            <w:tcW w:w="0" w:type="dxa"/>
            <w:vAlign w:val="bottom"/>
          </w:tcPr>
          <w:p>
            <w:pPr>
              <w:spacing w:after="0"/>
              <w:rPr>
                <w:sz w:val="1"/>
                <w:szCs w:val="1"/>
                <w:color w:val="auto"/>
              </w:rPr>
            </w:pPr>
          </w:p>
        </w:tc>
      </w:tr>
      <w:tr>
        <w:trPr>
          <w:trHeight w:val="109"/>
        </w:trPr>
        <w:tc>
          <w:tcPr>
            <w:tcW w:w="292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1"/>
                <w:szCs w:val="11"/>
                <w:b w:val="1"/>
                <w:bCs w:val="1"/>
                <w:color w:val="auto"/>
              </w:rPr>
              <w:t>Capital adequacy - Mibanco</w:t>
            </w:r>
          </w:p>
        </w:tc>
        <w:tc>
          <w:tcPr>
            <w:tcW w:w="148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Arial" w:cs="Arial" w:eastAsia="Arial" w:hAnsi="Arial"/>
                <w:sz w:val="10"/>
                <w:szCs w:val="10"/>
                <w:color w:val="auto"/>
              </w:rPr>
              <w:t>Global Capital Ratio</w:t>
            </w:r>
            <w:r>
              <w:rPr>
                <w:rFonts w:ascii="Arial" w:cs="Arial" w:eastAsia="Arial" w:hAnsi="Arial"/>
                <w:sz w:val="15"/>
                <w:szCs w:val="15"/>
                <w:color w:val="auto"/>
                <w:vertAlign w:val="superscript"/>
              </w:rPr>
              <w:t>(9)</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20.65%</w:t>
            </w:r>
          </w:p>
        </w:tc>
        <w:tc>
          <w:tcPr>
            <w:tcW w:w="920" w:type="dxa"/>
            <w:vAlign w:val="bottom"/>
          </w:tcPr>
          <w:p>
            <w:pPr>
              <w:jc w:val="center"/>
              <w:spacing w:after="0"/>
              <w:rPr>
                <w:sz w:val="20"/>
                <w:szCs w:val="20"/>
                <w:color w:val="auto"/>
              </w:rPr>
            </w:pPr>
            <w:r>
              <w:rPr>
                <w:rFonts w:ascii="Arial" w:cs="Arial" w:eastAsia="Arial" w:hAnsi="Arial"/>
                <w:sz w:val="11"/>
                <w:szCs w:val="11"/>
                <w:color w:val="auto"/>
              </w:rPr>
              <w:t>20.22%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19.42%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-80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-123 bps</w:t>
            </w:r>
          </w:p>
        </w:tc>
        <w:tc>
          <w:tcPr>
            <w:tcW w:w="800" w:type="dxa"/>
            <w:vAlign w:val="bottom"/>
          </w:tcPr>
          <w:p>
            <w:pPr>
              <w:jc w:val="center"/>
              <w:spacing w:after="0"/>
              <w:rPr>
                <w:sz w:val="20"/>
                <w:szCs w:val="20"/>
                <w:color w:val="auto"/>
              </w:rPr>
            </w:pPr>
            <w:r>
              <w:rPr>
                <w:rFonts w:ascii="Arial" w:cs="Arial" w:eastAsia="Arial" w:hAnsi="Arial"/>
                <w:sz w:val="11"/>
                <w:szCs w:val="11"/>
                <w:color w:val="auto"/>
              </w:rPr>
              <w:t>20.65%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19.42%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-123 bps</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tcBorders>
          </w:tcPr>
          <w:p>
            <w:pPr>
              <w:ind w:left="20"/>
              <w:spacing w:after="0" w:line="131" w:lineRule="exact"/>
              <w:rPr>
                <w:sz w:val="20"/>
                <w:szCs w:val="20"/>
                <w:color w:val="auto"/>
              </w:rPr>
            </w:pPr>
            <w:r>
              <w:rPr>
                <w:rFonts w:ascii="Arial" w:cs="Arial" w:eastAsia="Arial" w:hAnsi="Arial"/>
                <w:sz w:val="10"/>
                <w:szCs w:val="10"/>
                <w:color w:val="auto"/>
              </w:rPr>
              <w:t>Ratio Tier 1</w:t>
            </w:r>
            <w:r>
              <w:rPr>
                <w:rFonts w:ascii="Arial" w:cs="Arial" w:eastAsia="Arial" w:hAnsi="Arial"/>
                <w:sz w:val="15"/>
                <w:szCs w:val="15"/>
                <w:color w:val="auto"/>
                <w:vertAlign w:val="superscript"/>
              </w:rPr>
              <w:t>(10)</w:t>
            </w:r>
          </w:p>
        </w:tc>
        <w:tc>
          <w:tcPr>
            <w:tcW w:w="1480" w:type="dxa"/>
            <w:vAlign w:val="bottom"/>
            <w:tcBorders>
              <w:right w:val="single" w:sz="8" w:color="auto"/>
            </w:tcBorders>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rPr>
              <w:t>18.26%</w:t>
            </w:r>
          </w:p>
        </w:tc>
        <w:tc>
          <w:tcPr>
            <w:tcW w:w="920" w:type="dxa"/>
            <w:vAlign w:val="bottom"/>
          </w:tcPr>
          <w:p>
            <w:pPr>
              <w:jc w:val="center"/>
              <w:spacing w:after="0"/>
              <w:rPr>
                <w:sz w:val="20"/>
                <w:szCs w:val="20"/>
                <w:color w:val="auto"/>
              </w:rPr>
            </w:pPr>
            <w:r>
              <w:rPr>
                <w:rFonts w:ascii="Arial" w:cs="Arial" w:eastAsia="Arial" w:hAnsi="Arial"/>
                <w:sz w:val="11"/>
                <w:szCs w:val="11"/>
                <w:color w:val="auto"/>
              </w:rPr>
              <w:t>17.85%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17.07%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-78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-119 bps</w:t>
            </w:r>
          </w:p>
        </w:tc>
        <w:tc>
          <w:tcPr>
            <w:tcW w:w="800" w:type="dxa"/>
            <w:vAlign w:val="bottom"/>
          </w:tcPr>
          <w:p>
            <w:pPr>
              <w:jc w:val="center"/>
              <w:spacing w:after="0"/>
              <w:rPr>
                <w:sz w:val="20"/>
                <w:szCs w:val="20"/>
                <w:color w:val="auto"/>
              </w:rPr>
            </w:pPr>
            <w:r>
              <w:rPr>
                <w:rFonts w:ascii="Arial" w:cs="Arial" w:eastAsia="Arial" w:hAnsi="Arial"/>
                <w:sz w:val="11"/>
                <w:szCs w:val="11"/>
                <w:color w:val="auto"/>
              </w:rPr>
              <w:t>18.26%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17.07%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-119 bps</w:t>
            </w:r>
          </w:p>
        </w:tc>
        <w:tc>
          <w:tcPr>
            <w:tcW w:w="0" w:type="dxa"/>
            <w:vAlign w:val="bottom"/>
          </w:tcPr>
          <w:p>
            <w:pPr>
              <w:spacing w:after="0"/>
              <w:rPr>
                <w:sz w:val="1"/>
                <w:szCs w:val="1"/>
                <w:color w:val="auto"/>
              </w:rPr>
            </w:pPr>
          </w:p>
        </w:tc>
      </w:tr>
      <w:tr>
        <w:trPr>
          <w:trHeight w:val="146"/>
        </w:trPr>
        <w:tc>
          <w:tcPr>
            <w:tcW w:w="2920" w:type="dxa"/>
            <w:vAlign w:val="bottom"/>
            <w:tcBorders>
              <w:left w:val="single" w:sz="8" w:color="auto"/>
              <w:bottom w:val="single" w:sz="8" w:color="auto"/>
            </w:tcBorders>
          </w:tcPr>
          <w:p>
            <w:pPr>
              <w:ind w:left="20"/>
              <w:spacing w:after="0" w:line="146" w:lineRule="exact"/>
              <w:rPr>
                <w:sz w:val="20"/>
                <w:szCs w:val="20"/>
                <w:color w:val="auto"/>
              </w:rPr>
            </w:pPr>
            <w:r>
              <w:rPr>
                <w:rFonts w:ascii="Arial" w:cs="Arial" w:eastAsia="Arial" w:hAnsi="Arial"/>
                <w:sz w:val="10"/>
                <w:szCs w:val="10"/>
                <w:color w:val="auto"/>
              </w:rPr>
              <w:t>Ratio common equity tier 1</w:t>
            </w:r>
            <w:r>
              <w:rPr>
                <w:rFonts w:ascii="Arial" w:cs="Arial" w:eastAsia="Arial" w:hAnsi="Arial"/>
                <w:sz w:val="16"/>
                <w:szCs w:val="16"/>
                <w:color w:val="auto"/>
                <w:vertAlign w:val="superscript"/>
              </w:rPr>
              <w:t>(11) (13)</w:t>
            </w:r>
          </w:p>
        </w:tc>
        <w:tc>
          <w:tcPr>
            <w:tcW w:w="14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18.37%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18.35%</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17.53%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-83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-84 bps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18.37%</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17.53%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-84 bps</w:t>
            </w:r>
          </w:p>
        </w:tc>
        <w:tc>
          <w:tcPr>
            <w:tcW w:w="0" w:type="dxa"/>
            <w:vAlign w:val="bottom"/>
          </w:tcPr>
          <w:p>
            <w:pPr>
              <w:spacing w:after="0"/>
              <w:rPr>
                <w:sz w:val="1"/>
                <w:szCs w:val="1"/>
                <w:color w:val="auto"/>
              </w:rPr>
            </w:pPr>
          </w:p>
        </w:tc>
      </w:tr>
      <w:tr>
        <w:trPr>
          <w:trHeight w:val="124"/>
        </w:trPr>
        <w:tc>
          <w:tcPr>
            <w:tcW w:w="2920" w:type="dxa"/>
            <w:vAlign w:val="bottom"/>
            <w:tcBorders>
              <w:left w:val="single" w:sz="8" w:color="auto"/>
              <w:bottom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Employees</w:t>
            </w:r>
          </w:p>
        </w:tc>
        <w:tc>
          <w:tcPr>
            <w:tcW w:w="148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36,947</w:t>
            </w:r>
          </w:p>
        </w:tc>
        <w:tc>
          <w:tcPr>
            <w:tcW w:w="92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38,642</w:t>
            </w:r>
          </w:p>
        </w:tc>
        <w:tc>
          <w:tcPr>
            <w:tcW w:w="94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38,676</w:t>
            </w:r>
          </w:p>
        </w:tc>
        <w:tc>
          <w:tcPr>
            <w:tcW w:w="78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0.1%</w:t>
            </w:r>
          </w:p>
        </w:tc>
        <w:tc>
          <w:tcPr>
            <w:tcW w:w="82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4.7%</w:t>
            </w:r>
          </w:p>
        </w:tc>
        <w:tc>
          <w:tcPr>
            <w:tcW w:w="800" w:type="dxa"/>
            <w:vAlign w:val="bottom"/>
            <w:tcBorders>
              <w:bottom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36,947</w:t>
            </w:r>
          </w:p>
        </w:tc>
        <w:tc>
          <w:tcPr>
            <w:tcW w:w="86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38,676</w:t>
            </w:r>
          </w:p>
        </w:tc>
        <w:tc>
          <w:tcPr>
            <w:tcW w:w="820" w:type="dxa"/>
            <w:vAlign w:val="bottom"/>
            <w:tcBorders>
              <w:bottom w:val="single" w:sz="8" w:color="auto"/>
              <w:right w:val="single" w:sz="8" w:color="auto"/>
            </w:tcBorders>
          </w:tcPr>
          <w:p>
            <w:pPr>
              <w:jc w:val="center"/>
              <w:spacing w:after="0" w:line="125" w:lineRule="exact"/>
              <w:rPr>
                <w:sz w:val="20"/>
                <w:szCs w:val="20"/>
                <w:color w:val="auto"/>
              </w:rPr>
            </w:pPr>
            <w:r>
              <w:rPr>
                <w:rFonts w:ascii="Calibri" w:cs="Calibri" w:eastAsia="Calibri" w:hAnsi="Calibri"/>
                <w:sz w:val="11"/>
                <w:szCs w:val="11"/>
                <w:color w:val="auto"/>
              </w:rPr>
              <w:t>470.0%</w:t>
            </w:r>
          </w:p>
        </w:tc>
        <w:tc>
          <w:tcPr>
            <w:tcW w:w="0" w:type="dxa"/>
            <w:vAlign w:val="bottom"/>
          </w:tcPr>
          <w:p>
            <w:pPr>
              <w:spacing w:after="0"/>
              <w:rPr>
                <w:sz w:val="1"/>
                <w:szCs w:val="1"/>
                <w:color w:val="auto"/>
              </w:rPr>
            </w:pPr>
          </w:p>
        </w:tc>
      </w:tr>
      <w:tr>
        <w:trPr>
          <w:trHeight w:val="116"/>
        </w:trPr>
        <w:tc>
          <w:tcPr>
            <w:tcW w:w="2920" w:type="dxa"/>
            <w:vAlign w:val="bottom"/>
            <w:tcBorders>
              <w:left w:val="single" w:sz="8" w:color="auto"/>
            </w:tcBorders>
          </w:tcPr>
          <w:p>
            <w:pPr>
              <w:ind w:left="20"/>
              <w:spacing w:after="0" w:line="116" w:lineRule="exact"/>
              <w:rPr>
                <w:sz w:val="20"/>
                <w:szCs w:val="20"/>
                <w:color w:val="auto"/>
              </w:rPr>
            </w:pPr>
            <w:r>
              <w:rPr>
                <w:rFonts w:ascii="Arial" w:cs="Arial" w:eastAsia="Arial" w:hAnsi="Arial"/>
                <w:sz w:val="11"/>
                <w:szCs w:val="11"/>
                <w:b w:val="1"/>
                <w:bCs w:val="1"/>
                <w:color w:val="auto"/>
              </w:rPr>
              <w:t>Share Information</w:t>
            </w:r>
          </w:p>
        </w:tc>
        <w:tc>
          <w:tcPr>
            <w:tcW w:w="1480" w:type="dxa"/>
            <w:vAlign w:val="bottom"/>
            <w:tcBorders>
              <w:right w:val="single" w:sz="8" w:color="auto"/>
            </w:tcBorders>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Calibri" w:cs="Calibri" w:eastAsia="Calibri" w:hAnsi="Calibri"/>
                <w:sz w:val="11"/>
                <w:szCs w:val="11"/>
                <w:color w:val="auto"/>
              </w:rPr>
              <w:t>94,382</w:t>
            </w:r>
          </w:p>
        </w:tc>
        <w:tc>
          <w:tcPr>
            <w:tcW w:w="920" w:type="dxa"/>
            <w:vAlign w:val="bottom"/>
            <w:vMerge w:val="restart"/>
          </w:tcPr>
          <w:p>
            <w:pPr>
              <w:jc w:val="center"/>
              <w:spacing w:after="0"/>
              <w:rPr>
                <w:sz w:val="20"/>
                <w:szCs w:val="20"/>
                <w:color w:val="auto"/>
              </w:rPr>
            </w:pPr>
            <w:r>
              <w:rPr>
                <w:rFonts w:ascii="Calibri" w:cs="Calibri" w:eastAsia="Calibri" w:hAnsi="Calibri"/>
                <w:sz w:val="11"/>
                <w:szCs w:val="11"/>
                <w:color w:val="auto"/>
              </w:rPr>
              <w:t>94,382</w:t>
            </w:r>
          </w:p>
        </w:tc>
        <w:tc>
          <w:tcPr>
            <w:tcW w:w="9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94,382</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0.0%</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0.0%</w:t>
            </w:r>
          </w:p>
        </w:tc>
        <w:tc>
          <w:tcPr>
            <w:tcW w:w="800" w:type="dxa"/>
            <w:vAlign w:val="bottom"/>
            <w:vMerge w:val="restart"/>
          </w:tcPr>
          <w:p>
            <w:pPr>
              <w:jc w:val="center"/>
              <w:spacing w:after="0"/>
              <w:rPr>
                <w:sz w:val="20"/>
                <w:szCs w:val="20"/>
                <w:color w:val="auto"/>
              </w:rPr>
            </w:pPr>
            <w:r>
              <w:rPr>
                <w:rFonts w:ascii="Calibri" w:cs="Calibri" w:eastAsia="Calibri" w:hAnsi="Calibri"/>
                <w:sz w:val="11"/>
                <w:szCs w:val="11"/>
                <w:color w:val="auto"/>
              </w:rPr>
              <w:t>94,382</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94,382</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1"/>
                <w:szCs w:val="11"/>
                <w:color w:val="auto"/>
              </w:rPr>
              <w:t>0.0%</w:t>
            </w:r>
          </w:p>
        </w:tc>
        <w:tc>
          <w:tcPr>
            <w:tcW w:w="0" w:type="dxa"/>
            <w:vAlign w:val="bottom"/>
          </w:tcPr>
          <w:p>
            <w:pPr>
              <w:spacing w:after="0"/>
              <w:rPr>
                <w:sz w:val="1"/>
                <w:szCs w:val="1"/>
                <w:color w:val="auto"/>
              </w:rPr>
            </w:pPr>
          </w:p>
        </w:tc>
      </w:tr>
      <w:tr>
        <w:trPr>
          <w:trHeight w:val="124"/>
        </w:trPr>
        <w:tc>
          <w:tcPr>
            <w:tcW w:w="292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Issued Shares</w:t>
            </w:r>
          </w:p>
        </w:tc>
        <w:tc>
          <w:tcPr>
            <w:tcW w:w="1480" w:type="dxa"/>
            <w:vAlign w:val="bottom"/>
            <w:tcBorders>
              <w:righ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920" w:type="dxa"/>
            <w:vAlign w:val="bottom"/>
            <w:tcBorders>
              <w:left w:val="single" w:sz="8" w:color="auto"/>
            </w:tcBorders>
          </w:tcPr>
          <w:p>
            <w:pPr>
              <w:ind w:left="20"/>
              <w:spacing w:after="0" w:line="147" w:lineRule="exact"/>
              <w:rPr>
                <w:sz w:val="20"/>
                <w:szCs w:val="20"/>
                <w:color w:val="auto"/>
              </w:rPr>
            </w:pPr>
            <w:r>
              <w:rPr>
                <w:rFonts w:ascii="Arial" w:cs="Arial" w:eastAsia="Arial" w:hAnsi="Arial"/>
                <w:sz w:val="10"/>
                <w:szCs w:val="10"/>
                <w:color w:val="auto"/>
              </w:rPr>
              <w:t>Treasury Shares</w:t>
            </w:r>
            <w:r>
              <w:rPr>
                <w:rFonts w:ascii="Arial" w:cs="Arial" w:eastAsia="Arial" w:hAnsi="Arial"/>
                <w:sz w:val="16"/>
                <w:szCs w:val="16"/>
                <w:color w:val="auto"/>
                <w:vertAlign w:val="superscript"/>
              </w:rPr>
              <w:t>(12)</w:t>
            </w:r>
          </w:p>
        </w:tc>
        <w:tc>
          <w:tcPr>
            <w:tcW w:w="1480" w:type="dxa"/>
            <w:vAlign w:val="bottom"/>
            <w:tcBorders>
              <w:right w:val="single" w:sz="8" w:color="auto"/>
            </w:tcBorders>
          </w:tcPr>
          <w:p>
            <w:pPr>
              <w:spacing w:after="0"/>
              <w:rPr>
                <w:sz w:val="12"/>
                <w:szCs w:val="12"/>
                <w:color w:val="auto"/>
              </w:rPr>
            </w:pPr>
          </w:p>
        </w:tc>
        <w:tc>
          <w:tcPr>
            <w:tcW w:w="900" w:type="dxa"/>
            <w:vAlign w:val="bottom"/>
          </w:tcPr>
          <w:p>
            <w:pPr>
              <w:jc w:val="center"/>
              <w:spacing w:after="0"/>
              <w:rPr>
                <w:sz w:val="20"/>
                <w:szCs w:val="20"/>
                <w:color w:val="auto"/>
              </w:rPr>
            </w:pPr>
            <w:r>
              <w:rPr>
                <w:rFonts w:ascii="Calibri" w:cs="Calibri" w:eastAsia="Calibri" w:hAnsi="Calibri"/>
                <w:sz w:val="11"/>
                <w:szCs w:val="11"/>
                <w:color w:val="auto"/>
              </w:rPr>
              <w:t>14,886</w:t>
            </w:r>
          </w:p>
        </w:tc>
        <w:tc>
          <w:tcPr>
            <w:tcW w:w="920" w:type="dxa"/>
            <w:vAlign w:val="bottom"/>
          </w:tcPr>
          <w:p>
            <w:pPr>
              <w:jc w:val="center"/>
              <w:spacing w:after="0"/>
              <w:rPr>
                <w:sz w:val="20"/>
                <w:szCs w:val="20"/>
                <w:color w:val="auto"/>
              </w:rPr>
            </w:pPr>
            <w:r>
              <w:rPr>
                <w:rFonts w:ascii="Calibri" w:cs="Calibri" w:eastAsia="Calibri" w:hAnsi="Calibri"/>
                <w:sz w:val="11"/>
                <w:szCs w:val="11"/>
                <w:color w:val="auto"/>
              </w:rPr>
              <w:t>14,948</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14,948</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0.0%</w:t>
            </w:r>
          </w:p>
        </w:tc>
        <w:tc>
          <w:tcPr>
            <w:tcW w:w="8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0.4%</w:t>
            </w:r>
          </w:p>
        </w:tc>
        <w:tc>
          <w:tcPr>
            <w:tcW w:w="800" w:type="dxa"/>
            <w:vAlign w:val="bottom"/>
          </w:tcPr>
          <w:p>
            <w:pPr>
              <w:jc w:val="center"/>
              <w:spacing w:after="0"/>
              <w:rPr>
                <w:sz w:val="20"/>
                <w:szCs w:val="20"/>
                <w:color w:val="auto"/>
              </w:rPr>
            </w:pPr>
            <w:r>
              <w:rPr>
                <w:rFonts w:ascii="Calibri" w:cs="Calibri" w:eastAsia="Calibri" w:hAnsi="Calibri"/>
                <w:sz w:val="11"/>
                <w:szCs w:val="11"/>
                <w:color w:val="auto"/>
              </w:rPr>
              <w:t>14,886</w:t>
            </w:r>
          </w:p>
        </w:tc>
        <w:tc>
          <w:tcPr>
            <w:tcW w:w="8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14,948</w:t>
            </w:r>
          </w:p>
        </w:tc>
        <w:tc>
          <w:tcPr>
            <w:tcW w:w="82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0.4%</w:t>
            </w:r>
          </w:p>
        </w:tc>
        <w:tc>
          <w:tcPr>
            <w:tcW w:w="0" w:type="dxa"/>
            <w:vAlign w:val="bottom"/>
          </w:tcPr>
          <w:p>
            <w:pPr>
              <w:spacing w:after="0"/>
              <w:rPr>
                <w:sz w:val="1"/>
                <w:szCs w:val="1"/>
                <w:color w:val="auto"/>
              </w:rPr>
            </w:pPr>
          </w:p>
        </w:tc>
      </w:tr>
      <w:tr>
        <w:trPr>
          <w:trHeight w:val="131"/>
        </w:trPr>
        <w:tc>
          <w:tcPr>
            <w:tcW w:w="29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Outstanding Shares</w:t>
            </w:r>
          </w:p>
        </w:tc>
        <w:tc>
          <w:tcPr>
            <w:tcW w:w="14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79,496</w:t>
            </w:r>
          </w:p>
        </w:tc>
        <w:tc>
          <w:tcPr>
            <w:tcW w:w="920" w:type="dxa"/>
            <w:vAlign w:val="bottom"/>
            <w:tcBorders>
              <w:bottom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79,434</w:t>
            </w:r>
          </w:p>
        </w:tc>
        <w:tc>
          <w:tcPr>
            <w:tcW w:w="940" w:type="dxa"/>
            <w:vAlign w:val="bottom"/>
            <w:tcBorders>
              <w:bottom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79,434</w:t>
            </w:r>
          </w:p>
        </w:tc>
        <w:tc>
          <w:tcPr>
            <w:tcW w:w="780" w:type="dxa"/>
            <w:vAlign w:val="bottom"/>
            <w:tcBorders>
              <w:bottom w:val="single" w:sz="8" w:color="auto"/>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0.0%</w:t>
            </w:r>
          </w:p>
        </w:tc>
        <w:tc>
          <w:tcPr>
            <w:tcW w:w="820" w:type="dxa"/>
            <w:vAlign w:val="bottom"/>
            <w:tcBorders>
              <w:bottom w:val="single" w:sz="8" w:color="auto"/>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-0.1%</w:t>
            </w:r>
          </w:p>
        </w:tc>
        <w:tc>
          <w:tcPr>
            <w:tcW w:w="800" w:type="dxa"/>
            <w:vAlign w:val="bottom"/>
            <w:tcBorders>
              <w:bottom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79,496</w:t>
            </w:r>
          </w:p>
        </w:tc>
        <w:tc>
          <w:tcPr>
            <w:tcW w:w="860" w:type="dxa"/>
            <w:vAlign w:val="bottom"/>
            <w:tcBorders>
              <w:bottom w:val="single" w:sz="8" w:color="auto"/>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79,434</w:t>
            </w:r>
          </w:p>
        </w:tc>
        <w:tc>
          <w:tcPr>
            <w:tcW w:w="820" w:type="dxa"/>
            <w:vAlign w:val="bottom"/>
            <w:tcBorders>
              <w:bottom w:val="single" w:sz="8" w:color="auto"/>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-4853940</wp:posOffset>
            </wp:positionV>
            <wp:extent cx="1016000" cy="141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148" w:lineRule="exact"/>
        <w:rPr>
          <w:sz w:val="20"/>
          <w:szCs w:val="20"/>
          <w:color w:val="auto"/>
        </w:rPr>
      </w:pPr>
    </w:p>
    <w:p>
      <w:pPr>
        <w:ind w:left="240" w:hanging="235"/>
        <w:spacing w:after="0"/>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Net Interest Margin = Net Interest Income (Excluding Net Insurance Financial Expenses) / Average Interest Earning Assets</w:t>
      </w:r>
    </w:p>
    <w:p>
      <w:pPr>
        <w:ind w:lef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Funding Cost = Interest Expense (Does not include Net Insurance Financial Expenses) / Average Funding</w:t>
      </w:r>
    </w:p>
    <w:p>
      <w:pPr>
        <w:ind w:lef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Internal Overdue Loans: includes overdue loans and loans under legal collecton, according to our internal policy for overdue loans. Internal Overdue Rato: Internal overdue loans / Total loans</w:t>
      </w:r>
    </w:p>
    <w:p>
      <w:pPr>
        <w:ind w:lef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Non-performing loans (NPL): Internal overdue loans + Refnanced loans. NPL rato: NPL / Total loans.</w:t>
      </w:r>
    </w:p>
    <w:p>
      <w:pPr>
        <w:ind w:lef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Cost of risk = Annualized provision for loan losses, net of recoveries / Total loans.</w:t>
      </w:r>
    </w:p>
    <w:p>
      <w:pPr>
        <w:ind w:left="240" w:righ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Operatng Income = Net interest, similar income and expenses + Fee Income+ Net gain on foreign exchange transactons + Net Gain From associates + Net gain on derivatves held for trading + Result on exchange diferences + Insurance Underwritng Result</w:t>
      </w:r>
    </w:p>
    <w:p>
      <w:pPr>
        <w:ind w:lef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Operatng Expenses = Salaries and employee benefts + Administratve expenses + Depreciaton and amortzaton + Associaton in partcipaton + Acquisiton cost.</w:t>
      </w:r>
    </w:p>
    <w:p>
      <w:pPr>
        <w:ind w:left="240" w:right="48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Efciency Rato = (Salaries and employee benefts + Administratve expenses + Depreciaton and amortzaton + Associaton in partcipaton) / (Net interest, similar income and expenses + Fee Income+ Net gain on foreign exchange transactons + Net Gain From associates + Net gain on derivatves held for trading + Result on exchange diferences + Insurance Underwritng Result)</w:t>
      </w:r>
    </w:p>
    <w:p>
      <w:pPr>
        <w:ind w:lef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Regulatory Capital / Risk-weighted assets (legal minimum = 10% since July 2011).</w:t>
      </w:r>
    </w:p>
    <w:p>
      <w:pPr>
        <w:ind w:lef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Tier 1 = Capital + Legal and other capital reserves + Accumulated earnings with capitalizaton agreement + (0.5 x Unrealized proft and net income in subsidiaries) - Goodwill - (0.5 x Investment in subsidiaries) + Perpetual subordinated debt (maximum amount that can be included is 17.65% of Capital + Reserves + Accumulated earnings with capitalizaton agreement + Unrealized proft and net income in subsidiaries - Goodwill).</w:t>
      </w:r>
    </w:p>
    <w:p>
      <w:pPr>
        <w:ind w:left="240" w:hanging="235"/>
        <w:spacing w:after="0" w:line="234" w:lineRule="auto"/>
        <w:tabs>
          <w:tab w:leader="none" w:pos="240" w:val="left"/>
        </w:tabs>
        <w:numPr>
          <w:ilvl w:val="0"/>
          <w:numId w:val="4"/>
        </w:numPr>
        <w:rPr>
          <w:rFonts w:ascii="Calibri" w:cs="Calibri" w:eastAsia="Calibri" w:hAnsi="Calibri"/>
          <w:sz w:val="11"/>
          <w:szCs w:val="11"/>
          <w:color w:val="auto"/>
        </w:rPr>
      </w:pPr>
      <w:r>
        <w:rPr>
          <w:rFonts w:ascii="Calibri" w:cs="Calibri" w:eastAsia="Calibri" w:hAnsi="Calibri"/>
          <w:sz w:val="11"/>
          <w:szCs w:val="11"/>
          <w:color w:val="auto"/>
        </w:rPr>
        <w:t>Common Equity Tier I = Capital + Reserves – 100% of applicable deductons (investment in subsidiaries, goodwill, intangibles and net deferred taxes that rely on future proftability) + retained earnings</w:t>
      </w:r>
    </w:p>
    <w:p>
      <w:pPr>
        <w:spacing w:after="0" w:line="234" w:lineRule="auto"/>
        <w:rPr>
          <w:sz w:val="20"/>
          <w:szCs w:val="20"/>
          <w:color w:val="auto"/>
        </w:rPr>
      </w:pPr>
      <w:r>
        <w:rPr>
          <w:rFonts w:ascii="Calibri" w:cs="Calibri" w:eastAsia="Calibri" w:hAnsi="Calibri"/>
          <w:sz w:val="11"/>
          <w:szCs w:val="11"/>
          <w:color w:val="auto"/>
        </w:rPr>
        <w:t>+ unrealized gains.</w:t>
      </w:r>
    </w:p>
    <w:p>
      <w:pPr>
        <w:ind w:left="240" w:hanging="235"/>
        <w:spacing w:after="0" w:line="235" w:lineRule="auto"/>
        <w:tabs>
          <w:tab w:leader="none" w:pos="24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Consider shares held by Atlantc Security Holding Corporaton (ASHC) and stock awards.</w:t>
      </w:r>
    </w:p>
    <w:p>
      <w:pPr>
        <w:ind w:left="240" w:hanging="235"/>
        <w:spacing w:after="0" w:line="234" w:lineRule="auto"/>
        <w:tabs>
          <w:tab w:leader="none" w:pos="240" w:val="left"/>
        </w:tabs>
        <w:numPr>
          <w:ilvl w:val="0"/>
          <w:numId w:val="5"/>
        </w:numPr>
        <w:rPr>
          <w:rFonts w:ascii="Calibri" w:cs="Calibri" w:eastAsia="Calibri" w:hAnsi="Calibri"/>
          <w:sz w:val="11"/>
          <w:szCs w:val="11"/>
          <w:color w:val="auto"/>
        </w:rPr>
      </w:pPr>
      <w:r>
        <w:rPr>
          <w:rFonts w:ascii="Calibri" w:cs="Calibri" w:eastAsia="Calibri" w:hAnsi="Calibri"/>
          <w:sz w:val="11"/>
          <w:szCs w:val="11"/>
          <w:color w:val="auto"/>
        </w:rPr>
        <w:t>Common Equity Tier I calculated based on IFRS Accountng</w:t>
      </w:r>
    </w:p>
    <w:p>
      <w:pPr>
        <w:spacing w:after="0" w:line="34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13613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Credicorp’s Strategy Update</w:t>
      </w:r>
    </w:p>
    <w:p>
      <w:pPr>
        <w:spacing w:after="0" w:line="198" w:lineRule="exact"/>
        <w:rPr>
          <w:sz w:val="20"/>
          <w:szCs w:val="20"/>
          <w:color w:val="auto"/>
        </w:rPr>
      </w:pPr>
    </w:p>
    <w:p>
      <w:pPr>
        <w:spacing w:after="0"/>
        <w:rPr>
          <w:sz w:val="20"/>
          <w:szCs w:val="20"/>
          <w:color w:val="auto"/>
        </w:rPr>
      </w:pPr>
      <w:r>
        <w:rPr>
          <w:rFonts w:ascii="Calibri" w:cs="Calibri" w:eastAsia="Calibri" w:hAnsi="Calibri"/>
          <w:sz w:val="31"/>
          <w:szCs w:val="31"/>
          <w:color w:val="E93BAC"/>
        </w:rPr>
        <w:t>Credicorp’s Strategy</w:t>
      </w:r>
    </w:p>
    <w:p>
      <w:pPr>
        <w:spacing w:after="0" w:line="98"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Credicorp contnues to execute its strategy by investng in technology to strengthen and consolidate its core businesses, while developing complimentary new disruptve initatves to fuel growth. Understanding current and projected market trends, Credicorp constantly reviews and optmizes its business agilely and with a self-disruptve mindset to maintain a compettve advantage and ensure sustainable growth. This allows us to generate new sources of income and capture market opportunites, as we leverage the expansion of our Total Adressable Market to decouple from the macroeconomic environment.</w:t>
      </w:r>
    </w:p>
    <w:p>
      <w:pPr>
        <w:spacing w:after="0" w:line="199"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Credicorp holds fast to its long-term objectves to ofer the best client experience; optmize efciency; and drive growth through technology. To achieve its objectves, all our businesses focus on three strategic priorites: (i) ensuring we have the best talent by ofering a comprehensive value propositon; (ii) acceleratng digital transformaton and innovaton; and (iii) integratng sustainability in our way of doing business.</w:t>
      </w:r>
    </w:p>
    <w:p>
      <w:pPr>
        <w:spacing w:after="0" w:line="198"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In 2024, Credicorp delivered solid proftability and consolidated its leadership as a result of the strength of its “decoupling” strategy, in a context of slow economic recovery and a cycle of credit deterioraton in the Peruvian fnancial system. We managed to decouple from economic and loan portolio performance, as a result of our income diversifcaton. We have boosted non-interest income through the digitalizaton of our core businesses complemented with our innovaton portolio. Thanks to our priority to understand our customers and advances in digitalizaton and innovaton, we have signifcantly improved transactonal actvity, interacton frequency, and the personalizaton level of our product and service oferings. This has increased our client satsfacton levels, as evidenced by the 5-point increase in our Net Promoter Score.</w:t>
      </w:r>
    </w:p>
    <w:p>
      <w:pPr>
        <w:spacing w:after="0" w:line="148"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Credicorp’s achievements in 2024 are set forth in the following table, where fgures show strong client experience and improvements in operatng efciency, as well as growth in digital clients and sales.</w:t>
      </w:r>
    </w:p>
    <w:p>
      <w:pPr>
        <w:spacing w:after="0" w:line="34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Main KPIs in Credicorp’s Strategy</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5720" w:type="dxa"/>
            <w:vAlign w:val="bottom"/>
            <w:tcBorders>
              <w:top w:val="single" w:sz="8" w:color="auto"/>
              <w:left w:val="single" w:sz="8" w:color="auto"/>
              <w:bottom w:val="single" w:sz="8" w:color="auto"/>
              <w:right w:val="single" w:sz="8" w:color="auto"/>
            </w:tcBorders>
            <w:shd w:val="clear" w:color="auto" w:fill="33CCCC"/>
          </w:tcPr>
          <w:p>
            <w:pPr>
              <w:ind w:left="20"/>
              <w:spacing w:after="0" w:line="223" w:lineRule="exact"/>
              <w:rPr>
                <w:sz w:val="20"/>
                <w:szCs w:val="20"/>
                <w:color w:val="auto"/>
              </w:rPr>
            </w:pPr>
            <w:r>
              <w:rPr>
                <w:rFonts w:ascii="Calibri" w:cs="Calibri" w:eastAsia="Calibri" w:hAnsi="Calibri"/>
                <w:sz w:val="15"/>
                <w:szCs w:val="15"/>
                <w:b w:val="1"/>
                <w:bCs w:val="1"/>
                <w:color w:val="FFFFFF"/>
              </w:rPr>
              <w:t xml:space="preserve">Transformaton of traditonal businesses </w:t>
            </w:r>
            <w:r>
              <w:rPr>
                <w:rFonts w:ascii="Calibri" w:cs="Calibri" w:eastAsia="Calibri" w:hAnsi="Calibri"/>
                <w:sz w:val="24"/>
                <w:szCs w:val="24"/>
                <w:b w:val="1"/>
                <w:bCs w:val="1"/>
                <w:color w:val="FFFFFF"/>
                <w:vertAlign w:val="superscript"/>
              </w:rPr>
              <w:t>(1)</w:t>
            </w:r>
          </w:p>
        </w:tc>
        <w:tc>
          <w:tcPr>
            <w:tcW w:w="1560" w:type="dxa"/>
            <w:vAlign w:val="bottom"/>
            <w:tcBorders>
              <w:top w:val="single" w:sz="8" w:color="auto"/>
              <w:bottom w:val="single" w:sz="8" w:color="auto"/>
              <w:right w:val="single" w:sz="8" w:color="auto"/>
            </w:tcBorders>
            <w:shd w:val="clear" w:color="auto" w:fill="33CCCC"/>
          </w:tcPr>
          <w:p>
            <w:pPr>
              <w:spacing w:after="0"/>
              <w:rPr>
                <w:sz w:val="20"/>
                <w:szCs w:val="20"/>
                <w:color w:val="auto"/>
              </w:rPr>
            </w:pPr>
            <w:r>
              <w:rPr>
                <w:rFonts w:ascii="Calibri" w:cs="Calibri" w:eastAsia="Calibri" w:hAnsi="Calibri"/>
                <w:sz w:val="17"/>
                <w:szCs w:val="17"/>
                <w:b w:val="1"/>
                <w:bCs w:val="1"/>
                <w:color w:val="FFFFFF"/>
              </w:rPr>
              <w:t>Subsidiary</w:t>
            </w:r>
          </w:p>
        </w:tc>
        <w:tc>
          <w:tcPr>
            <w:tcW w:w="130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i w:val="1"/>
                <w:iCs w:val="1"/>
                <w:color w:val="FFFFFF"/>
              </w:rPr>
              <w:t>4Q23</w:t>
            </w:r>
          </w:p>
        </w:tc>
        <w:tc>
          <w:tcPr>
            <w:tcW w:w="132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i w:val="1"/>
                <w:iCs w:val="1"/>
                <w:color w:val="FFFFFF"/>
              </w:rPr>
              <w:t>3Q24</w:t>
            </w:r>
          </w:p>
        </w:tc>
        <w:tc>
          <w:tcPr>
            <w:tcW w:w="134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i w:val="1"/>
                <w:iCs w:val="1"/>
                <w:color w:val="FFFFFF"/>
              </w:rPr>
              <w:t>4Q24</w:t>
            </w:r>
          </w:p>
        </w:tc>
      </w:tr>
      <w:tr>
        <w:trPr>
          <w:trHeight w:val="182"/>
        </w:trPr>
        <w:tc>
          <w:tcPr>
            <w:tcW w:w="5720" w:type="dxa"/>
            <w:vAlign w:val="bottom"/>
            <w:tcBorders>
              <w:left w:val="single" w:sz="8" w:color="auto"/>
              <w:right w:val="single" w:sz="8" w:color="auto"/>
            </w:tcBorders>
          </w:tcPr>
          <w:p>
            <w:pPr>
              <w:ind w:left="20"/>
              <w:spacing w:after="0" w:line="182" w:lineRule="exact"/>
              <w:rPr>
                <w:sz w:val="20"/>
                <w:szCs w:val="20"/>
                <w:color w:val="auto"/>
              </w:rPr>
            </w:pPr>
            <w:r>
              <w:rPr>
                <w:rFonts w:ascii="Calibri" w:cs="Calibri" w:eastAsia="Calibri" w:hAnsi="Calibri"/>
                <w:sz w:val="17"/>
                <w:szCs w:val="17"/>
                <w:b w:val="1"/>
                <w:bCs w:val="1"/>
                <w:color w:val="auto"/>
              </w:rPr>
              <w:t>Day-to-day</w:t>
            </w:r>
          </w:p>
        </w:tc>
        <w:tc>
          <w:tcPr>
            <w:tcW w:w="15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10"/>
        </w:trPr>
        <w:tc>
          <w:tcPr>
            <w:tcW w:w="5720" w:type="dxa"/>
            <w:vAlign w:val="bottom"/>
            <w:tcBorders>
              <w:left w:val="single" w:sz="8" w:color="auto"/>
              <w:right w:val="single" w:sz="8" w:color="auto"/>
            </w:tcBorders>
          </w:tcPr>
          <w:p>
            <w:pPr>
              <w:ind w:left="20"/>
              <w:spacing w:after="0" w:line="210" w:lineRule="exact"/>
              <w:rPr>
                <w:sz w:val="20"/>
                <w:szCs w:val="20"/>
                <w:color w:val="auto"/>
              </w:rPr>
            </w:pPr>
            <w:r>
              <w:rPr>
                <w:rFonts w:ascii="Calibri" w:cs="Calibri" w:eastAsia="Calibri" w:hAnsi="Calibri"/>
                <w:sz w:val="14"/>
                <w:szCs w:val="14"/>
                <w:color w:val="auto"/>
              </w:rPr>
              <w:t>Digital Clients</w:t>
            </w:r>
            <w:r>
              <w:rPr>
                <w:rFonts w:ascii="Calibri" w:cs="Calibri" w:eastAsia="Calibri" w:hAnsi="Calibri"/>
                <w:sz w:val="22"/>
                <w:szCs w:val="22"/>
                <w:color w:val="auto"/>
                <w:vertAlign w:val="superscript"/>
              </w:rPr>
              <w:t>(2)</w:t>
            </w:r>
          </w:p>
        </w:tc>
        <w:tc>
          <w:tcPr>
            <w:tcW w:w="1560" w:type="dxa"/>
            <w:vAlign w:val="bottom"/>
            <w:tcBorders>
              <w:right w:val="single" w:sz="8" w:color="auto"/>
            </w:tcBorders>
          </w:tcPr>
          <w:p>
            <w:pPr>
              <w:spacing w:after="0"/>
              <w:rPr>
                <w:sz w:val="20"/>
                <w:szCs w:val="20"/>
                <w:color w:val="auto"/>
              </w:rPr>
            </w:pPr>
            <w:r>
              <w:rPr>
                <w:rFonts w:ascii="Calibri" w:cs="Calibri" w:eastAsia="Calibri" w:hAnsi="Calibri"/>
                <w:sz w:val="17"/>
                <w:szCs w:val="17"/>
                <w:i w:val="1"/>
                <w:iCs w:val="1"/>
                <w:color w:val="auto"/>
              </w:rPr>
              <w:t>BCP</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68%</w:t>
            </w:r>
          </w:p>
        </w:tc>
        <w:tc>
          <w:tcPr>
            <w:tcW w:w="1320" w:type="dxa"/>
            <w:vAlign w:val="bottom"/>
          </w:tcPr>
          <w:p>
            <w:pPr>
              <w:jc w:val="center"/>
              <w:spacing w:after="0"/>
              <w:rPr>
                <w:sz w:val="20"/>
                <w:szCs w:val="20"/>
                <w:color w:val="auto"/>
              </w:rPr>
            </w:pPr>
            <w:r>
              <w:rPr>
                <w:rFonts w:ascii="Calibri" w:cs="Calibri" w:eastAsia="Calibri" w:hAnsi="Calibri"/>
                <w:sz w:val="17"/>
                <w:szCs w:val="17"/>
                <w:color w:val="auto"/>
              </w:rPr>
              <w:t>74%</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76%</w:t>
            </w:r>
          </w:p>
        </w:tc>
      </w:tr>
      <w:tr>
        <w:trPr>
          <w:trHeight w:val="210"/>
        </w:trPr>
        <w:tc>
          <w:tcPr>
            <w:tcW w:w="5720" w:type="dxa"/>
            <w:vAlign w:val="bottom"/>
            <w:tcBorders>
              <w:left w:val="single" w:sz="8" w:color="auto"/>
              <w:right w:val="single" w:sz="8" w:color="auto"/>
            </w:tcBorders>
          </w:tcPr>
          <w:p>
            <w:pPr>
              <w:ind w:left="20"/>
              <w:spacing w:after="0" w:line="210" w:lineRule="exact"/>
              <w:rPr>
                <w:sz w:val="20"/>
                <w:szCs w:val="20"/>
                <w:color w:val="auto"/>
              </w:rPr>
            </w:pPr>
            <w:r>
              <w:rPr>
                <w:rFonts w:ascii="Calibri" w:cs="Calibri" w:eastAsia="Calibri" w:hAnsi="Calibri"/>
                <w:sz w:val="14"/>
                <w:szCs w:val="14"/>
                <w:color w:val="auto"/>
              </w:rPr>
              <w:t xml:space="preserve">Digital monetary transactons </w:t>
            </w:r>
            <w:r>
              <w:rPr>
                <w:rFonts w:ascii="Calibri" w:cs="Calibri" w:eastAsia="Calibri" w:hAnsi="Calibri"/>
                <w:sz w:val="22"/>
                <w:szCs w:val="22"/>
                <w:color w:val="auto"/>
                <w:vertAlign w:val="superscript"/>
              </w:rPr>
              <w:t>(3)</w:t>
            </w:r>
          </w:p>
        </w:tc>
        <w:tc>
          <w:tcPr>
            <w:tcW w:w="1560" w:type="dxa"/>
            <w:vAlign w:val="bottom"/>
            <w:tcBorders>
              <w:right w:val="single" w:sz="8" w:color="auto"/>
            </w:tcBorders>
          </w:tcPr>
          <w:p>
            <w:pPr>
              <w:spacing w:after="0"/>
              <w:rPr>
                <w:sz w:val="20"/>
                <w:szCs w:val="20"/>
                <w:color w:val="auto"/>
              </w:rPr>
            </w:pPr>
            <w:r>
              <w:rPr>
                <w:rFonts w:ascii="Calibri" w:cs="Calibri" w:eastAsia="Calibri" w:hAnsi="Calibri"/>
                <w:sz w:val="17"/>
                <w:szCs w:val="17"/>
                <w:i w:val="1"/>
                <w:iCs w:val="1"/>
                <w:color w:val="auto"/>
              </w:rPr>
              <w:t>BCP</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80%</w:t>
            </w:r>
          </w:p>
        </w:tc>
        <w:tc>
          <w:tcPr>
            <w:tcW w:w="1320" w:type="dxa"/>
            <w:vAlign w:val="bottom"/>
          </w:tcPr>
          <w:p>
            <w:pPr>
              <w:jc w:val="center"/>
              <w:spacing w:after="0"/>
              <w:rPr>
                <w:sz w:val="20"/>
                <w:szCs w:val="20"/>
                <w:color w:val="auto"/>
              </w:rPr>
            </w:pPr>
            <w:r>
              <w:rPr>
                <w:rFonts w:ascii="Calibri" w:cs="Calibri" w:eastAsia="Calibri" w:hAnsi="Calibri"/>
                <w:sz w:val="17"/>
                <w:szCs w:val="17"/>
                <w:color w:val="auto"/>
              </w:rPr>
              <w:t>85%</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86%</w:t>
            </w:r>
          </w:p>
        </w:tc>
      </w:tr>
      <w:tr>
        <w:trPr>
          <w:trHeight w:val="207"/>
        </w:trPr>
        <w:tc>
          <w:tcPr>
            <w:tcW w:w="57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Transactonal cost by unit</w:t>
            </w:r>
          </w:p>
        </w:tc>
        <w:tc>
          <w:tcPr>
            <w:tcW w:w="1560" w:type="dxa"/>
            <w:vAlign w:val="bottom"/>
            <w:tcBorders>
              <w:right w:val="single" w:sz="8" w:color="auto"/>
            </w:tcBorders>
          </w:tcPr>
          <w:p>
            <w:pPr>
              <w:spacing w:after="0"/>
              <w:rPr>
                <w:sz w:val="20"/>
                <w:szCs w:val="20"/>
                <w:color w:val="auto"/>
              </w:rPr>
            </w:pPr>
            <w:r>
              <w:rPr>
                <w:rFonts w:ascii="Calibri" w:cs="Calibri" w:eastAsia="Calibri" w:hAnsi="Calibri"/>
                <w:sz w:val="17"/>
                <w:szCs w:val="17"/>
                <w:i w:val="1"/>
                <w:iCs w:val="1"/>
                <w:color w:val="auto"/>
              </w:rPr>
              <w:t>BCP</w:t>
            </w:r>
          </w:p>
        </w:tc>
        <w:tc>
          <w:tcPr>
            <w:tcW w:w="1300" w:type="dxa"/>
            <w:vAlign w:val="bottom"/>
          </w:tcPr>
          <w:p>
            <w:pPr>
              <w:jc w:val="center"/>
              <w:spacing w:after="0"/>
              <w:rPr>
                <w:sz w:val="20"/>
                <w:szCs w:val="20"/>
                <w:color w:val="auto"/>
              </w:rPr>
            </w:pPr>
            <w:r>
              <w:rPr>
                <w:rFonts w:ascii="Calibri" w:cs="Calibri" w:eastAsia="Calibri" w:hAnsi="Calibri"/>
                <w:sz w:val="17"/>
                <w:szCs w:val="17"/>
                <w:color w:val="auto"/>
                <w:w w:val="99"/>
              </w:rPr>
              <w:t>0.07</w:t>
            </w:r>
          </w:p>
        </w:tc>
        <w:tc>
          <w:tcPr>
            <w:tcW w:w="1320" w:type="dxa"/>
            <w:vAlign w:val="bottom"/>
          </w:tcPr>
          <w:p>
            <w:pPr>
              <w:jc w:val="center"/>
              <w:spacing w:after="0"/>
              <w:rPr>
                <w:sz w:val="20"/>
                <w:szCs w:val="20"/>
                <w:color w:val="auto"/>
              </w:rPr>
            </w:pPr>
            <w:r>
              <w:rPr>
                <w:rFonts w:ascii="Calibri" w:cs="Calibri" w:eastAsia="Calibri" w:hAnsi="Calibri"/>
                <w:sz w:val="17"/>
                <w:szCs w:val="17"/>
                <w:color w:val="auto"/>
                <w:w w:val="99"/>
              </w:rPr>
              <w:t>0.04</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0.04</w:t>
            </w:r>
          </w:p>
        </w:tc>
      </w:tr>
      <w:tr>
        <w:trPr>
          <w:trHeight w:val="213"/>
        </w:trPr>
        <w:tc>
          <w:tcPr>
            <w:tcW w:w="5720" w:type="dxa"/>
            <w:vAlign w:val="bottom"/>
            <w:tcBorders>
              <w:left w:val="single" w:sz="8" w:color="auto"/>
              <w:right w:val="single" w:sz="8" w:color="auto"/>
            </w:tcBorders>
          </w:tcPr>
          <w:p>
            <w:pPr>
              <w:ind w:left="20"/>
              <w:spacing w:after="0" w:line="212" w:lineRule="exact"/>
              <w:rPr>
                <w:sz w:val="20"/>
                <w:szCs w:val="20"/>
                <w:color w:val="auto"/>
              </w:rPr>
            </w:pPr>
            <w:r>
              <w:rPr>
                <w:rFonts w:ascii="Calibri" w:cs="Calibri" w:eastAsia="Calibri" w:hAnsi="Calibri"/>
                <w:sz w:val="15"/>
                <w:szCs w:val="15"/>
                <w:color w:val="auto"/>
              </w:rPr>
              <w:t xml:space="preserve">Disbursements through leads </w:t>
            </w:r>
            <w:r>
              <w:rPr>
                <w:rFonts w:ascii="Calibri" w:cs="Calibri" w:eastAsia="Calibri" w:hAnsi="Calibri"/>
                <w:sz w:val="23"/>
                <w:szCs w:val="23"/>
                <w:color w:val="auto"/>
                <w:vertAlign w:val="superscript"/>
              </w:rPr>
              <w:t>(4)</w:t>
            </w:r>
          </w:p>
        </w:tc>
        <w:tc>
          <w:tcPr>
            <w:tcW w:w="1560" w:type="dxa"/>
            <w:vAlign w:val="bottom"/>
            <w:tcBorders>
              <w:right w:val="single" w:sz="8" w:color="auto"/>
            </w:tcBorders>
          </w:tcPr>
          <w:p>
            <w:pPr>
              <w:spacing w:after="0"/>
              <w:rPr>
                <w:sz w:val="20"/>
                <w:szCs w:val="20"/>
                <w:color w:val="auto"/>
              </w:rPr>
            </w:pPr>
            <w:r>
              <w:rPr>
                <w:rFonts w:ascii="Calibri" w:cs="Calibri" w:eastAsia="Calibri" w:hAnsi="Calibri"/>
                <w:sz w:val="17"/>
                <w:szCs w:val="17"/>
                <w:i w:val="1"/>
                <w:iCs w:val="1"/>
                <w:color w:val="auto"/>
              </w:rPr>
              <w:t>Mibanco</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71%</w:t>
            </w:r>
          </w:p>
        </w:tc>
        <w:tc>
          <w:tcPr>
            <w:tcW w:w="1320" w:type="dxa"/>
            <w:vAlign w:val="bottom"/>
          </w:tcPr>
          <w:p>
            <w:pPr>
              <w:jc w:val="center"/>
              <w:spacing w:after="0"/>
              <w:rPr>
                <w:sz w:val="20"/>
                <w:szCs w:val="20"/>
                <w:color w:val="auto"/>
              </w:rPr>
            </w:pPr>
            <w:r>
              <w:rPr>
                <w:rFonts w:ascii="Calibri" w:cs="Calibri" w:eastAsia="Calibri" w:hAnsi="Calibri"/>
                <w:sz w:val="17"/>
                <w:szCs w:val="17"/>
                <w:color w:val="auto"/>
              </w:rPr>
              <w:t>66%</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65%</w:t>
            </w:r>
          </w:p>
        </w:tc>
      </w:tr>
      <w:tr>
        <w:trPr>
          <w:trHeight w:val="210"/>
        </w:trPr>
        <w:tc>
          <w:tcPr>
            <w:tcW w:w="5720" w:type="dxa"/>
            <w:vAlign w:val="bottom"/>
            <w:tcBorders>
              <w:left w:val="single" w:sz="8" w:color="auto"/>
              <w:right w:val="single" w:sz="8" w:color="auto"/>
            </w:tcBorders>
          </w:tcPr>
          <w:p>
            <w:pPr>
              <w:ind w:left="20"/>
              <w:spacing w:after="0" w:line="210" w:lineRule="exact"/>
              <w:rPr>
                <w:sz w:val="20"/>
                <w:szCs w:val="20"/>
                <w:color w:val="auto"/>
              </w:rPr>
            </w:pPr>
            <w:r>
              <w:rPr>
                <w:rFonts w:ascii="Calibri" w:cs="Calibri" w:eastAsia="Calibri" w:hAnsi="Calibri"/>
                <w:sz w:val="14"/>
                <w:szCs w:val="14"/>
                <w:color w:val="auto"/>
              </w:rPr>
              <w:t xml:space="preserve">Disbursements through alternatve channels </w:t>
            </w:r>
            <w:r>
              <w:rPr>
                <w:rFonts w:ascii="Calibri" w:cs="Calibri" w:eastAsia="Calibri" w:hAnsi="Calibri"/>
                <w:sz w:val="22"/>
                <w:szCs w:val="22"/>
                <w:color w:val="auto"/>
                <w:vertAlign w:val="superscript"/>
              </w:rPr>
              <w:t>(5)</w:t>
            </w:r>
          </w:p>
        </w:tc>
        <w:tc>
          <w:tcPr>
            <w:tcW w:w="1560" w:type="dxa"/>
            <w:vAlign w:val="bottom"/>
            <w:tcBorders>
              <w:right w:val="single" w:sz="8" w:color="auto"/>
            </w:tcBorders>
          </w:tcPr>
          <w:p>
            <w:pPr>
              <w:spacing w:after="0"/>
              <w:rPr>
                <w:sz w:val="20"/>
                <w:szCs w:val="20"/>
                <w:color w:val="auto"/>
              </w:rPr>
            </w:pPr>
            <w:r>
              <w:rPr>
                <w:rFonts w:ascii="Calibri" w:cs="Calibri" w:eastAsia="Calibri" w:hAnsi="Calibri"/>
                <w:sz w:val="17"/>
                <w:szCs w:val="17"/>
                <w:i w:val="1"/>
                <w:iCs w:val="1"/>
                <w:color w:val="auto"/>
              </w:rPr>
              <w:t>Mibanco</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13%</w:t>
            </w:r>
          </w:p>
        </w:tc>
        <w:tc>
          <w:tcPr>
            <w:tcW w:w="1320" w:type="dxa"/>
            <w:vAlign w:val="bottom"/>
          </w:tcPr>
          <w:p>
            <w:pPr>
              <w:jc w:val="center"/>
              <w:spacing w:after="0"/>
              <w:rPr>
                <w:sz w:val="20"/>
                <w:szCs w:val="20"/>
                <w:color w:val="auto"/>
              </w:rPr>
            </w:pPr>
            <w:r>
              <w:rPr>
                <w:rFonts w:ascii="Calibri" w:cs="Calibri" w:eastAsia="Calibri" w:hAnsi="Calibri"/>
                <w:sz w:val="17"/>
                <w:szCs w:val="17"/>
                <w:color w:val="auto"/>
              </w:rPr>
              <w:t>23%</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24%</w:t>
            </w:r>
          </w:p>
        </w:tc>
      </w:tr>
      <w:tr>
        <w:trPr>
          <w:trHeight w:val="231"/>
        </w:trPr>
        <w:tc>
          <w:tcPr>
            <w:tcW w:w="5720" w:type="dxa"/>
            <w:vAlign w:val="bottom"/>
            <w:tcBorders>
              <w:left w:val="single" w:sz="8" w:color="auto"/>
              <w:bottom w:val="single" w:sz="8" w:color="auto"/>
              <w:right w:val="single" w:sz="8" w:color="auto"/>
            </w:tcBorders>
          </w:tcPr>
          <w:p>
            <w:pPr>
              <w:ind w:left="20"/>
              <w:spacing w:after="0" w:line="231" w:lineRule="exact"/>
              <w:rPr>
                <w:sz w:val="20"/>
                <w:szCs w:val="20"/>
                <w:color w:val="auto"/>
              </w:rPr>
            </w:pPr>
            <w:r>
              <w:rPr>
                <w:rFonts w:ascii="Calibri" w:cs="Calibri" w:eastAsia="Calibri" w:hAnsi="Calibri"/>
                <w:sz w:val="16"/>
                <w:szCs w:val="16"/>
                <w:color w:val="auto"/>
              </w:rPr>
              <w:t xml:space="preserve">Mibanco Productvity </w:t>
            </w:r>
            <w:r>
              <w:rPr>
                <w:rFonts w:ascii="Calibri" w:cs="Calibri" w:eastAsia="Calibri" w:hAnsi="Calibri"/>
                <w:sz w:val="25"/>
                <w:szCs w:val="25"/>
                <w:color w:val="auto"/>
                <w:vertAlign w:val="superscript"/>
              </w:rPr>
              <w:t>(6)</w:t>
            </w:r>
          </w:p>
        </w:tc>
        <w:tc>
          <w:tcPr>
            <w:tcW w:w="15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7"/>
                <w:szCs w:val="17"/>
                <w:i w:val="1"/>
                <w:iCs w:val="1"/>
                <w:color w:val="auto"/>
              </w:rPr>
              <w:t>Mibanco</w:t>
            </w:r>
          </w:p>
        </w:tc>
        <w:tc>
          <w:tcPr>
            <w:tcW w:w="130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w w:val="99"/>
              </w:rPr>
              <w:t>21.6</w:t>
            </w:r>
          </w:p>
        </w:tc>
        <w:tc>
          <w:tcPr>
            <w:tcW w:w="132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w w:val="99"/>
              </w:rPr>
              <w:t>23.6</w:t>
            </w:r>
          </w:p>
        </w:tc>
        <w:tc>
          <w:tcPr>
            <w:tcW w:w="13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w w:val="99"/>
              </w:rPr>
              <w:t>24.5</w:t>
            </w:r>
          </w:p>
        </w:tc>
      </w:tr>
      <w:tr>
        <w:trPr>
          <w:trHeight w:val="182"/>
        </w:trPr>
        <w:tc>
          <w:tcPr>
            <w:tcW w:w="5720" w:type="dxa"/>
            <w:vAlign w:val="bottom"/>
            <w:tcBorders>
              <w:left w:val="single" w:sz="8" w:color="auto"/>
              <w:right w:val="single" w:sz="8" w:color="auto"/>
            </w:tcBorders>
          </w:tcPr>
          <w:p>
            <w:pPr>
              <w:ind w:left="20"/>
              <w:spacing w:after="0" w:line="182" w:lineRule="exact"/>
              <w:rPr>
                <w:sz w:val="20"/>
                <w:szCs w:val="20"/>
                <w:color w:val="auto"/>
              </w:rPr>
            </w:pPr>
            <w:r>
              <w:rPr>
                <w:rFonts w:ascii="Calibri" w:cs="Calibri" w:eastAsia="Calibri" w:hAnsi="Calibri"/>
                <w:sz w:val="17"/>
                <w:szCs w:val="17"/>
                <w:b w:val="1"/>
                <w:bCs w:val="1"/>
                <w:i w:val="1"/>
                <w:iCs w:val="1"/>
                <w:color w:val="auto"/>
              </w:rPr>
              <w:t>Cashless</w:t>
            </w:r>
          </w:p>
        </w:tc>
        <w:tc>
          <w:tcPr>
            <w:tcW w:w="15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10"/>
        </w:trPr>
        <w:tc>
          <w:tcPr>
            <w:tcW w:w="5720" w:type="dxa"/>
            <w:vAlign w:val="bottom"/>
            <w:tcBorders>
              <w:left w:val="single" w:sz="8" w:color="auto"/>
              <w:right w:val="single" w:sz="8" w:color="auto"/>
            </w:tcBorders>
          </w:tcPr>
          <w:p>
            <w:pPr>
              <w:ind w:left="20"/>
              <w:spacing w:after="0" w:line="210" w:lineRule="exact"/>
              <w:rPr>
                <w:sz w:val="20"/>
                <w:szCs w:val="20"/>
                <w:color w:val="auto"/>
              </w:rPr>
            </w:pPr>
            <w:r>
              <w:rPr>
                <w:rFonts w:ascii="Calibri" w:cs="Calibri" w:eastAsia="Calibri" w:hAnsi="Calibri"/>
                <w:sz w:val="14"/>
                <w:szCs w:val="14"/>
                <w:color w:val="auto"/>
              </w:rPr>
              <w:t>Cashless transactons</w:t>
            </w:r>
            <w:r>
              <w:rPr>
                <w:rFonts w:ascii="Calibri" w:cs="Calibri" w:eastAsia="Calibri" w:hAnsi="Calibri"/>
                <w:sz w:val="22"/>
                <w:szCs w:val="22"/>
                <w:color w:val="auto"/>
                <w:vertAlign w:val="superscript"/>
              </w:rPr>
              <w:t>(7)</w:t>
            </w:r>
          </w:p>
        </w:tc>
        <w:tc>
          <w:tcPr>
            <w:tcW w:w="1560" w:type="dxa"/>
            <w:vAlign w:val="bottom"/>
            <w:tcBorders>
              <w:right w:val="single" w:sz="8" w:color="auto"/>
            </w:tcBorders>
          </w:tcPr>
          <w:p>
            <w:pPr>
              <w:spacing w:after="0"/>
              <w:rPr>
                <w:sz w:val="20"/>
                <w:szCs w:val="20"/>
                <w:color w:val="auto"/>
              </w:rPr>
            </w:pPr>
            <w:r>
              <w:rPr>
                <w:rFonts w:ascii="Calibri" w:cs="Calibri" w:eastAsia="Calibri" w:hAnsi="Calibri"/>
                <w:sz w:val="17"/>
                <w:szCs w:val="17"/>
                <w:i w:val="1"/>
                <w:iCs w:val="1"/>
                <w:color w:val="auto"/>
              </w:rPr>
              <w:t>BCP</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60%</w:t>
            </w:r>
          </w:p>
        </w:tc>
        <w:tc>
          <w:tcPr>
            <w:tcW w:w="1320" w:type="dxa"/>
            <w:vAlign w:val="bottom"/>
          </w:tcPr>
          <w:p>
            <w:pPr>
              <w:jc w:val="center"/>
              <w:spacing w:after="0"/>
              <w:rPr>
                <w:sz w:val="20"/>
                <w:szCs w:val="20"/>
                <w:color w:val="auto"/>
              </w:rPr>
            </w:pPr>
            <w:r>
              <w:rPr>
                <w:rFonts w:ascii="Calibri" w:cs="Calibri" w:eastAsia="Calibri" w:hAnsi="Calibri"/>
                <w:sz w:val="17"/>
                <w:szCs w:val="17"/>
                <w:color w:val="auto"/>
              </w:rPr>
              <w:t>66%</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69%</w:t>
            </w:r>
          </w:p>
        </w:tc>
      </w:tr>
      <w:tr>
        <w:trPr>
          <w:trHeight w:val="207"/>
        </w:trPr>
        <w:tc>
          <w:tcPr>
            <w:tcW w:w="57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Mobile Banking ratng iOS</w:t>
            </w:r>
          </w:p>
        </w:tc>
        <w:tc>
          <w:tcPr>
            <w:tcW w:w="1560" w:type="dxa"/>
            <w:vAlign w:val="bottom"/>
            <w:tcBorders>
              <w:right w:val="single" w:sz="8" w:color="auto"/>
            </w:tcBorders>
          </w:tcPr>
          <w:p>
            <w:pPr>
              <w:spacing w:after="0"/>
              <w:rPr>
                <w:sz w:val="20"/>
                <w:szCs w:val="20"/>
                <w:color w:val="auto"/>
              </w:rPr>
            </w:pPr>
            <w:r>
              <w:rPr>
                <w:rFonts w:ascii="Calibri" w:cs="Calibri" w:eastAsia="Calibri" w:hAnsi="Calibri"/>
                <w:sz w:val="17"/>
                <w:szCs w:val="17"/>
                <w:i w:val="1"/>
                <w:iCs w:val="1"/>
                <w:color w:val="auto"/>
              </w:rPr>
              <w:t>BCP</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4.7</w:t>
            </w:r>
          </w:p>
        </w:tc>
        <w:tc>
          <w:tcPr>
            <w:tcW w:w="1320" w:type="dxa"/>
            <w:vAlign w:val="bottom"/>
          </w:tcPr>
          <w:p>
            <w:pPr>
              <w:jc w:val="center"/>
              <w:spacing w:after="0"/>
              <w:rPr>
                <w:sz w:val="20"/>
                <w:szCs w:val="20"/>
                <w:color w:val="auto"/>
              </w:rPr>
            </w:pPr>
            <w:r>
              <w:rPr>
                <w:rFonts w:ascii="Calibri" w:cs="Calibri" w:eastAsia="Calibri" w:hAnsi="Calibri"/>
                <w:sz w:val="17"/>
                <w:szCs w:val="17"/>
                <w:color w:val="auto"/>
              </w:rPr>
              <w:t>4.8</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4.8</w:t>
            </w:r>
          </w:p>
        </w:tc>
      </w:tr>
      <w:tr>
        <w:trPr>
          <w:trHeight w:val="210"/>
        </w:trPr>
        <w:tc>
          <w:tcPr>
            <w:tcW w:w="57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Mobile Banking ratng Android</w:t>
            </w:r>
          </w:p>
        </w:tc>
        <w:tc>
          <w:tcPr>
            <w:tcW w:w="1560" w:type="dxa"/>
            <w:vAlign w:val="bottom"/>
            <w:tcBorders>
              <w:right w:val="single" w:sz="8" w:color="auto"/>
            </w:tcBorders>
          </w:tcPr>
          <w:p>
            <w:pPr>
              <w:spacing w:after="0"/>
              <w:rPr>
                <w:sz w:val="20"/>
                <w:szCs w:val="20"/>
                <w:color w:val="auto"/>
              </w:rPr>
            </w:pPr>
            <w:r>
              <w:rPr>
                <w:rFonts w:ascii="Calibri" w:cs="Calibri" w:eastAsia="Calibri" w:hAnsi="Calibri"/>
                <w:sz w:val="17"/>
                <w:szCs w:val="17"/>
                <w:i w:val="1"/>
                <w:iCs w:val="1"/>
                <w:color w:val="auto"/>
              </w:rPr>
              <w:t>BCP</w:t>
            </w:r>
          </w:p>
        </w:tc>
        <w:tc>
          <w:tcPr>
            <w:tcW w:w="1300" w:type="dxa"/>
            <w:vAlign w:val="bottom"/>
          </w:tcPr>
          <w:p>
            <w:pPr>
              <w:jc w:val="center"/>
              <w:spacing w:after="0"/>
              <w:rPr>
                <w:sz w:val="20"/>
                <w:szCs w:val="20"/>
                <w:color w:val="auto"/>
              </w:rPr>
            </w:pPr>
            <w:r>
              <w:rPr>
                <w:rFonts w:ascii="Calibri" w:cs="Calibri" w:eastAsia="Calibri" w:hAnsi="Calibri"/>
                <w:sz w:val="17"/>
                <w:szCs w:val="17"/>
                <w:color w:val="auto"/>
              </w:rPr>
              <w:t>4.7</w:t>
            </w:r>
          </w:p>
        </w:tc>
        <w:tc>
          <w:tcPr>
            <w:tcW w:w="1320" w:type="dxa"/>
            <w:vAlign w:val="bottom"/>
          </w:tcPr>
          <w:p>
            <w:pPr>
              <w:jc w:val="center"/>
              <w:spacing w:after="0"/>
              <w:rPr>
                <w:sz w:val="20"/>
                <w:szCs w:val="20"/>
                <w:color w:val="auto"/>
              </w:rPr>
            </w:pPr>
            <w:r>
              <w:rPr>
                <w:rFonts w:ascii="Calibri" w:cs="Calibri" w:eastAsia="Calibri" w:hAnsi="Calibri"/>
                <w:sz w:val="17"/>
                <w:szCs w:val="17"/>
                <w:color w:val="auto"/>
              </w:rPr>
              <w:t>4.7</w:t>
            </w:r>
          </w:p>
        </w:tc>
        <w:tc>
          <w:tcPr>
            <w:tcW w:w="13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4.7</w:t>
            </w:r>
          </w:p>
        </w:tc>
      </w:tr>
      <w:tr>
        <w:trPr>
          <w:trHeight w:val="24"/>
        </w:trPr>
        <w:tc>
          <w:tcPr>
            <w:tcW w:w="572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182"/>
        </w:trPr>
        <w:tc>
          <w:tcPr>
            <w:tcW w:w="5720" w:type="dxa"/>
            <w:vAlign w:val="bottom"/>
            <w:tcBorders>
              <w:left w:val="single" w:sz="8" w:color="auto"/>
              <w:right w:val="single" w:sz="8" w:color="auto"/>
            </w:tcBorders>
          </w:tcPr>
          <w:p>
            <w:pPr>
              <w:ind w:left="20"/>
              <w:spacing w:after="0" w:line="182" w:lineRule="exact"/>
              <w:rPr>
                <w:sz w:val="20"/>
                <w:szCs w:val="20"/>
                <w:color w:val="auto"/>
              </w:rPr>
            </w:pPr>
            <w:r>
              <w:rPr>
                <w:rFonts w:ascii="Calibri" w:cs="Calibri" w:eastAsia="Calibri" w:hAnsi="Calibri"/>
                <w:sz w:val="17"/>
                <w:szCs w:val="17"/>
                <w:b w:val="1"/>
                <w:bCs w:val="1"/>
                <w:i w:val="1"/>
                <w:iCs w:val="1"/>
                <w:color w:val="auto"/>
              </w:rPr>
              <w:t>Digital Acquisiton</w:t>
            </w:r>
          </w:p>
        </w:tc>
        <w:tc>
          <w:tcPr>
            <w:tcW w:w="1560" w:type="dxa"/>
            <w:vAlign w:val="bottom"/>
            <w:tcBorders>
              <w:righ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31"/>
        </w:trPr>
        <w:tc>
          <w:tcPr>
            <w:tcW w:w="5720" w:type="dxa"/>
            <w:vAlign w:val="bottom"/>
            <w:tcBorders>
              <w:left w:val="single" w:sz="8" w:color="auto"/>
              <w:bottom w:val="single" w:sz="8" w:color="auto"/>
              <w:right w:val="single" w:sz="8" w:color="auto"/>
            </w:tcBorders>
          </w:tcPr>
          <w:p>
            <w:pPr>
              <w:ind w:left="20"/>
              <w:spacing w:after="0" w:line="231" w:lineRule="exact"/>
              <w:rPr>
                <w:sz w:val="20"/>
                <w:szCs w:val="20"/>
                <w:color w:val="auto"/>
              </w:rPr>
            </w:pPr>
            <w:r>
              <w:rPr>
                <w:rFonts w:ascii="Calibri" w:cs="Calibri" w:eastAsia="Calibri" w:hAnsi="Calibri"/>
                <w:sz w:val="16"/>
                <w:szCs w:val="16"/>
                <w:color w:val="auto"/>
              </w:rPr>
              <w:t xml:space="preserve">Digital sales </w:t>
            </w:r>
            <w:r>
              <w:rPr>
                <w:rFonts w:ascii="Calibri" w:cs="Calibri" w:eastAsia="Calibri" w:hAnsi="Calibri"/>
                <w:sz w:val="25"/>
                <w:szCs w:val="25"/>
                <w:color w:val="auto"/>
                <w:vertAlign w:val="superscript"/>
              </w:rPr>
              <w:t>(8)</w:t>
            </w:r>
          </w:p>
        </w:tc>
        <w:tc>
          <w:tcPr>
            <w:tcW w:w="15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7"/>
                <w:szCs w:val="17"/>
                <w:i w:val="1"/>
                <w:iCs w:val="1"/>
                <w:color w:val="auto"/>
              </w:rPr>
              <w:t>BCP</w:t>
            </w:r>
          </w:p>
        </w:tc>
        <w:tc>
          <w:tcPr>
            <w:tcW w:w="130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rPr>
              <w:t>58%</w:t>
            </w:r>
          </w:p>
        </w:tc>
        <w:tc>
          <w:tcPr>
            <w:tcW w:w="132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color w:val="auto"/>
              </w:rPr>
              <w:t>65%</w:t>
            </w:r>
          </w:p>
        </w:tc>
        <w:tc>
          <w:tcPr>
            <w:tcW w:w="13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7"/>
                <w:szCs w:val="17"/>
                <w:color w:val="auto"/>
              </w:rPr>
              <w:t>74%</w:t>
            </w:r>
          </w:p>
        </w:tc>
      </w:tr>
    </w:tbl>
    <w:p>
      <w:pPr>
        <w:spacing w:after="0" w:line="247" w:lineRule="exact"/>
        <w:rPr>
          <w:sz w:val="20"/>
          <w:szCs w:val="20"/>
          <w:color w:val="auto"/>
        </w:rPr>
      </w:pPr>
    </w:p>
    <w:p>
      <w:pPr>
        <w:ind w:left="240" w:hanging="235"/>
        <w:spacing w:after="0"/>
        <w:tabs>
          <w:tab w:leader="none" w:pos="24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Figures for December 2023, September 2024, and December 2024.</w:t>
      </w:r>
    </w:p>
    <w:p>
      <w:pPr>
        <w:ind w:left="240" w:hanging="235"/>
        <w:spacing w:after="0" w:line="234" w:lineRule="auto"/>
        <w:tabs>
          <w:tab w:leader="none" w:pos="24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Clients that made 70%, or more, of their transactons through digital channels in the last 6 months (includes Yape).</w:t>
      </w:r>
    </w:p>
    <w:p>
      <w:pPr>
        <w:ind w:left="240" w:hanging="235"/>
        <w:spacing w:after="0" w:line="234" w:lineRule="auto"/>
        <w:tabs>
          <w:tab w:leader="none" w:pos="24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Monetary Transactons conducted through Mobile Banking, Internet Banking, Yape and Telecredito/Total Monetary Transactons in Retail Banking.</w:t>
      </w:r>
    </w:p>
    <w:p>
      <w:pPr>
        <w:ind w:left="240" w:hanging="235"/>
        <w:spacing w:after="0" w:line="234" w:lineRule="auto"/>
        <w:tabs>
          <w:tab w:leader="none" w:pos="24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Disbursements generated through leads/Total disbursements.</w:t>
      </w:r>
    </w:p>
    <w:p>
      <w:pPr>
        <w:ind w:left="240" w:hanging="235"/>
        <w:spacing w:after="0" w:line="234" w:lineRule="auto"/>
        <w:tabs>
          <w:tab w:leader="none" w:pos="24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Disbursements conducted through alternatve channels/Total disbursements. Figures difer from previously reported due to a methodological change.</w:t>
      </w:r>
    </w:p>
    <w:p>
      <w:pPr>
        <w:ind w:left="240" w:hanging="235"/>
        <w:spacing w:after="0" w:line="234" w:lineRule="auto"/>
        <w:tabs>
          <w:tab w:leader="none" w:pos="24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Number of loans disbursed/Total relatonship managers.</w:t>
      </w:r>
    </w:p>
    <w:p>
      <w:pPr>
        <w:ind w:left="240" w:hanging="235"/>
        <w:spacing w:after="0" w:line="234" w:lineRule="auto"/>
        <w:tabs>
          <w:tab w:leader="none" w:pos="24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Amount transacted through Mobile Banking, Internet Banking, Yape y POS/Total amount transacted through Retail Banking. Figures difer from previously reported due to a methodological change.</w:t>
      </w:r>
    </w:p>
    <w:p>
      <w:pPr>
        <w:ind w:left="240" w:hanging="235"/>
        <w:spacing w:after="0" w:line="234" w:lineRule="auto"/>
        <w:tabs>
          <w:tab w:leader="none" w:pos="240" w:val="left"/>
        </w:tabs>
        <w:numPr>
          <w:ilvl w:val="0"/>
          <w:numId w:val="6"/>
        </w:numPr>
        <w:rPr>
          <w:rFonts w:ascii="Calibri" w:cs="Calibri" w:eastAsia="Calibri" w:hAnsi="Calibri"/>
          <w:sz w:val="11"/>
          <w:szCs w:val="11"/>
          <w:color w:val="auto"/>
        </w:rPr>
      </w:pPr>
      <w:r>
        <w:rPr>
          <w:rFonts w:ascii="Calibri" w:cs="Calibri" w:eastAsia="Calibri" w:hAnsi="Calibri"/>
          <w:sz w:val="11"/>
          <w:szCs w:val="11"/>
          <w:color w:val="auto"/>
        </w:rPr>
        <w:t>Units sold by Retail Banking through digital channels/Total number of units sold by Retail Banking.</w:t>
      </w:r>
    </w:p>
    <w:p>
      <w:pPr>
        <w:spacing w:after="0" w:line="3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 w:name="page15"/>
    <w:bookmarkEnd w:id="14"/>
    <w:p>
      <w:pPr>
        <w:jc w:val="both"/>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Credicorp’s Strategy Update</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Disruptve Initatves: Yape</w:t>
      </w:r>
    </w:p>
    <w:p>
      <w:pPr>
        <w:spacing w:after="0" w:line="121" w:lineRule="exact"/>
        <w:rPr>
          <w:sz w:val="20"/>
          <w:szCs w:val="20"/>
          <w:color w:val="auto"/>
        </w:rPr>
      </w:pPr>
    </w:p>
    <w:p>
      <w:pPr>
        <w:jc w:val="both"/>
        <w:ind w:right="440"/>
        <w:spacing w:after="0" w:line="242" w:lineRule="auto"/>
        <w:rPr>
          <w:sz w:val="20"/>
          <w:szCs w:val="20"/>
          <w:color w:val="auto"/>
        </w:rPr>
      </w:pPr>
      <w:r>
        <w:rPr>
          <w:rFonts w:ascii="Calibri" w:cs="Calibri" w:eastAsia="Calibri" w:hAnsi="Calibri"/>
          <w:sz w:val="17"/>
          <w:szCs w:val="17"/>
          <w:color w:val="auto"/>
        </w:rPr>
        <w:t>At the end of 2024, Yape hit the 13.7 million-user mark for monthly actve users (</w:t>
      </w:r>
      <w:r>
        <w:rPr>
          <w:rFonts w:ascii="Calibri" w:cs="Calibri" w:eastAsia="Calibri" w:hAnsi="Calibri"/>
          <w:sz w:val="17"/>
          <w:szCs w:val="17"/>
          <w:i w:val="1"/>
          <w:iCs w:val="1"/>
          <w:color w:val="auto"/>
        </w:rPr>
        <w:t>MAU</w:t>
      </w:r>
      <w:r>
        <w:rPr>
          <w:rFonts w:ascii="Calibri" w:cs="Calibri" w:eastAsia="Calibri" w:hAnsi="Calibri"/>
          <w:sz w:val="17"/>
          <w:szCs w:val="17"/>
          <w:color w:val="auto"/>
        </w:rPr>
        <w:t>). This number represents 69% of the economically actve populaton. Importantly, in 2024 Yape hit breakeven, and registered monthly revenue and expenses per actve yapero of S/6.5 and S/5.3, respectvely, with revenue generaton outpacing expenses, despite seasonal charges in 4Q24.</w:t>
      </w:r>
    </w:p>
    <w:p>
      <w:pPr>
        <w:spacing w:after="0" w:line="200" w:lineRule="exact"/>
        <w:rPr>
          <w:sz w:val="20"/>
          <w:szCs w:val="20"/>
          <w:color w:val="auto"/>
        </w:rPr>
      </w:pPr>
    </w:p>
    <w:p>
      <w:pPr>
        <w:jc w:val="both"/>
        <w:ind w:right="440"/>
        <w:spacing w:after="0" w:line="242" w:lineRule="auto"/>
        <w:rPr>
          <w:sz w:val="20"/>
          <w:szCs w:val="20"/>
          <w:color w:val="auto"/>
        </w:rPr>
      </w:pPr>
      <w:r>
        <w:rPr>
          <w:rFonts w:ascii="Calibri" w:cs="Calibri" w:eastAsia="Calibri" w:hAnsi="Calibri"/>
          <w:sz w:val="17"/>
          <w:szCs w:val="17"/>
          <w:color w:val="auto"/>
        </w:rPr>
        <w:t>Monthly transactons by MAU stood at 51.1 in 4Q24 (vs 44.1 QoQ), which atests to the app’s levels of usability and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Main KPI’s for Yape’s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Monthly evolution of revenue and expenses / MAU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66675</wp:posOffset>
            </wp:positionV>
            <wp:extent cx="2914650" cy="1673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14650" cy="1673860"/>
                    </a:xfrm>
                    <a:prstGeom prst="rect">
                      <a:avLst/>
                    </a:prstGeom>
                    <a:noFill/>
                  </pic:spPr>
                </pic:pic>
              </a:graphicData>
            </a:graphic>
          </wp:anchor>
        </w:drawing>
      </w:r>
    </w:p>
    <w:p>
      <w:pPr>
        <w:spacing w:after="0" w:line="3704" w:lineRule="exact"/>
        <w:rPr>
          <w:sz w:val="20"/>
          <w:szCs w:val="20"/>
          <w:color w:val="auto"/>
        </w:rPr>
      </w:pPr>
    </w:p>
    <w:p>
      <w:pPr>
        <w:sectPr>
          <w:pgSz w:w="11900" w:h="16838" w:orient="portrait"/>
          <w:cols w:equalWidth="0" w:num="2">
            <w:col w:w="5840" w:space="720"/>
            <w:col w:w="4680"/>
          </w:cols>
          <w:pgMar w:left="320" w:top="279" w:right="339" w:bottom="1440" w:gutter="0" w:footer="0" w:header="0"/>
          <w:type w:val="continuous"/>
        </w:sectPr>
      </w:pPr>
    </w:p>
    <w:p>
      <w:pPr>
        <w:spacing w:after="0" w:line="13"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354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Management KPIs</w:t>
            </w:r>
          </w:p>
        </w:tc>
        <w:tc>
          <w:tcPr>
            <w:tcW w:w="860" w:type="dxa"/>
            <w:vAlign w:val="bottom"/>
            <w:tcBorders>
              <w:top w:val="single" w:sz="8" w:color="auto"/>
            </w:tcBorders>
            <w:shd w:val="clear" w:color="auto" w:fill="33CCCC"/>
          </w:tcPr>
          <w:p>
            <w:pPr>
              <w:spacing w:after="0"/>
              <w:rPr>
                <w:sz w:val="13"/>
                <w:szCs w:val="13"/>
                <w:color w:val="auto"/>
              </w:rPr>
            </w:pPr>
          </w:p>
        </w:tc>
        <w:tc>
          <w:tcPr>
            <w:tcW w:w="90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2"/>
                <w:szCs w:val="12"/>
                <w:color w:val="FFFFFF"/>
              </w:rPr>
              <w:t>Quarter</w:t>
            </w:r>
          </w:p>
        </w:tc>
        <w:tc>
          <w:tcPr>
            <w:tcW w:w="880" w:type="dxa"/>
            <w:vAlign w:val="bottom"/>
            <w:tcBorders>
              <w:top w:val="single" w:sz="8" w:color="auto"/>
              <w:right w:val="single" w:sz="8" w:color="auto"/>
            </w:tcBorders>
            <w:shd w:val="clear" w:color="auto" w:fill="33CCCC"/>
          </w:tcPr>
          <w:p>
            <w:pPr>
              <w:spacing w:after="0"/>
              <w:rPr>
                <w:sz w:val="13"/>
                <w:szCs w:val="13"/>
                <w:color w:val="auto"/>
              </w:rPr>
            </w:pPr>
          </w:p>
        </w:tc>
        <w:tc>
          <w:tcPr>
            <w:tcW w:w="620" w:type="dxa"/>
            <w:vAlign w:val="bottom"/>
            <w:tcBorders>
              <w:top w:val="single" w:sz="8" w:color="auto"/>
            </w:tcBorders>
            <w:shd w:val="clear" w:color="auto" w:fill="33CCCC"/>
          </w:tcPr>
          <w:p>
            <w:pPr>
              <w:spacing w:after="0"/>
              <w:rPr>
                <w:sz w:val="13"/>
                <w:szCs w:val="13"/>
                <w:color w:val="auto"/>
              </w:rPr>
            </w:pPr>
          </w:p>
        </w:tc>
        <w:tc>
          <w:tcPr>
            <w:tcW w:w="118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Change %</w:t>
            </w:r>
          </w:p>
        </w:tc>
        <w:tc>
          <w:tcPr>
            <w:tcW w:w="680" w:type="dxa"/>
            <w:vAlign w:val="bottom"/>
            <w:tcBorders>
              <w:top w:val="single" w:sz="8" w:color="auto"/>
            </w:tcBorders>
            <w:shd w:val="clear" w:color="auto" w:fill="33CCCC"/>
          </w:tcPr>
          <w:p>
            <w:pPr>
              <w:spacing w:after="0"/>
              <w:rPr>
                <w:sz w:val="13"/>
                <w:szCs w:val="13"/>
                <w:color w:val="auto"/>
              </w:rPr>
            </w:pPr>
          </w:p>
        </w:tc>
        <w:tc>
          <w:tcPr>
            <w:tcW w:w="1120" w:type="dxa"/>
            <w:vAlign w:val="bottom"/>
            <w:tcBorders>
              <w:top w:val="single" w:sz="8" w:color="auto"/>
              <w:right w:val="single" w:sz="8" w:color="auto"/>
            </w:tcBorders>
            <w:shd w:val="clear" w:color="auto" w:fill="33CCCC"/>
          </w:tcPr>
          <w:p>
            <w:pPr>
              <w:ind w:left="60"/>
              <w:spacing w:after="0"/>
              <w:rPr>
                <w:sz w:val="20"/>
                <w:szCs w:val="20"/>
                <w:color w:val="auto"/>
              </w:rPr>
            </w:pPr>
            <w:r>
              <w:rPr>
                <w:rFonts w:ascii="Calibri" w:cs="Calibri" w:eastAsia="Calibri" w:hAnsi="Calibri"/>
                <w:sz w:val="12"/>
                <w:szCs w:val="12"/>
                <w:b w:val="1"/>
                <w:bCs w:val="1"/>
                <w:color w:val="FFFFFF"/>
              </w:rPr>
              <w:t>Up to</w:t>
            </w:r>
          </w:p>
        </w:tc>
        <w:tc>
          <w:tcPr>
            <w:tcW w:w="14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w w:val="99"/>
              </w:rPr>
              <w:t>Change %</w:t>
            </w:r>
          </w:p>
        </w:tc>
      </w:tr>
      <w:tr>
        <w:trPr>
          <w:trHeight w:val="144"/>
        </w:trPr>
        <w:tc>
          <w:tcPr>
            <w:tcW w:w="354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860" w:type="dxa"/>
            <w:vAlign w:val="bottom"/>
            <w:tcBorders>
              <w:bottom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4Q23</w:t>
            </w:r>
          </w:p>
        </w:tc>
        <w:tc>
          <w:tcPr>
            <w:tcW w:w="900" w:type="dxa"/>
            <w:vAlign w:val="bottom"/>
            <w:tcBorders>
              <w:bottom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3Q24</w:t>
            </w:r>
          </w:p>
        </w:tc>
        <w:tc>
          <w:tcPr>
            <w:tcW w:w="88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4Q24</w:t>
            </w:r>
          </w:p>
        </w:tc>
        <w:tc>
          <w:tcPr>
            <w:tcW w:w="620" w:type="dxa"/>
            <w:vAlign w:val="bottom"/>
            <w:tcBorders>
              <w:bottom w:val="single" w:sz="8" w:color="auto"/>
            </w:tcBorders>
            <w:shd w:val="clear" w:color="auto" w:fill="33CCCC"/>
          </w:tcPr>
          <w:p>
            <w:pPr>
              <w:ind w:left="340"/>
              <w:spacing w:after="0" w:line="145" w:lineRule="exact"/>
              <w:rPr>
                <w:sz w:val="20"/>
                <w:szCs w:val="20"/>
                <w:color w:val="auto"/>
              </w:rPr>
            </w:pPr>
            <w:r>
              <w:rPr>
                <w:rFonts w:ascii="Calibri" w:cs="Calibri" w:eastAsia="Calibri" w:hAnsi="Calibri"/>
                <w:sz w:val="12"/>
                <w:szCs w:val="12"/>
                <w:b w:val="1"/>
                <w:bCs w:val="1"/>
                <w:color w:val="FFFFFF"/>
              </w:rPr>
              <w:t>QoQ</w:t>
            </w:r>
          </w:p>
        </w:tc>
        <w:tc>
          <w:tcPr>
            <w:tcW w:w="1180" w:type="dxa"/>
            <w:vAlign w:val="bottom"/>
            <w:tcBorders>
              <w:bottom w:val="single" w:sz="8" w:color="auto"/>
              <w:right w:val="single" w:sz="8" w:color="auto"/>
            </w:tcBorders>
            <w:shd w:val="clear" w:color="auto" w:fill="33CCCC"/>
          </w:tcPr>
          <w:p>
            <w:pPr>
              <w:ind w:left="620"/>
              <w:spacing w:after="0" w:line="145" w:lineRule="exact"/>
              <w:rPr>
                <w:sz w:val="20"/>
                <w:szCs w:val="20"/>
                <w:color w:val="auto"/>
              </w:rPr>
            </w:pPr>
            <w:r>
              <w:rPr>
                <w:rFonts w:ascii="Calibri" w:cs="Calibri" w:eastAsia="Calibri" w:hAnsi="Calibri"/>
                <w:sz w:val="12"/>
                <w:szCs w:val="12"/>
                <w:b w:val="1"/>
                <w:bCs w:val="1"/>
                <w:color w:val="FFFFFF"/>
              </w:rPr>
              <w:t>YoY</w:t>
            </w:r>
          </w:p>
        </w:tc>
        <w:tc>
          <w:tcPr>
            <w:tcW w:w="680" w:type="dxa"/>
            <w:vAlign w:val="bottom"/>
            <w:tcBorders>
              <w:bottom w:val="single" w:sz="8" w:color="auto"/>
            </w:tcBorders>
            <w:shd w:val="clear" w:color="auto" w:fill="33CCCC"/>
          </w:tcPr>
          <w:p>
            <w:pPr>
              <w:ind w:left="280"/>
              <w:spacing w:after="0" w:line="145" w:lineRule="exact"/>
              <w:rPr>
                <w:sz w:val="20"/>
                <w:szCs w:val="20"/>
                <w:color w:val="auto"/>
              </w:rPr>
            </w:pPr>
            <w:r>
              <w:rPr>
                <w:rFonts w:ascii="Calibri" w:cs="Calibri" w:eastAsia="Calibri" w:hAnsi="Calibri"/>
                <w:sz w:val="12"/>
                <w:szCs w:val="12"/>
                <w:b w:val="1"/>
                <w:bCs w:val="1"/>
                <w:color w:val="FFFFFF"/>
              </w:rPr>
              <w:t>Dec 23</w:t>
            </w:r>
          </w:p>
        </w:tc>
        <w:tc>
          <w:tcPr>
            <w:tcW w:w="1120" w:type="dxa"/>
            <w:vAlign w:val="bottom"/>
            <w:tcBorders>
              <w:bottom w:val="single" w:sz="8" w:color="auto"/>
              <w:right w:val="single" w:sz="8" w:color="auto"/>
            </w:tcBorders>
            <w:shd w:val="clear" w:color="auto" w:fill="33CCCC"/>
          </w:tcPr>
          <w:p>
            <w:pPr>
              <w:ind w:left="480"/>
              <w:spacing w:after="0" w:line="145" w:lineRule="exact"/>
              <w:rPr>
                <w:sz w:val="20"/>
                <w:szCs w:val="20"/>
                <w:color w:val="auto"/>
              </w:rPr>
            </w:pPr>
            <w:r>
              <w:rPr>
                <w:rFonts w:ascii="Calibri" w:cs="Calibri" w:eastAsia="Calibri" w:hAnsi="Calibri"/>
                <w:sz w:val="12"/>
                <w:szCs w:val="12"/>
                <w:b w:val="1"/>
                <w:bCs w:val="1"/>
                <w:color w:val="FFFFFF"/>
              </w:rPr>
              <w:t>Dec 24</w:t>
            </w:r>
          </w:p>
        </w:tc>
        <w:tc>
          <w:tcPr>
            <w:tcW w:w="146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Dec 24 / Dec 23</w:t>
            </w:r>
          </w:p>
        </w:tc>
      </w:tr>
      <w:tr>
        <w:trPr>
          <w:trHeight w:val="127"/>
        </w:trPr>
        <w:tc>
          <w:tcPr>
            <w:tcW w:w="3540" w:type="dxa"/>
            <w:vAlign w:val="bottom"/>
            <w:tcBorders>
              <w:left w:val="single" w:sz="8" w:color="auto"/>
              <w:right w:val="single" w:sz="8" w:color="auto"/>
            </w:tcBorders>
          </w:tcPr>
          <w:p>
            <w:pPr>
              <w:ind w:left="20"/>
              <w:spacing w:after="0" w:line="127" w:lineRule="exact"/>
              <w:rPr>
                <w:sz w:val="20"/>
                <w:szCs w:val="20"/>
                <w:color w:val="auto"/>
              </w:rPr>
            </w:pPr>
            <w:r>
              <w:rPr>
                <w:rFonts w:ascii="Calibri" w:cs="Calibri" w:eastAsia="Calibri" w:hAnsi="Calibri"/>
                <w:sz w:val="12"/>
                <w:szCs w:val="12"/>
                <w:b w:val="1"/>
                <w:bCs w:val="1"/>
                <w:i w:val="1"/>
                <w:iCs w:val="1"/>
                <w:color w:val="auto"/>
              </w:rPr>
              <w:t>Users</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37"/>
        </w:trPr>
        <w:tc>
          <w:tcPr>
            <w:tcW w:w="3540" w:type="dxa"/>
            <w:vAlign w:val="bottom"/>
            <w:tcBorders>
              <w:left w:val="single" w:sz="8" w:color="auto"/>
              <w:right w:val="single" w:sz="8" w:color="auto"/>
            </w:tcBorders>
          </w:tcPr>
          <w:p>
            <w:pPr>
              <w:ind w:left="20"/>
              <w:spacing w:after="0" w:line="138" w:lineRule="exact"/>
              <w:rPr>
                <w:sz w:val="20"/>
                <w:szCs w:val="20"/>
                <w:color w:val="auto"/>
              </w:rPr>
            </w:pPr>
            <w:r>
              <w:rPr>
                <w:rFonts w:ascii="Calibri" w:cs="Calibri" w:eastAsia="Calibri" w:hAnsi="Calibri"/>
                <w:sz w:val="12"/>
                <w:szCs w:val="12"/>
                <w:color w:val="auto"/>
              </w:rPr>
              <w:t>Users (millions)</w:t>
            </w:r>
          </w:p>
        </w:tc>
        <w:tc>
          <w:tcPr>
            <w:tcW w:w="860" w:type="dxa"/>
            <w:vAlign w:val="bottom"/>
          </w:tcPr>
          <w:p>
            <w:pPr>
              <w:jc w:val="center"/>
              <w:spacing w:after="0" w:line="138" w:lineRule="exact"/>
              <w:rPr>
                <w:sz w:val="20"/>
                <w:szCs w:val="20"/>
                <w:color w:val="auto"/>
              </w:rPr>
            </w:pPr>
            <w:r>
              <w:rPr>
                <w:rFonts w:ascii="Calibri" w:cs="Calibri" w:eastAsia="Calibri" w:hAnsi="Calibri"/>
                <w:sz w:val="12"/>
                <w:szCs w:val="12"/>
                <w:color w:val="auto"/>
              </w:rPr>
              <w:t>14.2</w:t>
            </w:r>
          </w:p>
        </w:tc>
        <w:tc>
          <w:tcPr>
            <w:tcW w:w="900" w:type="dxa"/>
            <w:vAlign w:val="bottom"/>
          </w:tcPr>
          <w:p>
            <w:pPr>
              <w:jc w:val="center"/>
              <w:spacing w:after="0" w:line="138" w:lineRule="exact"/>
              <w:rPr>
                <w:sz w:val="20"/>
                <w:szCs w:val="20"/>
                <w:color w:val="auto"/>
              </w:rPr>
            </w:pPr>
            <w:r>
              <w:rPr>
                <w:rFonts w:ascii="Calibri" w:cs="Calibri" w:eastAsia="Calibri" w:hAnsi="Calibri"/>
                <w:sz w:val="12"/>
                <w:szCs w:val="12"/>
                <w:color w:val="auto"/>
              </w:rPr>
              <w:t>16.6</w:t>
            </w:r>
          </w:p>
        </w:tc>
        <w:tc>
          <w:tcPr>
            <w:tcW w:w="88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17.3</w:t>
            </w:r>
          </w:p>
        </w:tc>
        <w:tc>
          <w:tcPr>
            <w:tcW w:w="620" w:type="dxa"/>
            <w:vAlign w:val="bottom"/>
          </w:tcPr>
          <w:p>
            <w:pPr>
              <w:jc w:val="center"/>
              <w:ind w:left="199"/>
              <w:spacing w:after="0" w:line="138" w:lineRule="exact"/>
              <w:rPr>
                <w:sz w:val="20"/>
                <w:szCs w:val="20"/>
                <w:color w:val="auto"/>
              </w:rPr>
            </w:pPr>
            <w:r>
              <w:rPr>
                <w:rFonts w:ascii="Calibri" w:cs="Calibri" w:eastAsia="Calibri" w:hAnsi="Calibri"/>
                <w:sz w:val="12"/>
                <w:szCs w:val="12"/>
                <w:color w:val="auto"/>
              </w:rPr>
              <w:t>4.2%</w:t>
            </w:r>
          </w:p>
        </w:tc>
        <w:tc>
          <w:tcPr>
            <w:tcW w:w="1180" w:type="dxa"/>
            <w:vAlign w:val="bottom"/>
            <w:tcBorders>
              <w:right w:val="single" w:sz="8" w:color="auto"/>
            </w:tcBorders>
          </w:tcPr>
          <w:p>
            <w:pPr>
              <w:jc w:val="center"/>
              <w:ind w:left="199"/>
              <w:spacing w:after="0" w:line="138" w:lineRule="exact"/>
              <w:rPr>
                <w:sz w:val="20"/>
                <w:szCs w:val="20"/>
                <w:color w:val="auto"/>
              </w:rPr>
            </w:pPr>
            <w:r>
              <w:rPr>
                <w:rFonts w:ascii="Calibri" w:cs="Calibri" w:eastAsia="Calibri" w:hAnsi="Calibri"/>
                <w:sz w:val="12"/>
                <w:szCs w:val="12"/>
                <w:color w:val="auto"/>
              </w:rPr>
              <w:t>21.6%</w:t>
            </w:r>
          </w:p>
        </w:tc>
        <w:tc>
          <w:tcPr>
            <w:tcW w:w="680" w:type="dxa"/>
            <w:vAlign w:val="bottom"/>
          </w:tcPr>
          <w:p>
            <w:pPr>
              <w:jc w:val="center"/>
              <w:ind w:left="159"/>
              <w:spacing w:after="0" w:line="138" w:lineRule="exact"/>
              <w:rPr>
                <w:sz w:val="20"/>
                <w:szCs w:val="20"/>
                <w:color w:val="auto"/>
              </w:rPr>
            </w:pPr>
            <w:r>
              <w:rPr>
                <w:rFonts w:ascii="Calibri" w:cs="Calibri" w:eastAsia="Calibri" w:hAnsi="Calibri"/>
                <w:sz w:val="12"/>
                <w:szCs w:val="12"/>
                <w:color w:val="auto"/>
              </w:rPr>
              <w:t>14.2</w:t>
            </w:r>
          </w:p>
        </w:tc>
        <w:tc>
          <w:tcPr>
            <w:tcW w:w="1120" w:type="dxa"/>
            <w:vAlign w:val="bottom"/>
            <w:tcBorders>
              <w:right w:val="single" w:sz="8" w:color="auto"/>
            </w:tcBorders>
          </w:tcPr>
          <w:p>
            <w:pPr>
              <w:jc w:val="center"/>
              <w:ind w:left="119"/>
              <w:spacing w:after="0" w:line="138" w:lineRule="exact"/>
              <w:rPr>
                <w:sz w:val="20"/>
                <w:szCs w:val="20"/>
                <w:color w:val="auto"/>
              </w:rPr>
            </w:pPr>
            <w:r>
              <w:rPr>
                <w:rFonts w:ascii="Calibri" w:cs="Calibri" w:eastAsia="Calibri" w:hAnsi="Calibri"/>
                <w:sz w:val="12"/>
                <w:szCs w:val="12"/>
                <w:color w:val="auto"/>
              </w:rPr>
              <w:t>17.3</w:t>
            </w:r>
          </w:p>
        </w:tc>
        <w:tc>
          <w:tcPr>
            <w:tcW w:w="146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21.6%</w:t>
            </w:r>
          </w:p>
        </w:tc>
      </w:tr>
      <w:tr>
        <w:trPr>
          <w:trHeight w:val="151"/>
        </w:trPr>
        <w:tc>
          <w:tcPr>
            <w:tcW w:w="3540" w:type="dxa"/>
            <w:vAlign w:val="bottom"/>
            <w:tcBorders>
              <w:left w:val="single" w:sz="8" w:color="auto"/>
              <w:right w:val="single" w:sz="8" w:color="auto"/>
            </w:tcBorders>
          </w:tcPr>
          <w:p>
            <w:pPr>
              <w:ind w:left="20"/>
              <w:spacing w:after="0" w:line="151" w:lineRule="exact"/>
              <w:rPr>
                <w:sz w:val="20"/>
                <w:szCs w:val="20"/>
                <w:color w:val="auto"/>
              </w:rPr>
            </w:pPr>
            <w:r>
              <w:rPr>
                <w:rFonts w:ascii="Calibri" w:cs="Calibri" w:eastAsia="Calibri" w:hAnsi="Calibri"/>
                <w:sz w:val="10"/>
                <w:szCs w:val="10"/>
                <w:color w:val="auto"/>
              </w:rPr>
              <w:t xml:space="preserve">Monthly Actve Users (MAU) (millions) </w:t>
            </w:r>
            <w:r>
              <w:rPr>
                <w:rFonts w:ascii="Calibri" w:cs="Calibri" w:eastAsia="Calibri" w:hAnsi="Calibri"/>
                <w:sz w:val="16"/>
                <w:szCs w:val="16"/>
                <w:color w:val="auto"/>
                <w:vertAlign w:val="superscript"/>
              </w:rPr>
              <w:t>(1)</w:t>
            </w:r>
          </w:p>
        </w:tc>
        <w:tc>
          <w:tcPr>
            <w:tcW w:w="860" w:type="dxa"/>
            <w:vAlign w:val="bottom"/>
          </w:tcPr>
          <w:p>
            <w:pPr>
              <w:jc w:val="center"/>
              <w:spacing w:after="0"/>
              <w:rPr>
                <w:sz w:val="20"/>
                <w:szCs w:val="20"/>
                <w:color w:val="auto"/>
              </w:rPr>
            </w:pPr>
            <w:r>
              <w:rPr>
                <w:rFonts w:ascii="Calibri" w:cs="Calibri" w:eastAsia="Calibri" w:hAnsi="Calibri"/>
                <w:sz w:val="12"/>
                <w:szCs w:val="12"/>
                <w:color w:val="auto"/>
              </w:rPr>
              <w:t>10.7</w:t>
            </w:r>
          </w:p>
        </w:tc>
        <w:tc>
          <w:tcPr>
            <w:tcW w:w="900" w:type="dxa"/>
            <w:vAlign w:val="bottom"/>
          </w:tcPr>
          <w:p>
            <w:pPr>
              <w:jc w:val="center"/>
              <w:spacing w:after="0"/>
              <w:rPr>
                <w:sz w:val="20"/>
                <w:szCs w:val="20"/>
                <w:color w:val="auto"/>
              </w:rPr>
            </w:pPr>
            <w:r>
              <w:rPr>
                <w:rFonts w:ascii="Calibri" w:cs="Calibri" w:eastAsia="Calibri" w:hAnsi="Calibri"/>
                <w:sz w:val="12"/>
                <w:szCs w:val="12"/>
                <w:color w:val="auto"/>
              </w:rPr>
              <w:t>13.0</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13.7</w:t>
            </w:r>
          </w:p>
        </w:tc>
        <w:tc>
          <w:tcPr>
            <w:tcW w:w="620" w:type="dxa"/>
            <w:vAlign w:val="bottom"/>
          </w:tcPr>
          <w:p>
            <w:pPr>
              <w:jc w:val="center"/>
              <w:ind w:left="199"/>
              <w:spacing w:after="0"/>
              <w:rPr>
                <w:sz w:val="20"/>
                <w:szCs w:val="20"/>
                <w:color w:val="auto"/>
              </w:rPr>
            </w:pPr>
            <w:r>
              <w:rPr>
                <w:rFonts w:ascii="Calibri" w:cs="Calibri" w:eastAsia="Calibri" w:hAnsi="Calibri"/>
                <w:sz w:val="12"/>
                <w:szCs w:val="12"/>
                <w:color w:val="auto"/>
              </w:rPr>
              <w:t>5.3%</w:t>
            </w:r>
          </w:p>
        </w:tc>
        <w:tc>
          <w:tcPr>
            <w:tcW w:w="1180" w:type="dxa"/>
            <w:vAlign w:val="bottom"/>
            <w:tcBorders>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28.1%</w:t>
            </w:r>
          </w:p>
        </w:tc>
        <w:tc>
          <w:tcPr>
            <w:tcW w:w="680" w:type="dxa"/>
            <w:vAlign w:val="bottom"/>
          </w:tcPr>
          <w:p>
            <w:pPr>
              <w:jc w:val="center"/>
              <w:ind w:left="159"/>
              <w:spacing w:after="0"/>
              <w:rPr>
                <w:sz w:val="20"/>
                <w:szCs w:val="20"/>
                <w:color w:val="auto"/>
              </w:rPr>
            </w:pPr>
            <w:r>
              <w:rPr>
                <w:rFonts w:ascii="Calibri" w:cs="Calibri" w:eastAsia="Calibri" w:hAnsi="Calibri"/>
                <w:sz w:val="12"/>
                <w:szCs w:val="12"/>
                <w:color w:val="auto"/>
              </w:rPr>
              <w:t>10.7</w:t>
            </w:r>
          </w:p>
        </w:tc>
        <w:tc>
          <w:tcPr>
            <w:tcW w:w="1120" w:type="dxa"/>
            <w:vAlign w:val="bottom"/>
            <w:tcBorders>
              <w:right w:val="single" w:sz="8" w:color="auto"/>
            </w:tcBorders>
          </w:tcPr>
          <w:p>
            <w:pPr>
              <w:jc w:val="center"/>
              <w:ind w:left="119"/>
              <w:spacing w:after="0"/>
              <w:rPr>
                <w:sz w:val="20"/>
                <w:szCs w:val="20"/>
                <w:color w:val="auto"/>
              </w:rPr>
            </w:pPr>
            <w:r>
              <w:rPr>
                <w:rFonts w:ascii="Calibri" w:cs="Calibri" w:eastAsia="Calibri" w:hAnsi="Calibri"/>
                <w:sz w:val="12"/>
                <w:szCs w:val="12"/>
                <w:color w:val="auto"/>
              </w:rPr>
              <w:t>13.7</w:t>
            </w: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28.1%</w:t>
            </w:r>
          </w:p>
        </w:tc>
      </w:tr>
      <w:tr>
        <w:trPr>
          <w:trHeight w:val="15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Fee Income Generatng MAU (millions)</w:t>
            </w: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7.9</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10.4</w:t>
            </w:r>
          </w:p>
        </w:tc>
        <w:tc>
          <w:tcPr>
            <w:tcW w:w="8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11.4</w:t>
            </w:r>
          </w:p>
        </w:tc>
        <w:tc>
          <w:tcPr>
            <w:tcW w:w="62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color w:val="auto"/>
              </w:rPr>
              <w:t>9.6%</w:t>
            </w:r>
          </w:p>
        </w:tc>
        <w:tc>
          <w:tcPr>
            <w:tcW w:w="1180" w:type="dxa"/>
            <w:vAlign w:val="bottom"/>
            <w:tcBorders>
              <w:bottom w:val="single" w:sz="8" w:color="auto"/>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44.9%</w:t>
            </w:r>
          </w:p>
        </w:tc>
        <w:tc>
          <w:tcPr>
            <w:tcW w:w="680" w:type="dxa"/>
            <w:vAlign w:val="bottom"/>
            <w:tcBorders>
              <w:bottom w:val="single" w:sz="8" w:color="auto"/>
            </w:tcBorders>
          </w:tcPr>
          <w:p>
            <w:pPr>
              <w:jc w:val="center"/>
              <w:ind w:left="139"/>
              <w:spacing w:after="0"/>
              <w:rPr>
                <w:sz w:val="20"/>
                <w:szCs w:val="20"/>
                <w:color w:val="auto"/>
              </w:rPr>
            </w:pPr>
            <w:r>
              <w:rPr>
                <w:rFonts w:ascii="Calibri" w:cs="Calibri" w:eastAsia="Calibri" w:hAnsi="Calibri"/>
                <w:sz w:val="12"/>
                <w:szCs w:val="12"/>
                <w:color w:val="auto"/>
              </w:rPr>
              <w:t>7.9</w:t>
            </w:r>
          </w:p>
        </w:tc>
        <w:tc>
          <w:tcPr>
            <w:tcW w:w="1120" w:type="dxa"/>
            <w:vAlign w:val="bottom"/>
            <w:tcBorders>
              <w:bottom w:val="single" w:sz="8" w:color="auto"/>
              <w:right w:val="single" w:sz="8" w:color="auto"/>
            </w:tcBorders>
          </w:tcPr>
          <w:p>
            <w:pPr>
              <w:jc w:val="center"/>
              <w:ind w:left="119"/>
              <w:spacing w:after="0"/>
              <w:rPr>
                <w:sz w:val="20"/>
                <w:szCs w:val="20"/>
                <w:color w:val="auto"/>
              </w:rPr>
            </w:pPr>
            <w:r>
              <w:rPr>
                <w:rFonts w:ascii="Calibri" w:cs="Calibri" w:eastAsia="Calibri" w:hAnsi="Calibri"/>
                <w:sz w:val="12"/>
                <w:szCs w:val="12"/>
                <w:color w:val="auto"/>
              </w:rPr>
              <w:t>11.4</w:t>
            </w:r>
          </w:p>
        </w:tc>
        <w:tc>
          <w:tcPr>
            <w:tcW w:w="14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44.9%</w:t>
            </w:r>
          </w:p>
        </w:tc>
      </w:tr>
      <w:tr>
        <w:trPr>
          <w:trHeight w:val="131"/>
        </w:trPr>
        <w:tc>
          <w:tcPr>
            <w:tcW w:w="354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2"/>
                <w:szCs w:val="12"/>
                <w:b w:val="1"/>
                <w:bCs w:val="1"/>
                <w:color w:val="auto"/>
              </w:rPr>
              <w:t>Engagement</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5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 Transactons (millions)</w:t>
            </w: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1,027.9</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8"/>
              </w:rPr>
              <w:t>1,664.2</w:t>
            </w:r>
          </w:p>
        </w:tc>
        <w:tc>
          <w:tcPr>
            <w:tcW w:w="8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8"/>
              </w:rPr>
              <w:t>1,953.1</w:t>
            </w:r>
          </w:p>
        </w:tc>
        <w:tc>
          <w:tcPr>
            <w:tcW w:w="620" w:type="dxa"/>
            <w:vAlign w:val="bottom"/>
            <w:tcBorders>
              <w:bottom w:val="single" w:sz="8" w:color="auto"/>
            </w:tcBorders>
          </w:tcPr>
          <w:p>
            <w:pPr>
              <w:jc w:val="center"/>
              <w:ind w:left="219"/>
              <w:spacing w:after="0"/>
              <w:rPr>
                <w:sz w:val="20"/>
                <w:szCs w:val="20"/>
                <w:color w:val="auto"/>
              </w:rPr>
            </w:pPr>
            <w:r>
              <w:rPr>
                <w:rFonts w:ascii="Calibri" w:cs="Calibri" w:eastAsia="Calibri" w:hAnsi="Calibri"/>
                <w:sz w:val="12"/>
                <w:szCs w:val="12"/>
                <w:color w:val="auto"/>
              </w:rPr>
              <w:t>17.4%</w:t>
            </w:r>
          </w:p>
        </w:tc>
        <w:tc>
          <w:tcPr>
            <w:tcW w:w="1180" w:type="dxa"/>
            <w:vAlign w:val="bottom"/>
            <w:tcBorders>
              <w:bottom w:val="single" w:sz="8" w:color="auto"/>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90.0%</w:t>
            </w:r>
          </w:p>
        </w:tc>
        <w:tc>
          <w:tcPr>
            <w:tcW w:w="680" w:type="dxa"/>
            <w:vAlign w:val="bottom"/>
            <w:tcBorders>
              <w:bottom w:val="single" w:sz="8" w:color="auto"/>
            </w:tcBorders>
          </w:tcPr>
          <w:p>
            <w:pPr>
              <w:jc w:val="center"/>
              <w:ind w:left="139"/>
              <w:spacing w:after="0"/>
              <w:rPr>
                <w:sz w:val="20"/>
                <w:szCs w:val="20"/>
                <w:color w:val="auto"/>
              </w:rPr>
            </w:pPr>
            <w:r>
              <w:rPr>
                <w:rFonts w:ascii="Calibri" w:cs="Calibri" w:eastAsia="Calibri" w:hAnsi="Calibri"/>
                <w:sz w:val="12"/>
                <w:szCs w:val="12"/>
                <w:color w:val="auto"/>
                <w:w w:val="98"/>
              </w:rPr>
              <w:t>2,918.0</w:t>
            </w:r>
          </w:p>
        </w:tc>
        <w:tc>
          <w:tcPr>
            <w:tcW w:w="1120" w:type="dxa"/>
            <w:vAlign w:val="bottom"/>
            <w:tcBorders>
              <w:bottom w:val="single" w:sz="8" w:color="auto"/>
              <w:right w:val="single" w:sz="8" w:color="auto"/>
            </w:tcBorders>
          </w:tcPr>
          <w:p>
            <w:pPr>
              <w:jc w:val="center"/>
              <w:ind w:left="119"/>
              <w:spacing w:after="0"/>
              <w:rPr>
                <w:sz w:val="20"/>
                <w:szCs w:val="20"/>
                <w:color w:val="auto"/>
              </w:rPr>
            </w:pPr>
            <w:r>
              <w:rPr>
                <w:rFonts w:ascii="Calibri" w:cs="Calibri" w:eastAsia="Calibri" w:hAnsi="Calibri"/>
                <w:sz w:val="12"/>
                <w:szCs w:val="12"/>
                <w:color w:val="auto"/>
              </w:rPr>
              <w:t>6,145.7</w:t>
            </w:r>
          </w:p>
        </w:tc>
        <w:tc>
          <w:tcPr>
            <w:tcW w:w="14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110.6%</w:t>
            </w:r>
          </w:p>
        </w:tc>
      </w:tr>
      <w:tr>
        <w:trPr>
          <w:trHeight w:val="124"/>
        </w:trPr>
        <w:tc>
          <w:tcPr>
            <w:tcW w:w="3540" w:type="dxa"/>
            <w:vAlign w:val="bottom"/>
            <w:tcBorders>
              <w:left w:val="single" w:sz="8" w:color="auto"/>
              <w:right w:val="single" w:sz="8" w:color="auto"/>
            </w:tcBorders>
          </w:tcPr>
          <w:p>
            <w:pPr>
              <w:ind w:left="20"/>
              <w:spacing w:after="0" w:line="124" w:lineRule="exact"/>
              <w:rPr>
                <w:sz w:val="20"/>
                <w:szCs w:val="20"/>
                <w:color w:val="auto"/>
              </w:rPr>
            </w:pPr>
            <w:r>
              <w:rPr>
                <w:rFonts w:ascii="Calibri" w:cs="Calibri" w:eastAsia="Calibri" w:hAnsi="Calibri"/>
                <w:sz w:val="12"/>
                <w:szCs w:val="12"/>
                <w:b w:val="1"/>
                <w:bCs w:val="1"/>
                <w:color w:val="auto"/>
              </w:rPr>
              <w:t>Experience</w:t>
            </w: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r>
      <w:tr>
        <w:trPr>
          <w:trHeight w:val="162"/>
        </w:trPr>
        <w:tc>
          <w:tcPr>
            <w:tcW w:w="354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1"/>
                <w:szCs w:val="11"/>
                <w:color w:val="auto"/>
              </w:rPr>
              <w:t xml:space="preserve">NPS </w:t>
            </w:r>
            <w:r>
              <w:rPr>
                <w:rFonts w:ascii="Calibri" w:cs="Calibri" w:eastAsia="Calibri" w:hAnsi="Calibri"/>
                <w:sz w:val="17"/>
                <w:szCs w:val="17"/>
                <w:color w:val="auto"/>
                <w:vertAlign w:val="superscript"/>
              </w:rPr>
              <w:t>(2)</w:t>
            </w: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8"/>
              </w:rPr>
              <w:t>80</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8"/>
              </w:rPr>
              <w:t>74</w:t>
            </w:r>
          </w:p>
        </w:tc>
        <w:tc>
          <w:tcPr>
            <w:tcW w:w="8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8"/>
              </w:rPr>
              <w:t>79</w:t>
            </w:r>
          </w:p>
        </w:tc>
        <w:tc>
          <w:tcPr>
            <w:tcW w:w="62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color w:val="auto"/>
              </w:rPr>
              <w:t>5.0%</w:t>
            </w:r>
          </w:p>
        </w:tc>
        <w:tc>
          <w:tcPr>
            <w:tcW w:w="1180" w:type="dxa"/>
            <w:vAlign w:val="bottom"/>
            <w:tcBorders>
              <w:bottom w:val="single" w:sz="8" w:color="auto"/>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-1.0%</w:t>
            </w:r>
          </w:p>
        </w:tc>
        <w:tc>
          <w:tcPr>
            <w:tcW w:w="680" w:type="dxa"/>
            <w:vAlign w:val="bottom"/>
            <w:tcBorders>
              <w:bottom w:val="single" w:sz="8" w:color="auto"/>
            </w:tcBorders>
          </w:tcPr>
          <w:p>
            <w:pPr>
              <w:jc w:val="center"/>
              <w:ind w:left="139"/>
              <w:spacing w:after="0"/>
              <w:rPr>
                <w:sz w:val="20"/>
                <w:szCs w:val="20"/>
                <w:color w:val="auto"/>
              </w:rPr>
            </w:pPr>
            <w:r>
              <w:rPr>
                <w:rFonts w:ascii="Calibri" w:cs="Calibri" w:eastAsia="Calibri" w:hAnsi="Calibri"/>
                <w:sz w:val="12"/>
                <w:szCs w:val="12"/>
                <w:color w:val="auto"/>
                <w:w w:val="98"/>
              </w:rPr>
              <w:t>80</w:t>
            </w:r>
          </w:p>
        </w:tc>
        <w:tc>
          <w:tcPr>
            <w:tcW w:w="1120" w:type="dxa"/>
            <w:vAlign w:val="bottom"/>
            <w:tcBorders>
              <w:bottom w:val="single" w:sz="8" w:color="auto"/>
              <w:right w:val="single" w:sz="8" w:color="auto"/>
            </w:tcBorders>
          </w:tcPr>
          <w:p>
            <w:pPr>
              <w:jc w:val="center"/>
              <w:ind w:left="139"/>
              <w:spacing w:after="0"/>
              <w:rPr>
                <w:sz w:val="20"/>
                <w:szCs w:val="20"/>
                <w:color w:val="auto"/>
              </w:rPr>
            </w:pPr>
            <w:r>
              <w:rPr>
                <w:rFonts w:ascii="Calibri" w:cs="Calibri" w:eastAsia="Calibri" w:hAnsi="Calibri"/>
                <w:sz w:val="12"/>
                <w:szCs w:val="12"/>
                <w:color w:val="auto"/>
                <w:w w:val="98"/>
              </w:rPr>
              <w:t>79</w:t>
            </w:r>
          </w:p>
        </w:tc>
        <w:tc>
          <w:tcPr>
            <w:tcW w:w="14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-1.0%</w:t>
            </w:r>
          </w:p>
        </w:tc>
      </w:tr>
      <w:tr>
        <w:trPr>
          <w:trHeight w:val="127"/>
        </w:trPr>
        <w:tc>
          <w:tcPr>
            <w:tcW w:w="3540" w:type="dxa"/>
            <w:vAlign w:val="bottom"/>
            <w:tcBorders>
              <w:left w:val="single" w:sz="8" w:color="auto"/>
              <w:right w:val="single" w:sz="8" w:color="auto"/>
            </w:tcBorders>
          </w:tcPr>
          <w:p>
            <w:pPr>
              <w:ind w:left="20"/>
              <w:spacing w:after="0" w:line="127" w:lineRule="exact"/>
              <w:rPr>
                <w:sz w:val="20"/>
                <w:szCs w:val="20"/>
                <w:color w:val="auto"/>
              </w:rPr>
            </w:pPr>
            <w:r>
              <w:rPr>
                <w:rFonts w:ascii="Calibri" w:cs="Calibri" w:eastAsia="Calibri" w:hAnsi="Calibri"/>
                <w:sz w:val="9"/>
                <w:szCs w:val="9"/>
                <w:b w:val="1"/>
                <w:bCs w:val="1"/>
                <w:color w:val="auto"/>
              </w:rPr>
              <w:t xml:space="preserve">Metric per Monthly Actve User (MAU) </w:t>
            </w:r>
            <w:r>
              <w:rPr>
                <w:rFonts w:ascii="Calibri" w:cs="Calibri" w:eastAsia="Calibri" w:hAnsi="Calibri"/>
                <w:sz w:val="13"/>
                <w:szCs w:val="13"/>
                <w:b w:val="1"/>
                <w:bCs w:val="1"/>
                <w:color w:val="auto"/>
                <w:vertAlign w:val="superscript"/>
              </w:rPr>
              <w:t>(3)</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44"/>
        </w:trPr>
        <w:tc>
          <w:tcPr>
            <w:tcW w:w="354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 Monthly Transactons / MAU</w:t>
            </w:r>
          </w:p>
        </w:tc>
        <w:tc>
          <w:tcPr>
            <w:tcW w:w="860" w:type="dxa"/>
            <w:vAlign w:val="bottom"/>
          </w:tcPr>
          <w:p>
            <w:pPr>
              <w:jc w:val="center"/>
              <w:spacing w:after="0" w:line="145" w:lineRule="exact"/>
              <w:rPr>
                <w:sz w:val="20"/>
                <w:szCs w:val="20"/>
                <w:color w:val="auto"/>
              </w:rPr>
            </w:pPr>
            <w:r>
              <w:rPr>
                <w:rFonts w:ascii="Calibri" w:cs="Calibri" w:eastAsia="Calibri" w:hAnsi="Calibri"/>
                <w:sz w:val="12"/>
                <w:szCs w:val="12"/>
                <w:color w:val="auto"/>
              </w:rPr>
              <w:t>35.3</w:t>
            </w:r>
          </w:p>
        </w:tc>
        <w:tc>
          <w:tcPr>
            <w:tcW w:w="900" w:type="dxa"/>
            <w:vAlign w:val="bottom"/>
          </w:tcPr>
          <w:p>
            <w:pPr>
              <w:jc w:val="center"/>
              <w:spacing w:after="0" w:line="145" w:lineRule="exact"/>
              <w:rPr>
                <w:sz w:val="20"/>
                <w:szCs w:val="20"/>
                <w:color w:val="auto"/>
              </w:rPr>
            </w:pPr>
            <w:r>
              <w:rPr>
                <w:rFonts w:ascii="Calibri" w:cs="Calibri" w:eastAsia="Calibri" w:hAnsi="Calibri"/>
                <w:sz w:val="12"/>
                <w:szCs w:val="12"/>
                <w:color w:val="auto"/>
              </w:rPr>
              <w:t>44.1</w:t>
            </w:r>
          </w:p>
        </w:tc>
        <w:tc>
          <w:tcPr>
            <w:tcW w:w="8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51.1</w:t>
            </w:r>
          </w:p>
        </w:tc>
        <w:tc>
          <w:tcPr>
            <w:tcW w:w="62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15.8%</w:t>
            </w:r>
          </w:p>
        </w:tc>
        <w:tc>
          <w:tcPr>
            <w:tcW w:w="1180" w:type="dxa"/>
            <w:vAlign w:val="bottom"/>
            <w:tcBorders>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44.6%</w:t>
            </w:r>
          </w:p>
        </w:tc>
        <w:tc>
          <w:tcPr>
            <w:tcW w:w="680" w:type="dxa"/>
            <w:vAlign w:val="bottom"/>
          </w:tcPr>
          <w:p>
            <w:pPr>
              <w:jc w:val="center"/>
              <w:ind w:left="159"/>
              <w:spacing w:after="0" w:line="145" w:lineRule="exact"/>
              <w:rPr>
                <w:sz w:val="20"/>
                <w:szCs w:val="20"/>
                <w:color w:val="auto"/>
              </w:rPr>
            </w:pPr>
            <w:r>
              <w:rPr>
                <w:rFonts w:ascii="Calibri" w:cs="Calibri" w:eastAsia="Calibri" w:hAnsi="Calibri"/>
                <w:sz w:val="12"/>
                <w:szCs w:val="12"/>
                <w:color w:val="auto"/>
              </w:rPr>
              <w:t>35.3</w:t>
            </w:r>
          </w:p>
        </w:tc>
        <w:tc>
          <w:tcPr>
            <w:tcW w:w="1120" w:type="dxa"/>
            <w:vAlign w:val="bottom"/>
            <w:tcBorders>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rPr>
              <w:t>51.1</w:t>
            </w:r>
          </w:p>
        </w:tc>
        <w:tc>
          <w:tcPr>
            <w:tcW w:w="14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44.6%</w:t>
            </w:r>
          </w:p>
        </w:tc>
      </w:tr>
      <w:tr>
        <w:trPr>
          <w:trHeight w:val="144"/>
        </w:trPr>
        <w:tc>
          <w:tcPr>
            <w:tcW w:w="354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 Average Functonalites / MAU</w:t>
            </w:r>
          </w:p>
        </w:tc>
        <w:tc>
          <w:tcPr>
            <w:tcW w:w="860" w:type="dxa"/>
            <w:vAlign w:val="bottom"/>
          </w:tcPr>
          <w:p>
            <w:pPr>
              <w:jc w:val="center"/>
              <w:spacing w:after="0" w:line="145" w:lineRule="exact"/>
              <w:rPr>
                <w:sz w:val="20"/>
                <w:szCs w:val="20"/>
                <w:color w:val="auto"/>
              </w:rPr>
            </w:pPr>
            <w:r>
              <w:rPr>
                <w:rFonts w:ascii="Calibri" w:cs="Calibri" w:eastAsia="Calibri" w:hAnsi="Calibri"/>
                <w:sz w:val="12"/>
                <w:szCs w:val="12"/>
                <w:color w:val="auto"/>
              </w:rPr>
              <w:t>2.2</w:t>
            </w:r>
          </w:p>
        </w:tc>
        <w:tc>
          <w:tcPr>
            <w:tcW w:w="900" w:type="dxa"/>
            <w:vAlign w:val="bottom"/>
          </w:tcPr>
          <w:p>
            <w:pPr>
              <w:jc w:val="center"/>
              <w:spacing w:after="0" w:line="145" w:lineRule="exact"/>
              <w:rPr>
                <w:sz w:val="20"/>
                <w:szCs w:val="20"/>
                <w:color w:val="auto"/>
              </w:rPr>
            </w:pPr>
            <w:r>
              <w:rPr>
                <w:rFonts w:ascii="Calibri" w:cs="Calibri" w:eastAsia="Calibri" w:hAnsi="Calibri"/>
                <w:sz w:val="12"/>
                <w:szCs w:val="12"/>
                <w:color w:val="auto"/>
              </w:rPr>
              <w:t>2.4</w:t>
            </w:r>
          </w:p>
        </w:tc>
        <w:tc>
          <w:tcPr>
            <w:tcW w:w="8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2.6</w:t>
            </w:r>
          </w:p>
        </w:tc>
        <w:tc>
          <w:tcPr>
            <w:tcW w:w="62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6.3%</w:t>
            </w:r>
          </w:p>
        </w:tc>
        <w:tc>
          <w:tcPr>
            <w:tcW w:w="1180" w:type="dxa"/>
            <w:vAlign w:val="bottom"/>
            <w:tcBorders>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18.1%</w:t>
            </w:r>
          </w:p>
        </w:tc>
        <w:tc>
          <w:tcPr>
            <w:tcW w:w="68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rPr>
              <w:t>2.2</w:t>
            </w:r>
          </w:p>
        </w:tc>
        <w:tc>
          <w:tcPr>
            <w:tcW w:w="112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rPr>
              <w:t>2.6</w:t>
            </w:r>
          </w:p>
        </w:tc>
        <w:tc>
          <w:tcPr>
            <w:tcW w:w="14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18.1%</w:t>
            </w:r>
          </w:p>
        </w:tc>
      </w:tr>
      <w:tr>
        <w:trPr>
          <w:trHeight w:val="144"/>
        </w:trPr>
        <w:tc>
          <w:tcPr>
            <w:tcW w:w="354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Monthly Revenues / MAU (S/)</w:t>
            </w:r>
          </w:p>
        </w:tc>
        <w:tc>
          <w:tcPr>
            <w:tcW w:w="860" w:type="dxa"/>
            <w:vAlign w:val="bottom"/>
          </w:tcPr>
          <w:p>
            <w:pPr>
              <w:jc w:val="center"/>
              <w:spacing w:after="0" w:line="145" w:lineRule="exact"/>
              <w:rPr>
                <w:sz w:val="20"/>
                <w:szCs w:val="20"/>
                <w:color w:val="auto"/>
              </w:rPr>
            </w:pPr>
            <w:r>
              <w:rPr>
                <w:rFonts w:ascii="Calibri" w:cs="Calibri" w:eastAsia="Calibri" w:hAnsi="Calibri"/>
                <w:sz w:val="12"/>
                <w:szCs w:val="12"/>
                <w:color w:val="auto"/>
              </w:rPr>
              <w:t>3.8</w:t>
            </w:r>
          </w:p>
        </w:tc>
        <w:tc>
          <w:tcPr>
            <w:tcW w:w="900" w:type="dxa"/>
            <w:vAlign w:val="bottom"/>
          </w:tcPr>
          <w:p>
            <w:pPr>
              <w:jc w:val="center"/>
              <w:spacing w:after="0" w:line="145" w:lineRule="exact"/>
              <w:rPr>
                <w:sz w:val="20"/>
                <w:szCs w:val="20"/>
                <w:color w:val="auto"/>
              </w:rPr>
            </w:pPr>
            <w:r>
              <w:rPr>
                <w:rFonts w:ascii="Calibri" w:cs="Calibri" w:eastAsia="Calibri" w:hAnsi="Calibri"/>
                <w:sz w:val="12"/>
                <w:szCs w:val="12"/>
                <w:color w:val="auto"/>
              </w:rPr>
              <w:t>4.9</w:t>
            </w:r>
          </w:p>
        </w:tc>
        <w:tc>
          <w:tcPr>
            <w:tcW w:w="8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6.5</w:t>
            </w:r>
          </w:p>
        </w:tc>
        <w:tc>
          <w:tcPr>
            <w:tcW w:w="62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34.4%</w:t>
            </w:r>
          </w:p>
        </w:tc>
        <w:tc>
          <w:tcPr>
            <w:tcW w:w="1180" w:type="dxa"/>
            <w:vAlign w:val="bottom"/>
            <w:tcBorders>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72.9%</w:t>
            </w:r>
          </w:p>
        </w:tc>
        <w:tc>
          <w:tcPr>
            <w:tcW w:w="68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rPr>
              <w:t>3.8</w:t>
            </w:r>
          </w:p>
        </w:tc>
        <w:tc>
          <w:tcPr>
            <w:tcW w:w="112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rPr>
              <w:t>6.5</w:t>
            </w:r>
          </w:p>
        </w:tc>
        <w:tc>
          <w:tcPr>
            <w:tcW w:w="14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72.9%</w:t>
            </w:r>
          </w:p>
        </w:tc>
      </w:tr>
      <w:tr>
        <w:trPr>
          <w:trHeight w:val="144"/>
        </w:trPr>
        <w:tc>
          <w:tcPr>
            <w:tcW w:w="354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Monthly Expenses / MAU (S/)</w:t>
            </w:r>
          </w:p>
        </w:tc>
        <w:tc>
          <w:tcPr>
            <w:tcW w:w="860" w:type="dxa"/>
            <w:vAlign w:val="bottom"/>
          </w:tcPr>
          <w:p>
            <w:pPr>
              <w:jc w:val="center"/>
              <w:spacing w:after="0" w:line="145" w:lineRule="exact"/>
              <w:rPr>
                <w:sz w:val="20"/>
                <w:szCs w:val="20"/>
                <w:color w:val="auto"/>
              </w:rPr>
            </w:pPr>
            <w:r>
              <w:rPr>
                <w:rFonts w:ascii="Calibri" w:cs="Calibri" w:eastAsia="Calibri" w:hAnsi="Calibri"/>
                <w:sz w:val="12"/>
                <w:szCs w:val="12"/>
                <w:color w:val="auto"/>
              </w:rPr>
              <w:t>4.7</w:t>
            </w:r>
          </w:p>
        </w:tc>
        <w:tc>
          <w:tcPr>
            <w:tcW w:w="900" w:type="dxa"/>
            <w:vAlign w:val="bottom"/>
          </w:tcPr>
          <w:p>
            <w:pPr>
              <w:jc w:val="center"/>
              <w:spacing w:after="0" w:line="145" w:lineRule="exact"/>
              <w:rPr>
                <w:sz w:val="20"/>
                <w:szCs w:val="20"/>
                <w:color w:val="auto"/>
              </w:rPr>
            </w:pPr>
            <w:r>
              <w:rPr>
                <w:rFonts w:ascii="Calibri" w:cs="Calibri" w:eastAsia="Calibri" w:hAnsi="Calibri"/>
                <w:sz w:val="12"/>
                <w:szCs w:val="12"/>
                <w:color w:val="auto"/>
              </w:rPr>
              <w:t>4.2</w:t>
            </w:r>
          </w:p>
        </w:tc>
        <w:tc>
          <w:tcPr>
            <w:tcW w:w="8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5.3</w:t>
            </w:r>
          </w:p>
        </w:tc>
        <w:tc>
          <w:tcPr>
            <w:tcW w:w="62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24.5%</w:t>
            </w:r>
          </w:p>
        </w:tc>
        <w:tc>
          <w:tcPr>
            <w:tcW w:w="1180" w:type="dxa"/>
            <w:vAlign w:val="bottom"/>
            <w:tcBorders>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11.7%</w:t>
            </w:r>
          </w:p>
        </w:tc>
        <w:tc>
          <w:tcPr>
            <w:tcW w:w="68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rPr>
              <w:t>4.7</w:t>
            </w:r>
          </w:p>
        </w:tc>
        <w:tc>
          <w:tcPr>
            <w:tcW w:w="112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rPr>
              <w:t>5.3</w:t>
            </w:r>
          </w:p>
        </w:tc>
        <w:tc>
          <w:tcPr>
            <w:tcW w:w="14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11.7%</w:t>
            </w:r>
          </w:p>
        </w:tc>
      </w:tr>
      <w:tr>
        <w:trPr>
          <w:trHeight w:val="15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2"/>
                <w:szCs w:val="12"/>
                <w:color w:val="auto"/>
              </w:rPr>
              <w:t>Monthly Cash Cost / MAU (S/)</w:t>
            </w: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5.1</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4.5</w:t>
            </w:r>
          </w:p>
        </w:tc>
        <w:tc>
          <w:tcPr>
            <w:tcW w:w="8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5.6</w:t>
            </w:r>
          </w:p>
        </w:tc>
        <w:tc>
          <w:tcPr>
            <w:tcW w:w="620" w:type="dxa"/>
            <w:vAlign w:val="bottom"/>
            <w:tcBorders>
              <w:bottom w:val="single" w:sz="8" w:color="auto"/>
            </w:tcBorders>
          </w:tcPr>
          <w:p>
            <w:pPr>
              <w:jc w:val="center"/>
              <w:ind w:left="219"/>
              <w:spacing w:after="0"/>
              <w:rPr>
                <w:sz w:val="20"/>
                <w:szCs w:val="20"/>
                <w:color w:val="auto"/>
              </w:rPr>
            </w:pPr>
            <w:r>
              <w:rPr>
                <w:rFonts w:ascii="Calibri" w:cs="Calibri" w:eastAsia="Calibri" w:hAnsi="Calibri"/>
                <w:sz w:val="12"/>
                <w:szCs w:val="12"/>
                <w:color w:val="auto"/>
              </w:rPr>
              <w:t>25.4%</w:t>
            </w:r>
          </w:p>
        </w:tc>
        <w:tc>
          <w:tcPr>
            <w:tcW w:w="1180" w:type="dxa"/>
            <w:vAlign w:val="bottom"/>
            <w:tcBorders>
              <w:bottom w:val="single" w:sz="8" w:color="auto"/>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11.2%</w:t>
            </w:r>
          </w:p>
        </w:tc>
        <w:tc>
          <w:tcPr>
            <w:tcW w:w="680" w:type="dxa"/>
            <w:vAlign w:val="bottom"/>
            <w:tcBorders>
              <w:bottom w:val="single" w:sz="8" w:color="auto"/>
            </w:tcBorders>
          </w:tcPr>
          <w:p>
            <w:pPr>
              <w:jc w:val="center"/>
              <w:ind w:left="139"/>
              <w:spacing w:after="0"/>
              <w:rPr>
                <w:sz w:val="20"/>
                <w:szCs w:val="20"/>
                <w:color w:val="auto"/>
              </w:rPr>
            </w:pPr>
            <w:r>
              <w:rPr>
                <w:rFonts w:ascii="Calibri" w:cs="Calibri" w:eastAsia="Calibri" w:hAnsi="Calibri"/>
                <w:sz w:val="12"/>
                <w:szCs w:val="12"/>
                <w:color w:val="auto"/>
              </w:rPr>
              <w:t>5.1</w:t>
            </w:r>
          </w:p>
        </w:tc>
        <w:tc>
          <w:tcPr>
            <w:tcW w:w="1120" w:type="dxa"/>
            <w:vAlign w:val="bottom"/>
            <w:tcBorders>
              <w:bottom w:val="single" w:sz="8" w:color="auto"/>
              <w:right w:val="single" w:sz="8" w:color="auto"/>
            </w:tcBorders>
          </w:tcPr>
          <w:p>
            <w:pPr>
              <w:jc w:val="center"/>
              <w:ind w:left="139"/>
              <w:spacing w:after="0"/>
              <w:rPr>
                <w:sz w:val="20"/>
                <w:szCs w:val="20"/>
                <w:color w:val="auto"/>
              </w:rPr>
            </w:pPr>
            <w:r>
              <w:rPr>
                <w:rFonts w:ascii="Calibri" w:cs="Calibri" w:eastAsia="Calibri" w:hAnsi="Calibri"/>
                <w:sz w:val="12"/>
                <w:szCs w:val="12"/>
                <w:color w:val="auto"/>
              </w:rPr>
              <w:t>5.6</w:t>
            </w:r>
          </w:p>
        </w:tc>
        <w:tc>
          <w:tcPr>
            <w:tcW w:w="14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11.2%</w:t>
            </w:r>
          </w:p>
        </w:tc>
      </w:tr>
      <w:tr>
        <w:trPr>
          <w:trHeight w:val="131"/>
        </w:trPr>
        <w:tc>
          <w:tcPr>
            <w:tcW w:w="354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2"/>
                <w:szCs w:val="12"/>
                <w:b w:val="1"/>
                <w:bCs w:val="1"/>
                <w:color w:val="auto"/>
              </w:rPr>
              <w:t>Drivers Monetzación</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37"/>
        </w:trPr>
        <w:tc>
          <w:tcPr>
            <w:tcW w:w="3540" w:type="dxa"/>
            <w:vAlign w:val="bottom"/>
            <w:tcBorders>
              <w:left w:val="single" w:sz="8" w:color="auto"/>
              <w:right w:val="single" w:sz="8" w:color="auto"/>
            </w:tcBorders>
          </w:tcPr>
          <w:p>
            <w:pPr>
              <w:ind w:left="20"/>
              <w:spacing w:after="0" w:line="138" w:lineRule="exact"/>
              <w:rPr>
                <w:sz w:val="20"/>
                <w:szCs w:val="20"/>
                <w:color w:val="auto"/>
              </w:rPr>
            </w:pPr>
            <w:r>
              <w:rPr>
                <w:rFonts w:ascii="Calibri" w:cs="Calibri" w:eastAsia="Calibri" w:hAnsi="Calibri"/>
                <w:sz w:val="12"/>
                <w:szCs w:val="12"/>
                <w:b w:val="1"/>
                <w:bCs w:val="1"/>
                <w:color w:val="auto"/>
              </w:rPr>
              <w:t>Payments</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51"/>
        </w:trPr>
        <w:tc>
          <w:tcPr>
            <w:tcW w:w="3540" w:type="dxa"/>
            <w:vAlign w:val="bottom"/>
            <w:tcBorders>
              <w:left w:val="single" w:sz="8" w:color="auto"/>
              <w:right w:val="single" w:sz="8" w:color="auto"/>
            </w:tcBorders>
          </w:tcPr>
          <w:p>
            <w:pPr>
              <w:ind w:left="20"/>
              <w:spacing w:after="0" w:line="151" w:lineRule="exact"/>
              <w:rPr>
                <w:sz w:val="20"/>
                <w:szCs w:val="20"/>
                <w:color w:val="auto"/>
              </w:rPr>
            </w:pPr>
            <w:r>
              <w:rPr>
                <w:rFonts w:ascii="Calibri" w:cs="Calibri" w:eastAsia="Calibri" w:hAnsi="Calibri"/>
                <w:sz w:val="10"/>
                <w:szCs w:val="10"/>
                <w:color w:val="auto"/>
              </w:rPr>
              <w:t xml:space="preserve">TPV </w:t>
            </w:r>
            <w:r>
              <w:rPr>
                <w:rFonts w:ascii="Calibri" w:cs="Calibri" w:eastAsia="Calibri" w:hAnsi="Calibri"/>
                <w:sz w:val="16"/>
                <w:szCs w:val="16"/>
                <w:color w:val="auto"/>
                <w:vertAlign w:val="superscript"/>
              </w:rPr>
              <w:t>(4)</w:t>
            </w:r>
            <w:r>
              <w:rPr>
                <w:rFonts w:ascii="Calibri" w:cs="Calibri" w:eastAsia="Calibri" w:hAnsi="Calibri"/>
                <w:sz w:val="10"/>
                <w:szCs w:val="10"/>
                <w:color w:val="auto"/>
              </w:rPr>
              <w:t xml:space="preserve"> (S/, billions)</w:t>
            </w:r>
          </w:p>
        </w:tc>
        <w:tc>
          <w:tcPr>
            <w:tcW w:w="860" w:type="dxa"/>
            <w:vAlign w:val="bottom"/>
          </w:tcPr>
          <w:p>
            <w:pPr>
              <w:jc w:val="center"/>
              <w:spacing w:after="0"/>
              <w:rPr>
                <w:sz w:val="20"/>
                <w:szCs w:val="20"/>
                <w:color w:val="auto"/>
              </w:rPr>
            </w:pPr>
            <w:r>
              <w:rPr>
                <w:rFonts w:ascii="Calibri" w:cs="Calibri" w:eastAsia="Calibri" w:hAnsi="Calibri"/>
                <w:sz w:val="12"/>
                <w:szCs w:val="12"/>
                <w:color w:val="auto"/>
              </w:rPr>
              <w:t>47.1</w:t>
            </w:r>
          </w:p>
        </w:tc>
        <w:tc>
          <w:tcPr>
            <w:tcW w:w="900" w:type="dxa"/>
            <w:vAlign w:val="bottom"/>
          </w:tcPr>
          <w:p>
            <w:pPr>
              <w:jc w:val="center"/>
              <w:spacing w:after="0"/>
              <w:rPr>
                <w:sz w:val="20"/>
                <w:szCs w:val="20"/>
                <w:color w:val="auto"/>
              </w:rPr>
            </w:pPr>
            <w:r>
              <w:rPr>
                <w:rFonts w:ascii="Calibri" w:cs="Calibri" w:eastAsia="Calibri" w:hAnsi="Calibri"/>
                <w:sz w:val="12"/>
                <w:szCs w:val="12"/>
                <w:color w:val="auto"/>
              </w:rPr>
              <w:t>76.8</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90.3</w:t>
            </w:r>
          </w:p>
        </w:tc>
        <w:tc>
          <w:tcPr>
            <w:tcW w:w="620" w:type="dxa"/>
            <w:vAlign w:val="bottom"/>
          </w:tcPr>
          <w:p>
            <w:pPr>
              <w:jc w:val="center"/>
              <w:ind w:left="219"/>
              <w:spacing w:after="0"/>
              <w:rPr>
                <w:sz w:val="20"/>
                <w:szCs w:val="20"/>
                <w:color w:val="auto"/>
              </w:rPr>
            </w:pPr>
            <w:r>
              <w:rPr>
                <w:rFonts w:ascii="Calibri" w:cs="Calibri" w:eastAsia="Calibri" w:hAnsi="Calibri"/>
                <w:sz w:val="12"/>
                <w:szCs w:val="12"/>
                <w:color w:val="auto"/>
              </w:rPr>
              <w:t>17.6%</w:t>
            </w:r>
          </w:p>
        </w:tc>
        <w:tc>
          <w:tcPr>
            <w:tcW w:w="1180" w:type="dxa"/>
            <w:vAlign w:val="bottom"/>
            <w:tcBorders>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91.6%</w:t>
            </w:r>
          </w:p>
        </w:tc>
        <w:tc>
          <w:tcPr>
            <w:tcW w:w="680" w:type="dxa"/>
            <w:vAlign w:val="bottom"/>
          </w:tcPr>
          <w:p>
            <w:pPr>
              <w:jc w:val="center"/>
              <w:ind w:left="139"/>
              <w:spacing w:after="0"/>
              <w:rPr>
                <w:sz w:val="20"/>
                <w:szCs w:val="20"/>
                <w:color w:val="auto"/>
              </w:rPr>
            </w:pPr>
            <w:r>
              <w:rPr>
                <w:rFonts w:ascii="Calibri" w:cs="Calibri" w:eastAsia="Calibri" w:hAnsi="Calibri"/>
                <w:sz w:val="12"/>
                <w:szCs w:val="12"/>
                <w:color w:val="auto"/>
              </w:rPr>
              <w:t>137.9</w:t>
            </w:r>
          </w:p>
        </w:tc>
        <w:tc>
          <w:tcPr>
            <w:tcW w:w="1120" w:type="dxa"/>
            <w:vAlign w:val="bottom"/>
            <w:tcBorders>
              <w:right w:val="single" w:sz="8" w:color="auto"/>
            </w:tcBorders>
          </w:tcPr>
          <w:p>
            <w:pPr>
              <w:jc w:val="center"/>
              <w:ind w:left="139"/>
              <w:spacing w:after="0"/>
              <w:rPr>
                <w:sz w:val="20"/>
                <w:szCs w:val="20"/>
                <w:color w:val="auto"/>
              </w:rPr>
            </w:pPr>
            <w:r>
              <w:rPr>
                <w:rFonts w:ascii="Calibri" w:cs="Calibri" w:eastAsia="Calibri" w:hAnsi="Calibri"/>
                <w:sz w:val="12"/>
                <w:szCs w:val="12"/>
                <w:color w:val="auto"/>
              </w:rPr>
              <w:t>279.5</w:t>
            </w:r>
          </w:p>
        </w:tc>
        <w:tc>
          <w:tcPr>
            <w:tcW w:w="14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102.8%</w:t>
            </w:r>
          </w:p>
        </w:tc>
      </w:tr>
      <w:tr>
        <w:trPr>
          <w:trHeight w:val="144"/>
        </w:trPr>
        <w:tc>
          <w:tcPr>
            <w:tcW w:w="354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 Bill Payments transactons (millions)</w:t>
            </w:r>
          </w:p>
        </w:tc>
        <w:tc>
          <w:tcPr>
            <w:tcW w:w="860" w:type="dxa"/>
            <w:vAlign w:val="bottom"/>
          </w:tcPr>
          <w:p>
            <w:pPr>
              <w:jc w:val="center"/>
              <w:spacing w:after="0" w:line="145" w:lineRule="exact"/>
              <w:rPr>
                <w:sz w:val="20"/>
                <w:szCs w:val="20"/>
                <w:color w:val="auto"/>
              </w:rPr>
            </w:pPr>
            <w:r>
              <w:rPr>
                <w:rFonts w:ascii="Calibri" w:cs="Calibri" w:eastAsia="Calibri" w:hAnsi="Calibri"/>
                <w:sz w:val="12"/>
                <w:szCs w:val="12"/>
                <w:color w:val="auto"/>
              </w:rPr>
              <w:t>18.1</w:t>
            </w:r>
          </w:p>
        </w:tc>
        <w:tc>
          <w:tcPr>
            <w:tcW w:w="900" w:type="dxa"/>
            <w:vAlign w:val="bottom"/>
          </w:tcPr>
          <w:p>
            <w:pPr>
              <w:jc w:val="center"/>
              <w:spacing w:after="0" w:line="145" w:lineRule="exact"/>
              <w:rPr>
                <w:sz w:val="20"/>
                <w:szCs w:val="20"/>
                <w:color w:val="auto"/>
              </w:rPr>
            </w:pPr>
            <w:r>
              <w:rPr>
                <w:rFonts w:ascii="Calibri" w:cs="Calibri" w:eastAsia="Calibri" w:hAnsi="Calibri"/>
                <w:sz w:val="12"/>
                <w:szCs w:val="12"/>
                <w:color w:val="auto"/>
              </w:rPr>
              <w:t>34.6</w:t>
            </w:r>
          </w:p>
        </w:tc>
        <w:tc>
          <w:tcPr>
            <w:tcW w:w="8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40.5</w:t>
            </w:r>
          </w:p>
        </w:tc>
        <w:tc>
          <w:tcPr>
            <w:tcW w:w="62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17.0%</w:t>
            </w:r>
          </w:p>
        </w:tc>
        <w:tc>
          <w:tcPr>
            <w:tcW w:w="1180" w:type="dxa"/>
            <w:vAlign w:val="bottom"/>
            <w:tcBorders>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124.1%</w:t>
            </w:r>
          </w:p>
        </w:tc>
        <w:tc>
          <w:tcPr>
            <w:tcW w:w="680" w:type="dxa"/>
            <w:vAlign w:val="bottom"/>
          </w:tcPr>
          <w:p>
            <w:pPr>
              <w:jc w:val="center"/>
              <w:ind w:left="159"/>
              <w:spacing w:after="0" w:line="145" w:lineRule="exact"/>
              <w:rPr>
                <w:sz w:val="20"/>
                <w:szCs w:val="20"/>
                <w:color w:val="auto"/>
              </w:rPr>
            </w:pPr>
            <w:r>
              <w:rPr>
                <w:rFonts w:ascii="Calibri" w:cs="Calibri" w:eastAsia="Calibri" w:hAnsi="Calibri"/>
                <w:sz w:val="12"/>
                <w:szCs w:val="12"/>
                <w:color w:val="auto"/>
              </w:rPr>
              <w:t>34.4</w:t>
            </w:r>
          </w:p>
        </w:tc>
        <w:tc>
          <w:tcPr>
            <w:tcW w:w="112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rPr>
              <w:t>127.1</w:t>
            </w:r>
          </w:p>
        </w:tc>
        <w:tc>
          <w:tcPr>
            <w:tcW w:w="14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269.6%</w:t>
            </w:r>
          </w:p>
        </w:tc>
      </w:tr>
      <w:tr>
        <w:trPr>
          <w:trHeight w:val="144"/>
        </w:trPr>
        <w:tc>
          <w:tcPr>
            <w:tcW w:w="354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Financials</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44"/>
        </w:trPr>
        <w:tc>
          <w:tcPr>
            <w:tcW w:w="354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 Loans Disbursements (thousands)</w:t>
            </w:r>
          </w:p>
        </w:tc>
        <w:tc>
          <w:tcPr>
            <w:tcW w:w="860" w:type="dxa"/>
            <w:vAlign w:val="bottom"/>
          </w:tcPr>
          <w:p>
            <w:pPr>
              <w:jc w:val="center"/>
              <w:spacing w:after="0" w:line="145" w:lineRule="exact"/>
              <w:rPr>
                <w:sz w:val="20"/>
                <w:szCs w:val="20"/>
                <w:color w:val="auto"/>
              </w:rPr>
            </w:pPr>
            <w:r>
              <w:rPr>
                <w:rFonts w:ascii="Calibri" w:cs="Calibri" w:eastAsia="Calibri" w:hAnsi="Calibri"/>
                <w:sz w:val="12"/>
                <w:szCs w:val="12"/>
                <w:color w:val="auto"/>
              </w:rPr>
              <w:t>293.2</w:t>
            </w:r>
          </w:p>
        </w:tc>
        <w:tc>
          <w:tcPr>
            <w:tcW w:w="900" w:type="dxa"/>
            <w:vAlign w:val="bottom"/>
          </w:tcPr>
          <w:p>
            <w:pPr>
              <w:jc w:val="center"/>
              <w:spacing w:after="0" w:line="145" w:lineRule="exact"/>
              <w:rPr>
                <w:sz w:val="20"/>
                <w:szCs w:val="20"/>
                <w:color w:val="auto"/>
              </w:rPr>
            </w:pPr>
            <w:r>
              <w:rPr>
                <w:rFonts w:ascii="Calibri" w:cs="Calibri" w:eastAsia="Calibri" w:hAnsi="Calibri"/>
                <w:sz w:val="12"/>
                <w:szCs w:val="12"/>
                <w:color w:val="auto"/>
              </w:rPr>
              <w:t>1294.9</w:t>
            </w:r>
          </w:p>
        </w:tc>
        <w:tc>
          <w:tcPr>
            <w:tcW w:w="8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2143.1</w:t>
            </w:r>
          </w:p>
        </w:tc>
        <w:tc>
          <w:tcPr>
            <w:tcW w:w="62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65.5%</w:t>
            </w:r>
          </w:p>
        </w:tc>
        <w:tc>
          <w:tcPr>
            <w:tcW w:w="1180" w:type="dxa"/>
            <w:vAlign w:val="bottom"/>
            <w:tcBorders>
              <w:right w:val="single" w:sz="8" w:color="auto"/>
            </w:tcBorders>
          </w:tcPr>
          <w:p>
            <w:pPr>
              <w:jc w:val="center"/>
              <w:ind w:left="199"/>
              <w:spacing w:after="0" w:line="145" w:lineRule="exact"/>
              <w:rPr>
                <w:sz w:val="20"/>
                <w:szCs w:val="20"/>
                <w:color w:val="auto"/>
              </w:rPr>
            </w:pPr>
            <w:r>
              <w:rPr>
                <w:rFonts w:ascii="Calibri" w:cs="Calibri" w:eastAsia="Calibri" w:hAnsi="Calibri"/>
                <w:sz w:val="12"/>
                <w:szCs w:val="12"/>
                <w:color w:val="auto"/>
              </w:rPr>
              <w:t>630.8%</w:t>
            </w:r>
          </w:p>
        </w:tc>
        <w:tc>
          <w:tcPr>
            <w:tcW w:w="68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rPr>
              <w:t>854.3</w:t>
            </w:r>
          </w:p>
        </w:tc>
        <w:tc>
          <w:tcPr>
            <w:tcW w:w="1120" w:type="dxa"/>
            <w:vAlign w:val="bottom"/>
            <w:tcBorders>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rPr>
              <w:t>4612.5</w:t>
            </w:r>
          </w:p>
        </w:tc>
        <w:tc>
          <w:tcPr>
            <w:tcW w:w="14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439.9%</w:t>
            </w:r>
          </w:p>
        </w:tc>
      </w:tr>
      <w:tr>
        <w:trPr>
          <w:trHeight w:val="137"/>
        </w:trPr>
        <w:tc>
          <w:tcPr>
            <w:tcW w:w="3540" w:type="dxa"/>
            <w:vAlign w:val="bottom"/>
            <w:tcBorders>
              <w:left w:val="single" w:sz="8" w:color="auto"/>
              <w:right w:val="single" w:sz="8" w:color="auto"/>
            </w:tcBorders>
          </w:tcPr>
          <w:p>
            <w:pPr>
              <w:ind w:left="20"/>
              <w:spacing w:after="0" w:line="138" w:lineRule="exact"/>
              <w:rPr>
                <w:sz w:val="20"/>
                <w:szCs w:val="20"/>
                <w:color w:val="auto"/>
              </w:rPr>
            </w:pPr>
            <w:r>
              <w:rPr>
                <w:rFonts w:ascii="Calibri" w:cs="Calibri" w:eastAsia="Calibri" w:hAnsi="Calibri"/>
                <w:sz w:val="12"/>
                <w:szCs w:val="12"/>
                <w:b w:val="1"/>
                <w:bCs w:val="1"/>
                <w:color w:val="auto"/>
              </w:rPr>
              <w:t>E-Commerce</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r>
      <w:tr>
        <w:trPr>
          <w:trHeight w:val="162"/>
        </w:trPr>
        <w:tc>
          <w:tcPr>
            <w:tcW w:w="354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1"/>
                <w:szCs w:val="11"/>
                <w:color w:val="auto"/>
              </w:rPr>
              <w:t xml:space="preserve">GMV </w:t>
            </w:r>
            <w:r>
              <w:rPr>
                <w:rFonts w:ascii="Calibri" w:cs="Calibri" w:eastAsia="Calibri" w:hAnsi="Calibri"/>
                <w:sz w:val="17"/>
                <w:szCs w:val="17"/>
                <w:color w:val="auto"/>
                <w:vertAlign w:val="superscript"/>
              </w:rPr>
              <w:t>(5)</w:t>
            </w:r>
            <w:r>
              <w:rPr>
                <w:rFonts w:ascii="Calibri" w:cs="Calibri" w:eastAsia="Calibri" w:hAnsi="Calibri"/>
                <w:sz w:val="11"/>
                <w:szCs w:val="11"/>
                <w:color w:val="auto"/>
              </w:rPr>
              <w:t xml:space="preserve"> (S/, millions)</w:t>
            </w: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39.3</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112.9</w:t>
            </w:r>
          </w:p>
        </w:tc>
        <w:tc>
          <w:tcPr>
            <w:tcW w:w="8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116.4</w:t>
            </w:r>
          </w:p>
        </w:tc>
        <w:tc>
          <w:tcPr>
            <w:tcW w:w="62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color w:val="auto"/>
              </w:rPr>
              <w:t>3.0%</w:t>
            </w:r>
          </w:p>
        </w:tc>
        <w:tc>
          <w:tcPr>
            <w:tcW w:w="1180" w:type="dxa"/>
            <w:vAlign w:val="bottom"/>
            <w:tcBorders>
              <w:bottom w:val="single" w:sz="8" w:color="auto"/>
              <w:right w:val="single" w:sz="8" w:color="auto"/>
            </w:tcBorders>
          </w:tcPr>
          <w:p>
            <w:pPr>
              <w:jc w:val="center"/>
              <w:ind w:left="199"/>
              <w:spacing w:after="0"/>
              <w:rPr>
                <w:sz w:val="20"/>
                <w:szCs w:val="20"/>
                <w:color w:val="auto"/>
              </w:rPr>
            </w:pPr>
            <w:r>
              <w:rPr>
                <w:rFonts w:ascii="Calibri" w:cs="Calibri" w:eastAsia="Calibri" w:hAnsi="Calibri"/>
                <w:sz w:val="12"/>
                <w:szCs w:val="12"/>
                <w:color w:val="auto"/>
              </w:rPr>
              <w:t>196.4%</w:t>
            </w:r>
          </w:p>
        </w:tc>
        <w:tc>
          <w:tcPr>
            <w:tcW w:w="680" w:type="dxa"/>
            <w:vAlign w:val="bottom"/>
            <w:tcBorders>
              <w:bottom w:val="single" w:sz="8" w:color="auto"/>
            </w:tcBorders>
          </w:tcPr>
          <w:p>
            <w:pPr>
              <w:jc w:val="center"/>
              <w:ind w:left="139"/>
              <w:spacing w:after="0"/>
              <w:rPr>
                <w:sz w:val="20"/>
                <w:szCs w:val="20"/>
                <w:color w:val="auto"/>
              </w:rPr>
            </w:pPr>
            <w:r>
              <w:rPr>
                <w:rFonts w:ascii="Calibri" w:cs="Calibri" w:eastAsia="Calibri" w:hAnsi="Calibri"/>
                <w:sz w:val="12"/>
                <w:szCs w:val="12"/>
                <w:color w:val="auto"/>
              </w:rPr>
              <w:t>100.9</w:t>
            </w:r>
          </w:p>
        </w:tc>
        <w:tc>
          <w:tcPr>
            <w:tcW w:w="1120" w:type="dxa"/>
            <w:vAlign w:val="bottom"/>
            <w:tcBorders>
              <w:bottom w:val="single" w:sz="8" w:color="auto"/>
              <w:right w:val="single" w:sz="8" w:color="auto"/>
            </w:tcBorders>
          </w:tcPr>
          <w:p>
            <w:pPr>
              <w:jc w:val="center"/>
              <w:ind w:left="139"/>
              <w:spacing w:after="0"/>
              <w:rPr>
                <w:sz w:val="20"/>
                <w:szCs w:val="20"/>
                <w:color w:val="auto"/>
              </w:rPr>
            </w:pPr>
            <w:r>
              <w:rPr>
                <w:rFonts w:ascii="Calibri" w:cs="Calibri" w:eastAsia="Calibri" w:hAnsi="Calibri"/>
                <w:sz w:val="12"/>
                <w:szCs w:val="12"/>
                <w:color w:val="auto"/>
              </w:rPr>
              <w:t>358.0</w:t>
            </w:r>
          </w:p>
        </w:tc>
        <w:tc>
          <w:tcPr>
            <w:tcW w:w="14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254.7%</w:t>
            </w:r>
          </w:p>
        </w:tc>
      </w:tr>
    </w:tbl>
    <w:p>
      <w:pPr>
        <w:spacing w:after="0" w:line="168" w:lineRule="exact"/>
        <w:rPr>
          <w:sz w:val="20"/>
          <w:szCs w:val="20"/>
          <w:color w:val="auto"/>
        </w:rPr>
      </w:pPr>
    </w:p>
    <w:p>
      <w:pPr>
        <w:ind w:left="240" w:hanging="235"/>
        <w:spacing w:after="0"/>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Yape users that have made at least one transacton over the last month.</w:t>
      </w:r>
    </w:p>
    <w:p>
      <w:pPr>
        <w:ind w:left="240" w:hanging="235"/>
        <w:spacing w:after="0" w:line="234"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Net Promoter Score.</w:t>
      </w:r>
    </w:p>
    <w:p>
      <w:pPr>
        <w:ind w:left="240" w:hanging="235"/>
        <w:spacing w:after="0" w:line="234"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Management Figures.</w:t>
      </w:r>
    </w:p>
    <w:p>
      <w:pPr>
        <w:ind w:left="240" w:hanging="235"/>
        <w:spacing w:after="0" w:line="234"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Total Payment Volume, includes the following functonalites: Bill Payments, QRs payments, Mobile Top-ups, Yape Businesses, Money Exchange, Checkout, and Remitances.</w:t>
      </w:r>
    </w:p>
    <w:p>
      <w:pPr>
        <w:ind w:left="240" w:hanging="235"/>
        <w:spacing w:after="0" w:line="234" w:lineRule="auto"/>
        <w:tabs>
          <w:tab w:leader="none" w:pos="240" w:val="left"/>
        </w:tabs>
        <w:numPr>
          <w:ilvl w:val="0"/>
          <w:numId w:val="7"/>
        </w:numPr>
        <w:rPr>
          <w:rFonts w:ascii="Calibri" w:cs="Calibri" w:eastAsia="Calibri" w:hAnsi="Calibri"/>
          <w:sz w:val="11"/>
          <w:szCs w:val="11"/>
          <w:color w:val="auto"/>
        </w:rPr>
      </w:pPr>
      <w:r>
        <w:rPr>
          <w:rFonts w:ascii="Calibri" w:cs="Calibri" w:eastAsia="Calibri" w:hAnsi="Calibri"/>
          <w:sz w:val="11"/>
          <w:szCs w:val="11"/>
          <w:color w:val="auto"/>
        </w:rPr>
        <w:t>Gross Merchant Volume, includes the following functonalites: Yape Promos, Yape Store, Ticketng, Gaming, Delivery, Buses, Insurance and Gas.</w:t>
      </w:r>
    </w:p>
    <w:p>
      <w:pPr>
        <w:spacing w:after="0" w:line="200" w:lineRule="exact"/>
        <w:rPr>
          <w:sz w:val="20"/>
          <w:szCs w:val="20"/>
          <w:color w:val="auto"/>
        </w:rPr>
      </w:pPr>
    </w:p>
    <w:p>
      <w:pPr>
        <w:spacing w:after="0"/>
        <w:rPr>
          <w:sz w:val="20"/>
          <w:szCs w:val="20"/>
          <w:color w:val="auto"/>
        </w:rPr>
      </w:pPr>
      <w:r>
        <w:rPr>
          <w:rFonts w:ascii="Calibri" w:cs="Calibri" w:eastAsia="Calibri" w:hAnsi="Calibri"/>
          <w:sz w:val="17"/>
          <w:szCs w:val="17"/>
          <w:color w:val="auto"/>
        </w:rPr>
        <w:t>In 4Q24, Yape presented the following operatng results in its three lines of business:</w:t>
      </w:r>
    </w:p>
    <w:p>
      <w:pPr>
        <w:spacing w:after="0" w:line="213" w:lineRule="exact"/>
        <w:rPr>
          <w:sz w:val="20"/>
          <w:szCs w:val="20"/>
          <w:color w:val="auto"/>
        </w:rPr>
      </w:pPr>
    </w:p>
    <w:p>
      <w:pPr>
        <w:ind w:left="560" w:right="280" w:hanging="310"/>
        <w:spacing w:after="0" w:line="242" w:lineRule="auto"/>
        <w:tabs>
          <w:tab w:leader="none" w:pos="560" w:val="left"/>
        </w:tabs>
        <w:numPr>
          <w:ilvl w:val="0"/>
          <w:numId w:val="8"/>
        </w:numPr>
        <w:rPr>
          <w:rFonts w:ascii="Arial" w:cs="Arial" w:eastAsia="Arial" w:hAnsi="Arial"/>
          <w:sz w:val="17"/>
          <w:szCs w:val="17"/>
          <w:color w:val="auto"/>
        </w:rPr>
      </w:pPr>
      <w:r>
        <w:rPr>
          <w:rFonts w:ascii="Calibri" w:cs="Calibri" w:eastAsia="Calibri" w:hAnsi="Calibri"/>
          <w:sz w:val="17"/>
          <w:szCs w:val="17"/>
          <w:b w:val="1"/>
          <w:bCs w:val="1"/>
          <w:color w:val="auto"/>
        </w:rPr>
        <w:t>Payment</w:t>
      </w:r>
      <w:r>
        <w:rPr>
          <w:rFonts w:ascii="Calibri" w:cs="Calibri" w:eastAsia="Calibri" w:hAnsi="Calibri"/>
          <w:sz w:val="17"/>
          <w:szCs w:val="17"/>
          <w:color w:val="auto"/>
        </w:rPr>
        <w:t>: the main drivers are (i) the Total Payment Volume (TPV), which reached S/90.3 billion (+17.6% QoQ and +1.9x YoY) and (ii) transactons in Bill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Payments, which totaled 40.5 million (+17.0% QoQ and +2.2x YoY).</w:t>
      </w:r>
    </w:p>
    <w:p>
      <w:pPr>
        <w:spacing w:after="0" w:line="1" w:lineRule="exact"/>
        <w:rPr>
          <w:rFonts w:ascii="Arial" w:cs="Arial" w:eastAsia="Arial" w:hAnsi="Arial"/>
          <w:sz w:val="17"/>
          <w:szCs w:val="17"/>
          <w:color w:val="auto"/>
        </w:rPr>
      </w:pPr>
    </w:p>
    <w:p>
      <w:pPr>
        <w:ind w:left="560" w:right="220" w:hanging="310"/>
        <w:spacing w:after="0" w:line="242" w:lineRule="auto"/>
        <w:tabs>
          <w:tab w:leader="none" w:pos="560" w:val="left"/>
        </w:tabs>
        <w:numPr>
          <w:ilvl w:val="0"/>
          <w:numId w:val="8"/>
        </w:numPr>
        <w:rPr>
          <w:rFonts w:ascii="Arial" w:cs="Arial" w:eastAsia="Arial" w:hAnsi="Arial"/>
          <w:sz w:val="17"/>
          <w:szCs w:val="17"/>
          <w:color w:val="auto"/>
        </w:rPr>
      </w:pPr>
      <w:r>
        <w:rPr>
          <w:rFonts w:ascii="Calibri" w:cs="Calibri" w:eastAsia="Calibri" w:hAnsi="Calibri"/>
          <w:sz w:val="17"/>
          <w:szCs w:val="17"/>
          <w:b w:val="1"/>
          <w:bCs w:val="1"/>
          <w:color w:val="auto"/>
        </w:rPr>
        <w:t>Financial</w:t>
      </w:r>
      <w:r>
        <w:rPr>
          <w:rFonts w:ascii="Calibri" w:cs="Calibri" w:eastAsia="Calibri" w:hAnsi="Calibri"/>
          <w:sz w:val="17"/>
          <w:szCs w:val="17"/>
          <w:color w:val="auto"/>
        </w:rPr>
        <w:t>: excluding foatng (remuneraton-based funds transacted through Yape that are held in BCP), the main driver of monetzaton is Yape Lending,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with 2,143.1 thousand disbursements (+65.5% and +7.3x YoY).</w:t>
      </w:r>
    </w:p>
    <w:p>
      <w:pPr>
        <w:ind w:left="560" w:hanging="310"/>
        <w:spacing w:after="0"/>
        <w:tabs>
          <w:tab w:leader="none" w:pos="560" w:val="left"/>
        </w:tabs>
        <w:numPr>
          <w:ilvl w:val="0"/>
          <w:numId w:val="8"/>
        </w:numPr>
        <w:rPr>
          <w:rFonts w:ascii="Arial" w:cs="Arial" w:eastAsia="Arial" w:hAnsi="Arial"/>
          <w:sz w:val="17"/>
          <w:szCs w:val="17"/>
          <w:color w:val="auto"/>
        </w:rPr>
      </w:pPr>
      <w:r>
        <w:rPr>
          <w:rFonts w:ascii="Calibri" w:cs="Calibri" w:eastAsia="Calibri" w:hAnsi="Calibri"/>
          <w:sz w:val="17"/>
          <w:szCs w:val="17"/>
          <w:b w:val="1"/>
          <w:bCs w:val="1"/>
          <w:color w:val="auto"/>
        </w:rPr>
        <w:t>E-Commerce</w:t>
      </w:r>
      <w:r>
        <w:rPr>
          <w:rFonts w:ascii="Calibri" w:cs="Calibri" w:eastAsia="Calibri" w:hAnsi="Calibri"/>
          <w:sz w:val="17"/>
          <w:szCs w:val="17"/>
          <w:color w:val="auto"/>
        </w:rPr>
        <w:t>: Yape monetzes mainly through the Gross Market Volume (GMV) transacted, which was S/116.4 million (+3.0% QoQ and +3.0x YoY).</w:t>
      </w:r>
    </w:p>
    <w:p>
      <w:pPr>
        <w:spacing w:after="0" w:line="35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5" w:name="page16"/>
    <w:bookmarkEnd w:id="15"/>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Credicorp’s Strategy Update</w:t>
      </w:r>
    </w:p>
    <w:p>
      <w:pPr>
        <w:spacing w:after="0" w:line="20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Yape’s Main Financial Results </w:t>
      </w:r>
      <w:r>
        <w:rPr>
          <w:rFonts w:ascii="Calibri" w:cs="Calibri" w:eastAsia="Calibri" w:hAnsi="Calibri"/>
          <w:sz w:val="29"/>
          <w:szCs w:val="29"/>
          <w:b w:val="1"/>
          <w:bCs w:val="1"/>
          <w:color w:val="auto"/>
          <w:vertAlign w:val="superscript"/>
        </w:rPr>
        <w:t>(1)</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147"/>
        </w:trPr>
        <w:tc>
          <w:tcPr>
            <w:tcW w:w="3740" w:type="dxa"/>
            <w:vAlign w:val="bottom"/>
            <w:tcBorders>
              <w:top w:val="single" w:sz="8" w:color="auto"/>
              <w:left w:val="single" w:sz="8" w:color="auto"/>
            </w:tcBorders>
            <w:shd w:val="clear" w:color="auto" w:fill="33CCCC"/>
          </w:tcPr>
          <w:p>
            <w:pPr>
              <w:ind w:left="20"/>
              <w:spacing w:after="0" w:line="147" w:lineRule="exact"/>
              <w:rPr>
                <w:sz w:val="20"/>
                <w:szCs w:val="20"/>
                <w:color w:val="auto"/>
              </w:rPr>
            </w:pPr>
            <w:r>
              <w:rPr>
                <w:rFonts w:ascii="Calibri" w:cs="Calibri" w:eastAsia="Calibri" w:hAnsi="Calibri"/>
                <w:sz w:val="10"/>
                <w:szCs w:val="10"/>
                <w:b w:val="1"/>
                <w:bCs w:val="1"/>
                <w:i w:val="1"/>
                <w:iCs w:val="1"/>
                <w:color w:val="FFFFFF"/>
              </w:rPr>
              <w:t xml:space="preserve">Financial results </w:t>
            </w:r>
            <w:r>
              <w:rPr>
                <w:rFonts w:ascii="Calibri" w:cs="Calibri" w:eastAsia="Calibri" w:hAnsi="Calibri"/>
                <w:sz w:val="16"/>
                <w:szCs w:val="16"/>
                <w:b w:val="1"/>
                <w:bCs w:val="1"/>
                <w:i w:val="1"/>
                <w:iCs w:val="1"/>
                <w:color w:val="FFFFFF"/>
                <w:vertAlign w:val="superscript"/>
              </w:rPr>
              <w:t>(1)</w:t>
            </w:r>
          </w:p>
        </w:tc>
        <w:tc>
          <w:tcPr>
            <w:tcW w:w="260" w:type="dxa"/>
            <w:vAlign w:val="bottom"/>
            <w:tcBorders>
              <w:top w:val="single" w:sz="8" w:color="auto"/>
            </w:tcBorders>
            <w:shd w:val="clear" w:color="auto" w:fill="33CCCC"/>
          </w:tcPr>
          <w:p>
            <w:pPr>
              <w:spacing w:after="0"/>
              <w:rPr>
                <w:sz w:val="12"/>
                <w:szCs w:val="12"/>
                <w:color w:val="auto"/>
              </w:rPr>
            </w:pPr>
          </w:p>
        </w:tc>
        <w:tc>
          <w:tcPr>
            <w:tcW w:w="640" w:type="dxa"/>
            <w:vAlign w:val="bottom"/>
            <w:tcBorders>
              <w:top w:val="single" w:sz="8" w:color="auto"/>
            </w:tcBorders>
            <w:shd w:val="clear" w:color="auto" w:fill="33CCCC"/>
          </w:tcPr>
          <w:p>
            <w:pPr>
              <w:spacing w:after="0"/>
              <w:rPr>
                <w:sz w:val="12"/>
                <w:szCs w:val="12"/>
                <w:color w:val="auto"/>
              </w:rPr>
            </w:pPr>
          </w:p>
        </w:tc>
        <w:tc>
          <w:tcPr>
            <w:tcW w:w="220" w:type="dxa"/>
            <w:vAlign w:val="bottom"/>
            <w:tcBorders>
              <w:top w:val="single" w:sz="8" w:color="auto"/>
            </w:tcBorders>
            <w:shd w:val="clear" w:color="auto" w:fill="33CCCC"/>
          </w:tcPr>
          <w:p>
            <w:pPr>
              <w:spacing w:after="0"/>
              <w:rPr>
                <w:sz w:val="12"/>
                <w:szCs w:val="12"/>
                <w:color w:val="auto"/>
              </w:rPr>
            </w:pPr>
          </w:p>
        </w:tc>
        <w:tc>
          <w:tcPr>
            <w:tcW w:w="680" w:type="dxa"/>
            <w:vAlign w:val="bottom"/>
            <w:tcBorders>
              <w:top w:val="single" w:sz="8" w:color="auto"/>
            </w:tcBorders>
            <w:shd w:val="clear" w:color="auto" w:fill="33CCCC"/>
          </w:tcPr>
          <w:p>
            <w:pPr>
              <w:jc w:val="right"/>
              <w:ind w:right="199"/>
              <w:spacing w:after="0"/>
              <w:rPr>
                <w:sz w:val="20"/>
                <w:szCs w:val="20"/>
                <w:color w:val="auto"/>
              </w:rPr>
            </w:pPr>
            <w:r>
              <w:rPr>
                <w:rFonts w:ascii="Calibri" w:cs="Calibri" w:eastAsia="Calibri" w:hAnsi="Calibri"/>
                <w:sz w:val="12"/>
                <w:szCs w:val="12"/>
                <w:b w:val="1"/>
                <w:bCs w:val="1"/>
                <w:color w:val="FFFFFF"/>
              </w:rPr>
              <w:t>Quarter</w:t>
            </w:r>
          </w:p>
        </w:tc>
        <w:tc>
          <w:tcPr>
            <w:tcW w:w="240" w:type="dxa"/>
            <w:vAlign w:val="bottom"/>
            <w:tcBorders>
              <w:top w:val="single" w:sz="8" w:color="auto"/>
            </w:tcBorders>
            <w:shd w:val="clear" w:color="auto" w:fill="33CCCC"/>
          </w:tcPr>
          <w:p>
            <w:pPr>
              <w:spacing w:after="0"/>
              <w:rPr>
                <w:sz w:val="12"/>
                <w:szCs w:val="12"/>
                <w:color w:val="auto"/>
              </w:rPr>
            </w:pPr>
          </w:p>
        </w:tc>
        <w:tc>
          <w:tcPr>
            <w:tcW w:w="700" w:type="dxa"/>
            <w:vAlign w:val="bottom"/>
            <w:tcBorders>
              <w:top w:val="single" w:sz="8" w:color="auto"/>
            </w:tcBorders>
            <w:shd w:val="clear" w:color="auto" w:fill="33CCCC"/>
          </w:tcPr>
          <w:p>
            <w:pPr>
              <w:spacing w:after="0"/>
              <w:rPr>
                <w:sz w:val="12"/>
                <w:szCs w:val="12"/>
                <w:color w:val="auto"/>
              </w:rPr>
            </w:pPr>
          </w:p>
        </w:tc>
        <w:tc>
          <w:tcPr>
            <w:tcW w:w="560" w:type="dxa"/>
            <w:vAlign w:val="bottom"/>
            <w:tcBorders>
              <w:top w:val="single" w:sz="8" w:color="auto"/>
            </w:tcBorders>
            <w:shd w:val="clear" w:color="auto" w:fill="33CCCC"/>
          </w:tcPr>
          <w:p>
            <w:pPr>
              <w:spacing w:after="0"/>
              <w:rPr>
                <w:sz w:val="12"/>
                <w:szCs w:val="12"/>
                <w:color w:val="auto"/>
              </w:rPr>
            </w:pPr>
          </w:p>
        </w:tc>
        <w:tc>
          <w:tcPr>
            <w:tcW w:w="1120" w:type="dxa"/>
            <w:vAlign w:val="bottom"/>
            <w:tcBorders>
              <w:top w:val="single" w:sz="8" w:color="auto"/>
            </w:tcBorders>
            <w:shd w:val="clear" w:color="auto" w:fill="33CCCC"/>
          </w:tcPr>
          <w:p>
            <w:pPr>
              <w:ind w:left="40"/>
              <w:spacing w:after="0"/>
              <w:rPr>
                <w:sz w:val="20"/>
                <w:szCs w:val="20"/>
                <w:color w:val="auto"/>
              </w:rPr>
            </w:pPr>
            <w:r>
              <w:rPr>
                <w:rFonts w:ascii="Calibri" w:cs="Calibri" w:eastAsia="Calibri" w:hAnsi="Calibri"/>
                <w:sz w:val="12"/>
                <w:szCs w:val="12"/>
                <w:b w:val="1"/>
                <w:bCs w:val="1"/>
                <w:color w:val="FFFFFF"/>
              </w:rPr>
              <w:t>Change %</w:t>
            </w:r>
          </w:p>
        </w:tc>
        <w:tc>
          <w:tcPr>
            <w:tcW w:w="300" w:type="dxa"/>
            <w:vAlign w:val="bottom"/>
            <w:tcBorders>
              <w:top w:val="single" w:sz="8" w:color="auto"/>
            </w:tcBorders>
            <w:shd w:val="clear" w:color="auto" w:fill="33CCCC"/>
          </w:tcPr>
          <w:p>
            <w:pPr>
              <w:spacing w:after="0"/>
              <w:rPr>
                <w:sz w:val="12"/>
                <w:szCs w:val="12"/>
                <w:color w:val="auto"/>
              </w:rPr>
            </w:pPr>
          </w:p>
        </w:tc>
        <w:tc>
          <w:tcPr>
            <w:tcW w:w="680" w:type="dxa"/>
            <w:vAlign w:val="bottom"/>
            <w:tcBorders>
              <w:top w:val="single" w:sz="8" w:color="auto"/>
            </w:tcBorders>
            <w:shd w:val="clear" w:color="auto" w:fill="33CCCC"/>
          </w:tcPr>
          <w:p>
            <w:pPr>
              <w:jc w:val="right"/>
              <w:ind w:right="279"/>
              <w:spacing w:after="0"/>
              <w:rPr>
                <w:sz w:val="20"/>
                <w:szCs w:val="20"/>
                <w:color w:val="auto"/>
              </w:rPr>
            </w:pPr>
            <w:r>
              <w:rPr>
                <w:rFonts w:ascii="Calibri" w:cs="Calibri" w:eastAsia="Calibri" w:hAnsi="Calibri"/>
                <w:sz w:val="12"/>
                <w:szCs w:val="12"/>
                <w:b w:val="1"/>
                <w:bCs w:val="1"/>
                <w:color w:val="FFFFFF"/>
              </w:rPr>
              <w:t>Up to</w:t>
            </w:r>
          </w:p>
        </w:tc>
        <w:tc>
          <w:tcPr>
            <w:tcW w:w="240" w:type="dxa"/>
            <w:vAlign w:val="bottom"/>
            <w:tcBorders>
              <w:top w:val="single" w:sz="8" w:color="auto"/>
            </w:tcBorders>
            <w:shd w:val="clear" w:color="auto" w:fill="33CCCC"/>
          </w:tcPr>
          <w:p>
            <w:pPr>
              <w:spacing w:after="0"/>
              <w:rPr>
                <w:sz w:val="12"/>
                <w:szCs w:val="12"/>
                <w:color w:val="auto"/>
              </w:rPr>
            </w:pPr>
          </w:p>
        </w:tc>
        <w:tc>
          <w:tcPr>
            <w:tcW w:w="660" w:type="dxa"/>
            <w:vAlign w:val="bottom"/>
            <w:tcBorders>
              <w:top w:val="single" w:sz="8" w:color="auto"/>
            </w:tcBorders>
            <w:shd w:val="clear" w:color="auto" w:fill="33CCCC"/>
          </w:tcPr>
          <w:p>
            <w:pPr>
              <w:spacing w:after="0"/>
              <w:rPr>
                <w:sz w:val="12"/>
                <w:szCs w:val="12"/>
                <w:color w:val="auto"/>
              </w:rPr>
            </w:pPr>
          </w:p>
        </w:tc>
        <w:tc>
          <w:tcPr>
            <w:tcW w:w="12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rPr>
              <w:t>Change %</w:t>
            </w:r>
          </w:p>
        </w:tc>
        <w:tc>
          <w:tcPr>
            <w:tcW w:w="0" w:type="dxa"/>
            <w:vAlign w:val="bottom"/>
          </w:tcPr>
          <w:p>
            <w:pPr>
              <w:spacing w:after="0"/>
              <w:rPr>
                <w:sz w:val="1"/>
                <w:szCs w:val="1"/>
                <w:color w:val="auto"/>
              </w:rPr>
            </w:pPr>
          </w:p>
        </w:tc>
      </w:tr>
      <w:tr>
        <w:trPr>
          <w:trHeight w:val="146"/>
        </w:trPr>
        <w:tc>
          <w:tcPr>
            <w:tcW w:w="3740" w:type="dxa"/>
            <w:vAlign w:val="bottom"/>
            <w:tcBorders>
              <w:lef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i w:val="1"/>
                <w:iCs w:val="1"/>
                <w:color w:val="FFFFFF"/>
              </w:rPr>
              <w:t>S/ millions</w:t>
            </w:r>
          </w:p>
        </w:tc>
        <w:tc>
          <w:tcPr>
            <w:tcW w:w="260" w:type="dxa"/>
            <w:vAlign w:val="bottom"/>
            <w:shd w:val="clear" w:color="auto" w:fill="33CCCC"/>
          </w:tcPr>
          <w:p>
            <w:pPr>
              <w:spacing w:after="0"/>
              <w:rPr>
                <w:sz w:val="12"/>
                <w:szCs w:val="12"/>
                <w:color w:val="auto"/>
              </w:rPr>
            </w:pPr>
          </w:p>
        </w:tc>
        <w:tc>
          <w:tcPr>
            <w:tcW w:w="640" w:type="dxa"/>
            <w:vAlign w:val="bottom"/>
            <w:vMerge w:val="restart"/>
            <w:shd w:val="clear" w:color="auto" w:fill="33CCCC"/>
          </w:tcPr>
          <w:p>
            <w:pPr>
              <w:jc w:val="right"/>
              <w:ind w:right="259"/>
              <w:spacing w:after="0"/>
              <w:rPr>
                <w:sz w:val="20"/>
                <w:szCs w:val="20"/>
                <w:color w:val="auto"/>
              </w:rPr>
            </w:pPr>
            <w:r>
              <w:rPr>
                <w:rFonts w:ascii="Calibri" w:cs="Calibri" w:eastAsia="Calibri" w:hAnsi="Calibri"/>
                <w:sz w:val="12"/>
                <w:szCs w:val="12"/>
                <w:b w:val="1"/>
                <w:bCs w:val="1"/>
                <w:i w:val="1"/>
                <w:iCs w:val="1"/>
                <w:color w:val="FFFFFF"/>
              </w:rPr>
              <w:t>4Q23</w:t>
            </w:r>
          </w:p>
        </w:tc>
        <w:tc>
          <w:tcPr>
            <w:tcW w:w="220" w:type="dxa"/>
            <w:vAlign w:val="bottom"/>
            <w:shd w:val="clear" w:color="auto" w:fill="33CCCC"/>
          </w:tcPr>
          <w:p>
            <w:pPr>
              <w:spacing w:after="0"/>
              <w:rPr>
                <w:sz w:val="12"/>
                <w:szCs w:val="12"/>
                <w:color w:val="auto"/>
              </w:rPr>
            </w:pPr>
          </w:p>
        </w:tc>
        <w:tc>
          <w:tcPr>
            <w:tcW w:w="680" w:type="dxa"/>
            <w:vAlign w:val="bottom"/>
            <w:vMerge w:val="restart"/>
            <w:shd w:val="clear" w:color="auto" w:fill="33CCCC"/>
          </w:tcPr>
          <w:p>
            <w:pPr>
              <w:jc w:val="right"/>
              <w:ind w:right="259"/>
              <w:spacing w:after="0"/>
              <w:rPr>
                <w:sz w:val="20"/>
                <w:szCs w:val="20"/>
                <w:color w:val="auto"/>
              </w:rPr>
            </w:pPr>
            <w:r>
              <w:rPr>
                <w:rFonts w:ascii="Calibri" w:cs="Calibri" w:eastAsia="Calibri" w:hAnsi="Calibri"/>
                <w:sz w:val="12"/>
                <w:szCs w:val="12"/>
                <w:b w:val="1"/>
                <w:bCs w:val="1"/>
                <w:i w:val="1"/>
                <w:iCs w:val="1"/>
                <w:color w:val="FFFFFF"/>
              </w:rPr>
              <w:t>3Q24</w:t>
            </w:r>
          </w:p>
        </w:tc>
        <w:tc>
          <w:tcPr>
            <w:tcW w:w="240" w:type="dxa"/>
            <w:vAlign w:val="bottom"/>
            <w:shd w:val="clear" w:color="auto" w:fill="33CCCC"/>
          </w:tcPr>
          <w:p>
            <w:pPr>
              <w:spacing w:after="0"/>
              <w:rPr>
                <w:sz w:val="12"/>
                <w:szCs w:val="12"/>
                <w:color w:val="auto"/>
              </w:rPr>
            </w:pPr>
          </w:p>
        </w:tc>
        <w:tc>
          <w:tcPr>
            <w:tcW w:w="700" w:type="dxa"/>
            <w:vAlign w:val="bottom"/>
            <w:vMerge w:val="restart"/>
            <w:shd w:val="clear" w:color="auto" w:fill="33CCCC"/>
          </w:tcPr>
          <w:p>
            <w:pPr>
              <w:jc w:val="right"/>
              <w:ind w:right="319"/>
              <w:spacing w:after="0"/>
              <w:rPr>
                <w:sz w:val="20"/>
                <w:szCs w:val="20"/>
                <w:color w:val="auto"/>
              </w:rPr>
            </w:pPr>
            <w:r>
              <w:rPr>
                <w:rFonts w:ascii="Calibri" w:cs="Calibri" w:eastAsia="Calibri" w:hAnsi="Calibri"/>
                <w:sz w:val="12"/>
                <w:szCs w:val="12"/>
                <w:b w:val="1"/>
                <w:bCs w:val="1"/>
                <w:i w:val="1"/>
                <w:iCs w:val="1"/>
                <w:color w:val="FFFFFF"/>
              </w:rPr>
              <w:t>4Q24</w:t>
            </w:r>
          </w:p>
        </w:tc>
        <w:tc>
          <w:tcPr>
            <w:tcW w:w="560" w:type="dxa"/>
            <w:vAlign w:val="bottom"/>
            <w:vMerge w:val="restart"/>
            <w:shd w:val="clear" w:color="auto" w:fill="33CCCC"/>
          </w:tcPr>
          <w:p>
            <w:pPr>
              <w:jc w:val="center"/>
              <w:ind w:left="139"/>
              <w:spacing w:after="0"/>
              <w:rPr>
                <w:sz w:val="20"/>
                <w:szCs w:val="20"/>
                <w:color w:val="auto"/>
              </w:rPr>
            </w:pPr>
            <w:r>
              <w:rPr>
                <w:rFonts w:ascii="Calibri" w:cs="Calibri" w:eastAsia="Calibri" w:hAnsi="Calibri"/>
                <w:sz w:val="12"/>
                <w:szCs w:val="12"/>
                <w:b w:val="1"/>
                <w:bCs w:val="1"/>
                <w:i w:val="1"/>
                <w:iCs w:val="1"/>
                <w:color w:val="FFFFFF"/>
              </w:rPr>
              <w:t>QoQ</w:t>
            </w:r>
          </w:p>
        </w:tc>
        <w:tc>
          <w:tcPr>
            <w:tcW w:w="1120" w:type="dxa"/>
            <w:vAlign w:val="bottom"/>
            <w:vMerge w:val="restart"/>
            <w:shd w:val="clear" w:color="auto" w:fill="33CCCC"/>
          </w:tcPr>
          <w:p>
            <w:pPr>
              <w:ind w:left="640"/>
              <w:spacing w:after="0"/>
              <w:rPr>
                <w:sz w:val="20"/>
                <w:szCs w:val="20"/>
                <w:color w:val="auto"/>
              </w:rPr>
            </w:pPr>
            <w:r>
              <w:rPr>
                <w:rFonts w:ascii="Calibri" w:cs="Calibri" w:eastAsia="Calibri" w:hAnsi="Calibri"/>
                <w:sz w:val="12"/>
                <w:szCs w:val="12"/>
                <w:b w:val="1"/>
                <w:bCs w:val="1"/>
                <w:i w:val="1"/>
                <w:iCs w:val="1"/>
                <w:color w:val="FFFFFF"/>
              </w:rPr>
              <w:t>YoY</w:t>
            </w:r>
          </w:p>
        </w:tc>
        <w:tc>
          <w:tcPr>
            <w:tcW w:w="300" w:type="dxa"/>
            <w:vAlign w:val="bottom"/>
            <w:shd w:val="clear" w:color="auto" w:fill="33CCCC"/>
          </w:tcPr>
          <w:p>
            <w:pPr>
              <w:spacing w:after="0"/>
              <w:rPr>
                <w:sz w:val="12"/>
                <w:szCs w:val="12"/>
                <w:color w:val="auto"/>
              </w:rPr>
            </w:pPr>
          </w:p>
        </w:tc>
        <w:tc>
          <w:tcPr>
            <w:tcW w:w="680" w:type="dxa"/>
            <w:vAlign w:val="bottom"/>
            <w:vMerge w:val="restart"/>
            <w:shd w:val="clear" w:color="auto" w:fill="33CCCC"/>
          </w:tcPr>
          <w:p>
            <w:pPr>
              <w:jc w:val="right"/>
              <w:ind w:right="239"/>
              <w:spacing w:after="0"/>
              <w:rPr>
                <w:sz w:val="20"/>
                <w:szCs w:val="20"/>
                <w:color w:val="auto"/>
              </w:rPr>
            </w:pPr>
            <w:r>
              <w:rPr>
                <w:rFonts w:ascii="Calibri" w:cs="Calibri" w:eastAsia="Calibri" w:hAnsi="Calibri"/>
                <w:sz w:val="12"/>
                <w:szCs w:val="12"/>
                <w:b w:val="1"/>
                <w:bCs w:val="1"/>
                <w:i w:val="1"/>
                <w:iCs w:val="1"/>
                <w:color w:val="FFFFFF"/>
              </w:rPr>
              <w:t>Dec 23</w:t>
            </w:r>
          </w:p>
        </w:tc>
        <w:tc>
          <w:tcPr>
            <w:tcW w:w="240" w:type="dxa"/>
            <w:vAlign w:val="bottom"/>
            <w:shd w:val="clear" w:color="auto" w:fill="33CCCC"/>
          </w:tcPr>
          <w:p>
            <w:pPr>
              <w:spacing w:after="0"/>
              <w:rPr>
                <w:sz w:val="12"/>
                <w:szCs w:val="12"/>
                <w:color w:val="auto"/>
              </w:rPr>
            </w:pPr>
          </w:p>
        </w:tc>
        <w:tc>
          <w:tcPr>
            <w:tcW w:w="660" w:type="dxa"/>
            <w:vAlign w:val="bottom"/>
            <w:vMerge w:val="restart"/>
            <w:shd w:val="clear" w:color="auto" w:fill="33CCCC"/>
          </w:tcPr>
          <w:p>
            <w:pPr>
              <w:jc w:val="right"/>
              <w:ind w:right="239"/>
              <w:spacing w:after="0"/>
              <w:rPr>
                <w:sz w:val="20"/>
                <w:szCs w:val="20"/>
                <w:color w:val="auto"/>
              </w:rPr>
            </w:pPr>
            <w:r>
              <w:rPr>
                <w:rFonts w:ascii="Calibri" w:cs="Calibri" w:eastAsia="Calibri" w:hAnsi="Calibri"/>
                <w:sz w:val="12"/>
                <w:szCs w:val="12"/>
                <w:b w:val="1"/>
                <w:bCs w:val="1"/>
                <w:i w:val="1"/>
                <w:iCs w:val="1"/>
                <w:color w:val="FFFFFF"/>
              </w:rPr>
              <w:t>Dec 24</w:t>
            </w:r>
          </w:p>
        </w:tc>
        <w:tc>
          <w:tcPr>
            <w:tcW w:w="1200" w:type="dxa"/>
            <w:vAlign w:val="bottom"/>
            <w:tcBorders>
              <w:right w:val="single" w:sz="8" w:color="auto"/>
            </w:tcBorders>
            <w:vMerge w:val="restart"/>
            <w:shd w:val="clear" w:color="auto" w:fill="33CCCC"/>
          </w:tcPr>
          <w:p>
            <w:pPr>
              <w:jc w:val="center"/>
              <w:spacing w:after="0"/>
              <w:rPr>
                <w:sz w:val="20"/>
                <w:szCs w:val="20"/>
                <w:color w:val="auto"/>
              </w:rPr>
            </w:pPr>
            <w:r>
              <w:rPr>
                <w:rFonts w:ascii="Calibri" w:cs="Calibri" w:eastAsia="Calibri" w:hAnsi="Calibri"/>
                <w:sz w:val="12"/>
                <w:szCs w:val="12"/>
                <w:b w:val="1"/>
                <w:bCs w:val="1"/>
                <w:i w:val="1"/>
                <w:iCs w:val="1"/>
                <w:color w:val="FFFFFF"/>
              </w:rPr>
              <w:t>Dec 24 / Dec 23</w:t>
            </w:r>
          </w:p>
        </w:tc>
        <w:tc>
          <w:tcPr>
            <w:tcW w:w="0" w:type="dxa"/>
            <w:vAlign w:val="bottom"/>
          </w:tcPr>
          <w:p>
            <w:pPr>
              <w:spacing w:after="0"/>
              <w:rPr>
                <w:sz w:val="1"/>
                <w:szCs w:val="1"/>
                <w:color w:val="auto"/>
              </w:rPr>
            </w:pPr>
          </w:p>
        </w:tc>
      </w:tr>
      <w:tr>
        <w:trPr>
          <w:trHeight w:val="149"/>
        </w:trPr>
        <w:tc>
          <w:tcPr>
            <w:tcW w:w="3740" w:type="dxa"/>
            <w:vAlign w:val="bottom"/>
            <w:tcBorders>
              <w:left w:val="single" w:sz="8" w:color="auto"/>
              <w:bottom w:val="single" w:sz="8" w:color="auto"/>
            </w:tcBorders>
            <w:shd w:val="clear" w:color="auto" w:fill="33CCCC"/>
          </w:tcPr>
          <w:p>
            <w:pPr>
              <w:spacing w:after="0"/>
              <w:rPr>
                <w:sz w:val="12"/>
                <w:szCs w:val="12"/>
                <w:color w:val="auto"/>
              </w:rPr>
            </w:pPr>
          </w:p>
        </w:tc>
        <w:tc>
          <w:tcPr>
            <w:tcW w:w="260" w:type="dxa"/>
            <w:vAlign w:val="bottom"/>
            <w:tcBorders>
              <w:bottom w:val="single" w:sz="8" w:color="auto"/>
            </w:tcBorders>
            <w:shd w:val="clear" w:color="auto" w:fill="33CCCC"/>
          </w:tcPr>
          <w:p>
            <w:pPr>
              <w:spacing w:after="0"/>
              <w:rPr>
                <w:sz w:val="12"/>
                <w:szCs w:val="12"/>
                <w:color w:val="auto"/>
              </w:rPr>
            </w:pPr>
          </w:p>
        </w:tc>
        <w:tc>
          <w:tcPr>
            <w:tcW w:w="640" w:type="dxa"/>
            <w:vAlign w:val="bottom"/>
            <w:tcBorders>
              <w:bottom w:val="single" w:sz="8" w:color="auto"/>
            </w:tcBorders>
            <w:vMerge w:val="continue"/>
            <w:shd w:val="clear" w:color="auto" w:fill="33CCCC"/>
          </w:tcPr>
          <w:p>
            <w:pPr>
              <w:spacing w:after="0"/>
              <w:rPr>
                <w:sz w:val="12"/>
                <w:szCs w:val="12"/>
                <w:color w:val="auto"/>
              </w:rPr>
            </w:pPr>
          </w:p>
        </w:tc>
        <w:tc>
          <w:tcPr>
            <w:tcW w:w="220" w:type="dxa"/>
            <w:vAlign w:val="bottom"/>
            <w:tcBorders>
              <w:bottom w:val="single" w:sz="8" w:color="auto"/>
            </w:tcBorders>
            <w:shd w:val="clear" w:color="auto" w:fill="33CCCC"/>
          </w:tcPr>
          <w:p>
            <w:pPr>
              <w:spacing w:after="0"/>
              <w:rPr>
                <w:sz w:val="12"/>
                <w:szCs w:val="12"/>
                <w:color w:val="auto"/>
              </w:rPr>
            </w:pPr>
          </w:p>
        </w:tc>
        <w:tc>
          <w:tcPr>
            <w:tcW w:w="680" w:type="dxa"/>
            <w:vAlign w:val="bottom"/>
            <w:tcBorders>
              <w:bottom w:val="single" w:sz="8" w:color="auto"/>
            </w:tcBorders>
            <w:vMerge w:val="continue"/>
            <w:shd w:val="clear" w:color="auto" w:fill="33CCCC"/>
          </w:tcPr>
          <w:p>
            <w:pPr>
              <w:spacing w:after="0"/>
              <w:rPr>
                <w:sz w:val="12"/>
                <w:szCs w:val="12"/>
                <w:color w:val="auto"/>
              </w:rPr>
            </w:pPr>
          </w:p>
        </w:tc>
        <w:tc>
          <w:tcPr>
            <w:tcW w:w="240" w:type="dxa"/>
            <w:vAlign w:val="bottom"/>
            <w:tcBorders>
              <w:bottom w:val="single" w:sz="8" w:color="auto"/>
            </w:tcBorders>
            <w:shd w:val="clear" w:color="auto" w:fill="33CCCC"/>
          </w:tcPr>
          <w:p>
            <w:pPr>
              <w:spacing w:after="0"/>
              <w:rPr>
                <w:sz w:val="12"/>
                <w:szCs w:val="12"/>
                <w:color w:val="auto"/>
              </w:rPr>
            </w:pPr>
          </w:p>
        </w:tc>
        <w:tc>
          <w:tcPr>
            <w:tcW w:w="700" w:type="dxa"/>
            <w:vAlign w:val="bottom"/>
            <w:tcBorders>
              <w:bottom w:val="single" w:sz="8" w:color="auto"/>
            </w:tcBorders>
            <w:vMerge w:val="continue"/>
            <w:shd w:val="clear" w:color="auto" w:fill="33CCCC"/>
          </w:tcPr>
          <w:p>
            <w:pPr>
              <w:spacing w:after="0"/>
              <w:rPr>
                <w:sz w:val="12"/>
                <w:szCs w:val="12"/>
                <w:color w:val="auto"/>
              </w:rPr>
            </w:pPr>
          </w:p>
        </w:tc>
        <w:tc>
          <w:tcPr>
            <w:tcW w:w="560" w:type="dxa"/>
            <w:vAlign w:val="bottom"/>
            <w:tcBorders>
              <w:bottom w:val="single" w:sz="8" w:color="auto"/>
            </w:tcBorders>
            <w:vMerge w:val="continue"/>
            <w:shd w:val="clear" w:color="auto" w:fill="33CCCC"/>
          </w:tcPr>
          <w:p>
            <w:pPr>
              <w:spacing w:after="0"/>
              <w:rPr>
                <w:sz w:val="12"/>
                <w:szCs w:val="12"/>
                <w:color w:val="auto"/>
              </w:rPr>
            </w:pPr>
          </w:p>
        </w:tc>
        <w:tc>
          <w:tcPr>
            <w:tcW w:w="1120" w:type="dxa"/>
            <w:vAlign w:val="bottom"/>
            <w:tcBorders>
              <w:bottom w:val="single" w:sz="8" w:color="auto"/>
            </w:tcBorders>
            <w:vMerge w:val="continue"/>
            <w:shd w:val="clear" w:color="auto" w:fill="33CCCC"/>
          </w:tcPr>
          <w:p>
            <w:pPr>
              <w:spacing w:after="0"/>
              <w:rPr>
                <w:sz w:val="12"/>
                <w:szCs w:val="12"/>
                <w:color w:val="auto"/>
              </w:rPr>
            </w:pPr>
          </w:p>
        </w:tc>
        <w:tc>
          <w:tcPr>
            <w:tcW w:w="300" w:type="dxa"/>
            <w:vAlign w:val="bottom"/>
            <w:tcBorders>
              <w:bottom w:val="single" w:sz="8" w:color="auto"/>
            </w:tcBorders>
            <w:shd w:val="clear" w:color="auto" w:fill="33CCCC"/>
          </w:tcPr>
          <w:p>
            <w:pPr>
              <w:spacing w:after="0"/>
              <w:rPr>
                <w:sz w:val="12"/>
                <w:szCs w:val="12"/>
                <w:color w:val="auto"/>
              </w:rPr>
            </w:pPr>
          </w:p>
        </w:tc>
        <w:tc>
          <w:tcPr>
            <w:tcW w:w="680" w:type="dxa"/>
            <w:vAlign w:val="bottom"/>
            <w:tcBorders>
              <w:bottom w:val="single" w:sz="8" w:color="auto"/>
            </w:tcBorders>
            <w:vMerge w:val="continue"/>
            <w:shd w:val="clear" w:color="auto" w:fill="33CCCC"/>
          </w:tcPr>
          <w:p>
            <w:pPr>
              <w:spacing w:after="0"/>
              <w:rPr>
                <w:sz w:val="12"/>
                <w:szCs w:val="12"/>
                <w:color w:val="auto"/>
              </w:rPr>
            </w:pPr>
          </w:p>
        </w:tc>
        <w:tc>
          <w:tcPr>
            <w:tcW w:w="240" w:type="dxa"/>
            <w:vAlign w:val="bottom"/>
            <w:tcBorders>
              <w:bottom w:val="single" w:sz="8" w:color="auto"/>
            </w:tcBorders>
            <w:shd w:val="clear" w:color="auto" w:fill="33CCCC"/>
          </w:tcPr>
          <w:p>
            <w:pPr>
              <w:spacing w:after="0"/>
              <w:rPr>
                <w:sz w:val="12"/>
                <w:szCs w:val="12"/>
                <w:color w:val="auto"/>
              </w:rPr>
            </w:pPr>
          </w:p>
        </w:tc>
        <w:tc>
          <w:tcPr>
            <w:tcW w:w="660" w:type="dxa"/>
            <w:vAlign w:val="bottom"/>
            <w:tcBorders>
              <w:bottom w:val="single" w:sz="8" w:color="auto"/>
            </w:tcBorders>
            <w:vMerge w:val="continue"/>
            <w:shd w:val="clear" w:color="auto" w:fill="33CCCC"/>
          </w:tcPr>
          <w:p>
            <w:pPr>
              <w:spacing w:after="0"/>
              <w:rPr>
                <w:sz w:val="12"/>
                <w:szCs w:val="12"/>
                <w:color w:val="auto"/>
              </w:rPr>
            </w:pPr>
          </w:p>
        </w:tc>
        <w:tc>
          <w:tcPr>
            <w:tcW w:w="1200" w:type="dxa"/>
            <w:vAlign w:val="bottom"/>
            <w:tcBorders>
              <w:bottom w:val="single" w:sz="8" w:color="auto"/>
              <w:right w:val="single" w:sz="8" w:color="auto"/>
            </w:tcBorders>
            <w:vMerge w:val="continue"/>
            <w:shd w:val="clear" w:color="auto" w:fill="33CCC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740" w:type="dxa"/>
            <w:vAlign w:val="bottom"/>
            <w:tcBorders>
              <w:left w:val="single" w:sz="8" w:color="auto"/>
            </w:tcBorders>
          </w:tcPr>
          <w:p>
            <w:pPr>
              <w:ind w:left="20"/>
              <w:spacing w:after="0" w:line="124" w:lineRule="exact"/>
              <w:rPr>
                <w:sz w:val="20"/>
                <w:szCs w:val="20"/>
                <w:color w:val="auto"/>
              </w:rPr>
            </w:pPr>
            <w:r>
              <w:rPr>
                <w:rFonts w:ascii="Calibri" w:cs="Calibri" w:eastAsia="Calibri" w:hAnsi="Calibri"/>
                <w:sz w:val="12"/>
                <w:szCs w:val="12"/>
                <w:color w:val="auto"/>
              </w:rPr>
              <w:t>Net Interest Income</w:t>
            </w:r>
          </w:p>
        </w:tc>
        <w:tc>
          <w:tcPr>
            <w:tcW w:w="260" w:type="dxa"/>
            <w:vAlign w:val="bottom"/>
          </w:tcPr>
          <w:p>
            <w:pPr>
              <w:spacing w:after="0"/>
              <w:rPr>
                <w:sz w:val="10"/>
                <w:szCs w:val="10"/>
                <w:color w:val="auto"/>
              </w:rPr>
            </w:pPr>
          </w:p>
        </w:tc>
        <w:tc>
          <w:tcPr>
            <w:tcW w:w="640" w:type="dxa"/>
            <w:vAlign w:val="bottom"/>
          </w:tcPr>
          <w:p>
            <w:pPr>
              <w:jc w:val="right"/>
              <w:ind w:right="119"/>
              <w:spacing w:after="0" w:line="124" w:lineRule="exact"/>
              <w:rPr>
                <w:sz w:val="20"/>
                <w:szCs w:val="20"/>
                <w:color w:val="auto"/>
              </w:rPr>
            </w:pPr>
            <w:r>
              <w:rPr>
                <w:rFonts w:ascii="Calibri" w:cs="Calibri" w:eastAsia="Calibri" w:hAnsi="Calibri"/>
                <w:sz w:val="12"/>
                <w:szCs w:val="12"/>
                <w:color w:val="auto"/>
              </w:rPr>
              <w:t>54.8</w:t>
            </w:r>
          </w:p>
        </w:tc>
        <w:tc>
          <w:tcPr>
            <w:tcW w:w="220" w:type="dxa"/>
            <w:vAlign w:val="bottom"/>
          </w:tcPr>
          <w:p>
            <w:pPr>
              <w:spacing w:after="0"/>
              <w:rPr>
                <w:sz w:val="10"/>
                <w:szCs w:val="10"/>
                <w:color w:val="auto"/>
              </w:rPr>
            </w:pPr>
          </w:p>
        </w:tc>
        <w:tc>
          <w:tcPr>
            <w:tcW w:w="680" w:type="dxa"/>
            <w:vAlign w:val="bottom"/>
          </w:tcPr>
          <w:p>
            <w:pPr>
              <w:jc w:val="right"/>
              <w:ind w:right="119"/>
              <w:spacing w:after="0" w:line="124" w:lineRule="exact"/>
              <w:rPr>
                <w:sz w:val="20"/>
                <w:szCs w:val="20"/>
                <w:color w:val="auto"/>
              </w:rPr>
            </w:pPr>
            <w:r>
              <w:rPr>
                <w:rFonts w:ascii="Calibri" w:cs="Calibri" w:eastAsia="Calibri" w:hAnsi="Calibri"/>
                <w:sz w:val="12"/>
                <w:szCs w:val="12"/>
                <w:color w:val="auto"/>
              </w:rPr>
              <w:t>75.0</w:t>
            </w:r>
          </w:p>
        </w:tc>
        <w:tc>
          <w:tcPr>
            <w:tcW w:w="240" w:type="dxa"/>
            <w:vAlign w:val="bottom"/>
          </w:tcPr>
          <w:p>
            <w:pPr>
              <w:spacing w:after="0"/>
              <w:rPr>
                <w:sz w:val="10"/>
                <w:szCs w:val="10"/>
                <w:color w:val="auto"/>
              </w:rPr>
            </w:pPr>
          </w:p>
        </w:tc>
        <w:tc>
          <w:tcPr>
            <w:tcW w:w="700" w:type="dxa"/>
            <w:vAlign w:val="bottom"/>
          </w:tcPr>
          <w:p>
            <w:pPr>
              <w:jc w:val="right"/>
              <w:ind w:right="179"/>
              <w:spacing w:after="0" w:line="124" w:lineRule="exact"/>
              <w:rPr>
                <w:sz w:val="20"/>
                <w:szCs w:val="20"/>
                <w:color w:val="auto"/>
              </w:rPr>
            </w:pPr>
            <w:r>
              <w:rPr>
                <w:rFonts w:ascii="Calibri" w:cs="Calibri" w:eastAsia="Calibri" w:hAnsi="Calibri"/>
                <w:sz w:val="12"/>
                <w:szCs w:val="12"/>
                <w:color w:val="auto"/>
              </w:rPr>
              <w:t>94.2</w:t>
            </w:r>
          </w:p>
        </w:tc>
        <w:tc>
          <w:tcPr>
            <w:tcW w:w="560" w:type="dxa"/>
            <w:vAlign w:val="bottom"/>
          </w:tcPr>
          <w:p>
            <w:pPr>
              <w:jc w:val="center"/>
              <w:ind w:left="159"/>
              <w:spacing w:after="0" w:line="124" w:lineRule="exact"/>
              <w:rPr>
                <w:sz w:val="20"/>
                <w:szCs w:val="20"/>
                <w:color w:val="auto"/>
              </w:rPr>
            </w:pPr>
            <w:r>
              <w:rPr>
                <w:rFonts w:ascii="Calibri" w:cs="Calibri" w:eastAsia="Calibri" w:hAnsi="Calibri"/>
                <w:sz w:val="12"/>
                <w:szCs w:val="12"/>
                <w:color w:val="auto"/>
              </w:rPr>
              <w:t>25.6%</w:t>
            </w:r>
          </w:p>
        </w:tc>
        <w:tc>
          <w:tcPr>
            <w:tcW w:w="1120" w:type="dxa"/>
            <w:vAlign w:val="bottom"/>
          </w:tcPr>
          <w:p>
            <w:pPr>
              <w:jc w:val="center"/>
              <w:ind w:left="259"/>
              <w:spacing w:after="0" w:line="124" w:lineRule="exact"/>
              <w:rPr>
                <w:sz w:val="20"/>
                <w:szCs w:val="20"/>
                <w:color w:val="auto"/>
              </w:rPr>
            </w:pPr>
            <w:r>
              <w:rPr>
                <w:rFonts w:ascii="Calibri" w:cs="Calibri" w:eastAsia="Calibri" w:hAnsi="Calibri"/>
                <w:sz w:val="12"/>
                <w:szCs w:val="12"/>
                <w:color w:val="auto"/>
              </w:rPr>
              <w:t>71.9%</w:t>
            </w:r>
          </w:p>
        </w:tc>
        <w:tc>
          <w:tcPr>
            <w:tcW w:w="300" w:type="dxa"/>
            <w:vAlign w:val="bottom"/>
          </w:tcPr>
          <w:p>
            <w:pPr>
              <w:spacing w:after="0"/>
              <w:rPr>
                <w:sz w:val="10"/>
                <w:szCs w:val="10"/>
                <w:color w:val="auto"/>
              </w:rPr>
            </w:pPr>
          </w:p>
        </w:tc>
        <w:tc>
          <w:tcPr>
            <w:tcW w:w="680" w:type="dxa"/>
            <w:vAlign w:val="bottom"/>
          </w:tcPr>
          <w:p>
            <w:pPr>
              <w:jc w:val="right"/>
              <w:ind w:right="139"/>
              <w:spacing w:after="0" w:line="124" w:lineRule="exact"/>
              <w:rPr>
                <w:sz w:val="20"/>
                <w:szCs w:val="20"/>
                <w:color w:val="auto"/>
              </w:rPr>
            </w:pPr>
            <w:r>
              <w:rPr>
                <w:rFonts w:ascii="Calibri" w:cs="Calibri" w:eastAsia="Calibri" w:hAnsi="Calibri"/>
                <w:sz w:val="12"/>
                <w:szCs w:val="12"/>
                <w:color w:val="auto"/>
              </w:rPr>
              <w:t>163.0</w:t>
            </w:r>
          </w:p>
        </w:tc>
        <w:tc>
          <w:tcPr>
            <w:tcW w:w="240" w:type="dxa"/>
            <w:vAlign w:val="bottom"/>
          </w:tcPr>
          <w:p>
            <w:pPr>
              <w:spacing w:after="0"/>
              <w:rPr>
                <w:sz w:val="10"/>
                <w:szCs w:val="10"/>
                <w:color w:val="auto"/>
              </w:rPr>
            </w:pPr>
          </w:p>
        </w:tc>
        <w:tc>
          <w:tcPr>
            <w:tcW w:w="660" w:type="dxa"/>
            <w:vAlign w:val="bottom"/>
          </w:tcPr>
          <w:p>
            <w:pPr>
              <w:jc w:val="right"/>
              <w:ind w:right="139"/>
              <w:spacing w:after="0" w:line="124" w:lineRule="exact"/>
              <w:rPr>
                <w:sz w:val="20"/>
                <w:szCs w:val="20"/>
                <w:color w:val="auto"/>
              </w:rPr>
            </w:pPr>
            <w:r>
              <w:rPr>
                <w:rFonts w:ascii="Calibri" w:cs="Calibri" w:eastAsia="Calibri" w:hAnsi="Calibri"/>
                <w:sz w:val="12"/>
                <w:szCs w:val="12"/>
                <w:color w:val="auto"/>
              </w:rPr>
              <w:t>283.6</w:t>
            </w:r>
          </w:p>
        </w:tc>
        <w:tc>
          <w:tcPr>
            <w:tcW w:w="1200" w:type="dxa"/>
            <w:vAlign w:val="bottom"/>
            <w:tcBorders>
              <w:right w:val="single" w:sz="8" w:color="auto"/>
            </w:tcBorders>
          </w:tcPr>
          <w:p>
            <w:pPr>
              <w:jc w:val="center"/>
              <w:spacing w:after="0" w:line="124" w:lineRule="exact"/>
              <w:rPr>
                <w:sz w:val="20"/>
                <w:szCs w:val="20"/>
                <w:color w:val="auto"/>
              </w:rPr>
            </w:pPr>
            <w:r>
              <w:rPr>
                <w:rFonts w:ascii="Calibri" w:cs="Calibri" w:eastAsia="Calibri" w:hAnsi="Calibri"/>
                <w:sz w:val="12"/>
                <w:szCs w:val="12"/>
                <w:color w:val="auto"/>
              </w:rPr>
              <w:t>74.0%</w:t>
            </w:r>
          </w:p>
        </w:tc>
        <w:tc>
          <w:tcPr>
            <w:tcW w:w="0" w:type="dxa"/>
            <w:vAlign w:val="bottom"/>
          </w:tcPr>
          <w:p>
            <w:pPr>
              <w:spacing w:after="0"/>
              <w:rPr>
                <w:sz w:val="1"/>
                <w:szCs w:val="1"/>
                <w:color w:val="auto"/>
              </w:rPr>
            </w:pPr>
          </w:p>
        </w:tc>
      </w:tr>
      <w:tr>
        <w:trPr>
          <w:trHeight w:val="162"/>
        </w:trPr>
        <w:tc>
          <w:tcPr>
            <w:tcW w:w="3740" w:type="dxa"/>
            <w:vAlign w:val="bottom"/>
            <w:tcBorders>
              <w:left w:val="single" w:sz="8" w:color="auto"/>
              <w:bottom w:val="single" w:sz="8" w:color="auto"/>
            </w:tcBorders>
          </w:tcPr>
          <w:p>
            <w:pPr>
              <w:ind w:left="20"/>
              <w:spacing w:after="0" w:line="162" w:lineRule="exact"/>
              <w:rPr>
                <w:sz w:val="20"/>
                <w:szCs w:val="20"/>
                <w:color w:val="auto"/>
              </w:rPr>
            </w:pPr>
            <w:r>
              <w:rPr>
                <w:rFonts w:ascii="Calibri" w:cs="Calibri" w:eastAsia="Calibri" w:hAnsi="Calibri"/>
                <w:sz w:val="11"/>
                <w:szCs w:val="11"/>
                <w:color w:val="auto"/>
              </w:rPr>
              <w:t xml:space="preserve">Net Fee Income </w:t>
            </w:r>
            <w:r>
              <w:rPr>
                <w:rFonts w:ascii="Calibri" w:cs="Calibri" w:eastAsia="Calibri" w:hAnsi="Calibri"/>
                <w:sz w:val="17"/>
                <w:szCs w:val="17"/>
                <w:color w:val="auto"/>
                <w:vertAlign w:val="superscript"/>
              </w:rPr>
              <w:t>(2)</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Calibri" w:cs="Calibri" w:eastAsia="Calibri" w:hAnsi="Calibri"/>
                <w:sz w:val="12"/>
                <w:szCs w:val="12"/>
                <w:color w:val="auto"/>
              </w:rPr>
              <w:t>52.5</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9"/>
              <w:spacing w:after="0"/>
              <w:rPr>
                <w:sz w:val="20"/>
                <w:szCs w:val="20"/>
                <w:color w:val="auto"/>
              </w:rPr>
            </w:pPr>
            <w:r>
              <w:rPr>
                <w:rFonts w:ascii="Calibri" w:cs="Calibri" w:eastAsia="Calibri" w:hAnsi="Calibri"/>
                <w:sz w:val="12"/>
                <w:szCs w:val="12"/>
                <w:color w:val="auto"/>
              </w:rPr>
              <w:t>114.7</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Calibri" w:cs="Calibri" w:eastAsia="Calibri" w:hAnsi="Calibri"/>
                <w:sz w:val="12"/>
                <w:szCs w:val="12"/>
                <w:color w:val="auto"/>
              </w:rPr>
              <w:t>139.0</w:t>
            </w:r>
          </w:p>
        </w:tc>
        <w:tc>
          <w:tcPr>
            <w:tcW w:w="560" w:type="dxa"/>
            <w:vAlign w:val="bottom"/>
            <w:tcBorders>
              <w:bottom w:val="single" w:sz="8" w:color="auto"/>
            </w:tcBorders>
          </w:tcPr>
          <w:p>
            <w:pPr>
              <w:jc w:val="center"/>
              <w:ind w:left="159"/>
              <w:spacing w:after="0"/>
              <w:rPr>
                <w:sz w:val="20"/>
                <w:szCs w:val="20"/>
                <w:color w:val="auto"/>
              </w:rPr>
            </w:pPr>
            <w:r>
              <w:rPr>
                <w:rFonts w:ascii="Calibri" w:cs="Calibri" w:eastAsia="Calibri" w:hAnsi="Calibri"/>
                <w:sz w:val="12"/>
                <w:szCs w:val="12"/>
                <w:color w:val="auto"/>
              </w:rPr>
              <w:t>21.1%</w:t>
            </w:r>
          </w:p>
        </w:tc>
        <w:tc>
          <w:tcPr>
            <w:tcW w:w="1120" w:type="dxa"/>
            <w:vAlign w:val="bottom"/>
            <w:tcBorders>
              <w:bottom w:val="single" w:sz="8" w:color="auto"/>
            </w:tcBorders>
          </w:tcPr>
          <w:p>
            <w:pPr>
              <w:jc w:val="center"/>
              <w:ind w:left="259"/>
              <w:spacing w:after="0"/>
              <w:rPr>
                <w:sz w:val="20"/>
                <w:szCs w:val="20"/>
                <w:color w:val="auto"/>
              </w:rPr>
            </w:pPr>
            <w:r>
              <w:rPr>
                <w:rFonts w:ascii="Calibri" w:cs="Calibri" w:eastAsia="Calibri" w:hAnsi="Calibri"/>
                <w:sz w:val="12"/>
                <w:szCs w:val="12"/>
                <w:color w:val="auto"/>
              </w:rPr>
              <w:t>164.8%</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Calibri" w:cs="Calibri" w:eastAsia="Calibri" w:hAnsi="Calibri"/>
                <w:sz w:val="12"/>
                <w:szCs w:val="12"/>
                <w:color w:val="auto"/>
              </w:rPr>
              <w:t>127.8</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9"/>
              <w:spacing w:after="0"/>
              <w:rPr>
                <w:sz w:val="20"/>
                <w:szCs w:val="20"/>
                <w:color w:val="auto"/>
              </w:rPr>
            </w:pPr>
            <w:r>
              <w:rPr>
                <w:rFonts w:ascii="Calibri" w:cs="Calibri" w:eastAsia="Calibri" w:hAnsi="Calibri"/>
                <w:sz w:val="12"/>
                <w:szCs w:val="12"/>
                <w:color w:val="auto"/>
              </w:rPr>
              <w:t>400.1</w:t>
            </w:r>
          </w:p>
        </w:tc>
        <w:tc>
          <w:tcPr>
            <w:tcW w:w="12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213.0%</w:t>
            </w:r>
          </w:p>
        </w:tc>
        <w:tc>
          <w:tcPr>
            <w:tcW w:w="0" w:type="dxa"/>
            <w:vAlign w:val="bottom"/>
          </w:tcPr>
          <w:p>
            <w:pPr>
              <w:spacing w:after="0"/>
              <w:rPr>
                <w:sz w:val="1"/>
                <w:szCs w:val="1"/>
                <w:color w:val="auto"/>
              </w:rPr>
            </w:pPr>
          </w:p>
        </w:tc>
      </w:tr>
      <w:tr>
        <w:trPr>
          <w:trHeight w:val="137"/>
        </w:trPr>
        <w:tc>
          <w:tcPr>
            <w:tcW w:w="3740" w:type="dxa"/>
            <w:vAlign w:val="bottom"/>
            <w:tcBorders>
              <w:left w:val="single" w:sz="8" w:color="auto"/>
              <w:bottom w:val="single" w:sz="8" w:color="auto"/>
            </w:tcBorders>
          </w:tcPr>
          <w:p>
            <w:pPr>
              <w:ind w:left="20"/>
              <w:spacing w:after="0" w:line="138" w:lineRule="exact"/>
              <w:rPr>
                <w:sz w:val="20"/>
                <w:szCs w:val="20"/>
                <w:color w:val="auto"/>
              </w:rPr>
            </w:pPr>
            <w:r>
              <w:rPr>
                <w:rFonts w:ascii="Calibri" w:cs="Calibri" w:eastAsia="Calibri" w:hAnsi="Calibri"/>
                <w:sz w:val="12"/>
                <w:szCs w:val="12"/>
                <w:b w:val="1"/>
                <w:bCs w:val="1"/>
                <w:color w:val="auto"/>
              </w:rPr>
              <w:t>Total Income</w:t>
            </w: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9"/>
              <w:spacing w:after="0" w:line="138" w:lineRule="exact"/>
              <w:rPr>
                <w:sz w:val="20"/>
                <w:szCs w:val="20"/>
                <w:color w:val="auto"/>
              </w:rPr>
            </w:pPr>
            <w:r>
              <w:rPr>
                <w:rFonts w:ascii="Calibri" w:cs="Calibri" w:eastAsia="Calibri" w:hAnsi="Calibri"/>
                <w:sz w:val="12"/>
                <w:szCs w:val="12"/>
                <w:color w:val="auto"/>
              </w:rPr>
              <w:t>107.3</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9"/>
              <w:spacing w:after="0" w:line="138" w:lineRule="exact"/>
              <w:rPr>
                <w:sz w:val="20"/>
                <w:szCs w:val="20"/>
                <w:color w:val="auto"/>
              </w:rPr>
            </w:pPr>
            <w:r>
              <w:rPr>
                <w:rFonts w:ascii="Calibri" w:cs="Calibri" w:eastAsia="Calibri" w:hAnsi="Calibri"/>
                <w:sz w:val="12"/>
                <w:szCs w:val="12"/>
                <w:color w:val="auto"/>
              </w:rPr>
              <w:t>189.7</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9"/>
              <w:spacing w:after="0" w:line="138" w:lineRule="exact"/>
              <w:rPr>
                <w:sz w:val="20"/>
                <w:szCs w:val="20"/>
                <w:color w:val="auto"/>
              </w:rPr>
            </w:pPr>
            <w:r>
              <w:rPr>
                <w:rFonts w:ascii="Calibri" w:cs="Calibri" w:eastAsia="Calibri" w:hAnsi="Calibri"/>
                <w:sz w:val="12"/>
                <w:szCs w:val="12"/>
                <w:color w:val="auto"/>
              </w:rPr>
              <w:t>233.2</w:t>
            </w:r>
          </w:p>
        </w:tc>
        <w:tc>
          <w:tcPr>
            <w:tcW w:w="560" w:type="dxa"/>
            <w:vAlign w:val="bottom"/>
            <w:tcBorders>
              <w:bottom w:val="single" w:sz="8" w:color="auto"/>
            </w:tcBorders>
          </w:tcPr>
          <w:p>
            <w:pPr>
              <w:jc w:val="center"/>
              <w:ind w:left="159"/>
              <w:spacing w:after="0" w:line="138" w:lineRule="exact"/>
              <w:rPr>
                <w:sz w:val="20"/>
                <w:szCs w:val="20"/>
                <w:color w:val="auto"/>
              </w:rPr>
            </w:pPr>
            <w:r>
              <w:rPr>
                <w:rFonts w:ascii="Calibri" w:cs="Calibri" w:eastAsia="Calibri" w:hAnsi="Calibri"/>
                <w:sz w:val="12"/>
                <w:szCs w:val="12"/>
                <w:color w:val="auto"/>
              </w:rPr>
              <w:t>22.9%</w:t>
            </w:r>
          </w:p>
        </w:tc>
        <w:tc>
          <w:tcPr>
            <w:tcW w:w="1120" w:type="dxa"/>
            <w:vAlign w:val="bottom"/>
            <w:tcBorders>
              <w:bottom w:val="single" w:sz="8" w:color="auto"/>
            </w:tcBorders>
          </w:tcPr>
          <w:p>
            <w:pPr>
              <w:jc w:val="center"/>
              <w:ind w:left="259"/>
              <w:spacing w:after="0" w:line="138" w:lineRule="exact"/>
              <w:rPr>
                <w:sz w:val="20"/>
                <w:szCs w:val="20"/>
                <w:color w:val="auto"/>
              </w:rPr>
            </w:pPr>
            <w:r>
              <w:rPr>
                <w:rFonts w:ascii="Calibri" w:cs="Calibri" w:eastAsia="Calibri" w:hAnsi="Calibri"/>
                <w:sz w:val="12"/>
                <w:szCs w:val="12"/>
                <w:color w:val="auto"/>
              </w:rPr>
              <w:t>117.3%</w:t>
            </w:r>
          </w:p>
        </w:tc>
        <w:tc>
          <w:tcPr>
            <w:tcW w:w="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9"/>
              <w:spacing w:after="0" w:line="138" w:lineRule="exact"/>
              <w:rPr>
                <w:sz w:val="20"/>
                <w:szCs w:val="20"/>
                <w:color w:val="auto"/>
              </w:rPr>
            </w:pPr>
            <w:r>
              <w:rPr>
                <w:rFonts w:ascii="Calibri" w:cs="Calibri" w:eastAsia="Calibri" w:hAnsi="Calibri"/>
                <w:sz w:val="12"/>
                <w:szCs w:val="12"/>
                <w:color w:val="auto"/>
              </w:rPr>
              <w:t>290.8</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39"/>
              <w:spacing w:after="0" w:line="138" w:lineRule="exact"/>
              <w:rPr>
                <w:sz w:val="20"/>
                <w:szCs w:val="20"/>
                <w:color w:val="auto"/>
              </w:rPr>
            </w:pPr>
            <w:r>
              <w:rPr>
                <w:rFonts w:ascii="Calibri" w:cs="Calibri" w:eastAsia="Calibri" w:hAnsi="Calibri"/>
                <w:sz w:val="12"/>
                <w:szCs w:val="12"/>
                <w:color w:val="auto"/>
              </w:rPr>
              <w:t>683.7</w:t>
            </w:r>
          </w:p>
        </w:tc>
        <w:tc>
          <w:tcPr>
            <w:tcW w:w="120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135.1%</w:t>
            </w:r>
          </w:p>
        </w:tc>
        <w:tc>
          <w:tcPr>
            <w:tcW w:w="0" w:type="dxa"/>
            <w:vAlign w:val="bottom"/>
          </w:tcPr>
          <w:p>
            <w:pPr>
              <w:spacing w:after="0"/>
              <w:rPr>
                <w:sz w:val="1"/>
                <w:szCs w:val="1"/>
                <w:color w:val="auto"/>
              </w:rPr>
            </w:pPr>
          </w:p>
        </w:tc>
      </w:tr>
      <w:tr>
        <w:trPr>
          <w:trHeight w:val="137"/>
        </w:trPr>
        <w:tc>
          <w:tcPr>
            <w:tcW w:w="3740" w:type="dxa"/>
            <w:vAlign w:val="bottom"/>
            <w:tcBorders>
              <w:left w:val="single" w:sz="8" w:color="auto"/>
              <w:bottom w:val="single" w:sz="8" w:color="auto"/>
            </w:tcBorders>
          </w:tcPr>
          <w:p>
            <w:pPr>
              <w:ind w:left="20"/>
              <w:spacing w:after="0" w:line="138" w:lineRule="exact"/>
              <w:rPr>
                <w:sz w:val="20"/>
                <w:szCs w:val="20"/>
                <w:color w:val="auto"/>
              </w:rPr>
            </w:pPr>
            <w:r>
              <w:rPr>
                <w:rFonts w:ascii="Calibri" w:cs="Calibri" w:eastAsia="Calibri" w:hAnsi="Calibri"/>
                <w:sz w:val="12"/>
                <w:szCs w:val="12"/>
                <w:b w:val="1"/>
                <w:bCs w:val="1"/>
                <w:color w:val="auto"/>
              </w:rPr>
              <w:t>Total Expenses</w:t>
            </w:r>
          </w:p>
        </w:tc>
        <w:tc>
          <w:tcPr>
            <w:tcW w:w="260" w:type="dxa"/>
            <w:vAlign w:val="bottom"/>
            <w:tcBorders>
              <w:bottom w:val="single" w:sz="8" w:color="auto"/>
            </w:tcBorders>
          </w:tcPr>
          <w:p>
            <w:pPr>
              <w:jc w:val="right"/>
              <w:ind w:right="19"/>
              <w:spacing w:after="0" w:line="138" w:lineRule="exact"/>
              <w:rPr>
                <w:sz w:val="20"/>
                <w:szCs w:val="20"/>
                <w:color w:val="auto"/>
              </w:rPr>
            </w:pPr>
            <w:r>
              <w:rPr>
                <w:rFonts w:ascii="Calibri" w:cs="Calibri" w:eastAsia="Calibri" w:hAnsi="Calibri"/>
                <w:sz w:val="12"/>
                <w:szCs w:val="12"/>
                <w:color w:val="auto"/>
              </w:rPr>
              <w:t>-</w:t>
            </w:r>
          </w:p>
        </w:tc>
        <w:tc>
          <w:tcPr>
            <w:tcW w:w="640" w:type="dxa"/>
            <w:vAlign w:val="bottom"/>
            <w:tcBorders>
              <w:bottom w:val="single" w:sz="8" w:color="auto"/>
            </w:tcBorders>
          </w:tcPr>
          <w:p>
            <w:pPr>
              <w:jc w:val="right"/>
              <w:ind w:right="99"/>
              <w:spacing w:after="0" w:line="138" w:lineRule="exact"/>
              <w:rPr>
                <w:sz w:val="20"/>
                <w:szCs w:val="20"/>
                <w:color w:val="auto"/>
              </w:rPr>
            </w:pPr>
            <w:r>
              <w:rPr>
                <w:rFonts w:ascii="Calibri" w:cs="Calibri" w:eastAsia="Calibri" w:hAnsi="Calibri"/>
                <w:sz w:val="12"/>
                <w:szCs w:val="12"/>
                <w:color w:val="auto"/>
              </w:rPr>
              <w:t>137.5</w:t>
            </w:r>
          </w:p>
        </w:tc>
        <w:tc>
          <w:tcPr>
            <w:tcW w:w="220" w:type="dxa"/>
            <w:vAlign w:val="bottom"/>
            <w:tcBorders>
              <w:bottom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w:t>
            </w:r>
          </w:p>
        </w:tc>
        <w:tc>
          <w:tcPr>
            <w:tcW w:w="680" w:type="dxa"/>
            <w:vAlign w:val="bottom"/>
            <w:tcBorders>
              <w:bottom w:val="single" w:sz="8" w:color="auto"/>
            </w:tcBorders>
          </w:tcPr>
          <w:p>
            <w:pPr>
              <w:jc w:val="right"/>
              <w:ind w:right="99"/>
              <w:spacing w:after="0" w:line="138" w:lineRule="exact"/>
              <w:rPr>
                <w:sz w:val="20"/>
                <w:szCs w:val="20"/>
                <w:color w:val="auto"/>
              </w:rPr>
            </w:pPr>
            <w:r>
              <w:rPr>
                <w:rFonts w:ascii="Calibri" w:cs="Calibri" w:eastAsia="Calibri" w:hAnsi="Calibri"/>
                <w:sz w:val="12"/>
                <w:szCs w:val="12"/>
                <w:color w:val="auto"/>
              </w:rPr>
              <w:t>161.5</w:t>
            </w:r>
          </w:p>
        </w:tc>
        <w:tc>
          <w:tcPr>
            <w:tcW w:w="240" w:type="dxa"/>
            <w:vAlign w:val="bottom"/>
            <w:tcBorders>
              <w:bottom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w:t>
            </w:r>
          </w:p>
        </w:tc>
        <w:tc>
          <w:tcPr>
            <w:tcW w:w="700" w:type="dxa"/>
            <w:vAlign w:val="bottom"/>
            <w:tcBorders>
              <w:bottom w:val="single" w:sz="8" w:color="auto"/>
            </w:tcBorders>
          </w:tcPr>
          <w:p>
            <w:pPr>
              <w:jc w:val="right"/>
              <w:ind w:right="159"/>
              <w:spacing w:after="0" w:line="138" w:lineRule="exact"/>
              <w:rPr>
                <w:sz w:val="20"/>
                <w:szCs w:val="20"/>
                <w:color w:val="auto"/>
              </w:rPr>
            </w:pPr>
            <w:r>
              <w:rPr>
                <w:rFonts w:ascii="Calibri" w:cs="Calibri" w:eastAsia="Calibri" w:hAnsi="Calibri"/>
                <w:sz w:val="12"/>
                <w:szCs w:val="12"/>
                <w:color w:val="auto"/>
              </w:rPr>
              <w:t>195.6</w:t>
            </w:r>
          </w:p>
        </w:tc>
        <w:tc>
          <w:tcPr>
            <w:tcW w:w="560" w:type="dxa"/>
            <w:vAlign w:val="bottom"/>
            <w:tcBorders>
              <w:bottom w:val="single" w:sz="8" w:color="auto"/>
            </w:tcBorders>
          </w:tcPr>
          <w:p>
            <w:pPr>
              <w:jc w:val="center"/>
              <w:ind w:left="159"/>
              <w:spacing w:after="0" w:line="138" w:lineRule="exact"/>
              <w:rPr>
                <w:sz w:val="20"/>
                <w:szCs w:val="20"/>
                <w:color w:val="auto"/>
              </w:rPr>
            </w:pPr>
            <w:r>
              <w:rPr>
                <w:rFonts w:ascii="Calibri" w:cs="Calibri" w:eastAsia="Calibri" w:hAnsi="Calibri"/>
                <w:sz w:val="12"/>
                <w:szCs w:val="12"/>
                <w:color w:val="auto"/>
              </w:rPr>
              <w:t>21.1%</w:t>
            </w:r>
          </w:p>
        </w:tc>
        <w:tc>
          <w:tcPr>
            <w:tcW w:w="1120" w:type="dxa"/>
            <w:vAlign w:val="bottom"/>
            <w:tcBorders>
              <w:bottom w:val="single" w:sz="8" w:color="auto"/>
            </w:tcBorders>
          </w:tcPr>
          <w:p>
            <w:pPr>
              <w:jc w:val="center"/>
              <w:ind w:left="259"/>
              <w:spacing w:after="0" w:line="138" w:lineRule="exact"/>
              <w:rPr>
                <w:sz w:val="20"/>
                <w:szCs w:val="20"/>
                <w:color w:val="auto"/>
              </w:rPr>
            </w:pPr>
            <w:r>
              <w:rPr>
                <w:rFonts w:ascii="Calibri" w:cs="Calibri" w:eastAsia="Calibri" w:hAnsi="Calibri"/>
                <w:sz w:val="12"/>
                <w:szCs w:val="12"/>
                <w:color w:val="auto"/>
              </w:rPr>
              <w:t>42.2%</w:t>
            </w:r>
          </w:p>
        </w:tc>
        <w:tc>
          <w:tcPr>
            <w:tcW w:w="300" w:type="dxa"/>
            <w:vAlign w:val="bottom"/>
            <w:tcBorders>
              <w:bottom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w:t>
            </w:r>
          </w:p>
        </w:tc>
        <w:tc>
          <w:tcPr>
            <w:tcW w:w="680" w:type="dxa"/>
            <w:vAlign w:val="bottom"/>
            <w:tcBorders>
              <w:bottom w:val="single" w:sz="8" w:color="auto"/>
            </w:tcBorders>
          </w:tcPr>
          <w:p>
            <w:pPr>
              <w:jc w:val="right"/>
              <w:ind w:right="139"/>
              <w:spacing w:after="0" w:line="138" w:lineRule="exact"/>
              <w:rPr>
                <w:sz w:val="20"/>
                <w:szCs w:val="20"/>
                <w:color w:val="auto"/>
              </w:rPr>
            </w:pPr>
            <w:r>
              <w:rPr>
                <w:rFonts w:ascii="Calibri" w:cs="Calibri" w:eastAsia="Calibri" w:hAnsi="Calibri"/>
                <w:sz w:val="12"/>
                <w:szCs w:val="12"/>
                <w:color w:val="auto"/>
              </w:rPr>
              <w:t>444.1</w:t>
            </w:r>
          </w:p>
        </w:tc>
        <w:tc>
          <w:tcPr>
            <w:tcW w:w="240" w:type="dxa"/>
            <w:vAlign w:val="bottom"/>
            <w:tcBorders>
              <w:bottom w:val="single" w:sz="8" w:color="auto"/>
            </w:tcBorders>
          </w:tcPr>
          <w:p>
            <w:pPr>
              <w:jc w:val="right"/>
              <w:spacing w:after="0" w:line="138" w:lineRule="exact"/>
              <w:rPr>
                <w:sz w:val="20"/>
                <w:szCs w:val="20"/>
                <w:color w:val="auto"/>
              </w:rPr>
            </w:pPr>
            <w:r>
              <w:rPr>
                <w:rFonts w:ascii="Calibri" w:cs="Calibri" w:eastAsia="Calibri" w:hAnsi="Calibri"/>
                <w:sz w:val="12"/>
                <w:szCs w:val="12"/>
                <w:color w:val="auto"/>
              </w:rPr>
              <w:t>-</w:t>
            </w:r>
          </w:p>
        </w:tc>
        <w:tc>
          <w:tcPr>
            <w:tcW w:w="660" w:type="dxa"/>
            <w:vAlign w:val="bottom"/>
            <w:tcBorders>
              <w:bottom w:val="single" w:sz="8" w:color="auto"/>
            </w:tcBorders>
          </w:tcPr>
          <w:p>
            <w:pPr>
              <w:jc w:val="right"/>
              <w:ind w:right="139"/>
              <w:spacing w:after="0" w:line="138" w:lineRule="exact"/>
              <w:rPr>
                <w:sz w:val="20"/>
                <w:szCs w:val="20"/>
                <w:color w:val="auto"/>
              </w:rPr>
            </w:pPr>
            <w:r>
              <w:rPr>
                <w:rFonts w:ascii="Calibri" w:cs="Calibri" w:eastAsia="Calibri" w:hAnsi="Calibri"/>
                <w:sz w:val="12"/>
                <w:szCs w:val="12"/>
                <w:color w:val="auto"/>
              </w:rPr>
              <w:t>624.4</w:t>
            </w:r>
          </w:p>
        </w:tc>
        <w:tc>
          <w:tcPr>
            <w:tcW w:w="120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40.6%</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40" w:hanging="235"/>
        <w:spacing w:after="0"/>
        <w:tabs>
          <w:tab w:leader="none" w:pos="240" w:val="left"/>
        </w:tabs>
        <w:numPr>
          <w:ilvl w:val="0"/>
          <w:numId w:val="9"/>
        </w:numPr>
        <w:rPr>
          <w:rFonts w:ascii="Calibri" w:cs="Calibri" w:eastAsia="Calibri" w:hAnsi="Calibri"/>
          <w:sz w:val="11"/>
          <w:szCs w:val="11"/>
          <w:color w:val="auto"/>
        </w:rPr>
      </w:pPr>
      <w:r>
        <w:rPr>
          <w:rFonts w:ascii="Calibri" w:cs="Calibri" w:eastAsia="Calibri" w:hAnsi="Calibri"/>
          <w:sz w:val="11"/>
          <w:szCs w:val="11"/>
          <w:color w:val="auto"/>
        </w:rPr>
        <w:t>Management fgures.</w:t>
      </w:r>
    </w:p>
    <w:p>
      <w:pPr>
        <w:ind w:left="240" w:hanging="235"/>
        <w:spacing w:after="0" w:line="234" w:lineRule="auto"/>
        <w:tabs>
          <w:tab w:leader="none" w:pos="240" w:val="left"/>
        </w:tabs>
        <w:numPr>
          <w:ilvl w:val="0"/>
          <w:numId w:val="9"/>
        </w:numPr>
        <w:rPr>
          <w:rFonts w:ascii="Calibri" w:cs="Calibri" w:eastAsia="Calibri" w:hAnsi="Calibri"/>
          <w:sz w:val="11"/>
          <w:szCs w:val="11"/>
          <w:color w:val="auto"/>
        </w:rPr>
      </w:pPr>
      <w:r>
        <w:rPr>
          <w:rFonts w:ascii="Calibri" w:cs="Calibri" w:eastAsia="Calibri" w:hAnsi="Calibri"/>
          <w:sz w:val="11"/>
          <w:szCs w:val="11"/>
          <w:color w:val="auto"/>
        </w:rPr>
        <w:t>Includes fee income recorded in BCP from the Payments and E-Commerce businesses.</w:t>
      </w:r>
    </w:p>
    <w:p>
      <w:pPr>
        <w:spacing w:after="0" w:line="201"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 xml:space="preserve">In 4Q24, Yape generated total income of S/233.2 million (+22.9% QoQ and +117.3% YoY), which was monetzed through its three lines of business. At year end, the </w:t>
      </w:r>
      <w:r>
        <w:rPr>
          <w:rFonts w:ascii="Calibri" w:cs="Calibri" w:eastAsia="Calibri" w:hAnsi="Calibri"/>
          <w:sz w:val="17"/>
          <w:szCs w:val="17"/>
          <w:b w:val="1"/>
          <w:bCs w:val="1"/>
          <w:color w:val="auto"/>
        </w:rPr>
        <w:t xml:space="preserve">Payments </w:t>
      </w:r>
      <w:r>
        <w:rPr>
          <w:rFonts w:ascii="Calibri" w:cs="Calibri" w:eastAsia="Calibri" w:hAnsi="Calibri"/>
          <w:sz w:val="17"/>
          <w:szCs w:val="17"/>
          <w:color w:val="auto"/>
        </w:rPr>
        <w:t>business accounted for the largest share of Yape’s total income (55%), followed by the</w:t>
      </w:r>
      <w:r>
        <w:rPr>
          <w:rFonts w:ascii="Calibri" w:cs="Calibri" w:eastAsia="Calibri" w:hAnsi="Calibri"/>
          <w:sz w:val="17"/>
          <w:szCs w:val="17"/>
          <w:b w:val="1"/>
          <w:bCs w:val="1"/>
          <w:color w:val="auto"/>
        </w:rPr>
        <w:t xml:space="preserve"> Financial </w:t>
      </w:r>
      <w:r>
        <w:rPr>
          <w:rFonts w:ascii="Calibri" w:cs="Calibri" w:eastAsia="Calibri" w:hAnsi="Calibri"/>
          <w:sz w:val="17"/>
          <w:szCs w:val="17"/>
          <w:color w:val="auto"/>
        </w:rPr>
        <w:t>business, which represented 40% of income.</w:t>
      </w:r>
      <w:r>
        <w:rPr>
          <w:rFonts w:ascii="Calibri" w:cs="Calibri" w:eastAsia="Calibri" w:hAnsi="Calibri"/>
          <w:sz w:val="17"/>
          <w:szCs w:val="17"/>
          <w:b w:val="1"/>
          <w:bCs w:val="1"/>
          <w:color w:val="auto"/>
        </w:rPr>
        <w:t xml:space="preserve"> E-Commerce, </w:t>
      </w:r>
      <w:r>
        <w:rPr>
          <w:rFonts w:ascii="Calibri" w:cs="Calibri" w:eastAsia="Calibri" w:hAnsi="Calibri"/>
          <w:sz w:val="17"/>
          <w:szCs w:val="17"/>
          <w:color w:val="auto"/>
        </w:rPr>
        <w:t>in turn, represented 5% of income.</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6" w:name="page17"/>
    <w:bookmarkEnd w:id="16"/>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Credicorp’s Strategy Update</w:t>
      </w:r>
    </w:p>
    <w:p>
      <w:pPr>
        <w:spacing w:after="0" w:line="21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Integratng Sustainability in Our Businesses</w:t>
      </w:r>
    </w:p>
    <w:p>
      <w:pPr>
        <w:spacing w:after="0" w:line="91" w:lineRule="exact"/>
        <w:rPr>
          <w:sz w:val="20"/>
          <w:szCs w:val="20"/>
          <w:color w:val="auto"/>
        </w:rPr>
      </w:pPr>
    </w:p>
    <w:p>
      <w:pPr>
        <w:ind w:right="140"/>
        <w:spacing w:after="0" w:line="248" w:lineRule="auto"/>
        <w:rPr>
          <w:sz w:val="20"/>
          <w:szCs w:val="20"/>
          <w:color w:val="auto"/>
        </w:rPr>
      </w:pPr>
      <w:r>
        <w:rPr>
          <w:rFonts w:ascii="Calibri" w:cs="Calibri" w:eastAsia="Calibri" w:hAnsi="Calibri"/>
          <w:sz w:val="17"/>
          <w:szCs w:val="17"/>
          <w:color w:val="auto"/>
        </w:rPr>
        <w:t>For more informaton on our sustainability strategy, program and initatves, please see “</w:t>
      </w:r>
      <w:r>
        <w:rPr>
          <w:rFonts w:ascii="Calibri" w:cs="Calibri" w:eastAsia="Calibri" w:hAnsi="Calibri"/>
          <w:sz w:val="17"/>
          <w:szCs w:val="17"/>
          <w:u w:val="single" w:color="auto"/>
          <w:color w:val="0562C1"/>
        </w:rPr>
        <w:t>Sustainability Strategy 2020-25</w:t>
      </w:r>
      <w:r>
        <w:rPr>
          <w:rFonts w:ascii="Calibri" w:cs="Calibri" w:eastAsia="Calibri" w:hAnsi="Calibri"/>
          <w:sz w:val="19"/>
          <w:szCs w:val="19"/>
          <w:color w:val="auto"/>
        </w:rPr>
        <w:t>”.</w:t>
      </w:r>
      <w:r>
        <w:rPr>
          <w:rFonts w:ascii="Calibri" w:cs="Calibri" w:eastAsia="Calibri" w:hAnsi="Calibri"/>
          <w:sz w:val="17"/>
          <w:szCs w:val="17"/>
          <w:color w:val="auto"/>
        </w:rPr>
        <w:t xml:space="preserve"> Among the milestones reached in 2024 in the framework of the Sustainability Program, the following stand out:</w:t>
      </w:r>
    </w:p>
    <w:p>
      <w:pPr>
        <w:spacing w:after="0" w:line="17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Environmental Front – Driving environmental sustainability through eforts in the fnancial sector and ESG risk management</w:t>
      </w:r>
    </w:p>
    <w:p>
      <w:pPr>
        <w:spacing w:after="0" w:line="2" w:lineRule="exact"/>
        <w:rPr>
          <w:sz w:val="20"/>
          <w:szCs w:val="20"/>
          <w:color w:val="auto"/>
        </w:rPr>
      </w:pPr>
    </w:p>
    <w:p>
      <w:pPr>
        <w:ind w:left="560" w:hanging="555"/>
        <w:spacing w:after="0"/>
        <w:tabs>
          <w:tab w:leader="none" w:pos="560" w:val="left"/>
        </w:tabs>
        <w:numPr>
          <w:ilvl w:val="0"/>
          <w:numId w:val="10"/>
        </w:numPr>
        <w:rPr>
          <w:rFonts w:ascii="Arial" w:cs="Arial" w:eastAsia="Arial" w:hAnsi="Arial"/>
          <w:sz w:val="17"/>
          <w:szCs w:val="17"/>
          <w:b w:val="1"/>
          <w:bCs w:val="1"/>
          <w:i w:val="1"/>
          <w:iCs w:val="1"/>
          <w:color w:val="auto"/>
        </w:rPr>
      </w:pPr>
      <w:r>
        <w:rPr>
          <w:rFonts w:ascii="Calibri" w:cs="Calibri" w:eastAsia="Calibri" w:hAnsi="Calibri"/>
          <w:sz w:val="17"/>
          <w:szCs w:val="17"/>
          <w:b w:val="1"/>
          <w:bCs w:val="1"/>
          <w:i w:val="1"/>
          <w:iCs w:val="1"/>
          <w:color w:val="auto"/>
        </w:rPr>
        <w:t>Portolio Emissions:</w:t>
      </w:r>
    </w:p>
    <w:p>
      <w:pPr>
        <w:spacing w:after="0" w:line="22" w:lineRule="exact"/>
        <w:rPr>
          <w:sz w:val="20"/>
          <w:szCs w:val="20"/>
          <w:color w:val="auto"/>
        </w:rPr>
      </w:pPr>
    </w:p>
    <w:p>
      <w:pPr>
        <w:ind w:left="1180" w:hanging="388"/>
        <w:spacing w:after="0" w:line="226" w:lineRule="auto"/>
        <w:tabs>
          <w:tab w:leader="none" w:pos="1180" w:val="left"/>
        </w:tabs>
        <w:numPr>
          <w:ilvl w:val="1"/>
          <w:numId w:val="11"/>
        </w:numPr>
        <w:rPr>
          <w:rFonts w:ascii="Courier New" w:cs="Courier New" w:eastAsia="Courier New" w:hAnsi="Courier New"/>
          <w:sz w:val="17"/>
          <w:szCs w:val="17"/>
          <w:color w:val="auto"/>
        </w:rPr>
      </w:pPr>
      <w:r>
        <w:rPr>
          <w:rFonts w:ascii="Calibri" w:cs="Calibri" w:eastAsia="Calibri" w:hAnsi="Calibri"/>
          <w:sz w:val="17"/>
          <w:szCs w:val="17"/>
          <w:color w:val="auto"/>
        </w:rPr>
        <w:t>Credicorp signed a commitment to become a signatory to the PCAF (Partnership for Carbon Accountng Financials), a global initatve to standardize measurement and disclosure of the greenhouse gas emissions (GEI) associated with loans and investments.</w:t>
      </w:r>
    </w:p>
    <w:p>
      <w:pPr>
        <w:spacing w:after="0" w:line="4" w:lineRule="exact"/>
        <w:rPr>
          <w:rFonts w:ascii="Courier New" w:cs="Courier New" w:eastAsia="Courier New" w:hAnsi="Courier New"/>
          <w:sz w:val="17"/>
          <w:szCs w:val="17"/>
          <w:color w:val="auto"/>
        </w:rPr>
      </w:pPr>
    </w:p>
    <w:p>
      <w:pPr>
        <w:jc w:val="both"/>
        <w:ind w:left="1180" w:hanging="388"/>
        <w:spacing w:after="0" w:line="239" w:lineRule="auto"/>
        <w:tabs>
          <w:tab w:leader="none" w:pos="1180" w:val="left"/>
        </w:tabs>
        <w:numPr>
          <w:ilvl w:val="1"/>
          <w:numId w:val="11"/>
        </w:numPr>
        <w:rPr>
          <w:rFonts w:ascii="Courier New" w:cs="Courier New" w:eastAsia="Courier New" w:hAnsi="Courier New"/>
          <w:sz w:val="17"/>
          <w:szCs w:val="17"/>
          <w:color w:val="auto"/>
        </w:rPr>
      </w:pPr>
      <w:r>
        <w:rPr>
          <w:rFonts w:ascii="Calibri" w:cs="Calibri" w:eastAsia="Calibri" w:hAnsi="Calibri"/>
          <w:sz w:val="17"/>
          <w:szCs w:val="17"/>
          <w:color w:val="auto"/>
        </w:rPr>
        <w:t>We completed our measurement of the emissions generated by prioritzed segments in the wholesale loan portolio at BCP and BCP Bolivia; prioritzed portolios at Prima AFP, Pacifco Seguros and Credicorp Capital; and the prioritzed underwritng portolio at Pacifco Seguros. The objectve is to determine the indirect environmental impact generated by our actvites.</w:t>
      </w:r>
    </w:p>
    <w:p>
      <w:pPr>
        <w:spacing w:after="0" w:line="187" w:lineRule="exact"/>
        <w:rPr>
          <w:rFonts w:ascii="Courier New" w:cs="Courier New" w:eastAsia="Courier New" w:hAnsi="Courier New"/>
          <w:sz w:val="17"/>
          <w:szCs w:val="17"/>
          <w:color w:val="auto"/>
        </w:rPr>
      </w:pPr>
    </w:p>
    <w:p>
      <w:pPr>
        <w:ind w:left="560" w:hanging="555"/>
        <w:spacing w:after="0"/>
        <w:tabs>
          <w:tab w:leader="none" w:pos="560" w:val="left"/>
        </w:tabs>
        <w:numPr>
          <w:ilvl w:val="0"/>
          <w:numId w:val="11"/>
        </w:numPr>
        <w:rPr>
          <w:rFonts w:ascii="Arial" w:cs="Arial" w:eastAsia="Arial" w:hAnsi="Arial"/>
          <w:sz w:val="17"/>
          <w:szCs w:val="17"/>
          <w:color w:val="auto"/>
        </w:rPr>
      </w:pPr>
      <w:r>
        <w:rPr>
          <w:rFonts w:ascii="Calibri" w:cs="Calibri" w:eastAsia="Calibri" w:hAnsi="Calibri"/>
          <w:sz w:val="17"/>
          <w:szCs w:val="17"/>
          <w:b w:val="1"/>
          <w:bCs w:val="1"/>
          <w:i w:val="1"/>
          <w:iCs w:val="1"/>
          <w:color w:val="auto"/>
        </w:rPr>
        <w:t>Sustainable Finance</w:t>
      </w:r>
      <w:r>
        <w:rPr>
          <w:rFonts w:ascii="Calibri" w:cs="Calibri" w:eastAsia="Calibri" w:hAnsi="Calibri"/>
          <w:sz w:val="17"/>
          <w:szCs w:val="17"/>
          <w:color w:val="auto"/>
        </w:rPr>
        <w:t>:</w:t>
      </w:r>
    </w:p>
    <w:p>
      <w:pPr>
        <w:spacing w:after="0" w:line="27" w:lineRule="exact"/>
        <w:rPr>
          <w:rFonts w:ascii="Arial" w:cs="Arial" w:eastAsia="Arial" w:hAnsi="Arial"/>
          <w:sz w:val="17"/>
          <w:szCs w:val="17"/>
          <w:color w:val="auto"/>
        </w:rPr>
      </w:pPr>
    </w:p>
    <w:p>
      <w:pPr>
        <w:jc w:val="both"/>
        <w:ind w:left="1180" w:hanging="388"/>
        <w:spacing w:after="0" w:line="230" w:lineRule="auto"/>
        <w:tabs>
          <w:tab w:leader="none" w:pos="1180" w:val="left"/>
        </w:tabs>
        <w:numPr>
          <w:ilvl w:val="1"/>
          <w:numId w:val="11"/>
        </w:numPr>
        <w:rPr>
          <w:rFonts w:ascii="Courier New" w:cs="Courier New" w:eastAsia="Courier New" w:hAnsi="Courier New"/>
          <w:sz w:val="17"/>
          <w:szCs w:val="17"/>
          <w:color w:val="auto"/>
        </w:rPr>
      </w:pPr>
      <w:r>
        <w:rPr>
          <w:rFonts w:ascii="Calibri" w:cs="Calibri" w:eastAsia="Calibri" w:hAnsi="Calibri"/>
          <w:sz w:val="17"/>
          <w:szCs w:val="17"/>
          <w:color w:val="auto"/>
        </w:rPr>
        <w:t>As part of our objectve to accompany clients in their quest to incorporate best socio-environmental practces, BCP disbursed +US$ 1500 in fnancing in 2024. Additonally, BCP structured its frst Sustainability Linked Loan (SLL), which ofers incentves in lending conditons if compliance with environmental and social KPIs is verifed.</w:t>
      </w:r>
    </w:p>
    <w:p>
      <w:pPr>
        <w:spacing w:after="0" w:line="3" w:lineRule="exact"/>
        <w:rPr>
          <w:rFonts w:ascii="Courier New" w:cs="Courier New" w:eastAsia="Courier New" w:hAnsi="Courier New"/>
          <w:sz w:val="17"/>
          <w:szCs w:val="17"/>
          <w:color w:val="auto"/>
        </w:rPr>
      </w:pPr>
    </w:p>
    <w:p>
      <w:pPr>
        <w:jc w:val="both"/>
        <w:ind w:left="1180" w:hanging="388"/>
        <w:spacing w:after="0" w:line="239" w:lineRule="auto"/>
        <w:tabs>
          <w:tab w:leader="none" w:pos="1180" w:val="left"/>
        </w:tabs>
        <w:numPr>
          <w:ilvl w:val="1"/>
          <w:numId w:val="11"/>
        </w:numPr>
        <w:rPr>
          <w:rFonts w:ascii="Courier New" w:cs="Courier New" w:eastAsia="Courier New" w:hAnsi="Courier New"/>
          <w:sz w:val="17"/>
          <w:szCs w:val="17"/>
          <w:color w:val="auto"/>
        </w:rPr>
      </w:pPr>
      <w:r>
        <w:rPr>
          <w:rFonts w:ascii="Calibri" w:cs="Calibri" w:eastAsia="Calibri" w:hAnsi="Calibri"/>
          <w:sz w:val="17"/>
          <w:szCs w:val="17"/>
          <w:color w:val="auto"/>
        </w:rPr>
        <w:t xml:space="preserve">Mibanco Colombia announced the launch of a Sustainable Term Certfcate of Deposit, which is a tme deposit for insttutonal investors that seeks to generate a positve impact by earmarking captured funds for use in the Crédito </w:t>
      </w:r>
      <w:r>
        <w:rPr>
          <w:rFonts w:ascii="Calibri" w:cs="Calibri" w:eastAsia="Calibri" w:hAnsi="Calibri"/>
          <w:sz w:val="17"/>
          <w:szCs w:val="17"/>
          <w:i w:val="1"/>
          <w:iCs w:val="1"/>
          <w:color w:val="auto"/>
        </w:rPr>
        <w:t>Mujeres pa’ lante</w:t>
      </w:r>
      <w:r>
        <w:rPr>
          <w:rFonts w:ascii="Calibri" w:cs="Calibri" w:eastAsia="Calibri" w:hAnsi="Calibri"/>
          <w:sz w:val="17"/>
          <w:szCs w:val="17"/>
          <w:color w:val="auto"/>
        </w:rPr>
        <w:t xml:space="preserve"> and Crédito Agropecuario progams. Funds are disbursed to clients that meet the criteria set forth in the Sustainable Financing Framework at Mibanco Colombia.</w:t>
      </w:r>
    </w:p>
    <w:p>
      <w:pPr>
        <w:spacing w:after="0" w:line="187" w:lineRule="exact"/>
        <w:rPr>
          <w:rFonts w:ascii="Courier New" w:cs="Courier New" w:eastAsia="Courier New" w:hAnsi="Courier New"/>
          <w:sz w:val="17"/>
          <w:szCs w:val="17"/>
          <w:color w:val="auto"/>
        </w:rPr>
      </w:pPr>
    </w:p>
    <w:p>
      <w:pPr>
        <w:ind w:left="560" w:right="20" w:hanging="555"/>
        <w:spacing w:after="0" w:line="242" w:lineRule="auto"/>
        <w:tabs>
          <w:tab w:leader="none" w:pos="560" w:val="left"/>
        </w:tabs>
        <w:numPr>
          <w:ilvl w:val="0"/>
          <w:numId w:val="11"/>
        </w:numPr>
        <w:rPr>
          <w:rFonts w:ascii="Arial" w:cs="Arial" w:eastAsia="Arial" w:hAnsi="Arial"/>
          <w:sz w:val="17"/>
          <w:szCs w:val="17"/>
          <w:color w:val="auto"/>
        </w:rPr>
      </w:pPr>
      <w:r>
        <w:rPr>
          <w:rFonts w:ascii="Calibri" w:cs="Calibri" w:eastAsia="Calibri" w:hAnsi="Calibri"/>
          <w:sz w:val="17"/>
          <w:szCs w:val="17"/>
          <w:b w:val="1"/>
          <w:bCs w:val="1"/>
          <w:color w:val="auto"/>
        </w:rPr>
        <w:t xml:space="preserve">Reportng: </w:t>
      </w:r>
      <w:r>
        <w:rPr>
          <w:rFonts w:ascii="Calibri" w:cs="Calibri" w:eastAsia="Calibri" w:hAnsi="Calibri"/>
          <w:sz w:val="17"/>
          <w:szCs w:val="17"/>
          <w:color w:val="auto"/>
        </w:rPr>
        <w:t>At the end of the 1Q25, we will publish the second editon of Credicorp’s TCFD Report, which will provide informaton on results in 2024 and be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aligned with the annual Sustainability Report.</w:t>
      </w:r>
    </w:p>
    <w:p>
      <w:pPr>
        <w:spacing w:after="0" w:line="3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Social Front – Expanding fnancial inclusion and educatng people about fnance and entrepreneurship</w:t>
      </w:r>
    </w:p>
    <w:p>
      <w:pPr>
        <w:spacing w:after="0" w:line="133"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Financial Inclusion</w:t>
      </w:r>
      <w:r>
        <w:rPr>
          <w:rFonts w:ascii="Calibri" w:cs="Calibri" w:eastAsia="Calibri" w:hAnsi="Calibri"/>
          <w:sz w:val="17"/>
          <w:szCs w:val="17"/>
          <w:color w:val="auto"/>
        </w:rPr>
        <w:t>:</w:t>
      </w:r>
    </w:p>
    <w:p>
      <w:pPr>
        <w:spacing w:after="0" w:line="3" w:lineRule="exact"/>
        <w:rPr>
          <w:sz w:val="20"/>
          <w:szCs w:val="20"/>
          <w:color w:val="auto"/>
        </w:rPr>
      </w:pPr>
    </w:p>
    <w:p>
      <w:pPr>
        <w:ind w:right="920"/>
        <w:spacing w:after="0" w:line="242" w:lineRule="auto"/>
        <w:rPr>
          <w:sz w:val="20"/>
          <w:szCs w:val="20"/>
          <w:color w:val="auto"/>
        </w:rPr>
      </w:pPr>
      <w:r>
        <w:rPr>
          <w:rFonts w:ascii="Calibri" w:cs="Calibri" w:eastAsia="Calibri" w:hAnsi="Calibri"/>
          <w:sz w:val="17"/>
          <w:szCs w:val="17"/>
          <w:color w:val="auto"/>
        </w:rPr>
        <w:t>As part of our commitment to serve Credicorp’s purpose and ensure the sustainability of our businesses, in 2024 we contnued to focus our eforts on strengthening fnancial inclusion. In 4Q24, we achieved the following results:</w:t>
      </w:r>
    </w:p>
    <w:p>
      <w:pPr>
        <w:spacing w:after="0" w:line="1" w:lineRule="exact"/>
        <w:rPr>
          <w:sz w:val="20"/>
          <w:szCs w:val="20"/>
          <w:color w:val="auto"/>
        </w:rPr>
      </w:pPr>
    </w:p>
    <w:p>
      <w:pPr>
        <w:ind w:left="560" w:hanging="310"/>
        <w:spacing w:after="0"/>
        <w:tabs>
          <w:tab w:leader="none" w:pos="560" w:val="left"/>
        </w:tabs>
        <w:numPr>
          <w:ilvl w:val="0"/>
          <w:numId w:val="12"/>
        </w:numPr>
        <w:rPr>
          <w:rFonts w:ascii="Arial" w:cs="Arial" w:eastAsia="Arial" w:hAnsi="Arial"/>
          <w:sz w:val="17"/>
          <w:szCs w:val="17"/>
          <w:color w:val="auto"/>
        </w:rPr>
      </w:pPr>
      <w:r>
        <w:rPr>
          <w:rFonts w:ascii="Calibri" w:cs="Calibri" w:eastAsia="Calibri" w:hAnsi="Calibri"/>
          <w:sz w:val="17"/>
          <w:szCs w:val="17"/>
          <w:color w:val="auto"/>
        </w:rPr>
        <w:t>BCP and Yape have fnancially included 5.7 MM people, which represents growth of 1.8 MM people versus the fgure in 2023.</w:t>
      </w:r>
    </w:p>
    <w:p>
      <w:pPr>
        <w:spacing w:after="0" w:line="27" w:lineRule="exact"/>
        <w:rPr>
          <w:rFonts w:ascii="Arial" w:cs="Arial" w:eastAsia="Arial" w:hAnsi="Arial"/>
          <w:sz w:val="17"/>
          <w:szCs w:val="17"/>
          <w:color w:val="auto"/>
        </w:rPr>
      </w:pPr>
    </w:p>
    <w:p>
      <w:pPr>
        <w:ind w:left="560" w:right="320" w:hanging="310"/>
        <w:spacing w:after="0" w:line="226" w:lineRule="auto"/>
        <w:tabs>
          <w:tab w:leader="none" w:pos="560" w:val="left"/>
        </w:tabs>
        <w:numPr>
          <w:ilvl w:val="0"/>
          <w:numId w:val="12"/>
        </w:numPr>
        <w:rPr>
          <w:rFonts w:ascii="Arial" w:cs="Arial" w:eastAsia="Arial" w:hAnsi="Arial"/>
          <w:sz w:val="17"/>
          <w:szCs w:val="17"/>
          <w:color w:val="auto"/>
        </w:rPr>
      </w:pPr>
      <w:r>
        <w:rPr>
          <w:rFonts w:ascii="Calibri" w:cs="Calibri" w:eastAsia="Calibri" w:hAnsi="Calibri"/>
          <w:sz w:val="17"/>
          <w:szCs w:val="17"/>
          <w:color w:val="auto"/>
        </w:rPr>
        <w:t>Mibanco Perú banked 58 thousand people this year, 62% of which were women. More than 51 thousand clients have received Crediagua loans, whose purpose is to improve the quality of life of recipients by fnancing sanitary initatves.</w:t>
      </w:r>
    </w:p>
    <w:p>
      <w:pPr>
        <w:spacing w:after="0" w:line="4" w:lineRule="exact"/>
        <w:rPr>
          <w:rFonts w:ascii="Arial" w:cs="Arial" w:eastAsia="Arial" w:hAnsi="Arial"/>
          <w:sz w:val="17"/>
          <w:szCs w:val="17"/>
          <w:color w:val="auto"/>
        </w:rPr>
      </w:pPr>
    </w:p>
    <w:p>
      <w:pPr>
        <w:ind w:left="560" w:right="160" w:hanging="310"/>
        <w:spacing w:after="0" w:line="242" w:lineRule="auto"/>
        <w:tabs>
          <w:tab w:leader="none" w:pos="560" w:val="left"/>
        </w:tabs>
        <w:numPr>
          <w:ilvl w:val="0"/>
          <w:numId w:val="12"/>
        </w:numPr>
        <w:rPr>
          <w:rFonts w:ascii="Arial" w:cs="Arial" w:eastAsia="Arial" w:hAnsi="Arial"/>
          <w:sz w:val="17"/>
          <w:szCs w:val="17"/>
          <w:color w:val="auto"/>
        </w:rPr>
      </w:pPr>
      <w:r>
        <w:rPr>
          <w:rFonts w:ascii="Calibri" w:cs="Calibri" w:eastAsia="Calibri" w:hAnsi="Calibri"/>
          <w:sz w:val="17"/>
          <w:szCs w:val="17"/>
          <w:color w:val="auto"/>
        </w:rPr>
        <w:t>Pacífco Seguros placed 3.6 MM in inclusive insurance policies, an increase of 420 thousand over last year’s loan amount. This is part of our commitment to protect more people.</w:t>
      </w:r>
    </w:p>
    <w:p>
      <w:pPr>
        <w:spacing w:after="0" w:line="184"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Financial educaton (FE)</w:t>
      </w:r>
      <w:r>
        <w:rPr>
          <w:rFonts w:ascii="Calibri" w:cs="Calibri" w:eastAsia="Calibri" w:hAnsi="Calibri"/>
          <w:sz w:val="17"/>
          <w:szCs w:val="17"/>
          <w:color w:val="auto"/>
        </w:rPr>
        <w:t>:</w:t>
      </w:r>
    </w:p>
    <w:p>
      <w:pPr>
        <w:spacing w:after="0" w:line="3"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We believe that fnancial educaton is a key enabler in our eforts to ensure our clients’ fnancial inclusion and fnancial health. Improvements in fnancial behaviors generate positve impacts on the business’s indicators. In 2024, BCP helped +345 thousand clients change their behavior (exitng situaton of overindebtedness, late payments or overdraw on credit cards, among others) and improve poor credit histories. The Protege365 initatve of Pacífco, whose objectve is to strengthen risk management at companies through educaton, had trained and certfed more than 39 thousand employees at more than 8 thousand business clients by the end of 4Q24.</w:t>
      </w:r>
    </w:p>
    <w:p>
      <w:pPr>
        <w:spacing w:after="0" w:line="36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7" w:name="page18"/>
    <w:bookmarkEnd w:id="17"/>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Credicorp’s Strategy Update</w:t>
      </w:r>
    </w:p>
    <w:p>
      <w:pPr>
        <w:spacing w:after="0" w:line="215" w:lineRule="exact"/>
        <w:rPr>
          <w:sz w:val="20"/>
          <w:szCs w:val="20"/>
          <w:color w:val="auto"/>
        </w:rPr>
      </w:pPr>
    </w:p>
    <w:p>
      <w:pPr>
        <w:spacing w:after="0"/>
        <w:rPr>
          <w:sz w:val="20"/>
          <w:szCs w:val="20"/>
          <w:color w:val="auto"/>
        </w:rPr>
      </w:pPr>
      <w:r>
        <w:rPr>
          <w:rFonts w:ascii="Calibri" w:cs="Calibri" w:eastAsia="Calibri" w:hAnsi="Calibri"/>
          <w:sz w:val="17"/>
          <w:szCs w:val="17"/>
          <w:color w:val="auto"/>
        </w:rPr>
        <w:t>To see progress for other initatves on the social front, please see the table below:</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980" w:type="dxa"/>
            <w:vAlign w:val="bottom"/>
            <w:tcBorders>
              <w:top w:val="single" w:sz="8" w:color="auto"/>
              <w:left w:val="single" w:sz="8" w:color="auto"/>
              <w:bottom w:val="single" w:sz="8" w:color="auto"/>
              <w:right w:val="single" w:sz="8" w:color="auto"/>
            </w:tcBorders>
            <w:shd w:val="clear" w:color="auto" w:fill="33CCCC"/>
          </w:tcPr>
          <w:p>
            <w:pPr>
              <w:ind w:left="1840"/>
              <w:spacing w:after="0"/>
              <w:rPr>
                <w:sz w:val="20"/>
                <w:szCs w:val="20"/>
                <w:color w:val="auto"/>
              </w:rPr>
            </w:pPr>
            <w:r>
              <w:rPr>
                <w:rFonts w:ascii="Calibri" w:cs="Calibri" w:eastAsia="Calibri" w:hAnsi="Calibri"/>
                <w:sz w:val="14"/>
                <w:szCs w:val="14"/>
                <w:b w:val="1"/>
                <w:bCs w:val="1"/>
                <w:i w:val="1"/>
                <w:iCs w:val="1"/>
                <w:color w:val="auto"/>
              </w:rPr>
              <w:t>Progress on initatves</w:t>
            </w:r>
          </w:p>
        </w:tc>
        <w:tc>
          <w:tcPr>
            <w:tcW w:w="160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auto"/>
                <w:w w:val="98"/>
              </w:rPr>
              <w:t>Company</w:t>
            </w:r>
          </w:p>
        </w:tc>
        <w:tc>
          <w:tcPr>
            <w:tcW w:w="1600" w:type="dxa"/>
            <w:vAlign w:val="bottom"/>
            <w:tcBorders>
              <w:top w:val="single" w:sz="8" w:color="auto"/>
              <w:bottom w:val="single" w:sz="8" w:color="auto"/>
              <w:right w:val="single" w:sz="8" w:color="auto"/>
            </w:tcBorders>
            <w:shd w:val="clear" w:color="auto" w:fill="33CCCC"/>
          </w:tcPr>
          <w:p>
            <w:pPr>
              <w:jc w:val="right"/>
              <w:ind w:right="610"/>
              <w:spacing w:after="0"/>
              <w:rPr>
                <w:sz w:val="20"/>
                <w:szCs w:val="20"/>
                <w:color w:val="auto"/>
              </w:rPr>
            </w:pPr>
            <w:r>
              <w:rPr>
                <w:rFonts w:ascii="Calibri" w:cs="Calibri" w:eastAsia="Calibri" w:hAnsi="Calibri"/>
                <w:sz w:val="14"/>
                <w:szCs w:val="14"/>
                <w:b w:val="1"/>
                <w:bCs w:val="1"/>
                <w:color w:val="auto"/>
              </w:rPr>
              <w:t>2022</w:t>
            </w:r>
          </w:p>
        </w:tc>
        <w:tc>
          <w:tcPr>
            <w:tcW w:w="1580" w:type="dxa"/>
            <w:vAlign w:val="bottom"/>
            <w:tcBorders>
              <w:top w:val="single" w:sz="8" w:color="auto"/>
              <w:bottom w:val="single" w:sz="8" w:color="auto"/>
              <w:right w:val="single" w:sz="8" w:color="auto"/>
            </w:tcBorders>
            <w:shd w:val="clear" w:color="auto" w:fill="33CCCC"/>
          </w:tcPr>
          <w:p>
            <w:pPr>
              <w:jc w:val="right"/>
              <w:ind w:right="610"/>
              <w:spacing w:after="0"/>
              <w:rPr>
                <w:sz w:val="20"/>
                <w:szCs w:val="20"/>
                <w:color w:val="auto"/>
              </w:rPr>
            </w:pPr>
            <w:r>
              <w:rPr>
                <w:rFonts w:ascii="Calibri" w:cs="Calibri" w:eastAsia="Calibri" w:hAnsi="Calibri"/>
                <w:sz w:val="14"/>
                <w:szCs w:val="14"/>
                <w:b w:val="1"/>
                <w:bCs w:val="1"/>
                <w:color w:val="auto"/>
              </w:rPr>
              <w:t>2023</w:t>
            </w:r>
          </w:p>
        </w:tc>
        <w:tc>
          <w:tcPr>
            <w:tcW w:w="1480" w:type="dxa"/>
            <w:vAlign w:val="bottom"/>
            <w:tcBorders>
              <w:top w:val="single" w:sz="8" w:color="auto"/>
              <w:bottom w:val="single" w:sz="8" w:color="auto"/>
              <w:right w:val="single" w:sz="8" w:color="auto"/>
            </w:tcBorders>
            <w:shd w:val="clear" w:color="auto" w:fill="33CCCC"/>
          </w:tcPr>
          <w:p>
            <w:pPr>
              <w:jc w:val="right"/>
              <w:ind w:right="551"/>
              <w:spacing w:after="0"/>
              <w:rPr>
                <w:sz w:val="20"/>
                <w:szCs w:val="20"/>
                <w:color w:val="auto"/>
              </w:rPr>
            </w:pPr>
            <w:r>
              <w:rPr>
                <w:rFonts w:ascii="Calibri" w:cs="Calibri" w:eastAsia="Calibri" w:hAnsi="Calibri"/>
                <w:sz w:val="14"/>
                <w:szCs w:val="14"/>
                <w:b w:val="1"/>
                <w:bCs w:val="1"/>
                <w:color w:val="auto"/>
              </w:rPr>
              <w:t>2024</w:t>
            </w:r>
          </w:p>
        </w:tc>
      </w:tr>
      <w:tr>
        <w:trPr>
          <w:trHeight w:val="164"/>
        </w:trPr>
        <w:tc>
          <w:tcPr>
            <w:tcW w:w="4980" w:type="dxa"/>
            <w:vAlign w:val="bottom"/>
            <w:tcBorders>
              <w:left w:val="single" w:sz="8" w:color="auto"/>
              <w:bottom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Financial Inclusion</w:t>
            </w:r>
          </w:p>
        </w:tc>
        <w:tc>
          <w:tcPr>
            <w:tcW w:w="1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r>
      <w:tr>
        <w:trPr>
          <w:trHeight w:val="165"/>
        </w:trPr>
        <w:tc>
          <w:tcPr>
            <w:tcW w:w="4980" w:type="dxa"/>
            <w:vAlign w:val="bottom"/>
            <w:tcBorders>
              <w:left w:val="single" w:sz="8" w:color="auto"/>
              <w:bottom w:val="single" w:sz="8" w:color="auto"/>
              <w:right w:val="single" w:sz="8" w:color="auto"/>
            </w:tcBorders>
          </w:tcPr>
          <w:p>
            <w:pPr>
              <w:ind w:left="20"/>
              <w:spacing w:after="0" w:line="165" w:lineRule="exact"/>
              <w:rPr>
                <w:sz w:val="20"/>
                <w:szCs w:val="20"/>
                <w:color w:val="auto"/>
              </w:rPr>
            </w:pPr>
            <w:r>
              <w:rPr>
                <w:rFonts w:ascii="Calibri" w:cs="Calibri" w:eastAsia="Calibri" w:hAnsi="Calibri"/>
                <w:sz w:val="11"/>
                <w:szCs w:val="11"/>
                <w:color w:val="auto"/>
              </w:rPr>
              <w:t xml:space="preserve">Financially included through BCP and Yape – cumulatve since 2020 </w:t>
            </w:r>
            <w:r>
              <w:rPr>
                <w:rFonts w:ascii="Calibri" w:cs="Calibri" w:eastAsia="Calibri" w:hAnsi="Calibri"/>
                <w:sz w:val="18"/>
                <w:szCs w:val="18"/>
                <w:color w:val="auto"/>
                <w:vertAlign w:val="superscript"/>
              </w:rPr>
              <w:t>(1)</w:t>
            </w:r>
          </w:p>
        </w:tc>
        <w:tc>
          <w:tcPr>
            <w:tcW w:w="160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BCP </w:t>
            </w:r>
          </w:p>
        </w:tc>
        <w:tc>
          <w:tcPr>
            <w:tcW w:w="160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w w:val="97"/>
              </w:rPr>
              <w:t>2.5 million</w:t>
            </w:r>
          </w:p>
        </w:tc>
        <w:tc>
          <w:tcPr>
            <w:tcW w:w="1580" w:type="dxa"/>
            <w:vAlign w:val="bottom"/>
            <w:tcBorders>
              <w:bottom w:val="single" w:sz="8" w:color="auto"/>
              <w:right w:val="single" w:sz="8" w:color="auto"/>
            </w:tcBorders>
          </w:tcPr>
          <w:p>
            <w:pPr>
              <w:ind w:left="420"/>
              <w:spacing w:after="0" w:line="166" w:lineRule="exact"/>
              <w:rPr>
                <w:sz w:val="20"/>
                <w:szCs w:val="20"/>
                <w:color w:val="auto"/>
              </w:rPr>
            </w:pPr>
            <w:r>
              <w:rPr>
                <w:rFonts w:ascii="Calibri" w:cs="Calibri" w:eastAsia="Calibri" w:hAnsi="Calibri"/>
                <w:sz w:val="14"/>
                <w:szCs w:val="14"/>
                <w:color w:val="auto"/>
              </w:rPr>
              <w:t>3.8 million</w:t>
            </w:r>
          </w:p>
        </w:tc>
        <w:tc>
          <w:tcPr>
            <w:tcW w:w="148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5.7 million</w:t>
            </w:r>
          </w:p>
        </w:tc>
      </w:tr>
      <w:tr>
        <w:trPr>
          <w:trHeight w:val="162"/>
        </w:trPr>
        <w:tc>
          <w:tcPr>
            <w:tcW w:w="498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Stock of inclusive insurance policies</w:t>
            </w:r>
          </w:p>
        </w:tc>
        <w:tc>
          <w:tcPr>
            <w:tcW w:w="160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rPr>
              <w:t>Pacífco Seguros </w:t>
            </w:r>
          </w:p>
        </w:tc>
        <w:tc>
          <w:tcPr>
            <w:tcW w:w="160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7"/>
              </w:rPr>
              <w:t>2.6 million</w:t>
            </w:r>
          </w:p>
        </w:tc>
        <w:tc>
          <w:tcPr>
            <w:tcW w:w="158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rPr>
              <w:t>3.2 million</w:t>
            </w:r>
          </w:p>
        </w:tc>
        <w:tc>
          <w:tcPr>
            <w:tcW w:w="148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rPr>
              <w:t>3.6 million</w:t>
            </w:r>
          </w:p>
        </w:tc>
      </w:tr>
      <w:tr>
        <w:trPr>
          <w:trHeight w:val="164"/>
        </w:trPr>
        <w:tc>
          <w:tcPr>
            <w:tcW w:w="4980" w:type="dxa"/>
            <w:vAlign w:val="bottom"/>
            <w:tcBorders>
              <w:left w:val="single" w:sz="8" w:color="auto"/>
              <w:bottom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Financial Educaton</w:t>
            </w:r>
          </w:p>
        </w:tc>
        <w:tc>
          <w:tcPr>
            <w:tcW w:w="1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r>
      <w:tr>
        <w:trPr>
          <w:trHeight w:val="164"/>
        </w:trPr>
        <w:tc>
          <w:tcPr>
            <w:tcW w:w="498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Trained through online courses via ABC at BCP (“ABC del BCP”) – YTD</w:t>
            </w:r>
          </w:p>
        </w:tc>
        <w:tc>
          <w:tcPr>
            <w:tcW w:w="160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BCP </w:t>
            </w:r>
          </w:p>
        </w:tc>
        <w:tc>
          <w:tcPr>
            <w:tcW w:w="160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310 thousand</w:t>
            </w:r>
          </w:p>
        </w:tc>
        <w:tc>
          <w:tcPr>
            <w:tcW w:w="1580" w:type="dxa"/>
            <w:vAlign w:val="bottom"/>
            <w:tcBorders>
              <w:bottom w:val="single" w:sz="8" w:color="auto"/>
              <w:right w:val="single" w:sz="8" w:color="auto"/>
            </w:tcBorders>
          </w:tcPr>
          <w:p>
            <w:pPr>
              <w:jc w:val="center"/>
              <w:ind w:right="10"/>
              <w:spacing w:after="0" w:line="164" w:lineRule="exact"/>
              <w:rPr>
                <w:sz w:val="20"/>
                <w:szCs w:val="20"/>
                <w:color w:val="auto"/>
              </w:rPr>
            </w:pPr>
            <w:r>
              <w:rPr>
                <w:rFonts w:ascii="Calibri" w:cs="Calibri" w:eastAsia="Calibri" w:hAnsi="Calibri"/>
                <w:sz w:val="14"/>
                <w:szCs w:val="14"/>
                <w:color w:val="auto"/>
                <w:w w:val="99"/>
              </w:rPr>
              <w:t>614 thousand</w:t>
            </w:r>
          </w:p>
        </w:tc>
        <w:tc>
          <w:tcPr>
            <w:tcW w:w="148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521 thousand</w:t>
            </w:r>
          </w:p>
        </w:tc>
      </w:tr>
      <w:tr>
        <w:trPr>
          <w:trHeight w:val="151"/>
        </w:trPr>
        <w:tc>
          <w:tcPr>
            <w:tcW w:w="4980" w:type="dxa"/>
            <w:vAlign w:val="bottom"/>
            <w:tcBorders>
              <w:left w:val="single" w:sz="8" w:color="auto"/>
              <w:right w:val="single" w:sz="8" w:color="auto"/>
            </w:tcBorders>
          </w:tcPr>
          <w:p>
            <w:pPr>
              <w:ind w:left="20"/>
              <w:spacing w:after="0" w:line="151" w:lineRule="exact"/>
              <w:rPr>
                <w:sz w:val="20"/>
                <w:szCs w:val="20"/>
                <w:color w:val="auto"/>
              </w:rPr>
            </w:pPr>
            <w:r>
              <w:rPr>
                <w:rFonts w:ascii="Calibri" w:cs="Calibri" w:eastAsia="Calibri" w:hAnsi="Calibri"/>
                <w:sz w:val="14"/>
                <w:szCs w:val="14"/>
                <w:color w:val="auto"/>
              </w:rPr>
              <w:t>Consumer Clients who changed at least one fnancial behavior towards a healthier or</w:t>
            </w:r>
          </w:p>
        </w:tc>
        <w:tc>
          <w:tcPr>
            <w:tcW w:w="160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rPr>
              <w:t>BCP </w:t>
            </w:r>
          </w:p>
        </w:tc>
        <w:tc>
          <w:tcPr>
            <w:tcW w:w="160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w w:val="99"/>
              </w:rPr>
              <w:t>136 thousand</w:t>
            </w:r>
          </w:p>
        </w:tc>
        <w:tc>
          <w:tcPr>
            <w:tcW w:w="1580" w:type="dxa"/>
            <w:vAlign w:val="bottom"/>
            <w:tcBorders>
              <w:right w:val="single" w:sz="8" w:color="auto"/>
            </w:tcBorders>
          </w:tcPr>
          <w:p>
            <w:pPr>
              <w:jc w:val="center"/>
              <w:ind w:right="10"/>
              <w:spacing w:after="0" w:line="151" w:lineRule="exact"/>
              <w:rPr>
                <w:sz w:val="20"/>
                <w:szCs w:val="20"/>
                <w:color w:val="auto"/>
              </w:rPr>
            </w:pPr>
            <w:r>
              <w:rPr>
                <w:rFonts w:ascii="Calibri" w:cs="Calibri" w:eastAsia="Calibri" w:hAnsi="Calibri"/>
                <w:sz w:val="14"/>
                <w:szCs w:val="14"/>
                <w:color w:val="auto"/>
                <w:w w:val="99"/>
              </w:rPr>
              <w:t>214 thousand</w:t>
            </w:r>
          </w:p>
        </w:tc>
        <w:tc>
          <w:tcPr>
            <w:tcW w:w="148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w w:val="99"/>
              </w:rPr>
              <w:t>345 thousand</w:t>
            </w:r>
          </w:p>
        </w:tc>
      </w:tr>
      <w:tr>
        <w:trPr>
          <w:trHeight w:val="178"/>
        </w:trPr>
        <w:tc>
          <w:tcPr>
            <w:tcW w:w="4980" w:type="dxa"/>
            <w:vAlign w:val="bottom"/>
            <w:tcBorders>
              <w:left w:val="single" w:sz="8" w:color="auto"/>
              <w:bottom w:val="single" w:sz="8" w:color="auto"/>
              <w:right w:val="single" w:sz="8" w:color="auto"/>
            </w:tcBorders>
          </w:tcPr>
          <w:p>
            <w:pPr>
              <w:ind w:left="20"/>
              <w:spacing w:after="0" w:line="167" w:lineRule="exact"/>
              <w:rPr>
                <w:sz w:val="20"/>
                <w:szCs w:val="20"/>
                <w:color w:val="auto"/>
              </w:rPr>
            </w:pPr>
            <w:r>
              <w:rPr>
                <w:rFonts w:ascii="Calibri" w:cs="Calibri" w:eastAsia="Calibri" w:hAnsi="Calibri"/>
                <w:sz w:val="14"/>
                <w:szCs w:val="14"/>
                <w:color w:val="auto"/>
              </w:rPr>
              <w:t>greater banking use – YTD</w:t>
            </w:r>
          </w:p>
        </w:tc>
        <w:tc>
          <w:tcPr>
            <w:tcW w:w="16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r>
      <w:tr>
        <w:trPr>
          <w:trHeight w:val="156"/>
        </w:trPr>
        <w:tc>
          <w:tcPr>
            <w:tcW w:w="4980" w:type="dxa"/>
            <w:vAlign w:val="bottom"/>
            <w:tcBorders>
              <w:left w:val="single" w:sz="8" w:color="auto"/>
              <w:right w:val="single" w:sz="8" w:color="auto"/>
            </w:tcBorders>
          </w:tcPr>
          <w:p>
            <w:pPr>
              <w:ind w:left="20"/>
              <w:spacing w:after="0" w:line="156" w:lineRule="exact"/>
              <w:rPr>
                <w:sz w:val="20"/>
                <w:szCs w:val="20"/>
                <w:color w:val="auto"/>
              </w:rPr>
            </w:pPr>
            <w:r>
              <w:rPr>
                <w:rFonts w:ascii="Calibri" w:cs="Calibri" w:eastAsia="Calibri" w:hAnsi="Calibri"/>
                <w:sz w:val="14"/>
                <w:szCs w:val="14"/>
                <w:color w:val="auto"/>
              </w:rPr>
              <w:t>Young people trained through the ABC of the Pension Culture (“ABC de la Cultura</w:t>
            </w:r>
          </w:p>
        </w:tc>
        <w:tc>
          <w:tcPr>
            <w:tcW w:w="160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4"/>
                <w:szCs w:val="14"/>
                <w:color w:val="auto"/>
              </w:rPr>
              <w:t>Prima AFP </w:t>
            </w:r>
          </w:p>
        </w:tc>
        <w:tc>
          <w:tcPr>
            <w:tcW w:w="160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4"/>
                <w:szCs w:val="14"/>
                <w:color w:val="auto"/>
                <w:w w:val="98"/>
              </w:rPr>
              <w:t>61 thousand</w:t>
            </w:r>
          </w:p>
        </w:tc>
        <w:tc>
          <w:tcPr>
            <w:tcW w:w="1580" w:type="dxa"/>
            <w:vAlign w:val="bottom"/>
            <w:tcBorders>
              <w:right w:val="single" w:sz="8" w:color="auto"/>
            </w:tcBorders>
          </w:tcPr>
          <w:p>
            <w:pPr>
              <w:jc w:val="center"/>
              <w:ind w:right="10"/>
              <w:spacing w:after="0" w:line="156" w:lineRule="exact"/>
              <w:rPr>
                <w:sz w:val="20"/>
                <w:szCs w:val="20"/>
                <w:color w:val="auto"/>
              </w:rPr>
            </w:pPr>
            <w:r>
              <w:rPr>
                <w:rFonts w:ascii="Calibri" w:cs="Calibri" w:eastAsia="Calibri" w:hAnsi="Calibri"/>
                <w:sz w:val="14"/>
                <w:szCs w:val="14"/>
                <w:color w:val="auto"/>
                <w:w w:val="99"/>
              </w:rPr>
              <w:t>138 thousand</w:t>
            </w:r>
          </w:p>
        </w:tc>
        <w:tc>
          <w:tcPr>
            <w:tcW w:w="1480" w:type="dxa"/>
            <w:vAlign w:val="bottom"/>
            <w:tcBorders>
              <w:right w:val="single" w:sz="8" w:color="auto"/>
            </w:tcBorders>
          </w:tcPr>
          <w:p>
            <w:pPr>
              <w:jc w:val="center"/>
              <w:spacing w:after="0" w:line="156" w:lineRule="exact"/>
              <w:rPr>
                <w:sz w:val="20"/>
                <w:szCs w:val="20"/>
                <w:color w:val="auto"/>
              </w:rPr>
            </w:pPr>
            <w:r>
              <w:rPr>
                <w:rFonts w:ascii="Calibri" w:cs="Calibri" w:eastAsia="Calibri" w:hAnsi="Calibri"/>
                <w:sz w:val="14"/>
                <w:szCs w:val="14"/>
                <w:color w:val="auto"/>
                <w:w w:val="99"/>
              </w:rPr>
              <w:t>423 thousand</w:t>
            </w:r>
          </w:p>
        </w:tc>
      </w:tr>
      <w:tr>
        <w:trPr>
          <w:trHeight w:val="178"/>
        </w:trPr>
        <w:tc>
          <w:tcPr>
            <w:tcW w:w="4980" w:type="dxa"/>
            <w:vAlign w:val="bottom"/>
            <w:tcBorders>
              <w:left w:val="single" w:sz="8" w:color="auto"/>
              <w:bottom w:val="single" w:sz="8" w:color="auto"/>
              <w:right w:val="single" w:sz="8" w:color="auto"/>
            </w:tcBorders>
          </w:tcPr>
          <w:p>
            <w:pPr>
              <w:ind w:left="20"/>
              <w:spacing w:after="0" w:line="167" w:lineRule="exact"/>
              <w:rPr>
                <w:sz w:val="20"/>
                <w:szCs w:val="20"/>
                <w:color w:val="auto"/>
              </w:rPr>
            </w:pPr>
            <w:r>
              <w:rPr>
                <w:rFonts w:ascii="Calibri" w:cs="Calibri" w:eastAsia="Calibri" w:hAnsi="Calibri"/>
                <w:sz w:val="14"/>
                <w:szCs w:val="14"/>
                <w:color w:val="auto"/>
              </w:rPr>
              <w:t>Previsional”) – YTD</w:t>
            </w:r>
          </w:p>
        </w:tc>
        <w:tc>
          <w:tcPr>
            <w:tcW w:w="16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r>
      <w:tr>
        <w:trPr>
          <w:trHeight w:val="153"/>
        </w:trPr>
        <w:tc>
          <w:tcPr>
            <w:tcW w:w="4980" w:type="dxa"/>
            <w:vAlign w:val="bottom"/>
            <w:tcBorders>
              <w:left w:val="single" w:sz="8" w:color="auto"/>
              <w:right w:val="single" w:sz="8" w:color="auto"/>
            </w:tcBorders>
          </w:tcPr>
          <w:p>
            <w:pPr>
              <w:ind w:left="20"/>
              <w:spacing w:after="0" w:line="153" w:lineRule="exact"/>
              <w:rPr>
                <w:sz w:val="20"/>
                <w:szCs w:val="20"/>
                <w:color w:val="auto"/>
              </w:rPr>
            </w:pPr>
            <w:r>
              <w:rPr>
                <w:rFonts w:ascii="Calibri" w:cs="Calibri" w:eastAsia="Calibri" w:hAnsi="Calibri"/>
                <w:sz w:val="14"/>
                <w:szCs w:val="14"/>
                <w:color w:val="auto"/>
              </w:rPr>
              <w:t>Clients trained in FE through Mibanco “Progress Academy” programs (“Academia del</w:t>
            </w:r>
          </w:p>
        </w:tc>
        <w:tc>
          <w:tcPr>
            <w:tcW w:w="1600" w:type="dxa"/>
            <w:vAlign w:val="bottom"/>
            <w:tcBorders>
              <w:right w:val="single" w:sz="8" w:color="auto"/>
            </w:tcBorders>
          </w:tcPr>
          <w:p>
            <w:pPr>
              <w:ind w:left="340"/>
              <w:spacing w:after="0" w:line="153" w:lineRule="exact"/>
              <w:rPr>
                <w:sz w:val="20"/>
                <w:szCs w:val="20"/>
                <w:color w:val="auto"/>
              </w:rPr>
            </w:pPr>
            <w:r>
              <w:rPr>
                <w:rFonts w:ascii="Calibri" w:cs="Calibri" w:eastAsia="Calibri" w:hAnsi="Calibri"/>
                <w:sz w:val="14"/>
                <w:szCs w:val="14"/>
                <w:color w:val="auto"/>
              </w:rPr>
              <w:t>Mibanco Perú</w:t>
            </w:r>
          </w:p>
        </w:tc>
        <w:tc>
          <w:tcPr>
            <w:tcW w:w="160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4"/>
                <w:szCs w:val="14"/>
                <w:color w:val="auto"/>
                <w:w w:val="99"/>
              </w:rPr>
              <w:t>251 thousand</w:t>
            </w:r>
          </w:p>
        </w:tc>
        <w:tc>
          <w:tcPr>
            <w:tcW w:w="1580" w:type="dxa"/>
            <w:vAlign w:val="bottom"/>
            <w:tcBorders>
              <w:right w:val="single" w:sz="8" w:color="auto"/>
            </w:tcBorders>
          </w:tcPr>
          <w:p>
            <w:pPr>
              <w:jc w:val="center"/>
              <w:ind w:right="10"/>
              <w:spacing w:after="0" w:line="153" w:lineRule="exact"/>
              <w:rPr>
                <w:sz w:val="20"/>
                <w:szCs w:val="20"/>
                <w:color w:val="auto"/>
              </w:rPr>
            </w:pPr>
            <w:r>
              <w:rPr>
                <w:rFonts w:ascii="Calibri" w:cs="Calibri" w:eastAsia="Calibri" w:hAnsi="Calibri"/>
                <w:sz w:val="14"/>
                <w:szCs w:val="14"/>
                <w:color w:val="auto"/>
                <w:w w:val="99"/>
              </w:rPr>
              <w:t>413 thousand</w:t>
            </w:r>
          </w:p>
        </w:tc>
        <w:tc>
          <w:tcPr>
            <w:tcW w:w="148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4"/>
                <w:szCs w:val="14"/>
                <w:color w:val="auto"/>
                <w:w w:val="99"/>
              </w:rPr>
              <w:t>405 thousand</w:t>
            </w:r>
          </w:p>
        </w:tc>
      </w:tr>
      <w:tr>
        <w:trPr>
          <w:trHeight w:val="188"/>
        </w:trPr>
        <w:tc>
          <w:tcPr>
            <w:tcW w:w="4980" w:type="dxa"/>
            <w:vAlign w:val="bottom"/>
            <w:tcBorders>
              <w:left w:val="single" w:sz="8" w:color="auto"/>
              <w:bottom w:val="single" w:sz="8" w:color="auto"/>
              <w:right w:val="single" w:sz="8" w:color="auto"/>
            </w:tcBorders>
          </w:tcPr>
          <w:p>
            <w:pPr>
              <w:ind w:left="20"/>
              <w:spacing w:after="0" w:line="188" w:lineRule="exact"/>
              <w:rPr>
                <w:sz w:val="20"/>
                <w:szCs w:val="20"/>
                <w:color w:val="auto"/>
              </w:rPr>
            </w:pPr>
            <w:r>
              <w:rPr>
                <w:rFonts w:ascii="Calibri" w:cs="Calibri" w:eastAsia="Calibri" w:hAnsi="Calibri"/>
                <w:sz w:val="12"/>
                <w:szCs w:val="12"/>
                <w:color w:val="auto"/>
              </w:rPr>
              <w:t>Progreso”) – YTD</w:t>
            </w:r>
            <w:r>
              <w:rPr>
                <w:rFonts w:ascii="Calibri" w:cs="Calibri" w:eastAsia="Calibri" w:hAnsi="Calibri"/>
                <w:sz w:val="20"/>
                <w:szCs w:val="20"/>
                <w:color w:val="auto"/>
                <w:vertAlign w:val="superscript"/>
              </w:rPr>
              <w:t>(2)</w:t>
            </w:r>
          </w:p>
        </w:tc>
        <w:tc>
          <w:tcPr>
            <w:tcW w:w="16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r>
      <w:tr>
        <w:trPr>
          <w:trHeight w:val="162"/>
        </w:trPr>
        <w:tc>
          <w:tcPr>
            <w:tcW w:w="498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4"/>
                <w:szCs w:val="14"/>
                <w:color w:val="auto"/>
              </w:rPr>
              <w:t>Client company employees trained and certfed through “Protege 365” – YTD</w:t>
            </w:r>
          </w:p>
        </w:tc>
        <w:tc>
          <w:tcPr>
            <w:tcW w:w="160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rPr>
              <w:t>Pacífco Seguros </w:t>
            </w:r>
          </w:p>
        </w:tc>
        <w:tc>
          <w:tcPr>
            <w:tcW w:w="160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w w:val="98"/>
              </w:rPr>
              <w:t>36 thousand</w:t>
            </w:r>
          </w:p>
        </w:tc>
        <w:tc>
          <w:tcPr>
            <w:tcW w:w="1580" w:type="dxa"/>
            <w:vAlign w:val="bottom"/>
            <w:tcBorders>
              <w:bottom w:val="single" w:sz="8" w:color="auto"/>
              <w:right w:val="single" w:sz="8" w:color="auto"/>
            </w:tcBorders>
          </w:tcPr>
          <w:p>
            <w:pPr>
              <w:jc w:val="center"/>
              <w:ind w:right="10"/>
              <w:spacing w:after="0" w:line="162" w:lineRule="exact"/>
              <w:rPr>
                <w:sz w:val="20"/>
                <w:szCs w:val="20"/>
                <w:color w:val="auto"/>
              </w:rPr>
            </w:pPr>
            <w:r>
              <w:rPr>
                <w:rFonts w:ascii="Calibri" w:cs="Calibri" w:eastAsia="Calibri" w:hAnsi="Calibri"/>
                <w:sz w:val="14"/>
                <w:szCs w:val="14"/>
                <w:color w:val="auto"/>
                <w:w w:val="98"/>
              </w:rPr>
              <w:t>33 thousand</w:t>
            </w:r>
          </w:p>
        </w:tc>
        <w:tc>
          <w:tcPr>
            <w:tcW w:w="1480" w:type="dxa"/>
            <w:vAlign w:val="bottom"/>
            <w:tcBorders>
              <w:bottom w:val="single" w:sz="8" w:color="auto"/>
              <w:right w:val="single" w:sz="8" w:color="auto"/>
            </w:tcBorders>
          </w:tcPr>
          <w:p>
            <w:pPr>
              <w:jc w:val="center"/>
              <w:spacing w:after="0" w:line="162" w:lineRule="exact"/>
              <w:rPr>
                <w:sz w:val="20"/>
                <w:szCs w:val="20"/>
                <w:color w:val="auto"/>
              </w:rPr>
            </w:pPr>
            <w:r>
              <w:rPr>
                <w:rFonts w:ascii="Calibri" w:cs="Calibri" w:eastAsia="Calibri" w:hAnsi="Calibri"/>
                <w:sz w:val="14"/>
                <w:szCs w:val="14"/>
                <w:color w:val="auto"/>
              </w:rPr>
              <w:t>52 thousand</w:t>
            </w:r>
          </w:p>
        </w:tc>
      </w:tr>
      <w:tr>
        <w:trPr>
          <w:trHeight w:val="164"/>
        </w:trPr>
        <w:tc>
          <w:tcPr>
            <w:tcW w:w="4980" w:type="dxa"/>
            <w:vAlign w:val="bottom"/>
            <w:tcBorders>
              <w:left w:val="single" w:sz="8" w:color="auto"/>
              <w:bottom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Opportunites and Products for Women</w:t>
            </w:r>
          </w:p>
        </w:tc>
        <w:tc>
          <w:tcPr>
            <w:tcW w:w="1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r>
      <w:tr>
        <w:trPr>
          <w:trHeight w:val="164"/>
        </w:trPr>
        <w:tc>
          <w:tcPr>
            <w:tcW w:w="498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Number of clients with “Credito Mujer” disbursements</w:t>
            </w:r>
          </w:p>
        </w:tc>
        <w:tc>
          <w:tcPr>
            <w:tcW w:w="1600" w:type="dxa"/>
            <w:vAlign w:val="bottom"/>
            <w:tcBorders>
              <w:bottom w:val="single" w:sz="8" w:color="auto"/>
              <w:right w:val="single" w:sz="8" w:color="auto"/>
            </w:tcBorders>
          </w:tcPr>
          <w:p>
            <w:pPr>
              <w:jc w:val="center"/>
              <w:ind w:right="10"/>
              <w:spacing w:after="0" w:line="164" w:lineRule="exact"/>
              <w:rPr>
                <w:sz w:val="20"/>
                <w:szCs w:val="20"/>
                <w:color w:val="auto"/>
              </w:rPr>
            </w:pPr>
            <w:r>
              <w:rPr>
                <w:rFonts w:ascii="Calibri" w:cs="Calibri" w:eastAsia="Calibri" w:hAnsi="Calibri"/>
                <w:sz w:val="14"/>
                <w:szCs w:val="14"/>
                <w:color w:val="auto"/>
                <w:w w:val="97"/>
              </w:rPr>
              <w:t>Mibanco Perú  </w:t>
            </w:r>
          </w:p>
        </w:tc>
        <w:tc>
          <w:tcPr>
            <w:tcW w:w="160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31 thousand</w:t>
            </w:r>
          </w:p>
        </w:tc>
        <w:tc>
          <w:tcPr>
            <w:tcW w:w="1580" w:type="dxa"/>
            <w:vAlign w:val="bottom"/>
            <w:tcBorders>
              <w:bottom w:val="single" w:sz="8" w:color="auto"/>
              <w:right w:val="single" w:sz="8" w:color="auto"/>
            </w:tcBorders>
          </w:tcPr>
          <w:p>
            <w:pPr>
              <w:jc w:val="center"/>
              <w:ind w:right="10"/>
              <w:spacing w:after="0" w:line="164" w:lineRule="exact"/>
              <w:rPr>
                <w:sz w:val="20"/>
                <w:szCs w:val="20"/>
                <w:color w:val="auto"/>
              </w:rPr>
            </w:pPr>
            <w:r>
              <w:rPr>
                <w:rFonts w:ascii="Calibri" w:cs="Calibri" w:eastAsia="Calibri" w:hAnsi="Calibri"/>
                <w:sz w:val="14"/>
                <w:szCs w:val="14"/>
                <w:color w:val="auto"/>
                <w:w w:val="98"/>
              </w:rPr>
              <w:t>51 thousand</w:t>
            </w:r>
          </w:p>
        </w:tc>
        <w:tc>
          <w:tcPr>
            <w:tcW w:w="148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39 thousand</w:t>
            </w:r>
          </w:p>
        </w:tc>
      </w:tr>
      <w:tr>
        <w:trPr>
          <w:trHeight w:val="164"/>
        </w:trPr>
        <w:tc>
          <w:tcPr>
            <w:tcW w:w="498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Percentage of women banked on the asset side (loans)</w:t>
            </w:r>
          </w:p>
        </w:tc>
        <w:tc>
          <w:tcPr>
            <w:tcW w:w="1600" w:type="dxa"/>
            <w:vAlign w:val="bottom"/>
            <w:tcBorders>
              <w:bottom w:val="single" w:sz="8" w:color="auto"/>
              <w:right w:val="single" w:sz="8" w:color="auto"/>
            </w:tcBorders>
          </w:tcPr>
          <w:p>
            <w:pPr>
              <w:jc w:val="center"/>
              <w:ind w:right="10"/>
              <w:spacing w:after="0" w:line="164" w:lineRule="exact"/>
              <w:rPr>
                <w:sz w:val="20"/>
                <w:szCs w:val="20"/>
                <w:color w:val="auto"/>
              </w:rPr>
            </w:pPr>
            <w:r>
              <w:rPr>
                <w:rFonts w:ascii="Calibri" w:cs="Calibri" w:eastAsia="Calibri" w:hAnsi="Calibri"/>
                <w:sz w:val="14"/>
                <w:szCs w:val="14"/>
                <w:color w:val="auto"/>
                <w:w w:val="97"/>
              </w:rPr>
              <w:t>Mibanco Perú  </w:t>
            </w:r>
          </w:p>
        </w:tc>
        <w:tc>
          <w:tcPr>
            <w:tcW w:w="1600" w:type="dxa"/>
            <w:vAlign w:val="bottom"/>
            <w:tcBorders>
              <w:bottom w:val="single" w:sz="8" w:color="auto"/>
              <w:right w:val="single" w:sz="8" w:color="auto"/>
            </w:tcBorders>
          </w:tcPr>
          <w:p>
            <w:pPr>
              <w:jc w:val="right"/>
              <w:ind w:right="650"/>
              <w:spacing w:after="0" w:line="164" w:lineRule="exact"/>
              <w:rPr>
                <w:sz w:val="20"/>
                <w:szCs w:val="20"/>
                <w:color w:val="auto"/>
              </w:rPr>
            </w:pPr>
            <w:r>
              <w:rPr>
                <w:rFonts w:ascii="Calibri" w:cs="Calibri" w:eastAsia="Calibri" w:hAnsi="Calibri"/>
                <w:sz w:val="14"/>
                <w:szCs w:val="14"/>
                <w:color w:val="auto"/>
              </w:rPr>
              <w:t>56%</w:t>
            </w:r>
          </w:p>
        </w:tc>
        <w:tc>
          <w:tcPr>
            <w:tcW w:w="1580" w:type="dxa"/>
            <w:vAlign w:val="bottom"/>
            <w:tcBorders>
              <w:bottom w:val="single" w:sz="8" w:color="auto"/>
              <w:right w:val="single" w:sz="8" w:color="auto"/>
            </w:tcBorders>
          </w:tcPr>
          <w:p>
            <w:pPr>
              <w:jc w:val="right"/>
              <w:ind w:right="630"/>
              <w:spacing w:after="0" w:line="164" w:lineRule="exact"/>
              <w:rPr>
                <w:sz w:val="20"/>
                <w:szCs w:val="20"/>
                <w:color w:val="auto"/>
              </w:rPr>
            </w:pPr>
            <w:r>
              <w:rPr>
                <w:rFonts w:ascii="Calibri" w:cs="Calibri" w:eastAsia="Calibri" w:hAnsi="Calibri"/>
                <w:sz w:val="14"/>
                <w:szCs w:val="14"/>
                <w:color w:val="auto"/>
              </w:rPr>
              <w:t>56%</w:t>
            </w:r>
          </w:p>
        </w:tc>
        <w:tc>
          <w:tcPr>
            <w:tcW w:w="1480" w:type="dxa"/>
            <w:vAlign w:val="bottom"/>
            <w:tcBorders>
              <w:bottom w:val="single" w:sz="8" w:color="auto"/>
              <w:right w:val="single" w:sz="8" w:color="auto"/>
            </w:tcBorders>
          </w:tcPr>
          <w:p>
            <w:pPr>
              <w:jc w:val="right"/>
              <w:ind w:right="571"/>
              <w:spacing w:after="0" w:line="164" w:lineRule="exact"/>
              <w:rPr>
                <w:sz w:val="20"/>
                <w:szCs w:val="20"/>
                <w:color w:val="auto"/>
              </w:rPr>
            </w:pPr>
            <w:r>
              <w:rPr>
                <w:rFonts w:ascii="Calibri" w:cs="Calibri" w:eastAsia="Calibri" w:hAnsi="Calibri"/>
                <w:sz w:val="14"/>
                <w:szCs w:val="14"/>
                <w:color w:val="auto"/>
              </w:rPr>
              <w:t>62%</w:t>
            </w:r>
          </w:p>
        </w:tc>
      </w:tr>
      <w:tr>
        <w:trPr>
          <w:trHeight w:val="164"/>
        </w:trPr>
        <w:tc>
          <w:tcPr>
            <w:tcW w:w="4980" w:type="dxa"/>
            <w:vAlign w:val="bottom"/>
            <w:tcBorders>
              <w:left w:val="single" w:sz="8" w:color="auto"/>
              <w:bottom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Helping small businesses grow</w:t>
            </w:r>
          </w:p>
        </w:tc>
        <w:tc>
          <w:tcPr>
            <w:tcW w:w="1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r>
      <w:tr>
        <w:trPr>
          <w:trHeight w:val="164"/>
        </w:trPr>
        <w:tc>
          <w:tcPr>
            <w:tcW w:w="498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Trained via Accompanying Entrepreneurs (“Contgo Emprendedor”) – YTD</w:t>
            </w:r>
          </w:p>
        </w:tc>
        <w:tc>
          <w:tcPr>
            <w:tcW w:w="160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BCP </w:t>
            </w:r>
          </w:p>
        </w:tc>
        <w:tc>
          <w:tcPr>
            <w:tcW w:w="160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111 thousand</w:t>
            </w:r>
          </w:p>
        </w:tc>
        <w:tc>
          <w:tcPr>
            <w:tcW w:w="1580" w:type="dxa"/>
            <w:vAlign w:val="bottom"/>
            <w:tcBorders>
              <w:bottom w:val="single" w:sz="8" w:color="auto"/>
              <w:right w:val="single" w:sz="8" w:color="auto"/>
            </w:tcBorders>
          </w:tcPr>
          <w:p>
            <w:pPr>
              <w:jc w:val="center"/>
              <w:ind w:right="10"/>
              <w:spacing w:after="0" w:line="164" w:lineRule="exact"/>
              <w:rPr>
                <w:sz w:val="20"/>
                <w:szCs w:val="20"/>
                <w:color w:val="auto"/>
              </w:rPr>
            </w:pPr>
            <w:r>
              <w:rPr>
                <w:rFonts w:ascii="Calibri" w:cs="Calibri" w:eastAsia="Calibri" w:hAnsi="Calibri"/>
                <w:sz w:val="14"/>
                <w:szCs w:val="14"/>
                <w:color w:val="auto"/>
                <w:w w:val="99"/>
              </w:rPr>
              <w:t>121 thousand</w:t>
            </w:r>
          </w:p>
        </w:tc>
        <w:tc>
          <w:tcPr>
            <w:tcW w:w="148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68 thousand</w:t>
            </w:r>
          </w:p>
        </w:tc>
      </w:tr>
      <w:tr>
        <w:trPr>
          <w:trHeight w:val="151"/>
        </w:trPr>
        <w:tc>
          <w:tcPr>
            <w:tcW w:w="4980" w:type="dxa"/>
            <w:vAlign w:val="bottom"/>
            <w:tcBorders>
              <w:left w:val="single" w:sz="8" w:color="auto"/>
              <w:right w:val="single" w:sz="8" w:color="auto"/>
            </w:tcBorders>
          </w:tcPr>
          <w:p>
            <w:pPr>
              <w:ind w:left="20"/>
              <w:spacing w:after="0" w:line="151" w:lineRule="exact"/>
              <w:rPr>
                <w:sz w:val="20"/>
                <w:szCs w:val="20"/>
                <w:color w:val="auto"/>
              </w:rPr>
            </w:pPr>
            <w:r>
              <w:rPr>
                <w:rFonts w:ascii="Calibri" w:cs="Calibri" w:eastAsia="Calibri" w:hAnsi="Calibri"/>
                <w:sz w:val="14"/>
                <w:szCs w:val="14"/>
                <w:color w:val="auto"/>
              </w:rPr>
              <w:t>SME-Pymes fnancially included through loans (working capital and invoice</w:t>
            </w:r>
          </w:p>
        </w:tc>
        <w:tc>
          <w:tcPr>
            <w:tcW w:w="160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rPr>
              <w:t>BCP </w:t>
            </w:r>
          </w:p>
        </w:tc>
        <w:tc>
          <w:tcPr>
            <w:tcW w:w="160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4"/>
                <w:szCs w:val="14"/>
                <w:color w:val="auto"/>
                <w:w w:val="98"/>
              </w:rPr>
              <w:t>49 thousand</w:t>
            </w:r>
          </w:p>
        </w:tc>
        <w:tc>
          <w:tcPr>
            <w:tcW w:w="1580" w:type="dxa"/>
            <w:vAlign w:val="bottom"/>
            <w:tcBorders>
              <w:right w:val="single" w:sz="8" w:color="auto"/>
            </w:tcBorders>
          </w:tcPr>
          <w:p>
            <w:pPr>
              <w:jc w:val="center"/>
              <w:ind w:right="10"/>
              <w:spacing w:after="0" w:line="151" w:lineRule="exact"/>
              <w:rPr>
                <w:sz w:val="20"/>
                <w:szCs w:val="20"/>
                <w:color w:val="auto"/>
              </w:rPr>
            </w:pPr>
            <w:r>
              <w:rPr>
                <w:rFonts w:ascii="Calibri" w:cs="Calibri" w:eastAsia="Calibri" w:hAnsi="Calibri"/>
                <w:sz w:val="14"/>
                <w:szCs w:val="14"/>
                <w:color w:val="auto"/>
                <w:w w:val="98"/>
              </w:rPr>
              <w:t>33 thousand</w:t>
            </w:r>
          </w:p>
        </w:tc>
        <w:tc>
          <w:tcPr>
            <w:tcW w:w="1480" w:type="dxa"/>
            <w:vAlign w:val="bottom"/>
            <w:tcBorders>
              <w:right w:val="single" w:sz="8" w:color="auto"/>
            </w:tcBorders>
          </w:tcPr>
          <w:p>
            <w:pPr>
              <w:jc w:val="center"/>
              <w:spacing w:after="0" w:line="151" w:lineRule="exact"/>
              <w:rPr>
                <w:sz w:val="20"/>
                <w:szCs w:val="20"/>
                <w:color w:val="auto"/>
              </w:rPr>
            </w:pPr>
            <w:r>
              <w:rPr>
                <w:rFonts w:ascii="Calibri" w:cs="Calibri" w:eastAsia="Calibri" w:hAnsi="Calibri"/>
                <w:sz w:val="10"/>
                <w:szCs w:val="10"/>
                <w:color w:val="auto"/>
              </w:rPr>
              <w:t xml:space="preserve">39 thousand </w:t>
            </w:r>
            <w:r>
              <w:rPr>
                <w:rFonts w:ascii="Calibri" w:cs="Calibri" w:eastAsia="Calibri" w:hAnsi="Calibri"/>
                <w:sz w:val="16"/>
                <w:szCs w:val="16"/>
                <w:color w:val="auto"/>
                <w:vertAlign w:val="superscript"/>
              </w:rPr>
              <w:t>(3)</w:t>
            </w:r>
          </w:p>
        </w:tc>
      </w:tr>
      <w:tr>
        <w:trPr>
          <w:trHeight w:val="178"/>
        </w:trPr>
        <w:tc>
          <w:tcPr>
            <w:tcW w:w="4980" w:type="dxa"/>
            <w:vAlign w:val="bottom"/>
            <w:tcBorders>
              <w:left w:val="single" w:sz="8" w:color="auto"/>
              <w:bottom w:val="single" w:sz="8" w:color="auto"/>
              <w:right w:val="single" w:sz="8" w:color="auto"/>
            </w:tcBorders>
          </w:tcPr>
          <w:p>
            <w:pPr>
              <w:ind w:left="20"/>
              <w:spacing w:after="0" w:line="167" w:lineRule="exact"/>
              <w:rPr>
                <w:sz w:val="20"/>
                <w:szCs w:val="20"/>
                <w:color w:val="auto"/>
              </w:rPr>
            </w:pPr>
            <w:r>
              <w:rPr>
                <w:rFonts w:ascii="Calibri" w:cs="Calibri" w:eastAsia="Calibri" w:hAnsi="Calibri"/>
                <w:sz w:val="14"/>
                <w:szCs w:val="14"/>
                <w:color w:val="auto"/>
              </w:rPr>
              <w:t>discountng) – YTD</w:t>
            </w:r>
          </w:p>
        </w:tc>
        <w:tc>
          <w:tcPr>
            <w:tcW w:w="16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r>
      <w:tr>
        <w:trPr>
          <w:trHeight w:val="169"/>
        </w:trPr>
        <w:tc>
          <w:tcPr>
            <w:tcW w:w="4980" w:type="dxa"/>
            <w:vAlign w:val="bottom"/>
            <w:tcBorders>
              <w:left w:val="single" w:sz="8" w:color="auto"/>
              <w:bottom w:val="single" w:sz="8" w:color="auto"/>
              <w:right w:val="single" w:sz="8" w:color="auto"/>
            </w:tcBorders>
          </w:tcPr>
          <w:p>
            <w:pPr>
              <w:ind w:left="20"/>
              <w:spacing w:after="0" w:line="167" w:lineRule="exact"/>
              <w:rPr>
                <w:sz w:val="20"/>
                <w:szCs w:val="20"/>
                <w:color w:val="auto"/>
              </w:rPr>
            </w:pPr>
            <w:r>
              <w:rPr>
                <w:rFonts w:ascii="Calibri" w:cs="Calibri" w:eastAsia="Calibri" w:hAnsi="Calibri"/>
                <w:sz w:val="14"/>
                <w:szCs w:val="14"/>
                <w:color w:val="auto"/>
              </w:rPr>
              <w:t>Microbusiness afliated to Yape – YTD</w:t>
            </w:r>
          </w:p>
        </w:tc>
        <w:tc>
          <w:tcPr>
            <w:tcW w:w="1600" w:type="dxa"/>
            <w:vAlign w:val="bottom"/>
            <w:tcBorders>
              <w:bottom w:val="single" w:sz="8" w:color="auto"/>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rPr>
              <w:t>BCP </w:t>
            </w:r>
          </w:p>
        </w:tc>
        <w:tc>
          <w:tcPr>
            <w:tcW w:w="1600" w:type="dxa"/>
            <w:vAlign w:val="bottom"/>
            <w:tcBorders>
              <w:bottom w:val="single" w:sz="8" w:color="auto"/>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rPr>
              <w:t>NA</w:t>
            </w:r>
          </w:p>
        </w:tc>
        <w:tc>
          <w:tcPr>
            <w:tcW w:w="1580" w:type="dxa"/>
            <w:vAlign w:val="bottom"/>
            <w:tcBorders>
              <w:bottom w:val="single" w:sz="8" w:color="auto"/>
              <w:right w:val="single" w:sz="8" w:color="auto"/>
            </w:tcBorders>
          </w:tcPr>
          <w:p>
            <w:pPr>
              <w:jc w:val="center"/>
              <w:ind w:right="10"/>
              <w:spacing w:after="0" w:line="167" w:lineRule="exact"/>
              <w:rPr>
                <w:sz w:val="20"/>
                <w:szCs w:val="20"/>
                <w:color w:val="auto"/>
              </w:rPr>
            </w:pPr>
            <w:r>
              <w:rPr>
                <w:rFonts w:ascii="Calibri" w:cs="Calibri" w:eastAsia="Calibri" w:hAnsi="Calibri"/>
                <w:sz w:val="14"/>
                <w:szCs w:val="14"/>
                <w:color w:val="auto"/>
                <w:w w:val="98"/>
              </w:rPr>
              <w:t>78 thousand</w:t>
            </w:r>
          </w:p>
        </w:tc>
        <w:tc>
          <w:tcPr>
            <w:tcW w:w="1480" w:type="dxa"/>
            <w:vAlign w:val="bottom"/>
            <w:tcBorders>
              <w:bottom w:val="single" w:sz="8" w:color="auto"/>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w w:val="99"/>
              </w:rPr>
              <w:t>104 thousand</w:t>
            </w:r>
          </w:p>
        </w:tc>
      </w:tr>
    </w:tbl>
    <w:p>
      <w:pPr>
        <w:spacing w:after="0" w:line="221" w:lineRule="exact"/>
        <w:rPr>
          <w:sz w:val="20"/>
          <w:szCs w:val="20"/>
          <w:color w:val="auto"/>
        </w:rPr>
      </w:pPr>
    </w:p>
    <w:p>
      <w:pPr>
        <w:ind w:left="560" w:hanging="240"/>
        <w:spacing w:after="0" w:line="236" w:lineRule="auto"/>
        <w:tabs>
          <w:tab w:leader="none" w:pos="56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Stock of fnancially included clients through BCP since 2020: (i) New clients with savings accounts or afliated to Yape. (ii) New clients without debt in the fnancial system or BCP products in the last twelve months. (iii) Clients with 3 monthly average transactons in the last three months. The fgure for 4Q23 has been revised.</w:t>
      </w:r>
    </w:p>
    <w:p>
      <w:pPr>
        <w:spacing w:after="0" w:line="4" w:lineRule="exact"/>
        <w:rPr>
          <w:rFonts w:ascii="Calibri" w:cs="Calibri" w:eastAsia="Calibri" w:hAnsi="Calibri"/>
          <w:sz w:val="14"/>
          <w:szCs w:val="14"/>
          <w:color w:val="auto"/>
        </w:rPr>
      </w:pPr>
    </w:p>
    <w:p>
      <w:pPr>
        <w:ind w:left="560" w:hanging="240"/>
        <w:spacing w:after="0" w:line="236" w:lineRule="auto"/>
        <w:tabs>
          <w:tab w:leader="none" w:pos="56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Covers virtual or in-person trainings about risk management for businesses, entrepreneurship, and fnance through our diferent educatonal strategies, such as the Basic Program for Digital Guidance, Powerful Women and MiConsultor.</w:t>
      </w:r>
    </w:p>
    <w:p>
      <w:pPr>
        <w:spacing w:after="0" w:line="1" w:lineRule="exact"/>
        <w:rPr>
          <w:rFonts w:ascii="Calibri" w:cs="Calibri" w:eastAsia="Calibri" w:hAnsi="Calibri"/>
          <w:sz w:val="14"/>
          <w:szCs w:val="14"/>
          <w:color w:val="auto"/>
        </w:rPr>
      </w:pPr>
    </w:p>
    <w:p>
      <w:pPr>
        <w:ind w:left="580" w:hanging="260"/>
        <w:spacing w:after="0"/>
        <w:tabs>
          <w:tab w:leader="none" w:pos="58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Up to November.</w:t>
      </w:r>
    </w:p>
    <w:p>
      <w:pPr>
        <w:spacing w:after="0" w:line="37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01 </w:t>
      </w:r>
      <w:r>
        <w:rPr>
          <w:rFonts w:ascii="Arial" w:cs="Arial" w:eastAsia="Arial" w:hAnsi="Arial"/>
          <w:sz w:val="31"/>
          <w:szCs w:val="31"/>
          <w:color w:val="E93BAB"/>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151765</wp:posOffset>
            </wp:positionV>
            <wp:extent cx="6561455" cy="1565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61455" cy="1565275"/>
                    </a:xfrm>
                    <a:prstGeom prst="rect">
                      <a:avLst/>
                    </a:prstGeom>
                    <a:noFill/>
                  </pic:spPr>
                </pic:pic>
              </a:graphicData>
            </a:graphic>
          </wp:anchor>
        </w:drawing>
      </w:r>
    </w:p>
    <w:p>
      <w:pPr>
        <w:spacing w:after="0" w:line="329" w:lineRule="exact"/>
        <w:rPr>
          <w:sz w:val="20"/>
          <w:szCs w:val="20"/>
          <w:color w:val="auto"/>
        </w:rPr>
      </w:pPr>
    </w:p>
    <w:p>
      <w:pPr>
        <w:jc w:val="both"/>
        <w:ind w:left="580" w:right="540"/>
        <w:spacing w:after="0" w:line="242" w:lineRule="auto"/>
        <w:rPr>
          <w:sz w:val="20"/>
          <w:szCs w:val="20"/>
          <w:color w:val="auto"/>
        </w:rPr>
      </w:pPr>
      <w:r>
        <w:rPr>
          <w:rFonts w:ascii="Calibri" w:cs="Calibri" w:eastAsia="Calibri" w:hAnsi="Calibri"/>
          <w:sz w:val="17"/>
          <w:szCs w:val="17"/>
          <w:color w:val="FFFFFF"/>
        </w:rPr>
        <w:t>This quarter, total loans in average daily balances (ADB) increased 0.7% (+0.3% FX Neutral). Notably, this quarter marked a turning point, partcularly in the retail segment at BCP, which rode favorable macroeconomic tailwinds to rebound. QoQ, this evoluton was driven primarily by i) growth in short-term loans in Corporate Banking, ii) an increase in loan disbursements through Government Programs and negotable invoices in SME-Business, and iii) a rebound in disbursements through Mortgage. This growth was partally ofset by a decline in balances in Middle Market Banking and Mibanco.</w:t>
      </w:r>
    </w:p>
    <w:p>
      <w:pPr>
        <w:spacing w:after="0" w:line="239" w:lineRule="exact"/>
        <w:rPr>
          <w:sz w:val="20"/>
          <w:szCs w:val="20"/>
          <w:color w:val="auto"/>
        </w:rPr>
      </w:pPr>
    </w:p>
    <w:p>
      <w:pPr>
        <w:jc w:val="both"/>
        <w:ind w:left="580" w:right="540"/>
        <w:spacing w:after="0" w:line="242" w:lineRule="auto"/>
        <w:rPr>
          <w:sz w:val="20"/>
          <w:szCs w:val="20"/>
          <w:color w:val="auto"/>
        </w:rPr>
      </w:pPr>
      <w:r>
        <w:rPr>
          <w:rFonts w:ascii="Calibri" w:cs="Calibri" w:eastAsia="Calibri" w:hAnsi="Calibri"/>
          <w:sz w:val="17"/>
          <w:szCs w:val="17"/>
          <w:color w:val="FFFFFF"/>
        </w:rPr>
        <w:t>YoY, total loans in average daily balances dropped 0.5% (-0.5% FX Neutral). This evoluton was mainly atributable to i) stricter lending policies at Mibanco, ii) growth in short-term loan amortzatons in Middle Market banking and iii) a decrease in disbursements of long-term loans in SME-Pyme. The interannual decline was partally ofset by growth in Corporate Banking, Mortgage and SME-Business, which was driven by the same factors outlined in the QoQ analysis. On a Full-Year basis, loans in ADB dropped 1.1%, driven primarily by Mibanco and Middle Market Banking. If we exclude the impact of Government Program loans, loans in average daily balances rose 0.2%.</w:t>
      </w:r>
    </w:p>
    <w:p>
      <w:pPr>
        <w:spacing w:after="0" w:line="18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1.1. Loans</w:t>
      </w:r>
    </w:p>
    <w:p>
      <w:pPr>
        <w:ind w:left="3360"/>
        <w:spacing w:after="0" w:line="231" w:lineRule="auto"/>
        <w:rPr>
          <w:sz w:val="20"/>
          <w:szCs w:val="20"/>
          <w:color w:val="auto"/>
        </w:rPr>
      </w:pPr>
      <w:r>
        <w:rPr>
          <w:rFonts w:ascii="Calibri" w:cs="Calibri" w:eastAsia="Calibri" w:hAnsi="Calibri"/>
          <w:sz w:val="17"/>
          <w:szCs w:val="17"/>
          <w:b w:val="1"/>
          <w:bCs w:val="1"/>
          <w:color w:val="auto"/>
        </w:rPr>
        <w:t xml:space="preserve">Total Loans (in Average Daily Balances) </w:t>
      </w:r>
      <w:r>
        <w:rPr>
          <w:rFonts w:ascii="Calibri" w:cs="Calibri" w:eastAsia="Calibri" w:hAnsi="Calibri"/>
          <w:sz w:val="29"/>
          <w:szCs w:val="29"/>
          <w:b w:val="1"/>
          <w:bCs w:val="1"/>
          <w:color w:val="auto"/>
          <w:vertAlign w:val="superscript"/>
        </w:rPr>
        <w:t>(1)(2)</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54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0"/>
                <w:szCs w:val="10"/>
                <w:b w:val="1"/>
                <w:bCs w:val="1"/>
                <w:color w:val="FFFFFF"/>
              </w:rPr>
              <w:t>Total Loans</w:t>
            </w:r>
          </w:p>
        </w:tc>
        <w:tc>
          <w:tcPr>
            <w:tcW w:w="600" w:type="dxa"/>
            <w:vAlign w:val="bottom"/>
            <w:tcBorders>
              <w:top w:val="single" w:sz="8" w:color="auto"/>
            </w:tcBorders>
            <w:shd w:val="clear" w:color="auto" w:fill="33CCCC"/>
          </w:tcPr>
          <w:p>
            <w:pPr>
              <w:spacing w:after="0"/>
              <w:rPr>
                <w:sz w:val="11"/>
                <w:szCs w:val="11"/>
                <w:color w:val="auto"/>
              </w:rPr>
            </w:pPr>
          </w:p>
        </w:tc>
        <w:tc>
          <w:tcPr>
            <w:tcW w:w="6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As of</w:t>
            </w:r>
          </w:p>
        </w:tc>
        <w:tc>
          <w:tcPr>
            <w:tcW w:w="640" w:type="dxa"/>
            <w:vAlign w:val="bottom"/>
            <w:tcBorders>
              <w:top w:val="single" w:sz="8" w:color="auto"/>
              <w:right w:val="single" w:sz="8" w:color="auto"/>
            </w:tcBorders>
            <w:shd w:val="clear" w:color="auto" w:fill="33CCCC"/>
          </w:tcPr>
          <w:p>
            <w:pPr>
              <w:spacing w:after="0"/>
              <w:rPr>
                <w:sz w:val="11"/>
                <w:szCs w:val="11"/>
                <w:color w:val="auto"/>
              </w:rPr>
            </w:pPr>
          </w:p>
        </w:tc>
        <w:tc>
          <w:tcPr>
            <w:tcW w:w="540" w:type="dxa"/>
            <w:vAlign w:val="bottom"/>
            <w:tcBorders>
              <w:top w:val="single" w:sz="8" w:color="auto"/>
            </w:tcBorders>
            <w:shd w:val="clear" w:color="auto" w:fill="33CCCC"/>
          </w:tcPr>
          <w:p>
            <w:pPr>
              <w:spacing w:after="0"/>
              <w:rPr>
                <w:sz w:val="11"/>
                <w:szCs w:val="11"/>
                <w:color w:val="auto"/>
              </w:rPr>
            </w:pPr>
          </w:p>
        </w:tc>
        <w:tc>
          <w:tcPr>
            <w:tcW w:w="78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0"/>
                <w:szCs w:val="10"/>
                <w:b w:val="1"/>
                <w:bCs w:val="1"/>
                <w:color w:val="FFFFFF"/>
              </w:rPr>
              <w:t>Year</w:t>
            </w:r>
          </w:p>
        </w:tc>
        <w:tc>
          <w:tcPr>
            <w:tcW w:w="540" w:type="dxa"/>
            <w:vAlign w:val="bottom"/>
            <w:tcBorders>
              <w:top w:val="single" w:sz="8" w:color="auto"/>
            </w:tcBorders>
            <w:shd w:val="clear" w:color="auto" w:fill="33CCCC"/>
          </w:tcPr>
          <w:p>
            <w:pPr>
              <w:spacing w:after="0"/>
              <w:rPr>
                <w:sz w:val="11"/>
                <w:szCs w:val="11"/>
                <w:color w:val="auto"/>
              </w:rPr>
            </w:pPr>
          </w:p>
        </w:tc>
        <w:tc>
          <w:tcPr>
            <w:tcW w:w="780" w:type="dxa"/>
            <w:vAlign w:val="bottom"/>
            <w:tcBorders>
              <w:top w:val="single" w:sz="8" w:color="auto"/>
            </w:tcBorders>
            <w:gridSpan w:val="2"/>
            <w:shd w:val="clear" w:color="auto" w:fill="33CCCC"/>
          </w:tcPr>
          <w:p>
            <w:pPr>
              <w:ind w:left="60"/>
              <w:spacing w:after="0"/>
              <w:rPr>
                <w:sz w:val="20"/>
                <w:szCs w:val="20"/>
                <w:color w:val="auto"/>
              </w:rPr>
            </w:pPr>
            <w:r>
              <w:rPr>
                <w:rFonts w:ascii="Calibri" w:cs="Calibri" w:eastAsia="Calibri" w:hAnsi="Calibri"/>
                <w:sz w:val="10"/>
                <w:szCs w:val="10"/>
                <w:b w:val="1"/>
                <w:bCs w:val="1"/>
                <w:color w:val="FFFFFF"/>
              </w:rPr>
              <w:t>Volume change</w:t>
            </w:r>
          </w:p>
        </w:tc>
        <w:tc>
          <w:tcPr>
            <w:tcW w:w="580" w:type="dxa"/>
            <w:vAlign w:val="bottom"/>
            <w:tcBorders>
              <w:top w:val="single" w:sz="8" w:color="auto"/>
              <w:right w:val="single" w:sz="8" w:color="auto"/>
            </w:tcBorders>
            <w:shd w:val="clear" w:color="auto" w:fill="33CCCC"/>
          </w:tcPr>
          <w:p>
            <w:pPr>
              <w:spacing w:after="0"/>
              <w:rPr>
                <w:sz w:val="11"/>
                <w:szCs w:val="11"/>
                <w:color w:val="auto"/>
              </w:rPr>
            </w:pPr>
          </w:p>
        </w:tc>
        <w:tc>
          <w:tcPr>
            <w:tcW w:w="520" w:type="dxa"/>
            <w:vAlign w:val="bottom"/>
            <w:tcBorders>
              <w:top w:val="single" w:sz="8" w:color="auto"/>
            </w:tcBorders>
            <w:shd w:val="clear" w:color="auto" w:fill="33CCCC"/>
          </w:tcPr>
          <w:p>
            <w:pPr>
              <w:spacing w:after="0"/>
              <w:rPr>
                <w:sz w:val="11"/>
                <w:szCs w:val="11"/>
                <w:color w:val="auto"/>
              </w:rPr>
            </w:pPr>
          </w:p>
        </w:tc>
        <w:tc>
          <w:tcPr>
            <w:tcW w:w="64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 change</w:t>
            </w:r>
          </w:p>
        </w:tc>
        <w:tc>
          <w:tcPr>
            <w:tcW w:w="560" w:type="dxa"/>
            <w:vAlign w:val="bottom"/>
            <w:tcBorders>
              <w:top w:val="single" w:sz="8" w:color="auto"/>
              <w:right w:val="single" w:sz="8" w:color="auto"/>
            </w:tcBorders>
            <w:shd w:val="clear" w:color="auto" w:fill="33CCCC"/>
          </w:tcPr>
          <w:p>
            <w:pPr>
              <w:spacing w:after="0"/>
              <w:rPr>
                <w:sz w:val="11"/>
                <w:szCs w:val="11"/>
                <w:color w:val="auto"/>
              </w:rPr>
            </w:pPr>
          </w:p>
        </w:tc>
        <w:tc>
          <w:tcPr>
            <w:tcW w:w="560" w:type="dxa"/>
            <w:vAlign w:val="bottom"/>
            <w:tcBorders>
              <w:top w:val="single" w:sz="8" w:color="auto"/>
            </w:tcBorders>
            <w:shd w:val="clear" w:color="auto" w:fill="33CCCC"/>
          </w:tcPr>
          <w:p>
            <w:pPr>
              <w:spacing w:after="0"/>
              <w:rPr>
                <w:sz w:val="11"/>
                <w:szCs w:val="11"/>
                <w:color w:val="auto"/>
              </w:rPr>
            </w:pPr>
          </w:p>
        </w:tc>
        <w:tc>
          <w:tcPr>
            <w:tcW w:w="1740" w:type="dxa"/>
            <w:vAlign w:val="bottom"/>
            <w:tcBorders>
              <w:top w:val="single" w:sz="8" w:color="auto"/>
            </w:tcBorders>
            <w:gridSpan w:val="3"/>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 Part. in total loans</w:t>
            </w:r>
          </w:p>
        </w:tc>
        <w:tc>
          <w:tcPr>
            <w:tcW w:w="580" w:type="dxa"/>
            <w:vAlign w:val="bottom"/>
            <w:tcBorders>
              <w:top w:val="single" w:sz="8" w:color="auto"/>
              <w:right w:val="single" w:sz="8" w:color="auto"/>
            </w:tcBorders>
            <w:shd w:val="clear" w:color="auto" w:fill="33CCCC"/>
          </w:tcPr>
          <w:p>
            <w:pPr>
              <w:spacing w:after="0"/>
              <w:rPr>
                <w:sz w:val="11"/>
                <w:szCs w:val="11"/>
                <w:color w:val="auto"/>
              </w:rPr>
            </w:pPr>
          </w:p>
        </w:tc>
      </w:tr>
      <w:tr>
        <w:trPr>
          <w:trHeight w:val="131"/>
        </w:trPr>
        <w:tc>
          <w:tcPr>
            <w:tcW w:w="154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0"/>
                <w:szCs w:val="10"/>
                <w:b w:val="1"/>
                <w:bCs w:val="1"/>
                <w:color w:val="FFFFFF"/>
              </w:rPr>
              <w:t>S/ millions</w:t>
            </w:r>
          </w:p>
        </w:tc>
        <w:tc>
          <w:tcPr>
            <w:tcW w:w="600" w:type="dxa"/>
            <w:vAlign w:val="bottom"/>
            <w:tcBorders>
              <w:bottom w:val="single" w:sz="8" w:color="auto"/>
            </w:tcBorders>
            <w:shd w:val="clear" w:color="auto" w:fill="33CCCC"/>
          </w:tcPr>
          <w:p>
            <w:pPr>
              <w:ind w:left="140"/>
              <w:spacing w:after="0"/>
              <w:rPr>
                <w:sz w:val="20"/>
                <w:szCs w:val="20"/>
                <w:color w:val="auto"/>
              </w:rPr>
            </w:pPr>
            <w:r>
              <w:rPr>
                <w:rFonts w:ascii="Calibri" w:cs="Calibri" w:eastAsia="Calibri" w:hAnsi="Calibri"/>
                <w:sz w:val="10"/>
                <w:szCs w:val="10"/>
                <w:b w:val="1"/>
                <w:bCs w:val="1"/>
                <w:color w:val="FFFFFF"/>
              </w:rPr>
              <w:t>Dec 23</w:t>
            </w:r>
          </w:p>
        </w:tc>
        <w:tc>
          <w:tcPr>
            <w:tcW w:w="64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Sep 24</w:t>
            </w:r>
          </w:p>
        </w:tc>
        <w:tc>
          <w:tcPr>
            <w:tcW w:w="640" w:type="dxa"/>
            <w:vAlign w:val="bottom"/>
            <w:tcBorders>
              <w:bottom w:val="single" w:sz="8" w:color="auto"/>
              <w:right w:val="single" w:sz="8" w:color="auto"/>
            </w:tcBorders>
            <w:shd w:val="clear" w:color="auto" w:fill="33CCCC"/>
          </w:tcPr>
          <w:p>
            <w:pPr>
              <w:ind w:left="160"/>
              <w:spacing w:after="0"/>
              <w:rPr>
                <w:sz w:val="20"/>
                <w:szCs w:val="20"/>
                <w:color w:val="auto"/>
              </w:rPr>
            </w:pPr>
            <w:r>
              <w:rPr>
                <w:rFonts w:ascii="Calibri" w:cs="Calibri" w:eastAsia="Calibri" w:hAnsi="Calibri"/>
                <w:sz w:val="10"/>
                <w:szCs w:val="10"/>
                <w:b w:val="1"/>
                <w:bCs w:val="1"/>
                <w:color w:val="FFFFFF"/>
              </w:rPr>
              <w:t>Dec 24</w:t>
            </w:r>
          </w:p>
        </w:tc>
        <w:tc>
          <w:tcPr>
            <w:tcW w:w="540" w:type="dxa"/>
            <w:vAlign w:val="bottom"/>
            <w:tcBorders>
              <w:bottom w:val="single" w:sz="8" w:color="auto"/>
            </w:tcBorders>
            <w:shd w:val="clear" w:color="auto" w:fill="33CCCC"/>
          </w:tcPr>
          <w:p>
            <w:pPr>
              <w:jc w:val="center"/>
              <w:ind w:left="68"/>
              <w:spacing w:after="0"/>
              <w:rPr>
                <w:sz w:val="20"/>
                <w:szCs w:val="20"/>
                <w:color w:val="auto"/>
              </w:rPr>
            </w:pPr>
            <w:r>
              <w:rPr>
                <w:rFonts w:ascii="Calibri" w:cs="Calibri" w:eastAsia="Calibri" w:hAnsi="Calibri"/>
                <w:sz w:val="10"/>
                <w:szCs w:val="10"/>
                <w:b w:val="1"/>
                <w:bCs w:val="1"/>
                <w:color w:val="FFFFFF"/>
              </w:rPr>
              <w:t>2023</w:t>
            </w:r>
          </w:p>
        </w:tc>
        <w:tc>
          <w:tcPr>
            <w:tcW w:w="780" w:type="dxa"/>
            <w:vAlign w:val="bottom"/>
            <w:tcBorders>
              <w:bottom w:val="single" w:sz="8" w:color="auto"/>
              <w:right w:val="single" w:sz="8" w:color="auto"/>
            </w:tcBorders>
            <w:shd w:val="clear" w:color="auto" w:fill="33CCCC"/>
          </w:tcPr>
          <w:p>
            <w:pPr>
              <w:jc w:val="center"/>
              <w:ind w:left="68"/>
              <w:spacing w:after="0"/>
              <w:rPr>
                <w:sz w:val="20"/>
                <w:szCs w:val="20"/>
                <w:color w:val="auto"/>
              </w:rPr>
            </w:pPr>
            <w:r>
              <w:rPr>
                <w:rFonts w:ascii="Calibri" w:cs="Calibri" w:eastAsia="Calibri" w:hAnsi="Calibri"/>
                <w:sz w:val="10"/>
                <w:szCs w:val="10"/>
                <w:b w:val="1"/>
                <w:bCs w:val="1"/>
                <w:color w:val="FFFFFF"/>
              </w:rPr>
              <w:t>2024</w:t>
            </w:r>
          </w:p>
        </w:tc>
        <w:tc>
          <w:tcPr>
            <w:tcW w:w="540" w:type="dxa"/>
            <w:vAlign w:val="bottom"/>
            <w:tcBorders>
              <w:bottom w:val="single" w:sz="8" w:color="auto"/>
            </w:tcBorders>
            <w:shd w:val="clear" w:color="auto" w:fill="33CCCC"/>
          </w:tcPr>
          <w:p>
            <w:pPr>
              <w:ind w:left="240"/>
              <w:spacing w:after="0"/>
              <w:rPr>
                <w:sz w:val="20"/>
                <w:szCs w:val="20"/>
                <w:color w:val="auto"/>
              </w:rPr>
            </w:pPr>
            <w:r>
              <w:rPr>
                <w:rFonts w:ascii="Calibri" w:cs="Calibri" w:eastAsia="Calibri" w:hAnsi="Calibri"/>
                <w:sz w:val="10"/>
                <w:szCs w:val="10"/>
                <w:b w:val="1"/>
                <w:bCs w:val="1"/>
                <w:color w:val="FFFFFF"/>
              </w:rPr>
              <w:t>QoQ</w:t>
            </w:r>
          </w:p>
        </w:tc>
        <w:tc>
          <w:tcPr>
            <w:tcW w:w="140" w:type="dxa"/>
            <w:vAlign w:val="bottom"/>
            <w:tcBorders>
              <w:bottom w:val="single" w:sz="8" w:color="auto"/>
            </w:tcBorders>
            <w:shd w:val="clear" w:color="auto" w:fill="33CCCC"/>
          </w:tcPr>
          <w:p>
            <w:pPr>
              <w:spacing w:after="0"/>
              <w:rPr>
                <w:sz w:val="11"/>
                <w:szCs w:val="11"/>
                <w:color w:val="auto"/>
              </w:rPr>
            </w:pPr>
          </w:p>
        </w:tc>
        <w:tc>
          <w:tcPr>
            <w:tcW w:w="640" w:type="dxa"/>
            <w:vAlign w:val="bottom"/>
            <w:tcBorders>
              <w:bottom w:val="single" w:sz="8" w:color="auto"/>
            </w:tcBorders>
            <w:shd w:val="clear" w:color="auto" w:fill="33CCCC"/>
          </w:tcPr>
          <w:p>
            <w:pPr>
              <w:ind w:left="240"/>
              <w:spacing w:after="0"/>
              <w:rPr>
                <w:sz w:val="20"/>
                <w:szCs w:val="20"/>
                <w:color w:val="auto"/>
              </w:rPr>
            </w:pPr>
            <w:r>
              <w:rPr>
                <w:rFonts w:ascii="Calibri" w:cs="Calibri" w:eastAsia="Calibri" w:hAnsi="Calibri"/>
                <w:sz w:val="10"/>
                <w:szCs w:val="10"/>
                <w:b w:val="1"/>
                <w:bCs w:val="1"/>
                <w:color w:val="FFFFFF"/>
              </w:rPr>
              <w:t>YoY</w:t>
            </w:r>
          </w:p>
        </w:tc>
        <w:tc>
          <w:tcPr>
            <w:tcW w:w="58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Calibri" w:cs="Calibri" w:eastAsia="Calibri" w:hAnsi="Calibri"/>
                <w:sz w:val="10"/>
                <w:szCs w:val="10"/>
                <w:b w:val="1"/>
                <w:bCs w:val="1"/>
                <w:color w:val="FFFFFF"/>
              </w:rPr>
              <w:t>Year</w:t>
            </w:r>
          </w:p>
        </w:tc>
        <w:tc>
          <w:tcPr>
            <w:tcW w:w="520" w:type="dxa"/>
            <w:vAlign w:val="bottom"/>
            <w:tcBorders>
              <w:bottom w:val="single" w:sz="8" w:color="auto"/>
            </w:tcBorders>
            <w:shd w:val="clear" w:color="auto" w:fill="33CCCC"/>
          </w:tcPr>
          <w:p>
            <w:pPr>
              <w:ind w:left="180"/>
              <w:spacing w:after="0"/>
              <w:rPr>
                <w:sz w:val="20"/>
                <w:szCs w:val="20"/>
                <w:color w:val="auto"/>
              </w:rPr>
            </w:pPr>
            <w:r>
              <w:rPr>
                <w:rFonts w:ascii="Calibri" w:cs="Calibri" w:eastAsia="Calibri" w:hAnsi="Calibri"/>
                <w:sz w:val="10"/>
                <w:szCs w:val="10"/>
                <w:b w:val="1"/>
                <w:bCs w:val="1"/>
                <w:color w:val="FFFFFF"/>
              </w:rPr>
              <w:t>QoQ</w:t>
            </w:r>
          </w:p>
        </w:tc>
        <w:tc>
          <w:tcPr>
            <w:tcW w:w="64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YoY</w:t>
            </w:r>
          </w:p>
        </w:tc>
        <w:tc>
          <w:tcPr>
            <w:tcW w:w="560" w:type="dxa"/>
            <w:vAlign w:val="bottom"/>
            <w:tcBorders>
              <w:bottom w:val="single" w:sz="8" w:color="auto"/>
              <w:right w:val="single" w:sz="8" w:color="auto"/>
            </w:tcBorders>
            <w:shd w:val="clear" w:color="auto" w:fill="33CCCC"/>
          </w:tcPr>
          <w:p>
            <w:pPr>
              <w:ind w:left="160"/>
              <w:spacing w:after="0"/>
              <w:rPr>
                <w:sz w:val="20"/>
                <w:szCs w:val="20"/>
                <w:color w:val="auto"/>
              </w:rPr>
            </w:pPr>
            <w:r>
              <w:rPr>
                <w:rFonts w:ascii="Calibri" w:cs="Calibri" w:eastAsia="Calibri" w:hAnsi="Calibri"/>
                <w:sz w:val="10"/>
                <w:szCs w:val="10"/>
                <w:b w:val="1"/>
                <w:bCs w:val="1"/>
                <w:color w:val="FFFFFF"/>
              </w:rPr>
              <w:t>Year</w:t>
            </w:r>
          </w:p>
        </w:tc>
        <w:tc>
          <w:tcPr>
            <w:tcW w:w="560" w:type="dxa"/>
            <w:vAlign w:val="bottom"/>
            <w:tcBorders>
              <w:bottom w:val="single" w:sz="8" w:color="auto"/>
            </w:tcBorders>
            <w:shd w:val="clear" w:color="auto" w:fill="33CCCC"/>
          </w:tcPr>
          <w:p>
            <w:pPr>
              <w:ind w:left="140"/>
              <w:spacing w:after="0"/>
              <w:rPr>
                <w:sz w:val="20"/>
                <w:szCs w:val="20"/>
                <w:color w:val="auto"/>
              </w:rPr>
            </w:pPr>
            <w:r>
              <w:rPr>
                <w:rFonts w:ascii="Calibri" w:cs="Calibri" w:eastAsia="Calibri" w:hAnsi="Calibri"/>
                <w:sz w:val="10"/>
                <w:szCs w:val="10"/>
                <w:b w:val="1"/>
                <w:bCs w:val="1"/>
                <w:color w:val="FFFFFF"/>
              </w:rPr>
              <w:t>Dec 23</w:t>
            </w:r>
          </w:p>
        </w:tc>
        <w:tc>
          <w:tcPr>
            <w:tcW w:w="580" w:type="dxa"/>
            <w:vAlign w:val="bottom"/>
            <w:tcBorders>
              <w:bottom w:val="single" w:sz="8" w:color="auto"/>
            </w:tcBorders>
            <w:shd w:val="clear" w:color="auto" w:fill="33CCCC"/>
          </w:tcPr>
          <w:p>
            <w:pPr>
              <w:ind w:left="140"/>
              <w:spacing w:after="0"/>
              <w:rPr>
                <w:sz w:val="20"/>
                <w:szCs w:val="20"/>
                <w:color w:val="auto"/>
              </w:rPr>
            </w:pPr>
            <w:r>
              <w:rPr>
                <w:rFonts w:ascii="Calibri" w:cs="Calibri" w:eastAsia="Calibri" w:hAnsi="Calibri"/>
                <w:sz w:val="10"/>
                <w:szCs w:val="10"/>
                <w:b w:val="1"/>
                <w:bCs w:val="1"/>
                <w:color w:val="FFFFFF"/>
              </w:rPr>
              <w:t>Sep 24</w:t>
            </w:r>
          </w:p>
        </w:tc>
        <w:tc>
          <w:tcPr>
            <w:tcW w:w="58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Dec 24</w:t>
            </w:r>
          </w:p>
        </w:tc>
        <w:tc>
          <w:tcPr>
            <w:tcW w:w="58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2023</w:t>
            </w:r>
          </w:p>
        </w:tc>
        <w:tc>
          <w:tcPr>
            <w:tcW w:w="5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8"/>
              </w:rPr>
              <w:t>2024</w:t>
            </w:r>
          </w:p>
        </w:tc>
      </w:tr>
      <w:tr>
        <w:trPr>
          <w:trHeight w:val="124"/>
        </w:trPr>
        <w:tc>
          <w:tcPr>
            <w:tcW w:w="15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BCP Stand-alone</w:t>
            </w:r>
          </w:p>
        </w:tc>
        <w:tc>
          <w:tcPr>
            <w:tcW w:w="600" w:type="dxa"/>
            <w:vAlign w:val="bottom"/>
          </w:tcPr>
          <w:p>
            <w:pPr>
              <w:jc w:val="center"/>
              <w:spacing w:after="0"/>
              <w:rPr>
                <w:sz w:val="20"/>
                <w:szCs w:val="20"/>
                <w:color w:val="auto"/>
              </w:rPr>
            </w:pPr>
            <w:r>
              <w:rPr>
                <w:rFonts w:ascii="Calibri" w:cs="Calibri" w:eastAsia="Calibri" w:hAnsi="Calibri"/>
                <w:sz w:val="10"/>
                <w:szCs w:val="10"/>
                <w:b w:val="1"/>
                <w:bCs w:val="1"/>
                <w:color w:val="auto"/>
              </w:rPr>
              <w:t>116,011</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rPr>
              <w:t>115,569</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116,631</w:t>
            </w:r>
          </w:p>
        </w:tc>
        <w:tc>
          <w:tcPr>
            <w:tcW w:w="540" w:type="dxa"/>
            <w:vAlign w:val="bottom"/>
          </w:tcPr>
          <w:p>
            <w:pPr>
              <w:jc w:val="center"/>
              <w:ind w:left="68"/>
              <w:spacing w:after="0"/>
              <w:rPr>
                <w:sz w:val="20"/>
                <w:szCs w:val="20"/>
                <w:color w:val="auto"/>
              </w:rPr>
            </w:pPr>
            <w:r>
              <w:rPr>
                <w:rFonts w:ascii="Calibri" w:cs="Calibri" w:eastAsia="Calibri" w:hAnsi="Calibri"/>
                <w:sz w:val="10"/>
                <w:szCs w:val="10"/>
                <w:b w:val="1"/>
                <w:bCs w:val="1"/>
                <w:color w:val="auto"/>
              </w:rPr>
              <w:t>116,585</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b w:val="1"/>
                <w:bCs w:val="1"/>
                <w:color w:val="auto"/>
              </w:rPr>
              <w:t>115,758</w:t>
            </w:r>
          </w:p>
        </w:tc>
        <w:tc>
          <w:tcPr>
            <w:tcW w:w="5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1,062</w:t>
            </w:r>
          </w:p>
        </w:tc>
        <w:tc>
          <w:tcPr>
            <w:tcW w:w="780" w:type="dxa"/>
            <w:vAlign w:val="bottom"/>
            <w:gridSpan w:val="2"/>
          </w:tcPr>
          <w:p>
            <w:pPr>
              <w:jc w:val="center"/>
              <w:ind w:left="88"/>
              <w:spacing w:after="0"/>
              <w:rPr>
                <w:sz w:val="20"/>
                <w:szCs w:val="20"/>
                <w:color w:val="auto"/>
              </w:rPr>
            </w:pPr>
            <w:r>
              <w:rPr>
                <w:rFonts w:ascii="Calibri" w:cs="Calibri" w:eastAsia="Calibri" w:hAnsi="Calibri"/>
                <w:sz w:val="10"/>
                <w:szCs w:val="10"/>
                <w:b w:val="1"/>
                <w:bCs w:val="1"/>
                <w:color w:val="auto"/>
              </w:rPr>
              <w:t>621</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-827</w:t>
            </w:r>
          </w:p>
        </w:tc>
        <w:tc>
          <w:tcPr>
            <w:tcW w:w="52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0.9%</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0.5%</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-0.7%</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rPr>
              <w:t>81.4%</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82.0%</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82.2%</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81.5%</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81.8%</w:t>
            </w:r>
          </w:p>
        </w:tc>
      </w:tr>
      <w:tr>
        <w:trPr>
          <w:trHeight w:val="125"/>
        </w:trPr>
        <w:tc>
          <w:tcPr>
            <w:tcW w:w="15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Wholesale Banking</w:t>
            </w:r>
          </w:p>
        </w:tc>
        <w:tc>
          <w:tcPr>
            <w:tcW w:w="600" w:type="dxa"/>
            <w:vAlign w:val="bottom"/>
          </w:tcPr>
          <w:p>
            <w:pPr>
              <w:jc w:val="center"/>
              <w:spacing w:after="0"/>
              <w:rPr>
                <w:sz w:val="20"/>
                <w:szCs w:val="20"/>
                <w:color w:val="auto"/>
              </w:rPr>
            </w:pPr>
            <w:r>
              <w:rPr>
                <w:rFonts w:ascii="Calibri" w:cs="Calibri" w:eastAsia="Calibri" w:hAnsi="Calibri"/>
                <w:sz w:val="10"/>
                <w:szCs w:val="10"/>
                <w:b w:val="1"/>
                <w:bCs w:val="1"/>
                <w:color w:val="auto"/>
              </w:rPr>
              <w:t>52,476</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rPr>
              <w:t>52,257</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52,672</w:t>
            </w:r>
          </w:p>
        </w:tc>
        <w:tc>
          <w:tcPr>
            <w:tcW w:w="540" w:type="dxa"/>
            <w:vAlign w:val="bottom"/>
          </w:tcPr>
          <w:p>
            <w:pPr>
              <w:jc w:val="center"/>
              <w:ind w:left="68"/>
              <w:spacing w:after="0"/>
              <w:rPr>
                <w:sz w:val="20"/>
                <w:szCs w:val="20"/>
                <w:color w:val="auto"/>
              </w:rPr>
            </w:pPr>
            <w:r>
              <w:rPr>
                <w:rFonts w:ascii="Calibri" w:cs="Calibri" w:eastAsia="Calibri" w:hAnsi="Calibri"/>
                <w:sz w:val="10"/>
                <w:szCs w:val="10"/>
                <w:b w:val="1"/>
                <w:bCs w:val="1"/>
                <w:color w:val="auto"/>
              </w:rPr>
              <w:t>53,339</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b w:val="1"/>
                <w:bCs w:val="1"/>
                <w:color w:val="auto"/>
              </w:rPr>
              <w:t>52,338</w:t>
            </w:r>
          </w:p>
        </w:tc>
        <w:tc>
          <w:tcPr>
            <w:tcW w:w="5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416</w:t>
            </w:r>
          </w:p>
        </w:tc>
        <w:tc>
          <w:tcPr>
            <w:tcW w:w="780" w:type="dxa"/>
            <w:vAlign w:val="bottom"/>
            <w:gridSpan w:val="2"/>
          </w:tcPr>
          <w:p>
            <w:pPr>
              <w:jc w:val="center"/>
              <w:ind w:left="88"/>
              <w:spacing w:after="0"/>
              <w:rPr>
                <w:sz w:val="20"/>
                <w:szCs w:val="20"/>
                <w:color w:val="auto"/>
              </w:rPr>
            </w:pPr>
            <w:r>
              <w:rPr>
                <w:rFonts w:ascii="Calibri" w:cs="Calibri" w:eastAsia="Calibri" w:hAnsi="Calibri"/>
                <w:sz w:val="10"/>
                <w:szCs w:val="10"/>
                <w:b w:val="1"/>
                <w:bCs w:val="1"/>
                <w:color w:val="auto"/>
              </w:rPr>
              <w:t>197</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-1,001</w:t>
            </w:r>
          </w:p>
        </w:tc>
        <w:tc>
          <w:tcPr>
            <w:tcW w:w="52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0.8%</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0.4%</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-1.9%</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rPr>
              <w:t>36.8%</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37.1%</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37.1%</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37.3%</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37.0%</w:t>
            </w:r>
          </w:p>
        </w:tc>
      </w:tr>
      <w:tr>
        <w:trPr>
          <w:trHeight w:val="144"/>
        </w:trPr>
        <w:tc>
          <w:tcPr>
            <w:tcW w:w="154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0"/>
                <w:szCs w:val="10"/>
                <w:color w:val="auto"/>
              </w:rPr>
              <w:t>Corporate</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30,559</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31,108</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31,968</w:t>
            </w:r>
          </w:p>
        </w:tc>
        <w:tc>
          <w:tcPr>
            <w:tcW w:w="540" w:type="dxa"/>
            <w:vAlign w:val="bottom"/>
          </w:tcPr>
          <w:p>
            <w:pPr>
              <w:jc w:val="center"/>
              <w:ind w:left="68"/>
              <w:spacing w:after="0"/>
              <w:rPr>
                <w:sz w:val="20"/>
                <w:szCs w:val="20"/>
                <w:color w:val="auto"/>
              </w:rPr>
            </w:pPr>
            <w:r>
              <w:rPr>
                <w:rFonts w:ascii="Calibri" w:cs="Calibri" w:eastAsia="Calibri" w:hAnsi="Calibri"/>
                <w:sz w:val="10"/>
                <w:szCs w:val="10"/>
                <w:color w:val="auto"/>
              </w:rPr>
              <w:t>31,626</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31,158</w:t>
            </w:r>
          </w:p>
        </w:tc>
        <w:tc>
          <w:tcPr>
            <w:tcW w:w="540" w:type="dxa"/>
            <w:vAlign w:val="bottom"/>
            <w:shd w:val="clear" w:color="auto" w:fill="33CCCC"/>
          </w:tcPr>
          <w:p>
            <w:pPr>
              <w:jc w:val="center"/>
              <w:ind w:left="88"/>
              <w:spacing w:after="0"/>
              <w:rPr>
                <w:sz w:val="20"/>
                <w:szCs w:val="20"/>
                <w:color w:val="auto"/>
              </w:rPr>
            </w:pPr>
            <w:r>
              <w:rPr>
                <w:rFonts w:ascii="Calibri" w:cs="Calibri" w:eastAsia="Calibri" w:hAnsi="Calibri"/>
                <w:sz w:val="10"/>
                <w:szCs w:val="10"/>
                <w:color w:val="auto"/>
              </w:rPr>
              <w:t>859</w:t>
            </w:r>
          </w:p>
        </w:tc>
        <w:tc>
          <w:tcPr>
            <w:tcW w:w="780" w:type="dxa"/>
            <w:vAlign w:val="bottom"/>
            <w:gridSpan w:val="2"/>
            <w:shd w:val="clear" w:color="auto" w:fill="33CCCC"/>
          </w:tcPr>
          <w:p>
            <w:pPr>
              <w:jc w:val="center"/>
              <w:ind w:left="88"/>
              <w:spacing w:after="0"/>
              <w:rPr>
                <w:sz w:val="20"/>
                <w:szCs w:val="20"/>
                <w:color w:val="auto"/>
              </w:rPr>
            </w:pPr>
            <w:r>
              <w:rPr>
                <w:rFonts w:ascii="Calibri" w:cs="Calibri" w:eastAsia="Calibri" w:hAnsi="Calibri"/>
                <w:sz w:val="10"/>
                <w:szCs w:val="10"/>
                <w:color w:val="auto"/>
              </w:rPr>
              <w:t>1,408</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-468</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2.8%</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4.6%</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21.4%</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22.1%</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22.5%</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22.1%</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22.0%</w:t>
            </w:r>
          </w:p>
        </w:tc>
      </w:tr>
      <w:tr>
        <w:trPr>
          <w:trHeight w:val="131"/>
        </w:trPr>
        <w:tc>
          <w:tcPr>
            <w:tcW w:w="154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0"/>
                <w:szCs w:val="10"/>
                <w:color w:val="auto"/>
              </w:rPr>
              <w:t>Middle - Market</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21,916</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21,148</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20,705</w:t>
            </w:r>
          </w:p>
        </w:tc>
        <w:tc>
          <w:tcPr>
            <w:tcW w:w="540" w:type="dxa"/>
            <w:vAlign w:val="bottom"/>
          </w:tcPr>
          <w:p>
            <w:pPr>
              <w:jc w:val="center"/>
              <w:ind w:left="68"/>
              <w:spacing w:after="0"/>
              <w:rPr>
                <w:sz w:val="20"/>
                <w:szCs w:val="20"/>
                <w:color w:val="auto"/>
              </w:rPr>
            </w:pPr>
            <w:r>
              <w:rPr>
                <w:rFonts w:ascii="Calibri" w:cs="Calibri" w:eastAsia="Calibri" w:hAnsi="Calibri"/>
                <w:sz w:val="10"/>
                <w:szCs w:val="10"/>
                <w:color w:val="auto"/>
              </w:rPr>
              <w:t>21,713</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21,180</w:t>
            </w:r>
          </w:p>
        </w:tc>
        <w:tc>
          <w:tcPr>
            <w:tcW w:w="540" w:type="dxa"/>
            <w:vAlign w:val="bottom"/>
            <w:shd w:val="clear" w:color="auto" w:fill="FF00FF"/>
          </w:tcPr>
          <w:p>
            <w:pPr>
              <w:jc w:val="center"/>
              <w:ind w:left="88"/>
              <w:spacing w:after="0"/>
              <w:rPr>
                <w:sz w:val="20"/>
                <w:szCs w:val="20"/>
                <w:color w:val="auto"/>
              </w:rPr>
            </w:pPr>
            <w:r>
              <w:rPr>
                <w:rFonts w:ascii="Calibri" w:cs="Calibri" w:eastAsia="Calibri" w:hAnsi="Calibri"/>
                <w:sz w:val="10"/>
                <w:szCs w:val="10"/>
                <w:color w:val="auto"/>
              </w:rPr>
              <w:t>-443</w:t>
            </w:r>
          </w:p>
        </w:tc>
        <w:tc>
          <w:tcPr>
            <w:tcW w:w="780" w:type="dxa"/>
            <w:vAlign w:val="bottom"/>
            <w:gridSpan w:val="2"/>
            <w:shd w:val="clear" w:color="auto" w:fill="FF00FF"/>
          </w:tcPr>
          <w:p>
            <w:pPr>
              <w:jc w:val="center"/>
              <w:ind w:left="88"/>
              <w:spacing w:after="0"/>
              <w:rPr>
                <w:sz w:val="20"/>
                <w:szCs w:val="20"/>
                <w:color w:val="auto"/>
              </w:rPr>
            </w:pPr>
            <w:r>
              <w:rPr>
                <w:rFonts w:ascii="Calibri" w:cs="Calibri" w:eastAsia="Calibri" w:hAnsi="Calibri"/>
                <w:sz w:val="10"/>
                <w:szCs w:val="10"/>
                <w:color w:val="auto"/>
              </w:rPr>
              <w:t>-1,212</w:t>
            </w:r>
          </w:p>
        </w:tc>
        <w:tc>
          <w:tcPr>
            <w:tcW w:w="580" w:type="dxa"/>
            <w:vAlign w:val="bottom"/>
            <w:tcBorders>
              <w:right w:val="single" w:sz="8" w:color="auto"/>
            </w:tcBorders>
            <w:shd w:val="clear" w:color="auto" w:fill="FF00FF"/>
          </w:tcPr>
          <w:p>
            <w:pPr>
              <w:jc w:val="center"/>
              <w:spacing w:after="0"/>
              <w:rPr>
                <w:sz w:val="20"/>
                <w:szCs w:val="20"/>
                <w:color w:val="auto"/>
              </w:rPr>
            </w:pPr>
            <w:r>
              <w:rPr>
                <w:rFonts w:ascii="Calibri" w:cs="Calibri" w:eastAsia="Calibri" w:hAnsi="Calibri"/>
                <w:sz w:val="10"/>
                <w:szCs w:val="10"/>
                <w:color w:val="auto"/>
              </w:rPr>
              <w:t>-533</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-2.1%</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-5.5%</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-2.5%</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15.4%</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15.0%</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14.6%</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15.2%</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15.0%</w:t>
            </w:r>
          </w:p>
        </w:tc>
      </w:tr>
      <w:tr>
        <w:trPr>
          <w:trHeight w:val="125"/>
        </w:trPr>
        <w:tc>
          <w:tcPr>
            <w:tcW w:w="15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Retail Banking</w:t>
            </w:r>
          </w:p>
        </w:tc>
        <w:tc>
          <w:tcPr>
            <w:tcW w:w="600" w:type="dxa"/>
            <w:vAlign w:val="bottom"/>
          </w:tcPr>
          <w:p>
            <w:pPr>
              <w:jc w:val="center"/>
              <w:spacing w:after="0"/>
              <w:rPr>
                <w:sz w:val="20"/>
                <w:szCs w:val="20"/>
                <w:color w:val="auto"/>
              </w:rPr>
            </w:pPr>
            <w:r>
              <w:rPr>
                <w:rFonts w:ascii="Calibri" w:cs="Calibri" w:eastAsia="Calibri" w:hAnsi="Calibri"/>
                <w:sz w:val="10"/>
                <w:szCs w:val="10"/>
                <w:b w:val="1"/>
                <w:bCs w:val="1"/>
                <w:color w:val="auto"/>
              </w:rPr>
              <w:t>63,535</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rPr>
              <w:t>63,312</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63,959</w:t>
            </w:r>
          </w:p>
        </w:tc>
        <w:tc>
          <w:tcPr>
            <w:tcW w:w="540" w:type="dxa"/>
            <w:vAlign w:val="bottom"/>
          </w:tcPr>
          <w:p>
            <w:pPr>
              <w:jc w:val="center"/>
              <w:ind w:left="68"/>
              <w:spacing w:after="0"/>
              <w:rPr>
                <w:sz w:val="20"/>
                <w:szCs w:val="20"/>
                <w:color w:val="auto"/>
              </w:rPr>
            </w:pPr>
            <w:r>
              <w:rPr>
                <w:rFonts w:ascii="Calibri" w:cs="Calibri" w:eastAsia="Calibri" w:hAnsi="Calibri"/>
                <w:sz w:val="10"/>
                <w:szCs w:val="10"/>
                <w:b w:val="1"/>
                <w:bCs w:val="1"/>
                <w:color w:val="auto"/>
              </w:rPr>
              <w:t>63,246</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b w:val="1"/>
                <w:bCs w:val="1"/>
                <w:color w:val="auto"/>
              </w:rPr>
              <w:t>63,420</w:t>
            </w:r>
          </w:p>
        </w:tc>
        <w:tc>
          <w:tcPr>
            <w:tcW w:w="5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647</w:t>
            </w:r>
          </w:p>
        </w:tc>
        <w:tc>
          <w:tcPr>
            <w:tcW w:w="780" w:type="dxa"/>
            <w:vAlign w:val="bottom"/>
            <w:gridSpan w:val="2"/>
          </w:tcPr>
          <w:p>
            <w:pPr>
              <w:jc w:val="center"/>
              <w:ind w:left="88"/>
              <w:spacing w:after="0"/>
              <w:rPr>
                <w:sz w:val="20"/>
                <w:szCs w:val="20"/>
                <w:color w:val="auto"/>
              </w:rPr>
            </w:pPr>
            <w:r>
              <w:rPr>
                <w:rFonts w:ascii="Calibri" w:cs="Calibri" w:eastAsia="Calibri" w:hAnsi="Calibri"/>
                <w:sz w:val="10"/>
                <w:szCs w:val="10"/>
                <w:b w:val="1"/>
                <w:bCs w:val="1"/>
                <w:color w:val="auto"/>
              </w:rPr>
              <w:t>424</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174</w:t>
            </w:r>
          </w:p>
        </w:tc>
        <w:tc>
          <w:tcPr>
            <w:tcW w:w="52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1.0%</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0.7%</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0.3%</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rPr>
              <w:t>44.6%</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44.9%</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45.1%</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44.2%</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44.8%</w:t>
            </w:r>
          </w:p>
        </w:tc>
      </w:tr>
      <w:tr>
        <w:trPr>
          <w:trHeight w:val="138"/>
        </w:trPr>
        <w:tc>
          <w:tcPr>
            <w:tcW w:w="154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0"/>
                <w:szCs w:val="10"/>
                <w:color w:val="auto"/>
              </w:rPr>
              <w:t>SME - Business</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7,168</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7,356</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7,629</w:t>
            </w:r>
          </w:p>
        </w:tc>
        <w:tc>
          <w:tcPr>
            <w:tcW w:w="540" w:type="dxa"/>
            <w:vAlign w:val="bottom"/>
          </w:tcPr>
          <w:p>
            <w:pPr>
              <w:jc w:val="center"/>
              <w:ind w:left="88"/>
              <w:spacing w:after="0"/>
              <w:rPr>
                <w:sz w:val="20"/>
                <w:szCs w:val="20"/>
                <w:color w:val="auto"/>
              </w:rPr>
            </w:pPr>
            <w:r>
              <w:rPr>
                <w:rFonts w:ascii="Calibri" w:cs="Calibri" w:eastAsia="Calibri" w:hAnsi="Calibri"/>
                <w:sz w:val="10"/>
                <w:szCs w:val="10"/>
                <w:color w:val="auto"/>
              </w:rPr>
              <w:t>7,441</w:t>
            </w:r>
          </w:p>
        </w:tc>
        <w:tc>
          <w:tcPr>
            <w:tcW w:w="78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7,245</w:t>
            </w:r>
          </w:p>
        </w:tc>
        <w:tc>
          <w:tcPr>
            <w:tcW w:w="540" w:type="dxa"/>
            <w:vAlign w:val="bottom"/>
            <w:shd w:val="clear" w:color="auto" w:fill="33CCCC"/>
          </w:tcPr>
          <w:p>
            <w:pPr>
              <w:jc w:val="center"/>
              <w:ind w:left="88"/>
              <w:spacing w:after="0"/>
              <w:rPr>
                <w:sz w:val="20"/>
                <w:szCs w:val="20"/>
                <w:color w:val="auto"/>
              </w:rPr>
            </w:pPr>
            <w:r>
              <w:rPr>
                <w:rFonts w:ascii="Calibri" w:cs="Calibri" w:eastAsia="Calibri" w:hAnsi="Calibri"/>
                <w:sz w:val="10"/>
                <w:szCs w:val="10"/>
                <w:color w:val="auto"/>
              </w:rPr>
              <w:t>272</w:t>
            </w:r>
          </w:p>
        </w:tc>
        <w:tc>
          <w:tcPr>
            <w:tcW w:w="780" w:type="dxa"/>
            <w:vAlign w:val="bottom"/>
            <w:gridSpan w:val="2"/>
            <w:shd w:val="clear" w:color="auto" w:fill="33CCCC"/>
          </w:tcPr>
          <w:p>
            <w:pPr>
              <w:jc w:val="center"/>
              <w:ind w:left="88"/>
              <w:spacing w:after="0"/>
              <w:rPr>
                <w:sz w:val="20"/>
                <w:szCs w:val="20"/>
                <w:color w:val="auto"/>
              </w:rPr>
            </w:pPr>
            <w:r>
              <w:rPr>
                <w:rFonts w:ascii="Calibri" w:cs="Calibri" w:eastAsia="Calibri" w:hAnsi="Calibri"/>
                <w:sz w:val="10"/>
                <w:szCs w:val="10"/>
                <w:color w:val="auto"/>
              </w:rPr>
              <w:t>461</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-196</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3.7%</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6.4%</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-2.6%</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5.0%</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5.2%</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5.4%</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5.2%</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5.1%</w:t>
            </w:r>
          </w:p>
        </w:tc>
      </w:tr>
      <w:tr>
        <w:trPr>
          <w:trHeight w:val="125"/>
        </w:trPr>
        <w:tc>
          <w:tcPr>
            <w:tcW w:w="154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0"/>
                <w:szCs w:val="10"/>
                <w:color w:val="auto"/>
              </w:rPr>
              <w:t>SME - Pyme</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16,751</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16,184</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16,251</w:t>
            </w:r>
          </w:p>
        </w:tc>
        <w:tc>
          <w:tcPr>
            <w:tcW w:w="540" w:type="dxa"/>
            <w:vAlign w:val="bottom"/>
          </w:tcPr>
          <w:p>
            <w:pPr>
              <w:jc w:val="center"/>
              <w:ind w:left="68"/>
              <w:spacing w:after="0"/>
              <w:rPr>
                <w:sz w:val="20"/>
                <w:szCs w:val="20"/>
                <w:color w:val="auto"/>
              </w:rPr>
            </w:pPr>
            <w:r>
              <w:rPr>
                <w:rFonts w:ascii="Calibri" w:cs="Calibri" w:eastAsia="Calibri" w:hAnsi="Calibri"/>
                <w:sz w:val="10"/>
                <w:szCs w:val="10"/>
                <w:color w:val="auto"/>
              </w:rPr>
              <w:t>16,698</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16,311</w:t>
            </w:r>
          </w:p>
        </w:tc>
        <w:tc>
          <w:tcPr>
            <w:tcW w:w="540" w:type="dxa"/>
            <w:vAlign w:val="bottom"/>
          </w:tcPr>
          <w:p>
            <w:pPr>
              <w:jc w:val="center"/>
              <w:ind w:left="88"/>
              <w:spacing w:after="0"/>
              <w:rPr>
                <w:sz w:val="20"/>
                <w:szCs w:val="20"/>
                <w:color w:val="auto"/>
              </w:rPr>
            </w:pPr>
            <w:r>
              <w:rPr>
                <w:rFonts w:ascii="Calibri" w:cs="Calibri" w:eastAsia="Calibri" w:hAnsi="Calibri"/>
                <w:sz w:val="10"/>
                <w:szCs w:val="10"/>
                <w:color w:val="auto"/>
              </w:rPr>
              <w:t>66</w:t>
            </w:r>
          </w:p>
        </w:tc>
        <w:tc>
          <w:tcPr>
            <w:tcW w:w="140" w:type="dxa"/>
            <w:vAlign w:val="bottom"/>
          </w:tcPr>
          <w:p>
            <w:pPr>
              <w:spacing w:after="0"/>
              <w:rPr>
                <w:sz w:val="10"/>
                <w:szCs w:val="10"/>
                <w:color w:val="auto"/>
              </w:rPr>
            </w:pPr>
          </w:p>
        </w:tc>
        <w:tc>
          <w:tcPr>
            <w:tcW w:w="640" w:type="dxa"/>
            <w:vAlign w:val="bottom"/>
            <w:shd w:val="clear" w:color="auto" w:fill="FF00FF"/>
          </w:tcPr>
          <w:p>
            <w:pPr>
              <w:jc w:val="center"/>
              <w:spacing w:after="0"/>
              <w:rPr>
                <w:sz w:val="20"/>
                <w:szCs w:val="20"/>
                <w:color w:val="auto"/>
              </w:rPr>
            </w:pPr>
            <w:r>
              <w:rPr>
                <w:rFonts w:ascii="Calibri" w:cs="Calibri" w:eastAsia="Calibri" w:hAnsi="Calibri"/>
                <w:sz w:val="10"/>
                <w:szCs w:val="10"/>
                <w:color w:val="auto"/>
              </w:rPr>
              <w:t>-500</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-388</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0.4%</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-3.0%</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-2.3%</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11.7%</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11.5%</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11.5%</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11.7%</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11.5%</w:t>
            </w:r>
          </w:p>
        </w:tc>
      </w:tr>
      <w:tr>
        <w:trPr>
          <w:trHeight w:val="138"/>
        </w:trPr>
        <w:tc>
          <w:tcPr>
            <w:tcW w:w="154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0"/>
                <w:szCs w:val="10"/>
                <w:color w:val="auto"/>
              </w:rPr>
              <w:t>Mortgage</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21,061</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21,606</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21,868</w:t>
            </w:r>
          </w:p>
        </w:tc>
        <w:tc>
          <w:tcPr>
            <w:tcW w:w="540" w:type="dxa"/>
            <w:vAlign w:val="bottom"/>
          </w:tcPr>
          <w:p>
            <w:pPr>
              <w:jc w:val="center"/>
              <w:ind w:left="68"/>
              <w:spacing w:after="0"/>
              <w:rPr>
                <w:sz w:val="20"/>
                <w:szCs w:val="20"/>
                <w:color w:val="auto"/>
              </w:rPr>
            </w:pPr>
            <w:r>
              <w:rPr>
                <w:rFonts w:ascii="Calibri" w:cs="Calibri" w:eastAsia="Calibri" w:hAnsi="Calibri"/>
                <w:sz w:val="10"/>
                <w:szCs w:val="10"/>
                <w:color w:val="auto"/>
              </w:rPr>
              <w:t>20,626</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21,535</w:t>
            </w:r>
          </w:p>
        </w:tc>
        <w:tc>
          <w:tcPr>
            <w:tcW w:w="540" w:type="dxa"/>
            <w:vAlign w:val="bottom"/>
            <w:shd w:val="clear" w:color="auto" w:fill="33CCCC"/>
          </w:tcPr>
          <w:p>
            <w:pPr>
              <w:jc w:val="center"/>
              <w:ind w:left="88"/>
              <w:spacing w:after="0"/>
              <w:rPr>
                <w:sz w:val="20"/>
                <w:szCs w:val="20"/>
                <w:color w:val="auto"/>
              </w:rPr>
            </w:pPr>
            <w:r>
              <w:rPr>
                <w:rFonts w:ascii="Calibri" w:cs="Calibri" w:eastAsia="Calibri" w:hAnsi="Calibri"/>
                <w:sz w:val="10"/>
                <w:szCs w:val="10"/>
                <w:color w:val="auto"/>
              </w:rPr>
              <w:t>262</w:t>
            </w:r>
          </w:p>
        </w:tc>
        <w:tc>
          <w:tcPr>
            <w:tcW w:w="140" w:type="dxa"/>
            <w:vAlign w:val="bottom"/>
            <w:shd w:val="clear" w:color="auto" w:fill="33CCCC"/>
          </w:tcPr>
          <w:p>
            <w:pPr>
              <w:spacing w:after="0"/>
              <w:rPr>
                <w:sz w:val="11"/>
                <w:szCs w:val="11"/>
                <w:color w:val="auto"/>
              </w:rPr>
            </w:pPr>
          </w:p>
        </w:tc>
        <w:tc>
          <w:tcPr>
            <w:tcW w:w="640" w:type="dxa"/>
            <w:vAlign w:val="bottom"/>
            <w:shd w:val="clear" w:color="auto" w:fill="33CCCC"/>
          </w:tcPr>
          <w:p>
            <w:pPr>
              <w:jc w:val="center"/>
              <w:spacing w:after="0"/>
              <w:rPr>
                <w:sz w:val="20"/>
                <w:szCs w:val="20"/>
                <w:color w:val="auto"/>
              </w:rPr>
            </w:pPr>
            <w:r>
              <w:rPr>
                <w:rFonts w:ascii="Calibri" w:cs="Calibri" w:eastAsia="Calibri" w:hAnsi="Calibri"/>
                <w:sz w:val="10"/>
                <w:szCs w:val="10"/>
                <w:color w:val="auto"/>
              </w:rPr>
              <w:t>807</w:t>
            </w:r>
          </w:p>
        </w:tc>
        <w:tc>
          <w:tcPr>
            <w:tcW w:w="580" w:type="dxa"/>
            <w:vAlign w:val="bottom"/>
            <w:tcBorders>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color w:val="auto"/>
              </w:rPr>
              <w:t>910</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1.2%</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3.8%</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4.4%</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14.8%</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15.3%</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15.4%</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14.4%</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15.2%</w:t>
            </w:r>
          </w:p>
        </w:tc>
      </w:tr>
      <w:tr>
        <w:trPr>
          <w:trHeight w:val="124"/>
        </w:trPr>
        <w:tc>
          <w:tcPr>
            <w:tcW w:w="154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0"/>
                <w:szCs w:val="10"/>
                <w:color w:val="auto"/>
              </w:rPr>
              <w:t>Consumer</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12,604</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12,319</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12,358</w:t>
            </w:r>
          </w:p>
        </w:tc>
        <w:tc>
          <w:tcPr>
            <w:tcW w:w="540" w:type="dxa"/>
            <w:vAlign w:val="bottom"/>
          </w:tcPr>
          <w:p>
            <w:pPr>
              <w:jc w:val="center"/>
              <w:ind w:left="68"/>
              <w:spacing w:after="0"/>
              <w:rPr>
                <w:sz w:val="20"/>
                <w:szCs w:val="20"/>
                <w:color w:val="auto"/>
              </w:rPr>
            </w:pPr>
            <w:r>
              <w:rPr>
                <w:rFonts w:ascii="Calibri" w:cs="Calibri" w:eastAsia="Calibri" w:hAnsi="Calibri"/>
                <w:sz w:val="10"/>
                <w:szCs w:val="10"/>
                <w:color w:val="auto"/>
              </w:rPr>
              <w:t>12,753</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color w:val="auto"/>
              </w:rPr>
              <w:t>12,410</w:t>
            </w:r>
          </w:p>
        </w:tc>
        <w:tc>
          <w:tcPr>
            <w:tcW w:w="540" w:type="dxa"/>
            <w:vAlign w:val="bottom"/>
          </w:tcPr>
          <w:p>
            <w:pPr>
              <w:jc w:val="center"/>
              <w:ind w:left="88"/>
              <w:spacing w:after="0"/>
              <w:rPr>
                <w:sz w:val="20"/>
                <w:szCs w:val="20"/>
                <w:color w:val="auto"/>
              </w:rPr>
            </w:pPr>
            <w:r>
              <w:rPr>
                <w:rFonts w:ascii="Calibri" w:cs="Calibri" w:eastAsia="Calibri" w:hAnsi="Calibri"/>
                <w:sz w:val="10"/>
                <w:szCs w:val="10"/>
                <w:color w:val="auto"/>
              </w:rPr>
              <w:t>39</w:t>
            </w:r>
          </w:p>
        </w:tc>
        <w:tc>
          <w:tcPr>
            <w:tcW w:w="780" w:type="dxa"/>
            <w:vAlign w:val="bottom"/>
            <w:gridSpan w:val="2"/>
          </w:tcPr>
          <w:p>
            <w:pPr>
              <w:jc w:val="center"/>
              <w:ind w:left="88"/>
              <w:spacing w:after="0"/>
              <w:rPr>
                <w:sz w:val="20"/>
                <w:szCs w:val="20"/>
                <w:color w:val="auto"/>
              </w:rPr>
            </w:pPr>
            <w:r>
              <w:rPr>
                <w:rFonts w:ascii="Calibri" w:cs="Calibri" w:eastAsia="Calibri" w:hAnsi="Calibri"/>
                <w:sz w:val="10"/>
                <w:szCs w:val="10"/>
                <w:color w:val="auto"/>
              </w:rPr>
              <w:t>-246</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-344</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0.3%</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-2.0%</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-2.7%</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8.8%</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8.7%</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8.7%</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8.9%</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8.8%</w:t>
            </w:r>
          </w:p>
        </w:tc>
      </w:tr>
      <w:tr>
        <w:trPr>
          <w:trHeight w:val="125"/>
        </w:trPr>
        <w:tc>
          <w:tcPr>
            <w:tcW w:w="1540" w:type="dxa"/>
            <w:vAlign w:val="bottom"/>
            <w:tcBorders>
              <w:left w:val="single" w:sz="8" w:color="auto"/>
              <w:right w:val="single" w:sz="8" w:color="auto"/>
            </w:tcBorders>
          </w:tcPr>
          <w:p>
            <w:pPr>
              <w:ind w:left="80"/>
              <w:spacing w:after="0"/>
              <w:rPr>
                <w:sz w:val="20"/>
                <w:szCs w:val="20"/>
                <w:color w:val="auto"/>
              </w:rPr>
            </w:pPr>
            <w:r>
              <w:rPr>
                <w:rFonts w:ascii="Calibri" w:cs="Calibri" w:eastAsia="Calibri" w:hAnsi="Calibri"/>
                <w:sz w:val="10"/>
                <w:szCs w:val="10"/>
                <w:color w:val="auto"/>
              </w:rPr>
              <w:t>Credit Card</w:t>
            </w:r>
          </w:p>
        </w:tc>
        <w:tc>
          <w:tcPr>
            <w:tcW w:w="600" w:type="dxa"/>
            <w:vAlign w:val="bottom"/>
          </w:tcPr>
          <w:p>
            <w:pPr>
              <w:jc w:val="center"/>
              <w:spacing w:after="0"/>
              <w:rPr>
                <w:sz w:val="20"/>
                <w:szCs w:val="20"/>
                <w:color w:val="auto"/>
              </w:rPr>
            </w:pPr>
            <w:r>
              <w:rPr>
                <w:rFonts w:ascii="Calibri" w:cs="Calibri" w:eastAsia="Calibri" w:hAnsi="Calibri"/>
                <w:sz w:val="10"/>
                <w:szCs w:val="10"/>
                <w:color w:val="auto"/>
              </w:rPr>
              <w:t>5,951</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5,847</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5,853</w:t>
            </w:r>
          </w:p>
        </w:tc>
        <w:tc>
          <w:tcPr>
            <w:tcW w:w="540" w:type="dxa"/>
            <w:vAlign w:val="bottom"/>
          </w:tcPr>
          <w:p>
            <w:pPr>
              <w:jc w:val="center"/>
              <w:ind w:left="88"/>
              <w:spacing w:after="0"/>
              <w:rPr>
                <w:sz w:val="20"/>
                <w:szCs w:val="20"/>
                <w:color w:val="auto"/>
              </w:rPr>
            </w:pPr>
            <w:r>
              <w:rPr>
                <w:rFonts w:ascii="Calibri" w:cs="Calibri" w:eastAsia="Calibri" w:hAnsi="Calibri"/>
                <w:sz w:val="10"/>
                <w:szCs w:val="10"/>
                <w:color w:val="auto"/>
              </w:rPr>
              <w:t>5,728</w:t>
            </w:r>
          </w:p>
        </w:tc>
        <w:tc>
          <w:tcPr>
            <w:tcW w:w="78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5,920</w:t>
            </w:r>
          </w:p>
        </w:tc>
        <w:tc>
          <w:tcPr>
            <w:tcW w:w="540" w:type="dxa"/>
            <w:vAlign w:val="bottom"/>
          </w:tcPr>
          <w:p>
            <w:pPr>
              <w:jc w:val="center"/>
              <w:ind w:left="88"/>
              <w:spacing w:after="0"/>
              <w:rPr>
                <w:sz w:val="20"/>
                <w:szCs w:val="20"/>
                <w:color w:val="auto"/>
              </w:rPr>
            </w:pPr>
            <w:r>
              <w:rPr>
                <w:rFonts w:ascii="Calibri" w:cs="Calibri" w:eastAsia="Calibri" w:hAnsi="Calibri"/>
                <w:sz w:val="10"/>
                <w:szCs w:val="10"/>
                <w:color w:val="auto"/>
                <w:w w:val="77"/>
              </w:rPr>
              <w:t>6</w:t>
            </w:r>
          </w:p>
        </w:tc>
        <w:tc>
          <w:tcPr>
            <w:tcW w:w="780" w:type="dxa"/>
            <w:vAlign w:val="bottom"/>
            <w:gridSpan w:val="2"/>
          </w:tcPr>
          <w:p>
            <w:pPr>
              <w:jc w:val="center"/>
              <w:ind w:left="108"/>
              <w:spacing w:after="0"/>
              <w:rPr>
                <w:sz w:val="20"/>
                <w:szCs w:val="20"/>
                <w:color w:val="auto"/>
              </w:rPr>
            </w:pPr>
            <w:r>
              <w:rPr>
                <w:rFonts w:ascii="Calibri" w:cs="Calibri" w:eastAsia="Calibri" w:hAnsi="Calibri"/>
                <w:sz w:val="10"/>
                <w:szCs w:val="10"/>
                <w:color w:val="auto"/>
              </w:rPr>
              <w:t>-98</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192</w:t>
            </w:r>
          </w:p>
        </w:tc>
        <w:tc>
          <w:tcPr>
            <w:tcW w:w="520" w:type="dxa"/>
            <w:vAlign w:val="bottom"/>
          </w:tcPr>
          <w:p>
            <w:pPr>
              <w:jc w:val="center"/>
              <w:spacing w:after="0"/>
              <w:rPr>
                <w:sz w:val="20"/>
                <w:szCs w:val="20"/>
                <w:color w:val="auto"/>
              </w:rPr>
            </w:pPr>
            <w:r>
              <w:rPr>
                <w:rFonts w:ascii="Calibri" w:cs="Calibri" w:eastAsia="Calibri" w:hAnsi="Calibri"/>
                <w:sz w:val="10"/>
                <w:szCs w:val="10"/>
                <w:color w:val="auto"/>
              </w:rPr>
              <w:t>0.1%</w:t>
            </w:r>
          </w:p>
        </w:tc>
        <w:tc>
          <w:tcPr>
            <w:tcW w:w="640" w:type="dxa"/>
            <w:vAlign w:val="bottom"/>
          </w:tcPr>
          <w:p>
            <w:pPr>
              <w:jc w:val="center"/>
              <w:spacing w:after="0"/>
              <w:rPr>
                <w:sz w:val="20"/>
                <w:szCs w:val="20"/>
                <w:color w:val="auto"/>
              </w:rPr>
            </w:pPr>
            <w:r>
              <w:rPr>
                <w:rFonts w:ascii="Calibri" w:cs="Calibri" w:eastAsia="Calibri" w:hAnsi="Calibri"/>
                <w:sz w:val="10"/>
                <w:szCs w:val="10"/>
                <w:color w:val="auto"/>
              </w:rPr>
              <w:t>-1.6%</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3.4%</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4.2%</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4.1%</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4.1%</w:t>
            </w:r>
          </w:p>
        </w:tc>
        <w:tc>
          <w:tcPr>
            <w:tcW w:w="580" w:type="dxa"/>
            <w:vAlign w:val="bottom"/>
          </w:tcPr>
          <w:p>
            <w:pPr>
              <w:jc w:val="center"/>
              <w:spacing w:after="0"/>
              <w:rPr>
                <w:sz w:val="20"/>
                <w:szCs w:val="20"/>
                <w:color w:val="auto"/>
              </w:rPr>
            </w:pPr>
            <w:r>
              <w:rPr>
                <w:rFonts w:ascii="Calibri" w:cs="Calibri" w:eastAsia="Calibri" w:hAnsi="Calibri"/>
                <w:sz w:val="10"/>
                <w:szCs w:val="10"/>
                <w:color w:val="auto"/>
              </w:rPr>
              <w:t>4.0%</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4.2%</w:t>
            </w:r>
          </w:p>
        </w:tc>
      </w:tr>
      <w:tr>
        <w:trPr>
          <w:trHeight w:val="144"/>
        </w:trPr>
        <w:tc>
          <w:tcPr>
            <w:tcW w:w="15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Mibanco</w:t>
            </w:r>
          </w:p>
        </w:tc>
        <w:tc>
          <w:tcPr>
            <w:tcW w:w="600" w:type="dxa"/>
            <w:vAlign w:val="bottom"/>
          </w:tcPr>
          <w:p>
            <w:pPr>
              <w:jc w:val="center"/>
              <w:spacing w:after="0"/>
              <w:rPr>
                <w:sz w:val="20"/>
                <w:szCs w:val="20"/>
                <w:color w:val="auto"/>
              </w:rPr>
            </w:pPr>
            <w:r>
              <w:rPr>
                <w:rFonts w:ascii="Calibri" w:cs="Calibri" w:eastAsia="Calibri" w:hAnsi="Calibri"/>
                <w:sz w:val="10"/>
                <w:szCs w:val="10"/>
                <w:b w:val="1"/>
                <w:bCs w:val="1"/>
                <w:color w:val="auto"/>
              </w:rPr>
              <w:t>13,665</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rPr>
              <w:t>12,199</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12,057</w:t>
            </w:r>
          </w:p>
        </w:tc>
        <w:tc>
          <w:tcPr>
            <w:tcW w:w="540" w:type="dxa"/>
            <w:vAlign w:val="bottom"/>
          </w:tcPr>
          <w:p>
            <w:pPr>
              <w:jc w:val="center"/>
              <w:ind w:left="68"/>
              <w:spacing w:after="0"/>
              <w:rPr>
                <w:sz w:val="20"/>
                <w:szCs w:val="20"/>
                <w:color w:val="auto"/>
              </w:rPr>
            </w:pPr>
            <w:r>
              <w:rPr>
                <w:rFonts w:ascii="Calibri" w:cs="Calibri" w:eastAsia="Calibri" w:hAnsi="Calibri"/>
                <w:sz w:val="10"/>
                <w:szCs w:val="10"/>
                <w:b w:val="1"/>
                <w:bCs w:val="1"/>
                <w:color w:val="auto"/>
              </w:rPr>
              <w:t>14,029</w:t>
            </w:r>
          </w:p>
        </w:tc>
        <w:tc>
          <w:tcPr>
            <w:tcW w:w="780" w:type="dxa"/>
            <w:vAlign w:val="bottom"/>
            <w:tcBorders>
              <w:right w:val="single" w:sz="8" w:color="auto"/>
            </w:tcBorders>
          </w:tcPr>
          <w:p>
            <w:pPr>
              <w:jc w:val="center"/>
              <w:ind w:left="68"/>
              <w:spacing w:after="0"/>
              <w:rPr>
                <w:sz w:val="20"/>
                <w:szCs w:val="20"/>
                <w:color w:val="auto"/>
              </w:rPr>
            </w:pPr>
            <w:r>
              <w:rPr>
                <w:rFonts w:ascii="Calibri" w:cs="Calibri" w:eastAsia="Calibri" w:hAnsi="Calibri"/>
                <w:sz w:val="10"/>
                <w:szCs w:val="10"/>
                <w:b w:val="1"/>
                <w:bCs w:val="1"/>
                <w:color w:val="auto"/>
              </w:rPr>
              <w:t>12,579</w:t>
            </w:r>
          </w:p>
        </w:tc>
        <w:tc>
          <w:tcPr>
            <w:tcW w:w="540" w:type="dxa"/>
            <w:vAlign w:val="bottom"/>
            <w:shd w:val="clear" w:color="auto" w:fill="FF00FF"/>
          </w:tcPr>
          <w:p>
            <w:pPr>
              <w:jc w:val="center"/>
              <w:ind w:left="88"/>
              <w:spacing w:after="0"/>
              <w:rPr>
                <w:sz w:val="20"/>
                <w:szCs w:val="20"/>
                <w:color w:val="auto"/>
              </w:rPr>
            </w:pPr>
            <w:r>
              <w:rPr>
                <w:rFonts w:ascii="Calibri" w:cs="Calibri" w:eastAsia="Calibri" w:hAnsi="Calibri"/>
                <w:sz w:val="10"/>
                <w:szCs w:val="10"/>
                <w:b w:val="1"/>
                <w:bCs w:val="1"/>
                <w:color w:val="auto"/>
              </w:rPr>
              <w:t>-142</w:t>
            </w:r>
          </w:p>
        </w:tc>
        <w:tc>
          <w:tcPr>
            <w:tcW w:w="780" w:type="dxa"/>
            <w:vAlign w:val="bottom"/>
            <w:gridSpan w:val="2"/>
            <w:shd w:val="clear" w:color="auto" w:fill="FF00FF"/>
          </w:tcPr>
          <w:p>
            <w:pPr>
              <w:jc w:val="center"/>
              <w:ind w:left="88"/>
              <w:spacing w:after="0"/>
              <w:rPr>
                <w:sz w:val="20"/>
                <w:szCs w:val="20"/>
                <w:color w:val="auto"/>
              </w:rPr>
            </w:pPr>
            <w:r>
              <w:rPr>
                <w:rFonts w:ascii="Calibri" w:cs="Calibri" w:eastAsia="Calibri" w:hAnsi="Calibri"/>
                <w:sz w:val="10"/>
                <w:szCs w:val="10"/>
                <w:b w:val="1"/>
                <w:bCs w:val="1"/>
                <w:color w:val="auto"/>
              </w:rPr>
              <w:t>-1,608</w:t>
            </w:r>
          </w:p>
        </w:tc>
        <w:tc>
          <w:tcPr>
            <w:tcW w:w="580" w:type="dxa"/>
            <w:vAlign w:val="bottom"/>
            <w:tcBorders>
              <w:right w:val="single" w:sz="8" w:color="auto"/>
            </w:tcBorders>
            <w:shd w:val="clear" w:color="auto" w:fill="FF00FF"/>
          </w:tcPr>
          <w:p>
            <w:pPr>
              <w:jc w:val="center"/>
              <w:spacing w:after="0"/>
              <w:rPr>
                <w:sz w:val="20"/>
                <w:szCs w:val="20"/>
                <w:color w:val="auto"/>
              </w:rPr>
            </w:pPr>
            <w:r>
              <w:rPr>
                <w:rFonts w:ascii="Calibri" w:cs="Calibri" w:eastAsia="Calibri" w:hAnsi="Calibri"/>
                <w:sz w:val="10"/>
                <w:szCs w:val="10"/>
                <w:b w:val="1"/>
                <w:bCs w:val="1"/>
                <w:color w:val="auto"/>
              </w:rPr>
              <w:t>-1,450</w:t>
            </w:r>
          </w:p>
        </w:tc>
        <w:tc>
          <w:tcPr>
            <w:tcW w:w="520" w:type="dxa"/>
            <w:vAlign w:val="bottom"/>
          </w:tcPr>
          <w:p>
            <w:pPr>
              <w:jc w:val="center"/>
              <w:spacing w:after="0"/>
              <w:rPr>
                <w:sz w:val="20"/>
                <w:szCs w:val="20"/>
                <w:color w:val="auto"/>
              </w:rPr>
            </w:pPr>
            <w:r>
              <w:rPr>
                <w:rFonts w:ascii="Calibri" w:cs="Calibri" w:eastAsia="Calibri" w:hAnsi="Calibri"/>
                <w:sz w:val="10"/>
                <w:szCs w:val="10"/>
                <w:b w:val="1"/>
                <w:bCs w:val="1"/>
                <w:color w:val="auto"/>
              </w:rPr>
              <w:t>-1.2%</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-11.8%</w:t>
            </w:r>
          </w:p>
        </w:tc>
        <w:tc>
          <w:tcPr>
            <w:tcW w:w="560" w:type="dxa"/>
            <w:vAlign w:val="bottom"/>
            <w:tcBorders>
              <w:right w:val="single" w:sz="8" w:color="auto"/>
            </w:tcBorders>
          </w:tcPr>
          <w:p>
            <w:pPr>
              <w:jc w:val="center"/>
              <w:ind w:right="8"/>
              <w:spacing w:after="0"/>
              <w:rPr>
                <w:sz w:val="20"/>
                <w:szCs w:val="20"/>
                <w:color w:val="auto"/>
              </w:rPr>
            </w:pPr>
            <w:r>
              <w:rPr>
                <w:rFonts w:ascii="Calibri" w:cs="Calibri" w:eastAsia="Calibri" w:hAnsi="Calibri"/>
                <w:sz w:val="10"/>
                <w:szCs w:val="10"/>
                <w:b w:val="1"/>
                <w:bCs w:val="1"/>
                <w:color w:val="auto"/>
              </w:rPr>
              <w:t>-10.3%</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9.6%</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8.7%</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8.5%</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9.8%</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8.9%</w:t>
            </w:r>
          </w:p>
        </w:tc>
      </w:tr>
      <w:tr>
        <w:trPr>
          <w:trHeight w:val="124"/>
        </w:trPr>
        <w:tc>
          <w:tcPr>
            <w:tcW w:w="15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Mibanco Colombia</w:t>
            </w:r>
          </w:p>
        </w:tc>
        <w:tc>
          <w:tcPr>
            <w:tcW w:w="600" w:type="dxa"/>
            <w:vAlign w:val="bottom"/>
          </w:tcPr>
          <w:p>
            <w:pPr>
              <w:jc w:val="center"/>
              <w:spacing w:after="0"/>
              <w:rPr>
                <w:sz w:val="20"/>
                <w:szCs w:val="20"/>
                <w:color w:val="auto"/>
              </w:rPr>
            </w:pPr>
            <w:r>
              <w:rPr>
                <w:rFonts w:ascii="Calibri" w:cs="Calibri" w:eastAsia="Calibri" w:hAnsi="Calibri"/>
                <w:sz w:val="10"/>
                <w:szCs w:val="10"/>
                <w:b w:val="1"/>
                <w:bCs w:val="1"/>
                <w:color w:val="auto"/>
              </w:rPr>
              <w:t>1,667</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rPr>
              <w:t>1,721</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1,715</w:t>
            </w:r>
          </w:p>
        </w:tc>
        <w:tc>
          <w:tcPr>
            <w:tcW w:w="5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1,454</w:t>
            </w:r>
          </w:p>
        </w:tc>
        <w:tc>
          <w:tcPr>
            <w:tcW w:w="78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1,728</w:t>
            </w:r>
          </w:p>
        </w:tc>
        <w:tc>
          <w:tcPr>
            <w:tcW w:w="540" w:type="dxa"/>
            <w:vAlign w:val="bottom"/>
          </w:tcPr>
          <w:p>
            <w:pPr>
              <w:jc w:val="center"/>
              <w:ind w:left="88"/>
              <w:spacing w:after="0"/>
              <w:rPr>
                <w:sz w:val="20"/>
                <w:szCs w:val="20"/>
                <w:color w:val="auto"/>
              </w:rPr>
            </w:pPr>
            <w:r>
              <w:rPr>
                <w:rFonts w:ascii="Calibri" w:cs="Calibri" w:eastAsia="Calibri" w:hAnsi="Calibri"/>
                <w:sz w:val="10"/>
                <w:szCs w:val="10"/>
                <w:b w:val="1"/>
                <w:bCs w:val="1"/>
                <w:color w:val="auto"/>
                <w:w w:val="97"/>
              </w:rPr>
              <w:t>-6</w:t>
            </w:r>
          </w:p>
        </w:tc>
        <w:tc>
          <w:tcPr>
            <w:tcW w:w="780" w:type="dxa"/>
            <w:vAlign w:val="bottom"/>
            <w:gridSpan w:val="2"/>
          </w:tcPr>
          <w:p>
            <w:pPr>
              <w:jc w:val="center"/>
              <w:ind w:left="88"/>
              <w:spacing w:after="0"/>
              <w:rPr>
                <w:sz w:val="20"/>
                <w:szCs w:val="20"/>
                <w:color w:val="auto"/>
              </w:rPr>
            </w:pPr>
            <w:r>
              <w:rPr>
                <w:rFonts w:ascii="Calibri" w:cs="Calibri" w:eastAsia="Calibri" w:hAnsi="Calibri"/>
                <w:sz w:val="10"/>
                <w:szCs w:val="10"/>
                <w:b w:val="1"/>
                <w:bCs w:val="1"/>
                <w:color w:val="auto"/>
              </w:rPr>
              <w:t>48</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274</w:t>
            </w:r>
          </w:p>
        </w:tc>
        <w:tc>
          <w:tcPr>
            <w:tcW w:w="520" w:type="dxa"/>
            <w:vAlign w:val="bottom"/>
          </w:tcPr>
          <w:p>
            <w:pPr>
              <w:jc w:val="center"/>
              <w:spacing w:after="0"/>
              <w:rPr>
                <w:sz w:val="20"/>
                <w:szCs w:val="20"/>
                <w:color w:val="auto"/>
              </w:rPr>
            </w:pPr>
            <w:r>
              <w:rPr>
                <w:rFonts w:ascii="Calibri" w:cs="Calibri" w:eastAsia="Calibri" w:hAnsi="Calibri"/>
                <w:sz w:val="10"/>
                <w:szCs w:val="10"/>
                <w:b w:val="1"/>
                <w:bCs w:val="1"/>
                <w:color w:val="auto"/>
              </w:rPr>
              <w:t>-0.4%</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2.9%</w:t>
            </w:r>
          </w:p>
        </w:tc>
        <w:tc>
          <w:tcPr>
            <w:tcW w:w="560" w:type="dxa"/>
            <w:vAlign w:val="bottom"/>
            <w:tcBorders>
              <w:right w:val="single" w:sz="8" w:color="auto"/>
            </w:tcBorders>
          </w:tcPr>
          <w:p>
            <w:pPr>
              <w:jc w:val="center"/>
              <w:ind w:right="8"/>
              <w:spacing w:after="0"/>
              <w:rPr>
                <w:sz w:val="20"/>
                <w:szCs w:val="20"/>
                <w:color w:val="auto"/>
              </w:rPr>
            </w:pPr>
            <w:r>
              <w:rPr>
                <w:rFonts w:ascii="Calibri" w:cs="Calibri" w:eastAsia="Calibri" w:hAnsi="Calibri"/>
                <w:sz w:val="10"/>
                <w:szCs w:val="10"/>
                <w:b w:val="1"/>
                <w:bCs w:val="1"/>
                <w:color w:val="auto"/>
              </w:rPr>
              <w:t>18.8%</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1.2%</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1.2%</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1.2%</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1.0%</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1.2%</w:t>
            </w:r>
          </w:p>
        </w:tc>
      </w:tr>
      <w:tr>
        <w:trPr>
          <w:trHeight w:val="125"/>
        </w:trPr>
        <w:tc>
          <w:tcPr>
            <w:tcW w:w="15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Bolivia</w:t>
            </w:r>
          </w:p>
        </w:tc>
        <w:tc>
          <w:tcPr>
            <w:tcW w:w="600" w:type="dxa"/>
            <w:vAlign w:val="bottom"/>
          </w:tcPr>
          <w:p>
            <w:pPr>
              <w:jc w:val="center"/>
              <w:spacing w:after="0"/>
              <w:rPr>
                <w:sz w:val="20"/>
                <w:szCs w:val="20"/>
                <w:color w:val="auto"/>
              </w:rPr>
            </w:pPr>
            <w:r>
              <w:rPr>
                <w:rFonts w:ascii="Calibri" w:cs="Calibri" w:eastAsia="Calibri" w:hAnsi="Calibri"/>
                <w:sz w:val="10"/>
                <w:szCs w:val="10"/>
                <w:b w:val="1"/>
                <w:bCs w:val="1"/>
                <w:color w:val="auto"/>
              </w:rPr>
              <w:t>9,186</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rPr>
              <w:t>9,555</w:t>
            </w:r>
          </w:p>
        </w:tc>
        <w:tc>
          <w:tcPr>
            <w:tcW w:w="6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9,628</w:t>
            </w:r>
          </w:p>
        </w:tc>
        <w:tc>
          <w:tcPr>
            <w:tcW w:w="5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8,982</w:t>
            </w:r>
          </w:p>
        </w:tc>
        <w:tc>
          <w:tcPr>
            <w:tcW w:w="78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9,547</w:t>
            </w:r>
          </w:p>
        </w:tc>
        <w:tc>
          <w:tcPr>
            <w:tcW w:w="5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73</w:t>
            </w:r>
          </w:p>
        </w:tc>
        <w:tc>
          <w:tcPr>
            <w:tcW w:w="780" w:type="dxa"/>
            <w:vAlign w:val="bottom"/>
            <w:gridSpan w:val="2"/>
          </w:tcPr>
          <w:p>
            <w:pPr>
              <w:jc w:val="center"/>
              <w:ind w:left="88"/>
              <w:spacing w:after="0"/>
              <w:rPr>
                <w:sz w:val="20"/>
                <w:szCs w:val="20"/>
                <w:color w:val="auto"/>
              </w:rPr>
            </w:pPr>
            <w:r>
              <w:rPr>
                <w:rFonts w:ascii="Calibri" w:cs="Calibri" w:eastAsia="Calibri" w:hAnsi="Calibri"/>
                <w:sz w:val="10"/>
                <w:szCs w:val="10"/>
                <w:b w:val="1"/>
                <w:bCs w:val="1"/>
                <w:color w:val="auto"/>
              </w:rPr>
              <w:t>442</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565</w:t>
            </w:r>
          </w:p>
        </w:tc>
        <w:tc>
          <w:tcPr>
            <w:tcW w:w="52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0.8%</w:t>
            </w:r>
          </w:p>
        </w:tc>
        <w:tc>
          <w:tcPr>
            <w:tcW w:w="64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4.8%</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6.3%</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6.4%</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6.8%</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rPr>
              <w:t>6.8%</w:t>
            </w:r>
          </w:p>
        </w:tc>
        <w:tc>
          <w:tcPr>
            <w:tcW w:w="580" w:type="dxa"/>
            <w:vAlign w:val="bottom"/>
          </w:tcPr>
          <w:p>
            <w:pPr>
              <w:jc w:val="center"/>
              <w:spacing w:after="0"/>
              <w:rPr>
                <w:sz w:val="20"/>
                <w:szCs w:val="20"/>
                <w:color w:val="auto"/>
              </w:rPr>
            </w:pPr>
            <w:r>
              <w:rPr>
                <w:rFonts w:ascii="Calibri" w:cs="Calibri" w:eastAsia="Calibri" w:hAnsi="Calibri"/>
                <w:sz w:val="10"/>
                <w:szCs w:val="10"/>
                <w:b w:val="1"/>
                <w:bCs w:val="1"/>
                <w:color w:val="auto"/>
                <w:w w:val="99"/>
              </w:rPr>
              <w:t>6.3%</w:t>
            </w:r>
          </w:p>
        </w:tc>
        <w:tc>
          <w:tcPr>
            <w:tcW w:w="58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6.7%</w:t>
            </w:r>
          </w:p>
        </w:tc>
      </w:tr>
      <w:tr>
        <w:trPr>
          <w:trHeight w:val="138"/>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ASB</w:t>
            </w:r>
          </w:p>
        </w:tc>
        <w:tc>
          <w:tcPr>
            <w:tcW w:w="6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2,036</w:t>
            </w:r>
          </w:p>
        </w:tc>
        <w:tc>
          <w:tcPr>
            <w:tcW w:w="64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1,867</w:t>
            </w:r>
          </w:p>
        </w:tc>
        <w:tc>
          <w:tcPr>
            <w:tcW w:w="6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1,807</w:t>
            </w:r>
          </w:p>
        </w:tc>
        <w:tc>
          <w:tcPr>
            <w:tcW w:w="540" w:type="dxa"/>
            <w:vAlign w:val="bottom"/>
            <w:tcBorders>
              <w:bottom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2,080</w:t>
            </w:r>
          </w:p>
        </w:tc>
        <w:tc>
          <w:tcPr>
            <w:tcW w:w="780" w:type="dxa"/>
            <w:vAlign w:val="bottom"/>
            <w:tcBorders>
              <w:bottom w:val="single" w:sz="8" w:color="auto"/>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1,893</w:t>
            </w:r>
          </w:p>
        </w:tc>
        <w:tc>
          <w:tcPr>
            <w:tcW w:w="540" w:type="dxa"/>
            <w:vAlign w:val="bottom"/>
            <w:tcBorders>
              <w:bottom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w w:val="90"/>
              </w:rPr>
              <w:t>-60</w:t>
            </w:r>
          </w:p>
        </w:tc>
        <w:tc>
          <w:tcPr>
            <w:tcW w:w="780" w:type="dxa"/>
            <w:vAlign w:val="bottom"/>
            <w:tcBorders>
              <w:bottom w:val="single" w:sz="8" w:color="auto"/>
            </w:tcBorders>
            <w:gridSpan w:val="2"/>
          </w:tcPr>
          <w:p>
            <w:pPr>
              <w:jc w:val="center"/>
              <w:ind w:left="88"/>
              <w:spacing w:after="0"/>
              <w:rPr>
                <w:sz w:val="20"/>
                <w:szCs w:val="20"/>
                <w:color w:val="auto"/>
              </w:rPr>
            </w:pPr>
            <w:r>
              <w:rPr>
                <w:rFonts w:ascii="Calibri" w:cs="Calibri" w:eastAsia="Calibri" w:hAnsi="Calibri"/>
                <w:sz w:val="10"/>
                <w:szCs w:val="10"/>
                <w:b w:val="1"/>
                <w:bCs w:val="1"/>
                <w:color w:val="auto"/>
              </w:rPr>
              <w:t>-229</w:t>
            </w:r>
          </w:p>
        </w:tc>
        <w:tc>
          <w:tcPr>
            <w:tcW w:w="5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-187</w:t>
            </w:r>
          </w:p>
        </w:tc>
        <w:tc>
          <w:tcPr>
            <w:tcW w:w="5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-3.2%</w:t>
            </w:r>
          </w:p>
        </w:tc>
        <w:tc>
          <w:tcPr>
            <w:tcW w:w="64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-11.3%</w:t>
            </w:r>
          </w:p>
        </w:tc>
        <w:tc>
          <w:tcPr>
            <w:tcW w:w="5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-9.0%</w:t>
            </w:r>
          </w:p>
        </w:tc>
        <w:tc>
          <w:tcPr>
            <w:tcW w:w="5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1.4%</w:t>
            </w:r>
          </w:p>
        </w:tc>
        <w:tc>
          <w:tcPr>
            <w:tcW w:w="5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1.3%</w:t>
            </w:r>
          </w:p>
        </w:tc>
        <w:tc>
          <w:tcPr>
            <w:tcW w:w="5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1.3%</w:t>
            </w:r>
          </w:p>
        </w:tc>
        <w:tc>
          <w:tcPr>
            <w:tcW w:w="5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1.5%</w:t>
            </w:r>
          </w:p>
        </w:tc>
        <w:tc>
          <w:tcPr>
            <w:tcW w:w="5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1.3%</w:t>
            </w:r>
          </w:p>
        </w:tc>
      </w:tr>
      <w:tr>
        <w:trPr>
          <w:trHeight w:val="128"/>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0"/>
                <w:szCs w:val="10"/>
                <w:b w:val="1"/>
                <w:bCs w:val="1"/>
                <w:color w:val="auto"/>
              </w:rPr>
              <w:t>BAP's total loans</w:t>
            </w:r>
          </w:p>
        </w:tc>
        <w:tc>
          <w:tcPr>
            <w:tcW w:w="60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142,565</w:t>
            </w:r>
          </w:p>
        </w:tc>
        <w:tc>
          <w:tcPr>
            <w:tcW w:w="64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140,910</w:t>
            </w:r>
          </w:p>
        </w:tc>
        <w:tc>
          <w:tcPr>
            <w:tcW w:w="6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141,838</w:t>
            </w:r>
          </w:p>
        </w:tc>
        <w:tc>
          <w:tcPr>
            <w:tcW w:w="540" w:type="dxa"/>
            <w:vAlign w:val="bottom"/>
            <w:tcBorders>
              <w:bottom w:val="single" w:sz="8" w:color="auto"/>
            </w:tcBorders>
          </w:tcPr>
          <w:p>
            <w:pPr>
              <w:jc w:val="center"/>
              <w:ind w:left="68"/>
              <w:spacing w:after="0"/>
              <w:rPr>
                <w:sz w:val="20"/>
                <w:szCs w:val="20"/>
                <w:color w:val="auto"/>
              </w:rPr>
            </w:pPr>
            <w:r>
              <w:rPr>
                <w:rFonts w:ascii="Calibri" w:cs="Calibri" w:eastAsia="Calibri" w:hAnsi="Calibri"/>
                <w:sz w:val="10"/>
                <w:szCs w:val="10"/>
                <w:b w:val="1"/>
                <w:bCs w:val="1"/>
                <w:color w:val="auto"/>
              </w:rPr>
              <w:t>143,130</w:t>
            </w:r>
          </w:p>
        </w:tc>
        <w:tc>
          <w:tcPr>
            <w:tcW w:w="780" w:type="dxa"/>
            <w:vAlign w:val="bottom"/>
            <w:tcBorders>
              <w:bottom w:val="single" w:sz="8" w:color="auto"/>
              <w:right w:val="single" w:sz="8" w:color="auto"/>
            </w:tcBorders>
          </w:tcPr>
          <w:p>
            <w:pPr>
              <w:jc w:val="center"/>
              <w:ind w:left="68"/>
              <w:spacing w:after="0"/>
              <w:rPr>
                <w:sz w:val="20"/>
                <w:szCs w:val="20"/>
                <w:color w:val="auto"/>
              </w:rPr>
            </w:pPr>
            <w:r>
              <w:rPr>
                <w:rFonts w:ascii="Calibri" w:cs="Calibri" w:eastAsia="Calibri" w:hAnsi="Calibri"/>
                <w:sz w:val="10"/>
                <w:szCs w:val="10"/>
                <w:b w:val="1"/>
                <w:bCs w:val="1"/>
                <w:color w:val="auto"/>
              </w:rPr>
              <w:t>141,505</w:t>
            </w:r>
          </w:p>
        </w:tc>
        <w:tc>
          <w:tcPr>
            <w:tcW w:w="540" w:type="dxa"/>
            <w:vAlign w:val="bottom"/>
            <w:tcBorders>
              <w:bottom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928</w:t>
            </w:r>
          </w:p>
        </w:tc>
        <w:tc>
          <w:tcPr>
            <w:tcW w:w="780" w:type="dxa"/>
            <w:vAlign w:val="bottom"/>
            <w:tcBorders>
              <w:bottom w:val="single" w:sz="8" w:color="auto"/>
            </w:tcBorders>
            <w:gridSpan w:val="2"/>
          </w:tcPr>
          <w:p>
            <w:pPr>
              <w:jc w:val="center"/>
              <w:ind w:left="88"/>
              <w:spacing w:after="0"/>
              <w:rPr>
                <w:sz w:val="20"/>
                <w:szCs w:val="20"/>
                <w:color w:val="auto"/>
              </w:rPr>
            </w:pPr>
            <w:r>
              <w:rPr>
                <w:rFonts w:ascii="Calibri" w:cs="Calibri" w:eastAsia="Calibri" w:hAnsi="Calibri"/>
                <w:sz w:val="10"/>
                <w:szCs w:val="10"/>
                <w:b w:val="1"/>
                <w:bCs w:val="1"/>
                <w:color w:val="auto"/>
              </w:rPr>
              <w:t>-727</w:t>
            </w:r>
          </w:p>
        </w:tc>
        <w:tc>
          <w:tcPr>
            <w:tcW w:w="5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-1,625</w:t>
            </w:r>
          </w:p>
        </w:tc>
        <w:tc>
          <w:tcPr>
            <w:tcW w:w="5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0.7%</w:t>
            </w:r>
          </w:p>
        </w:tc>
        <w:tc>
          <w:tcPr>
            <w:tcW w:w="64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-0.5%</w:t>
            </w:r>
          </w:p>
        </w:tc>
        <w:tc>
          <w:tcPr>
            <w:tcW w:w="5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-1.1%</w:t>
            </w:r>
          </w:p>
        </w:tc>
        <w:tc>
          <w:tcPr>
            <w:tcW w:w="5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100.0%</w:t>
            </w:r>
          </w:p>
        </w:tc>
        <w:tc>
          <w:tcPr>
            <w:tcW w:w="5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w w:val="99"/>
              </w:rPr>
              <w:t>100.0%</w:t>
            </w:r>
          </w:p>
        </w:tc>
        <w:tc>
          <w:tcPr>
            <w:tcW w:w="5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100.0%</w:t>
            </w:r>
          </w:p>
        </w:tc>
        <w:tc>
          <w:tcPr>
            <w:tcW w:w="58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100.0%</w:t>
            </w:r>
          </w:p>
        </w:tc>
        <w:tc>
          <w:tcPr>
            <w:tcW w:w="5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100.0%</w:t>
            </w: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38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QoQ, </w:t>
      </w:r>
      <w:r>
        <w:rPr>
          <w:rFonts w:ascii="Calibri" w:cs="Calibri" w:eastAsia="Calibri" w:hAnsi="Calibri"/>
          <w:sz w:val="17"/>
          <w:szCs w:val="17"/>
          <w:color w:val="auto"/>
        </w:rPr>
        <w:t>total loans in average daily balances rose 0.7% (+0.3% FX Neutral).</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Growth was driven mainly by:</w:t>
      </w:r>
    </w:p>
    <w:p>
      <w:pPr>
        <w:spacing w:after="0" w:line="3" w:lineRule="exact"/>
        <w:rPr>
          <w:sz w:val="20"/>
          <w:szCs w:val="20"/>
          <w:color w:val="auto"/>
        </w:rPr>
      </w:pPr>
    </w:p>
    <w:p>
      <w:pPr>
        <w:ind w:left="520" w:hanging="290"/>
        <w:spacing w:after="0" w:line="242" w:lineRule="auto"/>
        <w:tabs>
          <w:tab w:leader="none" w:pos="520" w:val="left"/>
        </w:tabs>
        <w:numPr>
          <w:ilvl w:val="0"/>
          <w:numId w:val="14"/>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Corporate Banking</w:t>
      </w:r>
      <w:r>
        <w:rPr>
          <w:rFonts w:ascii="Calibri" w:cs="Calibri" w:eastAsia="Calibri" w:hAnsi="Calibri"/>
          <w:sz w:val="17"/>
          <w:szCs w:val="17"/>
          <w:color w:val="auto"/>
        </w:rPr>
        <w:t>, due to an increase in disbursements of short-term</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loans, mainly in the mining and energy sectors.</w:t>
      </w:r>
    </w:p>
    <w:p>
      <w:pPr>
        <w:spacing w:after="0" w:line="1" w:lineRule="exact"/>
        <w:rPr>
          <w:rFonts w:ascii="Times New Roman" w:cs="Times New Roman" w:eastAsia="Times New Roman" w:hAnsi="Times New Roman"/>
          <w:sz w:val="17"/>
          <w:szCs w:val="17"/>
          <w:color w:val="auto"/>
          <w:strike w:val="1"/>
        </w:rPr>
      </w:pPr>
    </w:p>
    <w:p>
      <w:pPr>
        <w:ind w:left="520" w:right="20" w:hanging="290"/>
        <w:spacing w:after="0" w:line="242" w:lineRule="auto"/>
        <w:tabs>
          <w:tab w:leader="none" w:pos="520" w:val="left"/>
        </w:tabs>
        <w:numPr>
          <w:ilvl w:val="0"/>
          <w:numId w:val="14"/>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 xml:space="preserve">SME-Business, </w:t>
      </w:r>
      <w:r>
        <w:rPr>
          <w:rFonts w:ascii="Calibri" w:cs="Calibri" w:eastAsia="Calibri" w:hAnsi="Calibri"/>
          <w:sz w:val="17"/>
          <w:szCs w:val="17"/>
          <w:color w:val="auto"/>
        </w:rPr>
        <w:t>due to growth in loan disbursements through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Government Programs (Impulso MyPerú) and negotable invoices.</w:t>
      </w:r>
    </w:p>
    <w:p>
      <w:pPr>
        <w:spacing w:after="0" w:line="1" w:lineRule="exact"/>
        <w:rPr>
          <w:rFonts w:ascii="Times New Roman" w:cs="Times New Roman" w:eastAsia="Times New Roman" w:hAnsi="Times New Roman"/>
          <w:sz w:val="17"/>
          <w:szCs w:val="17"/>
          <w:color w:val="auto"/>
          <w:strike w:val="1"/>
        </w:rPr>
      </w:pPr>
    </w:p>
    <w:p>
      <w:pPr>
        <w:jc w:val="both"/>
        <w:ind w:left="520" w:hanging="290"/>
        <w:spacing w:after="0" w:line="243" w:lineRule="auto"/>
        <w:tabs>
          <w:tab w:leader="none" w:pos="520" w:val="left"/>
        </w:tabs>
        <w:numPr>
          <w:ilvl w:val="0"/>
          <w:numId w:val="14"/>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Mortgage</w:t>
      </w:r>
      <w:r>
        <w:rPr>
          <w:rFonts w:ascii="Calibri" w:cs="Calibri" w:eastAsia="Calibri" w:hAnsi="Calibri"/>
          <w:sz w:val="17"/>
          <w:szCs w:val="17"/>
          <w:color w:val="auto"/>
        </w:rPr>
        <w:t>, due to a rebound in disbursements this quarter, which was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driven by economic reactvaton and an uptck in the demand for loans.</w:t>
      </w:r>
    </w:p>
    <w:p>
      <w:pPr>
        <w:spacing w:after="0" w:line="340" w:lineRule="exact"/>
        <w:rPr>
          <w:sz w:val="20"/>
          <w:szCs w:val="20"/>
          <w:color w:val="auto"/>
        </w:rPr>
      </w:pPr>
    </w:p>
    <w:p>
      <w:pPr>
        <w:spacing w:after="0"/>
        <w:rPr>
          <w:sz w:val="20"/>
          <w:szCs w:val="20"/>
          <w:color w:val="auto"/>
        </w:rPr>
      </w:pPr>
      <w:r>
        <w:rPr>
          <w:rFonts w:ascii="Calibri" w:cs="Calibri" w:eastAsia="Calibri" w:hAnsi="Calibri"/>
          <w:sz w:val="17"/>
          <w:szCs w:val="17"/>
          <w:color w:val="auto"/>
        </w:rPr>
        <w:t>The aforementoned was partally ofset by a drop in loans in:</w:t>
      </w:r>
    </w:p>
    <w:p>
      <w:pPr>
        <w:spacing w:after="0" w:line="3" w:lineRule="exact"/>
        <w:rPr>
          <w:sz w:val="20"/>
          <w:szCs w:val="20"/>
          <w:color w:val="auto"/>
        </w:rPr>
      </w:pPr>
    </w:p>
    <w:p>
      <w:pPr>
        <w:ind w:left="520" w:hanging="290"/>
        <w:spacing w:after="0" w:line="242" w:lineRule="auto"/>
        <w:tabs>
          <w:tab w:leader="none" w:pos="520" w:val="left"/>
        </w:tabs>
        <w:numPr>
          <w:ilvl w:val="0"/>
          <w:numId w:val="15"/>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 xml:space="preserve">Middle Market Banking, </w:t>
      </w:r>
      <w:r>
        <w:rPr>
          <w:rFonts w:ascii="Calibri" w:cs="Calibri" w:eastAsia="Calibri" w:hAnsi="Calibri"/>
          <w:sz w:val="17"/>
          <w:szCs w:val="17"/>
          <w:color w:val="auto"/>
        </w:rPr>
        <w:t>due primarily to growth in short-term loan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amortzatons.</w:t>
      </w:r>
    </w:p>
    <w:p>
      <w:pPr>
        <w:spacing w:after="0" w:line="1" w:lineRule="exact"/>
        <w:rPr>
          <w:rFonts w:ascii="Times New Roman" w:cs="Times New Roman" w:eastAsia="Times New Roman" w:hAnsi="Times New Roman"/>
          <w:sz w:val="17"/>
          <w:szCs w:val="17"/>
          <w:color w:val="auto"/>
          <w:strike w:val="1"/>
        </w:rPr>
      </w:pPr>
    </w:p>
    <w:p>
      <w:pPr>
        <w:jc w:val="both"/>
        <w:ind w:left="520" w:hanging="290"/>
        <w:spacing w:after="0" w:line="242" w:lineRule="auto"/>
        <w:tabs>
          <w:tab w:leader="none" w:pos="520" w:val="left"/>
        </w:tabs>
        <w:numPr>
          <w:ilvl w:val="0"/>
          <w:numId w:val="15"/>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 xml:space="preserve">Mibanco, </w:t>
      </w:r>
      <w:r>
        <w:rPr>
          <w:rFonts w:ascii="Calibri" w:cs="Calibri" w:eastAsia="Calibri" w:hAnsi="Calibri"/>
          <w:sz w:val="17"/>
          <w:szCs w:val="17"/>
          <w:color w:val="auto"/>
        </w:rPr>
        <w:t>given that growth in small-tcket, higher- yield loans was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insufcient to ofset the decline in higher-tcket loans. It is important to note that this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242" w:lineRule="auto"/>
        <w:rPr>
          <w:sz w:val="20"/>
          <w:szCs w:val="20"/>
          <w:color w:val="auto"/>
        </w:rPr>
      </w:pPr>
      <w:r>
        <w:rPr>
          <w:rFonts w:ascii="Calibri" w:cs="Calibri" w:eastAsia="Calibri" w:hAnsi="Calibri"/>
          <w:sz w:val="17"/>
          <w:szCs w:val="17"/>
          <w:color w:val="auto"/>
        </w:rPr>
        <w:t>quarter marked a turning point, where the industry began to recover, and disbursements started to grow.</w:t>
      </w:r>
    </w:p>
    <w:p>
      <w:pPr>
        <w:spacing w:after="0" w:line="145" w:lineRule="exact"/>
        <w:rPr>
          <w:sz w:val="20"/>
          <w:szCs w:val="20"/>
          <w:color w:val="auto"/>
        </w:rPr>
      </w:pPr>
    </w:p>
    <w:p>
      <w:pPr>
        <w:ind w:right="320"/>
        <w:spacing w:after="0" w:line="242" w:lineRule="auto"/>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total loans in average daily balances fell 0.5% (-0.5% FX Neutral). This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reducton was mainly atributable to:</w:t>
      </w:r>
    </w:p>
    <w:p>
      <w:pPr>
        <w:spacing w:after="0" w:line="1" w:lineRule="exact"/>
        <w:rPr>
          <w:sz w:val="20"/>
          <w:szCs w:val="20"/>
          <w:color w:val="auto"/>
        </w:rPr>
      </w:pPr>
    </w:p>
    <w:p>
      <w:pPr>
        <w:jc w:val="both"/>
        <w:ind w:left="520" w:right="20" w:hanging="286"/>
        <w:spacing w:after="0" w:line="242" w:lineRule="auto"/>
        <w:tabs>
          <w:tab w:leader="none" w:pos="520" w:val="left"/>
        </w:tabs>
        <w:numPr>
          <w:ilvl w:val="0"/>
          <w:numId w:val="16"/>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 xml:space="preserve">Mibanco, </w:t>
      </w:r>
      <w:r>
        <w:rPr>
          <w:rFonts w:ascii="Calibri" w:cs="Calibri" w:eastAsia="Calibri" w:hAnsi="Calibri"/>
          <w:sz w:val="17"/>
          <w:szCs w:val="17"/>
          <w:color w:val="auto"/>
        </w:rPr>
        <w:t>afer stricter lending policies went into efect since the end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of 2Q24, as the industry contnues to adopt a prudent approach to originaton.</w:t>
      </w:r>
    </w:p>
    <w:p>
      <w:pPr>
        <w:spacing w:after="0" w:line="1" w:lineRule="exact"/>
        <w:rPr>
          <w:rFonts w:ascii="Times New Roman" w:cs="Times New Roman" w:eastAsia="Times New Roman" w:hAnsi="Times New Roman"/>
          <w:sz w:val="17"/>
          <w:szCs w:val="17"/>
          <w:color w:val="auto"/>
          <w:strike w:val="1"/>
        </w:rPr>
      </w:pPr>
    </w:p>
    <w:p>
      <w:pPr>
        <w:ind w:left="520" w:hanging="286"/>
        <w:spacing w:after="0"/>
        <w:tabs>
          <w:tab w:leader="none" w:pos="520" w:val="left"/>
        </w:tabs>
        <w:numPr>
          <w:ilvl w:val="0"/>
          <w:numId w:val="16"/>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 xml:space="preserve">Middle Market Banking, </w:t>
      </w:r>
      <w:r>
        <w:rPr>
          <w:rFonts w:ascii="Calibri" w:cs="Calibri" w:eastAsia="Calibri" w:hAnsi="Calibri"/>
          <w:sz w:val="17"/>
          <w:szCs w:val="17"/>
          <w:color w:val="auto"/>
        </w:rPr>
        <w:t>due to the same dynamics as those seen</w:t>
      </w:r>
    </w:p>
    <w:p>
      <w:pPr>
        <w:spacing w:after="0" w:line="23" w:lineRule="exact"/>
        <w:rPr>
          <w:rFonts w:ascii="Times New Roman" w:cs="Times New Roman" w:eastAsia="Times New Roman" w:hAnsi="Times New Roman"/>
          <w:sz w:val="17"/>
          <w:szCs w:val="17"/>
          <w:color w:val="auto"/>
          <w:strike w:val="1"/>
        </w:rPr>
      </w:pPr>
    </w:p>
    <w:p>
      <w:pPr>
        <w:ind w:left="520"/>
        <w:spacing w:after="0" w:line="215" w:lineRule="auto"/>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QoQ.</w:t>
      </w:r>
    </w:p>
    <w:p>
      <w:pPr>
        <w:spacing w:after="0" w:line="3" w:lineRule="exact"/>
        <w:rPr>
          <w:rFonts w:ascii="Times New Roman" w:cs="Times New Roman" w:eastAsia="Times New Roman" w:hAnsi="Times New Roman"/>
          <w:sz w:val="17"/>
          <w:szCs w:val="17"/>
          <w:color w:val="auto"/>
          <w:strike w:val="1"/>
        </w:rPr>
      </w:pPr>
    </w:p>
    <w:p>
      <w:pPr>
        <w:ind w:left="520" w:hanging="286"/>
        <w:spacing w:after="0"/>
        <w:tabs>
          <w:tab w:leader="none" w:pos="520" w:val="left"/>
        </w:tabs>
        <w:numPr>
          <w:ilvl w:val="0"/>
          <w:numId w:val="16"/>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 xml:space="preserve">SME-Pyme, </w:t>
      </w:r>
      <w:r>
        <w:rPr>
          <w:rFonts w:ascii="Calibri" w:cs="Calibri" w:eastAsia="Calibri" w:hAnsi="Calibri"/>
          <w:sz w:val="17"/>
          <w:szCs w:val="17"/>
          <w:color w:val="auto"/>
        </w:rPr>
        <w:t>due to a drop in long-term loan disbursements.</w:t>
      </w:r>
    </w:p>
    <w:p>
      <w:pPr>
        <w:spacing w:after="0" w:line="212" w:lineRule="exact"/>
        <w:rPr>
          <w:sz w:val="20"/>
          <w:szCs w:val="20"/>
          <w:color w:val="auto"/>
        </w:rPr>
      </w:pPr>
    </w:p>
    <w:p>
      <w:pPr>
        <w:spacing w:after="0"/>
        <w:rPr>
          <w:sz w:val="20"/>
          <w:szCs w:val="20"/>
          <w:color w:val="auto"/>
        </w:rPr>
      </w:pPr>
      <w:r>
        <w:rPr>
          <w:rFonts w:ascii="Calibri" w:cs="Calibri" w:eastAsia="Calibri" w:hAnsi="Calibri"/>
          <w:sz w:val="17"/>
          <w:szCs w:val="17"/>
          <w:color w:val="auto"/>
        </w:rPr>
        <w:t>The aforementoned was partally ofset by loan growth via:</w:t>
      </w:r>
    </w:p>
    <w:p>
      <w:pPr>
        <w:spacing w:after="0" w:line="3" w:lineRule="exact"/>
        <w:rPr>
          <w:sz w:val="20"/>
          <w:szCs w:val="20"/>
          <w:color w:val="auto"/>
        </w:rPr>
      </w:pPr>
    </w:p>
    <w:p>
      <w:pPr>
        <w:ind w:left="520" w:right="20" w:hanging="286"/>
        <w:spacing w:after="0" w:line="242" w:lineRule="auto"/>
        <w:tabs>
          <w:tab w:leader="none" w:pos="520" w:val="left"/>
        </w:tabs>
        <w:numPr>
          <w:ilvl w:val="0"/>
          <w:numId w:val="17"/>
        </w:numPr>
        <w:rPr>
          <w:rFonts w:ascii="Times New Roman" w:cs="Times New Roman" w:eastAsia="Times New Roman" w:hAnsi="Times New Roman"/>
          <w:sz w:val="17"/>
          <w:szCs w:val="17"/>
          <w:color w:val="auto"/>
          <w:strike w:val="1"/>
        </w:rPr>
      </w:pPr>
      <w:r>
        <w:rPr>
          <w:rFonts w:ascii="Calibri" w:cs="Calibri" w:eastAsia="Calibri" w:hAnsi="Calibri"/>
          <w:sz w:val="17"/>
          <w:szCs w:val="17"/>
          <w:b w:val="1"/>
          <w:bCs w:val="1"/>
          <w:color w:val="auto"/>
        </w:rPr>
        <w:t xml:space="preserve">Corporate Banking, Mortgage and SME-Business </w:t>
      </w:r>
      <w:r>
        <w:rPr>
          <w:rFonts w:ascii="Calibri" w:cs="Calibri" w:eastAsia="Calibri" w:hAnsi="Calibri"/>
          <w:sz w:val="17"/>
          <w:szCs w:val="17"/>
          <w:color w:val="auto"/>
        </w:rPr>
        <w:t>due to the same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dynamics reported in the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analysis.</w:t>
      </w:r>
    </w:p>
    <w:p>
      <w:pPr>
        <w:spacing w:after="0" w:line="396" w:lineRule="exact"/>
        <w:rPr>
          <w:sz w:val="20"/>
          <w:szCs w:val="20"/>
          <w:color w:val="auto"/>
        </w:rPr>
      </w:pPr>
    </w:p>
    <w:p>
      <w:pPr>
        <w:sectPr>
          <w:pgSz w:w="11900" w:h="16838" w:orient="portrait"/>
          <w:cols w:equalWidth="0" w:num="2">
            <w:col w:w="5400" w:space="440"/>
            <w:col w:w="5400"/>
          </w:cols>
          <w:pgMar w:left="320" w:top="279" w:right="339" w:bottom="1440" w:gutter="0" w:footer="0" w:header="0"/>
          <w:type w:val="continuous"/>
        </w:sectPr>
      </w:pPr>
    </w:p>
    <w:p>
      <w:pPr>
        <w:spacing w:after="0" w:line="16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9" w:name="page20"/>
    <w:bookmarkEnd w:id="19"/>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b w:val="1"/>
          <w:bCs w:val="1"/>
          <w:color w:val="auto"/>
        </w:rPr>
        <w:t xml:space="preserve">FY, </w:t>
      </w:r>
      <w:r>
        <w:rPr>
          <w:rFonts w:ascii="Calibri" w:cs="Calibri" w:eastAsia="Calibri" w:hAnsi="Calibri"/>
          <w:sz w:val="17"/>
          <w:szCs w:val="17"/>
          <w:color w:val="auto"/>
        </w:rPr>
        <w:t>total loans in average daily balances dropped 1.1%. This decline was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mainly atributable to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Middle Market Banking,</w:t>
      </w:r>
      <w:r>
        <w:rPr>
          <w:rFonts w:ascii="Calibri" w:cs="Calibri" w:eastAsia="Calibri" w:hAnsi="Calibri"/>
          <w:sz w:val="17"/>
          <w:szCs w:val="17"/>
          <w:color w:val="auto"/>
        </w:rPr>
        <w:t xml:space="preserve"> and was driven by the same dynamics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line="242" w:lineRule="auto"/>
        <w:rPr>
          <w:sz w:val="20"/>
          <w:szCs w:val="20"/>
          <w:color w:val="auto"/>
        </w:rPr>
      </w:pPr>
      <w:r>
        <w:rPr>
          <w:rFonts w:ascii="Calibri" w:cs="Calibri" w:eastAsia="Calibri" w:hAnsi="Calibri"/>
          <w:sz w:val="17"/>
          <w:szCs w:val="17"/>
          <w:color w:val="auto"/>
        </w:rPr>
        <w:t xml:space="preserve">play </w:t>
      </w:r>
      <w:r>
        <w:rPr>
          <w:rFonts w:ascii="Calibri" w:cs="Calibri" w:eastAsia="Calibri" w:hAnsi="Calibri"/>
          <w:sz w:val="17"/>
          <w:szCs w:val="17"/>
          <w:b w:val="1"/>
          <w:bCs w:val="1"/>
          <w:color w:val="auto"/>
        </w:rPr>
        <w:t>YoY</w:t>
      </w:r>
      <w:r>
        <w:rPr>
          <w:rFonts w:ascii="Calibri" w:cs="Calibri" w:eastAsia="Calibri" w:hAnsi="Calibri"/>
          <w:sz w:val="17"/>
          <w:szCs w:val="17"/>
          <w:color w:val="auto"/>
        </w:rPr>
        <w:t>. If we exclude amortzatons of Government Program loans, loans in average daily balances rose 0.2%.</w:t>
      </w:r>
    </w:p>
    <w:p>
      <w:pPr>
        <w:spacing w:after="0" w:line="379" w:lineRule="exact"/>
        <w:rPr>
          <w:sz w:val="20"/>
          <w:szCs w:val="20"/>
          <w:color w:val="auto"/>
        </w:rPr>
      </w:pPr>
    </w:p>
    <w:p>
      <w:pPr>
        <w:sectPr>
          <w:pgSz w:w="11900" w:h="16838" w:orient="portrait"/>
          <w:cols w:equalWidth="0" w:num="2">
            <w:col w:w="5400" w:space="440"/>
            <w:col w:w="5400"/>
          </w:cols>
          <w:pgMar w:left="320" w:top="279" w:right="339" w:bottom="1440" w:gutter="0" w:footer="0" w:header="0"/>
          <w:type w:val="continuous"/>
        </w:sectPr>
      </w:pPr>
    </w:p>
    <w:p>
      <w:pPr>
        <w:jc w:val="center"/>
        <w:ind w:right="-139"/>
        <w:spacing w:after="0"/>
        <w:rPr>
          <w:sz w:val="20"/>
          <w:szCs w:val="20"/>
          <w:color w:val="auto"/>
        </w:rPr>
      </w:pPr>
      <w:r>
        <w:rPr>
          <w:rFonts w:ascii="Calibri" w:cs="Calibri" w:eastAsia="Calibri" w:hAnsi="Calibri"/>
          <w:sz w:val="17"/>
          <w:szCs w:val="17"/>
          <w:b w:val="1"/>
          <w:bCs w:val="1"/>
          <w:color w:val="auto"/>
        </w:rPr>
        <w:t xml:space="preserve">Evoluton of Loan Dollarizaton (in Average Daily Balances) </w:t>
      </w:r>
      <w:r>
        <w:rPr>
          <w:rFonts w:ascii="Calibri" w:cs="Calibri" w:eastAsia="Calibri" w:hAnsi="Calibri"/>
          <w:sz w:val="29"/>
          <w:szCs w:val="29"/>
          <w:b w:val="1"/>
          <w:bCs w:val="1"/>
          <w:color w:val="auto"/>
          <w:vertAlign w:val="superscript"/>
        </w:rPr>
        <w:t>(1)(2)</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18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Total Loans</w:t>
            </w:r>
          </w:p>
        </w:tc>
        <w:tc>
          <w:tcPr>
            <w:tcW w:w="2300" w:type="dxa"/>
            <w:vAlign w:val="bottom"/>
            <w:tcBorders>
              <w:top w:val="single" w:sz="8" w:color="auto"/>
              <w:right w:val="single" w:sz="8" w:color="auto"/>
            </w:tcBorders>
            <w:gridSpan w:val="3"/>
            <w:shd w:val="clear" w:color="auto" w:fill="33CCCC"/>
          </w:tcPr>
          <w:p>
            <w:pPr>
              <w:jc w:val="right"/>
              <w:ind w:right="299"/>
              <w:spacing w:after="0"/>
              <w:rPr>
                <w:sz w:val="20"/>
                <w:szCs w:val="20"/>
                <w:color w:val="auto"/>
              </w:rPr>
            </w:pPr>
            <w:r>
              <w:rPr>
                <w:rFonts w:ascii="Calibri" w:cs="Calibri" w:eastAsia="Calibri" w:hAnsi="Calibri"/>
                <w:sz w:val="12"/>
                <w:szCs w:val="12"/>
                <w:b w:val="1"/>
                <w:bCs w:val="1"/>
                <w:color w:val="FFFFFF"/>
              </w:rPr>
              <w:t>Local Currency (LC) - S/ millions</w:t>
            </w:r>
          </w:p>
        </w:tc>
        <w:tc>
          <w:tcPr>
            <w:tcW w:w="1020" w:type="dxa"/>
            <w:vAlign w:val="bottom"/>
            <w:tcBorders>
              <w:top w:val="single" w:sz="8" w:color="auto"/>
            </w:tcBorders>
            <w:gridSpan w:val="2"/>
            <w:shd w:val="clear" w:color="auto" w:fill="33CCCC"/>
          </w:tcPr>
          <w:p>
            <w:pPr>
              <w:ind w:left="540"/>
              <w:spacing w:after="0"/>
              <w:rPr>
                <w:sz w:val="20"/>
                <w:szCs w:val="20"/>
                <w:color w:val="auto"/>
              </w:rPr>
            </w:pPr>
            <w:r>
              <w:rPr>
                <w:rFonts w:ascii="Calibri" w:cs="Calibri" w:eastAsia="Calibri" w:hAnsi="Calibri"/>
                <w:sz w:val="12"/>
                <w:szCs w:val="12"/>
                <w:b w:val="1"/>
                <w:bCs w:val="1"/>
                <w:color w:val="FFFFFF"/>
                <w:w w:val="97"/>
              </w:rPr>
              <w:t>% change</w:t>
            </w:r>
          </w:p>
        </w:tc>
        <w:tc>
          <w:tcPr>
            <w:tcW w:w="560" w:type="dxa"/>
            <w:vAlign w:val="bottom"/>
            <w:tcBorders>
              <w:top w:val="single" w:sz="8" w:color="auto"/>
              <w:right w:val="single" w:sz="8" w:color="auto"/>
            </w:tcBorders>
            <w:shd w:val="clear" w:color="auto" w:fill="33CCCC"/>
          </w:tcPr>
          <w:p>
            <w:pPr>
              <w:spacing w:after="0"/>
              <w:rPr>
                <w:sz w:val="13"/>
                <w:szCs w:val="13"/>
                <w:color w:val="auto"/>
              </w:rPr>
            </w:pPr>
          </w:p>
        </w:tc>
        <w:tc>
          <w:tcPr>
            <w:tcW w:w="2320" w:type="dxa"/>
            <w:vAlign w:val="bottom"/>
            <w:tcBorders>
              <w:top w:val="single" w:sz="8" w:color="auto"/>
              <w:right w:val="single" w:sz="8" w:color="auto"/>
            </w:tcBorders>
            <w:gridSpan w:val="3"/>
            <w:shd w:val="clear" w:color="auto" w:fill="33CCCC"/>
          </w:tcPr>
          <w:p>
            <w:pPr>
              <w:ind w:left="240"/>
              <w:spacing w:after="0"/>
              <w:rPr>
                <w:sz w:val="20"/>
                <w:szCs w:val="20"/>
                <w:color w:val="auto"/>
              </w:rPr>
            </w:pPr>
            <w:r>
              <w:rPr>
                <w:rFonts w:ascii="Calibri" w:cs="Calibri" w:eastAsia="Calibri" w:hAnsi="Calibri"/>
                <w:sz w:val="12"/>
                <w:szCs w:val="12"/>
                <w:b w:val="1"/>
                <w:bCs w:val="1"/>
                <w:color w:val="FFFFFF"/>
              </w:rPr>
              <w:t>Foreign Currency (FC) - US$ millions</w:t>
            </w:r>
          </w:p>
        </w:tc>
        <w:tc>
          <w:tcPr>
            <w:tcW w:w="540" w:type="dxa"/>
            <w:vAlign w:val="bottom"/>
            <w:tcBorders>
              <w:top w:val="single" w:sz="8" w:color="auto"/>
            </w:tcBorders>
            <w:shd w:val="clear" w:color="auto" w:fill="33CCCC"/>
          </w:tcPr>
          <w:p>
            <w:pPr>
              <w:spacing w:after="0"/>
              <w:rPr>
                <w:sz w:val="13"/>
                <w:szCs w:val="13"/>
                <w:color w:val="auto"/>
              </w:rPr>
            </w:pPr>
          </w:p>
        </w:tc>
        <w:tc>
          <w:tcPr>
            <w:tcW w:w="1040" w:type="dxa"/>
            <w:vAlign w:val="bottom"/>
            <w:tcBorders>
              <w:top w:val="single" w:sz="8" w:color="auto"/>
              <w:right w:val="single" w:sz="8" w:color="auto"/>
            </w:tcBorders>
            <w:gridSpan w:val="2"/>
            <w:shd w:val="clear" w:color="auto" w:fill="33CCCC"/>
          </w:tcPr>
          <w:p>
            <w:pPr>
              <w:spacing w:after="0"/>
              <w:rPr>
                <w:sz w:val="20"/>
                <w:szCs w:val="20"/>
                <w:color w:val="auto"/>
              </w:rPr>
            </w:pPr>
            <w:r>
              <w:rPr>
                <w:rFonts w:ascii="Calibri" w:cs="Calibri" w:eastAsia="Calibri" w:hAnsi="Calibri"/>
                <w:sz w:val="12"/>
                <w:szCs w:val="12"/>
                <w:b w:val="1"/>
                <w:bCs w:val="1"/>
                <w:color w:val="FFFFFF"/>
              </w:rPr>
              <w:t>% change</w:t>
            </w:r>
          </w:p>
        </w:tc>
        <w:tc>
          <w:tcPr>
            <w:tcW w:w="1580" w:type="dxa"/>
            <w:vAlign w:val="bottom"/>
            <w:tcBorders>
              <w:top w:val="single" w:sz="8" w:color="auto"/>
              <w:right w:val="single" w:sz="8" w:color="auto"/>
            </w:tcBorders>
            <w:gridSpan w:val="2"/>
            <w:shd w:val="clear" w:color="auto" w:fill="33CCCC"/>
          </w:tcPr>
          <w:p>
            <w:pPr>
              <w:jc w:val="center"/>
              <w:spacing w:after="0"/>
              <w:rPr>
                <w:sz w:val="20"/>
                <w:szCs w:val="20"/>
                <w:color w:val="auto"/>
              </w:rPr>
            </w:pPr>
            <w:r>
              <w:rPr>
                <w:rFonts w:ascii="Calibri" w:cs="Calibri" w:eastAsia="Calibri" w:hAnsi="Calibri"/>
                <w:sz w:val="12"/>
                <w:szCs w:val="12"/>
                <w:b w:val="1"/>
                <w:bCs w:val="1"/>
                <w:color w:val="FFFFFF"/>
              </w:rPr>
              <w:t>% part. by currency</w:t>
            </w:r>
          </w:p>
        </w:tc>
      </w:tr>
      <w:tr>
        <w:trPr>
          <w:trHeight w:val="133"/>
        </w:trPr>
        <w:tc>
          <w:tcPr>
            <w:tcW w:w="1880" w:type="dxa"/>
            <w:vAlign w:val="bottom"/>
            <w:tcBorders>
              <w:left w:val="single" w:sz="8" w:color="auto"/>
              <w:right w:val="single" w:sz="8" w:color="auto"/>
            </w:tcBorders>
            <w:shd w:val="clear" w:color="auto" w:fill="33CCCC"/>
          </w:tcPr>
          <w:p>
            <w:pPr>
              <w:spacing w:after="0"/>
              <w:rPr>
                <w:sz w:val="11"/>
                <w:szCs w:val="11"/>
                <w:color w:val="auto"/>
              </w:rPr>
            </w:pPr>
          </w:p>
        </w:tc>
        <w:tc>
          <w:tcPr>
            <w:tcW w:w="780" w:type="dxa"/>
            <w:vAlign w:val="bottom"/>
            <w:shd w:val="clear" w:color="auto" w:fill="33CCCC"/>
          </w:tcPr>
          <w:p>
            <w:pPr>
              <w:spacing w:after="0"/>
              <w:rPr>
                <w:sz w:val="11"/>
                <w:szCs w:val="11"/>
                <w:color w:val="auto"/>
              </w:rPr>
            </w:pPr>
          </w:p>
        </w:tc>
        <w:tc>
          <w:tcPr>
            <w:tcW w:w="760" w:type="dxa"/>
            <w:vAlign w:val="bottom"/>
            <w:shd w:val="clear" w:color="auto" w:fill="33CCCC"/>
          </w:tcPr>
          <w:p>
            <w:pPr>
              <w:ind w:left="240"/>
              <w:spacing w:after="0" w:line="134" w:lineRule="exact"/>
              <w:rPr>
                <w:sz w:val="20"/>
                <w:szCs w:val="20"/>
                <w:color w:val="auto"/>
              </w:rPr>
            </w:pPr>
            <w:r>
              <w:rPr>
                <w:rFonts w:ascii="Calibri" w:cs="Calibri" w:eastAsia="Calibri" w:hAnsi="Calibri"/>
                <w:sz w:val="12"/>
                <w:szCs w:val="12"/>
                <w:b w:val="1"/>
                <w:bCs w:val="1"/>
                <w:color w:val="FFFFFF"/>
              </w:rPr>
              <w:t>Total</w:t>
            </w:r>
          </w:p>
        </w:tc>
        <w:tc>
          <w:tcPr>
            <w:tcW w:w="760" w:type="dxa"/>
            <w:vAlign w:val="bottom"/>
            <w:tcBorders>
              <w:right w:val="single" w:sz="8" w:color="auto"/>
            </w:tcBorders>
            <w:shd w:val="clear" w:color="auto" w:fill="33CCCC"/>
          </w:tcPr>
          <w:p>
            <w:pPr>
              <w:spacing w:after="0"/>
              <w:rPr>
                <w:sz w:val="11"/>
                <w:szCs w:val="11"/>
                <w:color w:val="auto"/>
              </w:rPr>
            </w:pPr>
          </w:p>
        </w:tc>
        <w:tc>
          <w:tcPr>
            <w:tcW w:w="800" w:type="dxa"/>
            <w:vAlign w:val="bottom"/>
            <w:shd w:val="clear" w:color="auto" w:fill="33CCCC"/>
          </w:tcPr>
          <w:p>
            <w:pPr>
              <w:spacing w:after="0"/>
              <w:rPr>
                <w:sz w:val="11"/>
                <w:szCs w:val="11"/>
                <w:color w:val="auto"/>
              </w:rPr>
            </w:pPr>
          </w:p>
        </w:tc>
        <w:tc>
          <w:tcPr>
            <w:tcW w:w="220" w:type="dxa"/>
            <w:vAlign w:val="bottom"/>
            <w:shd w:val="clear" w:color="auto" w:fill="33CCCC"/>
          </w:tcPr>
          <w:p>
            <w:pPr>
              <w:spacing w:after="0"/>
              <w:rPr>
                <w:sz w:val="11"/>
                <w:szCs w:val="11"/>
                <w:color w:val="auto"/>
              </w:rPr>
            </w:pPr>
          </w:p>
        </w:tc>
        <w:tc>
          <w:tcPr>
            <w:tcW w:w="560" w:type="dxa"/>
            <w:vAlign w:val="bottom"/>
            <w:tcBorders>
              <w:right w:val="single" w:sz="8" w:color="auto"/>
            </w:tcBorders>
            <w:shd w:val="clear" w:color="auto" w:fill="33CCCC"/>
          </w:tcPr>
          <w:p>
            <w:pPr>
              <w:spacing w:after="0"/>
              <w:rPr>
                <w:sz w:val="11"/>
                <w:szCs w:val="11"/>
                <w:color w:val="auto"/>
              </w:rPr>
            </w:pPr>
          </w:p>
        </w:tc>
        <w:tc>
          <w:tcPr>
            <w:tcW w:w="780" w:type="dxa"/>
            <w:vAlign w:val="bottom"/>
            <w:shd w:val="clear" w:color="auto" w:fill="33CCCC"/>
          </w:tcPr>
          <w:p>
            <w:pPr>
              <w:spacing w:after="0"/>
              <w:rPr>
                <w:sz w:val="11"/>
                <w:szCs w:val="11"/>
                <w:color w:val="auto"/>
              </w:rPr>
            </w:pPr>
          </w:p>
        </w:tc>
        <w:tc>
          <w:tcPr>
            <w:tcW w:w="760" w:type="dxa"/>
            <w:vAlign w:val="bottom"/>
            <w:shd w:val="clear" w:color="auto" w:fill="33CCCC"/>
          </w:tcPr>
          <w:p>
            <w:pPr>
              <w:jc w:val="center"/>
              <w:spacing w:after="0" w:line="134" w:lineRule="exact"/>
              <w:rPr>
                <w:sz w:val="20"/>
                <w:szCs w:val="20"/>
                <w:color w:val="auto"/>
              </w:rPr>
            </w:pPr>
            <w:r>
              <w:rPr>
                <w:rFonts w:ascii="Calibri" w:cs="Calibri" w:eastAsia="Calibri" w:hAnsi="Calibri"/>
                <w:sz w:val="12"/>
                <w:szCs w:val="12"/>
                <w:b w:val="1"/>
                <w:bCs w:val="1"/>
                <w:color w:val="FFFFFF"/>
              </w:rPr>
              <w:t>Total</w:t>
            </w:r>
          </w:p>
        </w:tc>
        <w:tc>
          <w:tcPr>
            <w:tcW w:w="780" w:type="dxa"/>
            <w:vAlign w:val="bottom"/>
            <w:tcBorders>
              <w:right w:val="single" w:sz="8" w:color="auto"/>
            </w:tcBorders>
            <w:shd w:val="clear" w:color="auto" w:fill="33CCCC"/>
          </w:tcPr>
          <w:p>
            <w:pPr>
              <w:spacing w:after="0"/>
              <w:rPr>
                <w:sz w:val="11"/>
                <w:szCs w:val="11"/>
                <w:color w:val="auto"/>
              </w:rPr>
            </w:pPr>
          </w:p>
        </w:tc>
        <w:tc>
          <w:tcPr>
            <w:tcW w:w="540" w:type="dxa"/>
            <w:vAlign w:val="bottom"/>
            <w:shd w:val="clear" w:color="auto" w:fill="33CCCC"/>
          </w:tcPr>
          <w:p>
            <w:pPr>
              <w:spacing w:after="0"/>
              <w:rPr>
                <w:sz w:val="11"/>
                <w:szCs w:val="11"/>
                <w:color w:val="auto"/>
              </w:rPr>
            </w:pPr>
          </w:p>
        </w:tc>
        <w:tc>
          <w:tcPr>
            <w:tcW w:w="260" w:type="dxa"/>
            <w:vAlign w:val="bottom"/>
            <w:shd w:val="clear" w:color="auto" w:fill="33CCCC"/>
          </w:tcPr>
          <w:p>
            <w:pPr>
              <w:spacing w:after="0"/>
              <w:rPr>
                <w:sz w:val="11"/>
                <w:szCs w:val="11"/>
                <w:color w:val="auto"/>
              </w:rPr>
            </w:pPr>
          </w:p>
        </w:tc>
        <w:tc>
          <w:tcPr>
            <w:tcW w:w="780" w:type="dxa"/>
            <w:vAlign w:val="bottom"/>
            <w:tcBorders>
              <w:right w:val="single" w:sz="8" w:color="auto"/>
            </w:tcBorders>
            <w:shd w:val="clear" w:color="auto" w:fill="33CCCC"/>
          </w:tcPr>
          <w:p>
            <w:pPr>
              <w:spacing w:after="0"/>
              <w:rPr>
                <w:sz w:val="11"/>
                <w:szCs w:val="11"/>
                <w:color w:val="auto"/>
              </w:rPr>
            </w:pPr>
          </w:p>
        </w:tc>
        <w:tc>
          <w:tcPr>
            <w:tcW w:w="580" w:type="dxa"/>
            <w:vAlign w:val="bottom"/>
            <w:shd w:val="clear" w:color="auto" w:fill="33CCCC"/>
          </w:tcPr>
          <w:p>
            <w:pPr>
              <w:spacing w:after="0"/>
              <w:rPr>
                <w:sz w:val="11"/>
                <w:szCs w:val="11"/>
                <w:color w:val="auto"/>
              </w:rPr>
            </w:pPr>
          </w:p>
        </w:tc>
        <w:tc>
          <w:tcPr>
            <w:tcW w:w="1000" w:type="dxa"/>
            <w:vAlign w:val="bottom"/>
            <w:tcBorders>
              <w:right w:val="single" w:sz="8" w:color="auto"/>
            </w:tcBorders>
            <w:shd w:val="clear" w:color="auto" w:fill="33CCCC"/>
          </w:tcPr>
          <w:p>
            <w:pPr>
              <w:jc w:val="center"/>
              <w:ind w:right="519"/>
              <w:spacing w:after="0" w:line="134" w:lineRule="exact"/>
              <w:rPr>
                <w:sz w:val="20"/>
                <w:szCs w:val="20"/>
                <w:color w:val="auto"/>
              </w:rPr>
            </w:pPr>
            <w:r>
              <w:rPr>
                <w:rFonts w:ascii="Calibri" w:cs="Calibri" w:eastAsia="Calibri" w:hAnsi="Calibri"/>
                <w:sz w:val="12"/>
                <w:szCs w:val="12"/>
                <w:b w:val="1"/>
                <w:bCs w:val="1"/>
                <w:color w:val="FFFFFF"/>
              </w:rPr>
              <w:t>Dec 24</w:t>
            </w:r>
          </w:p>
        </w:tc>
      </w:tr>
      <w:tr>
        <w:trPr>
          <w:trHeight w:val="150"/>
        </w:trPr>
        <w:tc>
          <w:tcPr>
            <w:tcW w:w="188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2"/>
                <w:szCs w:val="12"/>
                <w:b w:val="1"/>
                <w:bCs w:val="1"/>
                <w:color w:val="FFFFFF"/>
              </w:rPr>
              <w:t>S/ millions</w:t>
            </w:r>
          </w:p>
        </w:tc>
        <w:tc>
          <w:tcPr>
            <w:tcW w:w="780" w:type="dxa"/>
            <w:vAlign w:val="bottom"/>
            <w:tcBorders>
              <w:bottom w:val="single" w:sz="8" w:color="auto"/>
            </w:tcBorders>
            <w:shd w:val="clear" w:color="auto" w:fill="33CCCC"/>
          </w:tcPr>
          <w:p>
            <w:pPr>
              <w:jc w:val="right"/>
              <w:ind w:right="159"/>
              <w:spacing w:after="0"/>
              <w:rPr>
                <w:sz w:val="20"/>
                <w:szCs w:val="20"/>
                <w:color w:val="auto"/>
              </w:rPr>
            </w:pPr>
            <w:r>
              <w:rPr>
                <w:rFonts w:ascii="Calibri" w:cs="Calibri" w:eastAsia="Calibri" w:hAnsi="Calibri"/>
                <w:sz w:val="12"/>
                <w:szCs w:val="12"/>
                <w:b w:val="1"/>
                <w:bCs w:val="1"/>
                <w:color w:val="FFFFFF"/>
              </w:rPr>
              <w:t>Dec 23</w:t>
            </w:r>
          </w:p>
        </w:tc>
        <w:tc>
          <w:tcPr>
            <w:tcW w:w="760" w:type="dxa"/>
            <w:vAlign w:val="bottom"/>
            <w:tcBorders>
              <w:bottom w:val="single" w:sz="8" w:color="auto"/>
            </w:tcBorders>
            <w:shd w:val="clear" w:color="auto" w:fill="33CCCC"/>
          </w:tcPr>
          <w:p>
            <w:pPr>
              <w:jc w:val="right"/>
              <w:ind w:right="159"/>
              <w:spacing w:after="0"/>
              <w:rPr>
                <w:sz w:val="20"/>
                <w:szCs w:val="20"/>
                <w:color w:val="auto"/>
              </w:rPr>
            </w:pPr>
            <w:r>
              <w:rPr>
                <w:rFonts w:ascii="Calibri" w:cs="Calibri" w:eastAsia="Calibri" w:hAnsi="Calibri"/>
                <w:sz w:val="12"/>
                <w:szCs w:val="12"/>
                <w:b w:val="1"/>
                <w:bCs w:val="1"/>
                <w:color w:val="FFFFFF"/>
              </w:rPr>
              <w:t>Sep 24</w:t>
            </w:r>
          </w:p>
        </w:tc>
        <w:tc>
          <w:tcPr>
            <w:tcW w:w="760" w:type="dxa"/>
            <w:vAlign w:val="bottom"/>
            <w:tcBorders>
              <w:bottom w:val="single" w:sz="8" w:color="auto"/>
              <w:right w:val="single" w:sz="8" w:color="auto"/>
            </w:tcBorders>
            <w:shd w:val="clear" w:color="auto" w:fill="33CCCC"/>
          </w:tcPr>
          <w:p>
            <w:pPr>
              <w:jc w:val="right"/>
              <w:ind w:right="159"/>
              <w:spacing w:after="0"/>
              <w:rPr>
                <w:sz w:val="20"/>
                <w:szCs w:val="20"/>
                <w:color w:val="auto"/>
              </w:rPr>
            </w:pPr>
            <w:r>
              <w:rPr>
                <w:rFonts w:ascii="Calibri" w:cs="Calibri" w:eastAsia="Calibri" w:hAnsi="Calibri"/>
                <w:sz w:val="12"/>
                <w:szCs w:val="12"/>
                <w:b w:val="1"/>
                <w:bCs w:val="1"/>
                <w:color w:val="FFFFFF"/>
              </w:rPr>
              <w:t>Dec 24</w:t>
            </w:r>
          </w:p>
        </w:tc>
        <w:tc>
          <w:tcPr>
            <w:tcW w:w="1020" w:type="dxa"/>
            <w:vAlign w:val="bottom"/>
            <w:tcBorders>
              <w:bottom w:val="single" w:sz="8" w:color="auto"/>
            </w:tcBorders>
            <w:gridSpan w:val="2"/>
            <w:shd w:val="clear" w:color="auto" w:fill="33CCCC"/>
          </w:tcPr>
          <w:p>
            <w:pPr>
              <w:ind w:left="280"/>
              <w:spacing w:after="0"/>
              <w:rPr>
                <w:sz w:val="20"/>
                <w:szCs w:val="20"/>
                <w:color w:val="auto"/>
              </w:rPr>
            </w:pPr>
            <w:r>
              <w:rPr>
                <w:rFonts w:ascii="Calibri" w:cs="Calibri" w:eastAsia="Calibri" w:hAnsi="Calibri"/>
                <w:sz w:val="12"/>
                <w:szCs w:val="12"/>
                <w:b w:val="1"/>
                <w:bCs w:val="1"/>
                <w:color w:val="FFFFFF"/>
              </w:rPr>
              <w:t>QoQ</w:t>
            </w:r>
          </w:p>
        </w:tc>
        <w:tc>
          <w:tcPr>
            <w:tcW w:w="560" w:type="dxa"/>
            <w:vAlign w:val="bottom"/>
            <w:tcBorders>
              <w:bottom w:val="single" w:sz="8" w:color="auto"/>
              <w:right w:val="single" w:sz="8" w:color="auto"/>
            </w:tcBorders>
            <w:shd w:val="clear" w:color="auto" w:fill="33CCCC"/>
          </w:tcPr>
          <w:p>
            <w:pPr>
              <w:jc w:val="right"/>
              <w:ind w:right="259"/>
              <w:spacing w:after="0"/>
              <w:rPr>
                <w:sz w:val="20"/>
                <w:szCs w:val="20"/>
                <w:color w:val="auto"/>
              </w:rPr>
            </w:pPr>
            <w:r>
              <w:rPr>
                <w:rFonts w:ascii="Calibri" w:cs="Calibri" w:eastAsia="Calibri" w:hAnsi="Calibri"/>
                <w:sz w:val="12"/>
                <w:szCs w:val="12"/>
                <w:b w:val="1"/>
                <w:bCs w:val="1"/>
                <w:color w:val="FFFFFF"/>
              </w:rPr>
              <w:t>YoY</w:t>
            </w:r>
          </w:p>
        </w:tc>
        <w:tc>
          <w:tcPr>
            <w:tcW w:w="780" w:type="dxa"/>
            <w:vAlign w:val="bottom"/>
            <w:tcBorders>
              <w:bottom w:val="single" w:sz="8" w:color="auto"/>
            </w:tcBorders>
            <w:shd w:val="clear" w:color="auto" w:fill="33CCCC"/>
          </w:tcPr>
          <w:p>
            <w:pPr>
              <w:ind w:left="220"/>
              <w:spacing w:after="0"/>
              <w:rPr>
                <w:sz w:val="20"/>
                <w:szCs w:val="20"/>
                <w:color w:val="auto"/>
              </w:rPr>
            </w:pPr>
            <w:r>
              <w:rPr>
                <w:rFonts w:ascii="Calibri" w:cs="Calibri" w:eastAsia="Calibri" w:hAnsi="Calibri"/>
                <w:sz w:val="12"/>
                <w:szCs w:val="12"/>
                <w:b w:val="1"/>
                <w:bCs w:val="1"/>
                <w:color w:val="FFFFFF"/>
              </w:rPr>
              <w:t>Dec 23</w:t>
            </w:r>
          </w:p>
        </w:tc>
        <w:tc>
          <w:tcPr>
            <w:tcW w:w="76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rPr>
              <w:t>Sep 24</w:t>
            </w:r>
          </w:p>
        </w:tc>
        <w:tc>
          <w:tcPr>
            <w:tcW w:w="780" w:type="dxa"/>
            <w:vAlign w:val="bottom"/>
            <w:tcBorders>
              <w:bottom w:val="single" w:sz="8" w:color="auto"/>
              <w:right w:val="single" w:sz="8" w:color="auto"/>
            </w:tcBorders>
            <w:shd w:val="clear" w:color="auto" w:fill="33CCCC"/>
          </w:tcPr>
          <w:p>
            <w:pPr>
              <w:ind w:left="220"/>
              <w:spacing w:after="0"/>
              <w:rPr>
                <w:sz w:val="20"/>
                <w:szCs w:val="20"/>
                <w:color w:val="auto"/>
              </w:rPr>
            </w:pPr>
            <w:r>
              <w:rPr>
                <w:rFonts w:ascii="Calibri" w:cs="Calibri" w:eastAsia="Calibri" w:hAnsi="Calibri"/>
                <w:sz w:val="12"/>
                <w:szCs w:val="12"/>
                <w:b w:val="1"/>
                <w:bCs w:val="1"/>
                <w:color w:val="FFFFFF"/>
              </w:rPr>
              <w:t>Dec 24</w:t>
            </w:r>
          </w:p>
        </w:tc>
        <w:tc>
          <w:tcPr>
            <w:tcW w:w="540" w:type="dxa"/>
            <w:vAlign w:val="bottom"/>
            <w:tcBorders>
              <w:bottom w:val="single" w:sz="8" w:color="auto"/>
            </w:tcBorders>
            <w:shd w:val="clear" w:color="auto" w:fill="33CCCC"/>
          </w:tcPr>
          <w:p>
            <w:pPr>
              <w:ind w:left="280"/>
              <w:spacing w:after="0"/>
              <w:rPr>
                <w:sz w:val="20"/>
                <w:szCs w:val="20"/>
                <w:color w:val="auto"/>
              </w:rPr>
            </w:pPr>
            <w:r>
              <w:rPr>
                <w:rFonts w:ascii="Calibri" w:cs="Calibri" w:eastAsia="Calibri" w:hAnsi="Calibri"/>
                <w:sz w:val="12"/>
                <w:szCs w:val="12"/>
                <w:b w:val="1"/>
                <w:bCs w:val="1"/>
                <w:color w:val="FFFFFF"/>
              </w:rPr>
              <w:t>QoQ</w:t>
            </w:r>
          </w:p>
        </w:tc>
        <w:tc>
          <w:tcPr>
            <w:tcW w:w="260" w:type="dxa"/>
            <w:vAlign w:val="bottom"/>
            <w:tcBorders>
              <w:bottom w:val="single" w:sz="8" w:color="auto"/>
            </w:tcBorders>
            <w:shd w:val="clear" w:color="auto" w:fill="33CCCC"/>
          </w:tcPr>
          <w:p>
            <w:pPr>
              <w:spacing w:after="0"/>
              <w:rPr>
                <w:sz w:val="13"/>
                <w:szCs w:val="13"/>
                <w:color w:val="auto"/>
              </w:rPr>
            </w:pPr>
          </w:p>
        </w:tc>
        <w:tc>
          <w:tcPr>
            <w:tcW w:w="780" w:type="dxa"/>
            <w:vAlign w:val="bottom"/>
            <w:tcBorders>
              <w:bottom w:val="single" w:sz="8" w:color="auto"/>
              <w:right w:val="single" w:sz="8" w:color="auto"/>
            </w:tcBorders>
            <w:shd w:val="clear" w:color="auto" w:fill="33CCCC"/>
          </w:tcPr>
          <w:p>
            <w:pPr>
              <w:ind w:left="300"/>
              <w:spacing w:after="0"/>
              <w:rPr>
                <w:sz w:val="20"/>
                <w:szCs w:val="20"/>
                <w:color w:val="auto"/>
              </w:rPr>
            </w:pPr>
            <w:r>
              <w:rPr>
                <w:rFonts w:ascii="Calibri" w:cs="Calibri" w:eastAsia="Calibri" w:hAnsi="Calibri"/>
                <w:sz w:val="12"/>
                <w:szCs w:val="12"/>
                <w:b w:val="1"/>
                <w:bCs w:val="1"/>
                <w:color w:val="FFFFFF"/>
              </w:rPr>
              <w:t>YoY</w:t>
            </w:r>
          </w:p>
        </w:tc>
        <w:tc>
          <w:tcPr>
            <w:tcW w:w="580" w:type="dxa"/>
            <w:vAlign w:val="bottom"/>
            <w:tcBorders>
              <w:bottom w:val="single" w:sz="8" w:color="auto"/>
            </w:tcBorders>
            <w:shd w:val="clear" w:color="auto" w:fill="33CCCC"/>
          </w:tcPr>
          <w:p>
            <w:pPr>
              <w:jc w:val="center"/>
              <w:ind w:left="159"/>
              <w:spacing w:after="0"/>
              <w:rPr>
                <w:sz w:val="20"/>
                <w:szCs w:val="20"/>
                <w:color w:val="auto"/>
              </w:rPr>
            </w:pPr>
            <w:r>
              <w:rPr>
                <w:rFonts w:ascii="Calibri" w:cs="Calibri" w:eastAsia="Calibri" w:hAnsi="Calibri"/>
                <w:sz w:val="12"/>
                <w:szCs w:val="12"/>
                <w:b w:val="1"/>
                <w:bCs w:val="1"/>
                <w:color w:val="FFFFFF"/>
              </w:rPr>
              <w:t>LC</w:t>
            </w:r>
          </w:p>
        </w:tc>
        <w:tc>
          <w:tcPr>
            <w:tcW w:w="1000" w:type="dxa"/>
            <w:vAlign w:val="bottom"/>
            <w:tcBorders>
              <w:bottom w:val="single" w:sz="8" w:color="auto"/>
              <w:right w:val="single" w:sz="8" w:color="auto"/>
            </w:tcBorders>
            <w:shd w:val="clear" w:color="auto" w:fill="33CCCC"/>
          </w:tcPr>
          <w:p>
            <w:pPr>
              <w:ind w:left="540"/>
              <w:spacing w:after="0"/>
              <w:rPr>
                <w:sz w:val="20"/>
                <w:szCs w:val="20"/>
                <w:color w:val="auto"/>
              </w:rPr>
            </w:pPr>
            <w:r>
              <w:rPr>
                <w:rFonts w:ascii="Calibri" w:cs="Calibri" w:eastAsia="Calibri" w:hAnsi="Calibri"/>
                <w:sz w:val="12"/>
                <w:szCs w:val="12"/>
                <w:b w:val="1"/>
                <w:bCs w:val="1"/>
                <w:color w:val="FFFFFF"/>
              </w:rPr>
              <w:t>FC</w:t>
            </w:r>
          </w:p>
        </w:tc>
      </w:tr>
      <w:tr>
        <w:trPr>
          <w:trHeight w:val="131"/>
        </w:trPr>
        <w:tc>
          <w:tcPr>
            <w:tcW w:w="18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2"/>
                <w:szCs w:val="12"/>
                <w:b w:val="1"/>
                <w:bCs w:val="1"/>
                <w:color w:val="auto"/>
              </w:rPr>
              <w:t>BCP Stand-alone</w:t>
            </w:r>
          </w:p>
        </w:tc>
        <w:tc>
          <w:tcPr>
            <w:tcW w:w="780" w:type="dxa"/>
            <w:vAlign w:val="bottom"/>
          </w:tcPr>
          <w:p>
            <w:pPr>
              <w:jc w:val="right"/>
              <w:ind w:right="159"/>
              <w:spacing w:after="0" w:line="131" w:lineRule="exact"/>
              <w:rPr>
                <w:sz w:val="20"/>
                <w:szCs w:val="20"/>
                <w:color w:val="auto"/>
              </w:rPr>
            </w:pPr>
            <w:r>
              <w:rPr>
                <w:rFonts w:ascii="Calibri" w:cs="Calibri" w:eastAsia="Calibri" w:hAnsi="Calibri"/>
                <w:sz w:val="12"/>
                <w:szCs w:val="12"/>
                <w:b w:val="1"/>
                <w:bCs w:val="1"/>
                <w:color w:val="auto"/>
              </w:rPr>
              <w:t>79,425</w:t>
            </w:r>
          </w:p>
        </w:tc>
        <w:tc>
          <w:tcPr>
            <w:tcW w:w="760" w:type="dxa"/>
            <w:vAlign w:val="bottom"/>
          </w:tcPr>
          <w:p>
            <w:pPr>
              <w:jc w:val="right"/>
              <w:ind w:right="139"/>
              <w:spacing w:after="0" w:line="131" w:lineRule="exact"/>
              <w:rPr>
                <w:sz w:val="20"/>
                <w:szCs w:val="20"/>
                <w:color w:val="auto"/>
              </w:rPr>
            </w:pPr>
            <w:r>
              <w:rPr>
                <w:rFonts w:ascii="Calibri" w:cs="Calibri" w:eastAsia="Calibri" w:hAnsi="Calibri"/>
                <w:sz w:val="12"/>
                <w:szCs w:val="12"/>
                <w:b w:val="1"/>
                <w:bCs w:val="1"/>
                <w:color w:val="auto"/>
              </w:rPr>
              <w:t>78,619</w:t>
            </w:r>
          </w:p>
        </w:tc>
        <w:tc>
          <w:tcPr>
            <w:tcW w:w="760" w:type="dxa"/>
            <w:vAlign w:val="bottom"/>
            <w:tcBorders>
              <w:right w:val="single" w:sz="8" w:color="auto"/>
            </w:tcBorders>
          </w:tcPr>
          <w:p>
            <w:pPr>
              <w:jc w:val="right"/>
              <w:ind w:right="159"/>
              <w:spacing w:after="0" w:line="131" w:lineRule="exact"/>
              <w:rPr>
                <w:sz w:val="20"/>
                <w:szCs w:val="20"/>
                <w:color w:val="auto"/>
              </w:rPr>
            </w:pPr>
            <w:r>
              <w:rPr>
                <w:rFonts w:ascii="Calibri" w:cs="Calibri" w:eastAsia="Calibri" w:hAnsi="Calibri"/>
                <w:sz w:val="12"/>
                <w:szCs w:val="12"/>
                <w:b w:val="1"/>
                <w:bCs w:val="1"/>
                <w:color w:val="auto"/>
              </w:rPr>
              <w:t>79,735</w:t>
            </w:r>
          </w:p>
        </w:tc>
        <w:tc>
          <w:tcPr>
            <w:tcW w:w="80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auto"/>
                <w:w w:val="99"/>
              </w:rPr>
              <w:t>1.4%</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center"/>
              <w:ind w:right="179"/>
              <w:spacing w:after="0" w:line="131" w:lineRule="exact"/>
              <w:rPr>
                <w:sz w:val="20"/>
                <w:szCs w:val="20"/>
                <w:color w:val="auto"/>
              </w:rPr>
            </w:pPr>
            <w:r>
              <w:rPr>
                <w:rFonts w:ascii="Calibri" w:cs="Calibri" w:eastAsia="Calibri" w:hAnsi="Calibri"/>
                <w:sz w:val="12"/>
                <w:szCs w:val="12"/>
                <w:b w:val="1"/>
                <w:bCs w:val="1"/>
                <w:color w:val="auto"/>
                <w:w w:val="99"/>
              </w:rPr>
              <w:t>0.4%</w:t>
            </w:r>
          </w:p>
        </w:tc>
        <w:tc>
          <w:tcPr>
            <w:tcW w:w="78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auto"/>
              </w:rPr>
              <w:t>9,728</w:t>
            </w:r>
          </w:p>
        </w:tc>
        <w:tc>
          <w:tcPr>
            <w:tcW w:w="760" w:type="dxa"/>
            <w:vAlign w:val="bottom"/>
          </w:tcPr>
          <w:p>
            <w:pPr>
              <w:jc w:val="center"/>
              <w:spacing w:after="0" w:line="131" w:lineRule="exact"/>
              <w:rPr>
                <w:sz w:val="20"/>
                <w:szCs w:val="20"/>
                <w:color w:val="auto"/>
              </w:rPr>
            </w:pPr>
            <w:r>
              <w:rPr>
                <w:rFonts w:ascii="Calibri" w:cs="Calibri" w:eastAsia="Calibri" w:hAnsi="Calibri"/>
                <w:sz w:val="12"/>
                <w:szCs w:val="12"/>
                <w:b w:val="1"/>
                <w:bCs w:val="1"/>
                <w:color w:val="auto"/>
              </w:rPr>
              <w:t>9,924</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2"/>
                <w:szCs w:val="12"/>
                <w:b w:val="1"/>
                <w:bCs w:val="1"/>
                <w:color w:val="auto"/>
              </w:rPr>
              <w:t>9,818</w:t>
            </w:r>
          </w:p>
        </w:tc>
        <w:tc>
          <w:tcPr>
            <w:tcW w:w="540" w:type="dxa"/>
            <w:vAlign w:val="bottom"/>
          </w:tcPr>
          <w:p>
            <w:pPr>
              <w:jc w:val="center"/>
              <w:ind w:left="199"/>
              <w:spacing w:after="0" w:line="131" w:lineRule="exact"/>
              <w:rPr>
                <w:sz w:val="20"/>
                <w:szCs w:val="20"/>
                <w:color w:val="auto"/>
              </w:rPr>
            </w:pPr>
            <w:r>
              <w:rPr>
                <w:rFonts w:ascii="Calibri" w:cs="Calibri" w:eastAsia="Calibri" w:hAnsi="Calibri"/>
                <w:sz w:val="12"/>
                <w:szCs w:val="12"/>
                <w:b w:val="1"/>
                <w:bCs w:val="1"/>
                <w:color w:val="auto"/>
              </w:rPr>
              <w:t>-1.1%</w:t>
            </w:r>
          </w:p>
        </w:tc>
        <w:tc>
          <w:tcPr>
            <w:tcW w:w="1040" w:type="dxa"/>
            <w:vAlign w:val="bottom"/>
            <w:tcBorders>
              <w:right w:val="single" w:sz="8" w:color="auto"/>
            </w:tcBorders>
            <w:gridSpan w:val="2"/>
          </w:tcPr>
          <w:p>
            <w:pPr>
              <w:jc w:val="center"/>
              <w:ind w:left="179"/>
              <w:spacing w:after="0" w:line="131" w:lineRule="exact"/>
              <w:rPr>
                <w:sz w:val="20"/>
                <w:szCs w:val="20"/>
                <w:color w:val="auto"/>
              </w:rPr>
            </w:pPr>
            <w:r>
              <w:rPr>
                <w:rFonts w:ascii="Calibri" w:cs="Calibri" w:eastAsia="Calibri" w:hAnsi="Calibri"/>
                <w:sz w:val="12"/>
                <w:szCs w:val="12"/>
                <w:b w:val="1"/>
                <w:bCs w:val="1"/>
                <w:color w:val="auto"/>
                <w:w w:val="99"/>
              </w:rPr>
              <w:t>0.9%</w:t>
            </w:r>
          </w:p>
        </w:tc>
        <w:tc>
          <w:tcPr>
            <w:tcW w:w="580" w:type="dxa"/>
            <w:vAlign w:val="bottom"/>
          </w:tcPr>
          <w:p>
            <w:pPr>
              <w:jc w:val="center"/>
              <w:ind w:left="159"/>
              <w:spacing w:after="0" w:line="131" w:lineRule="exact"/>
              <w:rPr>
                <w:sz w:val="20"/>
                <w:szCs w:val="20"/>
                <w:color w:val="auto"/>
              </w:rPr>
            </w:pPr>
            <w:r>
              <w:rPr>
                <w:rFonts w:ascii="Calibri" w:cs="Calibri" w:eastAsia="Calibri" w:hAnsi="Calibri"/>
                <w:sz w:val="12"/>
                <w:szCs w:val="12"/>
                <w:b w:val="1"/>
                <w:bCs w:val="1"/>
                <w:color w:val="auto"/>
              </w:rPr>
              <w:t>68.4%</w:t>
            </w:r>
          </w:p>
        </w:tc>
        <w:tc>
          <w:tcPr>
            <w:tcW w:w="1000" w:type="dxa"/>
            <w:vAlign w:val="bottom"/>
            <w:tcBorders>
              <w:right w:val="single" w:sz="8" w:color="auto"/>
            </w:tcBorders>
          </w:tcPr>
          <w:p>
            <w:pPr>
              <w:jc w:val="center"/>
              <w:ind w:left="139"/>
              <w:spacing w:after="0" w:line="131" w:lineRule="exact"/>
              <w:rPr>
                <w:sz w:val="20"/>
                <w:szCs w:val="20"/>
                <w:color w:val="auto"/>
              </w:rPr>
            </w:pPr>
            <w:r>
              <w:rPr>
                <w:rFonts w:ascii="Calibri" w:cs="Calibri" w:eastAsia="Calibri" w:hAnsi="Calibri"/>
                <w:sz w:val="12"/>
                <w:szCs w:val="12"/>
                <w:b w:val="1"/>
                <w:bCs w:val="1"/>
                <w:color w:val="auto"/>
              </w:rPr>
              <w:t>31.6%</w:t>
            </w:r>
          </w:p>
        </w:tc>
      </w:tr>
      <w:tr>
        <w:trPr>
          <w:trHeight w:val="146"/>
        </w:trPr>
        <w:tc>
          <w:tcPr>
            <w:tcW w:w="1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Wholesale Banking</w:t>
            </w:r>
          </w:p>
        </w:tc>
        <w:tc>
          <w:tcPr>
            <w:tcW w:w="780" w:type="dxa"/>
            <w:vAlign w:val="bottom"/>
          </w:tcPr>
          <w:p>
            <w:pPr>
              <w:jc w:val="right"/>
              <w:ind w:right="159"/>
              <w:spacing w:after="0"/>
              <w:rPr>
                <w:sz w:val="20"/>
                <w:szCs w:val="20"/>
                <w:color w:val="auto"/>
              </w:rPr>
            </w:pPr>
            <w:r>
              <w:rPr>
                <w:rFonts w:ascii="Calibri" w:cs="Calibri" w:eastAsia="Calibri" w:hAnsi="Calibri"/>
                <w:sz w:val="12"/>
                <w:szCs w:val="12"/>
                <w:b w:val="1"/>
                <w:bCs w:val="1"/>
                <w:color w:val="auto"/>
              </w:rPr>
              <w:t>23,454</w:t>
            </w:r>
          </w:p>
        </w:tc>
        <w:tc>
          <w:tcPr>
            <w:tcW w:w="760" w:type="dxa"/>
            <w:vAlign w:val="bottom"/>
          </w:tcPr>
          <w:p>
            <w:pPr>
              <w:jc w:val="right"/>
              <w:ind w:right="139"/>
              <w:spacing w:after="0"/>
              <w:rPr>
                <w:sz w:val="20"/>
                <w:szCs w:val="20"/>
                <w:color w:val="auto"/>
              </w:rPr>
            </w:pPr>
            <w:r>
              <w:rPr>
                <w:rFonts w:ascii="Calibri" w:cs="Calibri" w:eastAsia="Calibri" w:hAnsi="Calibri"/>
                <w:sz w:val="12"/>
                <w:szCs w:val="12"/>
                <w:b w:val="1"/>
                <w:bCs w:val="1"/>
                <w:color w:val="auto"/>
              </w:rPr>
              <w:t>22,748</w:t>
            </w:r>
          </w:p>
        </w:tc>
        <w:tc>
          <w:tcPr>
            <w:tcW w:w="760" w:type="dxa"/>
            <w:vAlign w:val="bottom"/>
            <w:tcBorders>
              <w:right w:val="single" w:sz="8" w:color="auto"/>
            </w:tcBorders>
          </w:tcPr>
          <w:p>
            <w:pPr>
              <w:jc w:val="right"/>
              <w:ind w:right="159"/>
              <w:spacing w:after="0"/>
              <w:rPr>
                <w:sz w:val="20"/>
                <w:szCs w:val="20"/>
                <w:color w:val="auto"/>
              </w:rPr>
            </w:pPr>
            <w:r>
              <w:rPr>
                <w:rFonts w:ascii="Calibri" w:cs="Calibri" w:eastAsia="Calibri" w:hAnsi="Calibri"/>
                <w:sz w:val="12"/>
                <w:szCs w:val="12"/>
                <w:b w:val="1"/>
                <w:bCs w:val="1"/>
                <w:color w:val="auto"/>
              </w:rPr>
              <w:t>23,500</w:t>
            </w:r>
          </w:p>
        </w:tc>
        <w:tc>
          <w:tcPr>
            <w:tcW w:w="800" w:type="dxa"/>
            <w:vAlign w:val="bottom"/>
          </w:tcPr>
          <w:p>
            <w:pPr>
              <w:jc w:val="center"/>
              <w:spacing w:after="0"/>
              <w:rPr>
                <w:sz w:val="20"/>
                <w:szCs w:val="20"/>
                <w:color w:val="auto"/>
              </w:rPr>
            </w:pPr>
            <w:r>
              <w:rPr>
                <w:rFonts w:ascii="Calibri" w:cs="Calibri" w:eastAsia="Calibri" w:hAnsi="Calibri"/>
                <w:sz w:val="12"/>
                <w:szCs w:val="12"/>
                <w:b w:val="1"/>
                <w:bCs w:val="1"/>
                <w:color w:val="auto"/>
                <w:w w:val="99"/>
              </w:rPr>
              <w:t>3.3%</w:t>
            </w:r>
          </w:p>
        </w:tc>
        <w:tc>
          <w:tcPr>
            <w:tcW w:w="220" w:type="dxa"/>
            <w:vAlign w:val="bottom"/>
          </w:tcPr>
          <w:p>
            <w:pPr>
              <w:spacing w:after="0"/>
              <w:rPr>
                <w:sz w:val="12"/>
                <w:szCs w:val="12"/>
                <w:color w:val="auto"/>
              </w:rPr>
            </w:pPr>
          </w:p>
        </w:tc>
        <w:tc>
          <w:tcPr>
            <w:tcW w:w="560" w:type="dxa"/>
            <w:vAlign w:val="bottom"/>
            <w:tcBorders>
              <w:right w:val="single" w:sz="8" w:color="auto"/>
            </w:tcBorders>
          </w:tcPr>
          <w:p>
            <w:pPr>
              <w:jc w:val="center"/>
              <w:ind w:right="179"/>
              <w:spacing w:after="0"/>
              <w:rPr>
                <w:sz w:val="20"/>
                <w:szCs w:val="20"/>
                <w:color w:val="auto"/>
              </w:rPr>
            </w:pPr>
            <w:r>
              <w:rPr>
                <w:rFonts w:ascii="Calibri" w:cs="Calibri" w:eastAsia="Calibri" w:hAnsi="Calibri"/>
                <w:sz w:val="12"/>
                <w:szCs w:val="12"/>
                <w:b w:val="1"/>
                <w:bCs w:val="1"/>
                <w:color w:val="auto"/>
                <w:w w:val="99"/>
              </w:rPr>
              <w:t>0.2%</w:t>
            </w:r>
          </w:p>
        </w:tc>
        <w:tc>
          <w:tcPr>
            <w:tcW w:w="780" w:type="dxa"/>
            <w:vAlign w:val="bottom"/>
          </w:tcPr>
          <w:p>
            <w:pPr>
              <w:jc w:val="center"/>
              <w:spacing w:after="0"/>
              <w:rPr>
                <w:sz w:val="20"/>
                <w:szCs w:val="20"/>
                <w:color w:val="auto"/>
              </w:rPr>
            </w:pPr>
            <w:r>
              <w:rPr>
                <w:rFonts w:ascii="Calibri" w:cs="Calibri" w:eastAsia="Calibri" w:hAnsi="Calibri"/>
                <w:sz w:val="12"/>
                <w:szCs w:val="12"/>
                <w:b w:val="1"/>
                <w:bCs w:val="1"/>
                <w:color w:val="auto"/>
              </w:rPr>
              <w:t>7,717</w:t>
            </w:r>
          </w:p>
        </w:tc>
        <w:tc>
          <w:tcPr>
            <w:tcW w:w="760" w:type="dxa"/>
            <w:vAlign w:val="bottom"/>
          </w:tcPr>
          <w:p>
            <w:pPr>
              <w:jc w:val="center"/>
              <w:spacing w:after="0"/>
              <w:rPr>
                <w:sz w:val="20"/>
                <w:szCs w:val="20"/>
                <w:color w:val="auto"/>
              </w:rPr>
            </w:pPr>
            <w:r>
              <w:rPr>
                <w:rFonts w:ascii="Calibri" w:cs="Calibri" w:eastAsia="Calibri" w:hAnsi="Calibri"/>
                <w:sz w:val="12"/>
                <w:szCs w:val="12"/>
                <w:b w:val="1"/>
                <w:bCs w:val="1"/>
                <w:color w:val="auto"/>
              </w:rPr>
              <w:t>7,925</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7,763</w:t>
            </w:r>
          </w:p>
        </w:tc>
        <w:tc>
          <w:tcPr>
            <w:tcW w:w="54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-2.0%</w:t>
            </w:r>
          </w:p>
        </w:tc>
        <w:tc>
          <w:tcPr>
            <w:tcW w:w="1040" w:type="dxa"/>
            <w:vAlign w:val="bottom"/>
            <w:tcBorders>
              <w:right w:val="single" w:sz="8" w:color="auto"/>
            </w:tcBorders>
            <w:gridSpan w:val="2"/>
          </w:tcPr>
          <w:p>
            <w:pPr>
              <w:jc w:val="center"/>
              <w:ind w:left="179"/>
              <w:spacing w:after="0"/>
              <w:rPr>
                <w:sz w:val="20"/>
                <w:szCs w:val="20"/>
                <w:color w:val="auto"/>
              </w:rPr>
            </w:pPr>
            <w:r>
              <w:rPr>
                <w:rFonts w:ascii="Calibri" w:cs="Calibri" w:eastAsia="Calibri" w:hAnsi="Calibri"/>
                <w:sz w:val="12"/>
                <w:szCs w:val="12"/>
                <w:b w:val="1"/>
                <w:bCs w:val="1"/>
                <w:color w:val="auto"/>
                <w:w w:val="99"/>
              </w:rPr>
              <w:t>0.6%</w:t>
            </w:r>
          </w:p>
        </w:tc>
        <w:tc>
          <w:tcPr>
            <w:tcW w:w="580" w:type="dxa"/>
            <w:vAlign w:val="bottom"/>
          </w:tcPr>
          <w:p>
            <w:pPr>
              <w:jc w:val="center"/>
              <w:ind w:left="159"/>
              <w:spacing w:after="0"/>
              <w:rPr>
                <w:sz w:val="20"/>
                <w:szCs w:val="20"/>
                <w:color w:val="auto"/>
              </w:rPr>
            </w:pPr>
            <w:r>
              <w:rPr>
                <w:rFonts w:ascii="Calibri" w:cs="Calibri" w:eastAsia="Calibri" w:hAnsi="Calibri"/>
                <w:sz w:val="12"/>
                <w:szCs w:val="12"/>
                <w:b w:val="1"/>
                <w:bCs w:val="1"/>
                <w:color w:val="auto"/>
              </w:rPr>
              <w:t>44.6%</w:t>
            </w:r>
          </w:p>
        </w:tc>
        <w:tc>
          <w:tcPr>
            <w:tcW w:w="1000" w:type="dxa"/>
            <w:vAlign w:val="bottom"/>
            <w:tcBorders>
              <w:right w:val="single" w:sz="8" w:color="auto"/>
            </w:tcBorders>
          </w:tcPr>
          <w:p>
            <w:pPr>
              <w:jc w:val="center"/>
              <w:ind w:left="139"/>
              <w:spacing w:after="0"/>
              <w:rPr>
                <w:sz w:val="20"/>
                <w:szCs w:val="20"/>
                <w:color w:val="auto"/>
              </w:rPr>
            </w:pPr>
            <w:r>
              <w:rPr>
                <w:rFonts w:ascii="Calibri" w:cs="Calibri" w:eastAsia="Calibri" w:hAnsi="Calibri"/>
                <w:sz w:val="12"/>
                <w:szCs w:val="12"/>
                <w:b w:val="1"/>
                <w:bCs w:val="1"/>
                <w:color w:val="auto"/>
              </w:rPr>
              <w:t>55.4%</w:t>
            </w:r>
          </w:p>
        </w:tc>
      </w:tr>
      <w:tr>
        <w:trPr>
          <w:trHeight w:val="154"/>
        </w:trPr>
        <w:tc>
          <w:tcPr>
            <w:tcW w:w="1880" w:type="dxa"/>
            <w:vAlign w:val="bottom"/>
            <w:tcBorders>
              <w:left w:val="single" w:sz="8" w:color="auto"/>
              <w:right w:val="single" w:sz="8" w:color="auto"/>
            </w:tcBorders>
          </w:tcPr>
          <w:p>
            <w:pPr>
              <w:ind w:left="100"/>
              <w:spacing w:after="0"/>
              <w:rPr>
                <w:sz w:val="20"/>
                <w:szCs w:val="20"/>
                <w:color w:val="auto"/>
              </w:rPr>
            </w:pPr>
            <w:r>
              <w:rPr>
                <w:rFonts w:ascii="Calibri" w:cs="Calibri" w:eastAsia="Calibri" w:hAnsi="Calibri"/>
                <w:sz w:val="12"/>
                <w:szCs w:val="12"/>
                <w:color w:val="auto"/>
              </w:rPr>
              <w:t>Corporate</w:t>
            </w:r>
          </w:p>
        </w:tc>
        <w:tc>
          <w:tcPr>
            <w:tcW w:w="780" w:type="dxa"/>
            <w:vAlign w:val="bottom"/>
          </w:tcPr>
          <w:p>
            <w:pPr>
              <w:jc w:val="right"/>
              <w:ind w:right="159"/>
              <w:spacing w:after="0"/>
              <w:rPr>
                <w:sz w:val="20"/>
                <w:szCs w:val="20"/>
                <w:color w:val="auto"/>
              </w:rPr>
            </w:pPr>
            <w:r>
              <w:rPr>
                <w:rFonts w:ascii="Calibri" w:cs="Calibri" w:eastAsia="Calibri" w:hAnsi="Calibri"/>
                <w:sz w:val="12"/>
                <w:szCs w:val="12"/>
                <w:color w:val="auto"/>
              </w:rPr>
              <w:t>14,017</w:t>
            </w:r>
          </w:p>
        </w:tc>
        <w:tc>
          <w:tcPr>
            <w:tcW w:w="760" w:type="dxa"/>
            <w:vAlign w:val="bottom"/>
          </w:tcPr>
          <w:p>
            <w:pPr>
              <w:jc w:val="right"/>
              <w:ind w:right="139"/>
              <w:spacing w:after="0"/>
              <w:rPr>
                <w:sz w:val="20"/>
                <w:szCs w:val="20"/>
                <w:color w:val="auto"/>
              </w:rPr>
            </w:pPr>
            <w:r>
              <w:rPr>
                <w:rFonts w:ascii="Calibri" w:cs="Calibri" w:eastAsia="Calibri" w:hAnsi="Calibri"/>
                <w:sz w:val="12"/>
                <w:szCs w:val="12"/>
                <w:color w:val="auto"/>
              </w:rPr>
              <w:t>13,916</w:t>
            </w:r>
          </w:p>
        </w:tc>
        <w:tc>
          <w:tcPr>
            <w:tcW w:w="760" w:type="dxa"/>
            <w:vAlign w:val="bottom"/>
            <w:tcBorders>
              <w:right w:val="single" w:sz="8" w:color="auto"/>
            </w:tcBorders>
          </w:tcPr>
          <w:p>
            <w:pPr>
              <w:jc w:val="right"/>
              <w:ind w:right="159"/>
              <w:spacing w:after="0"/>
              <w:rPr>
                <w:sz w:val="20"/>
                <w:szCs w:val="20"/>
                <w:color w:val="auto"/>
              </w:rPr>
            </w:pPr>
            <w:r>
              <w:rPr>
                <w:rFonts w:ascii="Calibri" w:cs="Calibri" w:eastAsia="Calibri" w:hAnsi="Calibri"/>
                <w:sz w:val="12"/>
                <w:szCs w:val="12"/>
                <w:color w:val="auto"/>
              </w:rPr>
              <w:t>14,540</w:t>
            </w:r>
          </w:p>
        </w:tc>
        <w:tc>
          <w:tcPr>
            <w:tcW w:w="800" w:type="dxa"/>
            <w:vAlign w:val="bottom"/>
            <w:shd w:val="clear" w:color="auto" w:fill="33CCCC"/>
          </w:tcPr>
          <w:p>
            <w:pPr>
              <w:jc w:val="center"/>
              <w:spacing w:after="0"/>
              <w:rPr>
                <w:sz w:val="20"/>
                <w:szCs w:val="20"/>
                <w:color w:val="auto"/>
              </w:rPr>
            </w:pPr>
            <w:r>
              <w:rPr>
                <w:rFonts w:ascii="Calibri" w:cs="Calibri" w:eastAsia="Calibri" w:hAnsi="Calibri"/>
                <w:sz w:val="12"/>
                <w:szCs w:val="12"/>
                <w:color w:val="auto"/>
              </w:rPr>
              <w:t>4.5%</w:t>
            </w:r>
          </w:p>
        </w:tc>
        <w:tc>
          <w:tcPr>
            <w:tcW w:w="220" w:type="dxa"/>
            <w:vAlign w:val="bottom"/>
          </w:tcPr>
          <w:p>
            <w:pPr>
              <w:spacing w:after="0"/>
              <w:rPr>
                <w:sz w:val="13"/>
                <w:szCs w:val="13"/>
                <w:color w:val="auto"/>
              </w:rPr>
            </w:pPr>
          </w:p>
        </w:tc>
        <w:tc>
          <w:tcPr>
            <w:tcW w:w="560" w:type="dxa"/>
            <w:vAlign w:val="bottom"/>
            <w:tcBorders>
              <w:right w:val="single" w:sz="8" w:color="auto"/>
            </w:tcBorders>
          </w:tcPr>
          <w:p>
            <w:pPr>
              <w:jc w:val="center"/>
              <w:ind w:right="179"/>
              <w:spacing w:after="0"/>
              <w:rPr>
                <w:sz w:val="20"/>
                <w:szCs w:val="20"/>
                <w:color w:val="auto"/>
              </w:rPr>
            </w:pPr>
            <w:r>
              <w:rPr>
                <w:rFonts w:ascii="Calibri" w:cs="Calibri" w:eastAsia="Calibri" w:hAnsi="Calibri"/>
                <w:sz w:val="12"/>
                <w:szCs w:val="12"/>
                <w:color w:val="auto"/>
              </w:rPr>
              <w:t>3.7%</w:t>
            </w:r>
          </w:p>
        </w:tc>
        <w:tc>
          <w:tcPr>
            <w:tcW w:w="780" w:type="dxa"/>
            <w:vAlign w:val="bottom"/>
          </w:tcPr>
          <w:p>
            <w:pPr>
              <w:jc w:val="center"/>
              <w:spacing w:after="0"/>
              <w:rPr>
                <w:sz w:val="20"/>
                <w:szCs w:val="20"/>
                <w:color w:val="auto"/>
              </w:rPr>
            </w:pPr>
            <w:r>
              <w:rPr>
                <w:rFonts w:ascii="Calibri" w:cs="Calibri" w:eastAsia="Calibri" w:hAnsi="Calibri"/>
                <w:sz w:val="12"/>
                <w:szCs w:val="12"/>
                <w:color w:val="auto"/>
              </w:rPr>
              <w:t>4,398</w:t>
            </w:r>
          </w:p>
        </w:tc>
        <w:tc>
          <w:tcPr>
            <w:tcW w:w="760" w:type="dxa"/>
            <w:vAlign w:val="bottom"/>
          </w:tcPr>
          <w:p>
            <w:pPr>
              <w:jc w:val="center"/>
              <w:spacing w:after="0"/>
              <w:rPr>
                <w:sz w:val="20"/>
                <w:szCs w:val="20"/>
                <w:color w:val="auto"/>
              </w:rPr>
            </w:pPr>
            <w:r>
              <w:rPr>
                <w:rFonts w:ascii="Calibri" w:cs="Calibri" w:eastAsia="Calibri" w:hAnsi="Calibri"/>
                <w:sz w:val="12"/>
                <w:szCs w:val="12"/>
                <w:color w:val="auto"/>
              </w:rPr>
              <w:t>4,618</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4"/>
              </w:rPr>
              <w:t>4,638</w:t>
            </w:r>
          </w:p>
        </w:tc>
        <w:tc>
          <w:tcPr>
            <w:tcW w:w="540" w:type="dxa"/>
            <w:vAlign w:val="bottom"/>
          </w:tcPr>
          <w:p>
            <w:pPr>
              <w:jc w:val="center"/>
              <w:ind w:left="199"/>
              <w:spacing w:after="0"/>
              <w:rPr>
                <w:sz w:val="20"/>
                <w:szCs w:val="20"/>
                <w:color w:val="auto"/>
              </w:rPr>
            </w:pPr>
            <w:r>
              <w:rPr>
                <w:rFonts w:ascii="Calibri" w:cs="Calibri" w:eastAsia="Calibri" w:hAnsi="Calibri"/>
                <w:sz w:val="12"/>
                <w:szCs w:val="12"/>
                <w:color w:val="auto"/>
              </w:rPr>
              <w:t>0.4%</w:t>
            </w:r>
          </w:p>
        </w:tc>
        <w:tc>
          <w:tcPr>
            <w:tcW w:w="260" w:type="dxa"/>
            <w:vAlign w:val="bottom"/>
          </w:tcPr>
          <w:p>
            <w:pPr>
              <w:spacing w:after="0"/>
              <w:rPr>
                <w:sz w:val="13"/>
                <w:szCs w:val="13"/>
                <w:color w:val="auto"/>
              </w:rPr>
            </w:pPr>
          </w:p>
        </w:tc>
        <w:tc>
          <w:tcPr>
            <w:tcW w:w="780" w:type="dxa"/>
            <w:vAlign w:val="bottom"/>
            <w:tcBorders>
              <w:right w:val="single" w:sz="8" w:color="auto"/>
            </w:tcBorders>
            <w:shd w:val="clear" w:color="auto" w:fill="33CCCC"/>
          </w:tcPr>
          <w:p>
            <w:pPr>
              <w:jc w:val="center"/>
              <w:spacing w:after="0"/>
              <w:rPr>
                <w:sz w:val="20"/>
                <w:szCs w:val="20"/>
                <w:color w:val="auto"/>
              </w:rPr>
            </w:pPr>
            <w:r>
              <w:rPr>
                <w:rFonts w:ascii="Calibri" w:cs="Calibri" w:eastAsia="Calibri" w:hAnsi="Calibri"/>
                <w:sz w:val="12"/>
                <w:szCs w:val="12"/>
                <w:color w:val="auto"/>
              </w:rPr>
              <w:t>5.4%</w:t>
            </w:r>
          </w:p>
        </w:tc>
        <w:tc>
          <w:tcPr>
            <w:tcW w:w="580" w:type="dxa"/>
            <w:vAlign w:val="bottom"/>
          </w:tcPr>
          <w:p>
            <w:pPr>
              <w:jc w:val="center"/>
              <w:ind w:left="139"/>
              <w:spacing w:after="0"/>
              <w:rPr>
                <w:sz w:val="20"/>
                <w:szCs w:val="20"/>
                <w:color w:val="auto"/>
              </w:rPr>
            </w:pPr>
            <w:r>
              <w:rPr>
                <w:rFonts w:ascii="Calibri" w:cs="Calibri" w:eastAsia="Calibri" w:hAnsi="Calibri"/>
                <w:sz w:val="12"/>
                <w:szCs w:val="12"/>
                <w:color w:val="auto"/>
              </w:rPr>
              <w:t>45.5%</w:t>
            </w:r>
          </w:p>
        </w:tc>
        <w:tc>
          <w:tcPr>
            <w:tcW w:w="1000" w:type="dxa"/>
            <w:vAlign w:val="bottom"/>
            <w:tcBorders>
              <w:right w:val="single" w:sz="8" w:color="auto"/>
            </w:tcBorders>
          </w:tcPr>
          <w:p>
            <w:pPr>
              <w:jc w:val="center"/>
              <w:ind w:left="159"/>
              <w:spacing w:after="0"/>
              <w:rPr>
                <w:sz w:val="20"/>
                <w:szCs w:val="20"/>
                <w:color w:val="auto"/>
              </w:rPr>
            </w:pPr>
            <w:r>
              <w:rPr>
                <w:rFonts w:ascii="Calibri" w:cs="Calibri" w:eastAsia="Calibri" w:hAnsi="Calibri"/>
                <w:sz w:val="12"/>
                <w:szCs w:val="12"/>
                <w:color w:val="auto"/>
              </w:rPr>
              <w:t>54.5%</w:t>
            </w:r>
          </w:p>
        </w:tc>
      </w:tr>
      <w:tr>
        <w:trPr>
          <w:trHeight w:val="144"/>
        </w:trPr>
        <w:tc>
          <w:tcPr>
            <w:tcW w:w="1880" w:type="dxa"/>
            <w:vAlign w:val="bottom"/>
            <w:tcBorders>
              <w:left w:val="single" w:sz="8" w:color="auto"/>
              <w:right w:val="single" w:sz="8" w:color="auto"/>
            </w:tcBorders>
          </w:tcPr>
          <w:p>
            <w:pPr>
              <w:ind w:left="100"/>
              <w:spacing w:after="0" w:line="145" w:lineRule="exact"/>
              <w:rPr>
                <w:sz w:val="20"/>
                <w:szCs w:val="20"/>
                <w:color w:val="auto"/>
              </w:rPr>
            </w:pPr>
            <w:r>
              <w:rPr>
                <w:rFonts w:ascii="Calibri" w:cs="Calibri" w:eastAsia="Calibri" w:hAnsi="Calibri"/>
                <w:sz w:val="12"/>
                <w:szCs w:val="12"/>
                <w:color w:val="auto"/>
              </w:rPr>
              <w:t>Middle-Market</w:t>
            </w:r>
          </w:p>
        </w:tc>
        <w:tc>
          <w:tcPr>
            <w:tcW w:w="780" w:type="dxa"/>
            <w:vAlign w:val="bottom"/>
          </w:tcPr>
          <w:p>
            <w:pPr>
              <w:jc w:val="right"/>
              <w:ind w:right="179"/>
              <w:spacing w:after="0" w:line="145" w:lineRule="exact"/>
              <w:rPr>
                <w:sz w:val="20"/>
                <w:szCs w:val="20"/>
                <w:color w:val="auto"/>
              </w:rPr>
            </w:pPr>
            <w:r>
              <w:rPr>
                <w:rFonts w:ascii="Calibri" w:cs="Calibri" w:eastAsia="Calibri" w:hAnsi="Calibri"/>
                <w:sz w:val="12"/>
                <w:szCs w:val="12"/>
                <w:color w:val="auto"/>
              </w:rPr>
              <w:t>9,436</w:t>
            </w:r>
          </w:p>
        </w:tc>
        <w:tc>
          <w:tcPr>
            <w:tcW w:w="760" w:type="dxa"/>
            <w:vAlign w:val="bottom"/>
          </w:tcPr>
          <w:p>
            <w:pPr>
              <w:ind w:left="240"/>
              <w:spacing w:after="0" w:line="145" w:lineRule="exact"/>
              <w:rPr>
                <w:sz w:val="20"/>
                <w:szCs w:val="20"/>
                <w:color w:val="auto"/>
              </w:rPr>
            </w:pPr>
            <w:r>
              <w:rPr>
                <w:rFonts w:ascii="Calibri" w:cs="Calibri" w:eastAsia="Calibri" w:hAnsi="Calibri"/>
                <w:sz w:val="12"/>
                <w:szCs w:val="12"/>
                <w:color w:val="auto"/>
              </w:rPr>
              <w:t>8,833</w:t>
            </w:r>
          </w:p>
        </w:tc>
        <w:tc>
          <w:tcPr>
            <w:tcW w:w="760" w:type="dxa"/>
            <w:vAlign w:val="bottom"/>
            <w:tcBorders>
              <w:right w:val="single" w:sz="8" w:color="auto"/>
            </w:tcBorders>
          </w:tcPr>
          <w:p>
            <w:pPr>
              <w:jc w:val="right"/>
              <w:ind w:right="199"/>
              <w:spacing w:after="0" w:line="145" w:lineRule="exact"/>
              <w:rPr>
                <w:sz w:val="20"/>
                <w:szCs w:val="20"/>
                <w:color w:val="auto"/>
              </w:rPr>
            </w:pPr>
            <w:r>
              <w:rPr>
                <w:rFonts w:ascii="Calibri" w:cs="Calibri" w:eastAsia="Calibri" w:hAnsi="Calibri"/>
                <w:sz w:val="12"/>
                <w:szCs w:val="12"/>
                <w:color w:val="auto"/>
              </w:rPr>
              <w:t>8,960</w:t>
            </w:r>
          </w:p>
        </w:tc>
        <w:tc>
          <w:tcPr>
            <w:tcW w:w="800" w:type="dxa"/>
            <w:vAlign w:val="bottom"/>
            <w:shd w:val="clear" w:color="auto" w:fill="33CCCC"/>
          </w:tcPr>
          <w:p>
            <w:pPr>
              <w:jc w:val="center"/>
              <w:spacing w:after="0" w:line="145" w:lineRule="exact"/>
              <w:rPr>
                <w:sz w:val="20"/>
                <w:szCs w:val="20"/>
                <w:color w:val="auto"/>
              </w:rPr>
            </w:pPr>
            <w:r>
              <w:rPr>
                <w:rFonts w:ascii="Calibri" w:cs="Calibri" w:eastAsia="Calibri" w:hAnsi="Calibri"/>
                <w:sz w:val="12"/>
                <w:szCs w:val="12"/>
                <w:color w:val="auto"/>
              </w:rPr>
              <w:t>1.4%</w:t>
            </w:r>
          </w:p>
        </w:tc>
        <w:tc>
          <w:tcPr>
            <w:tcW w:w="220" w:type="dxa"/>
            <w:vAlign w:val="bottom"/>
            <w:shd w:val="clear" w:color="auto" w:fill="FF00FF"/>
          </w:tcPr>
          <w:p>
            <w:pPr>
              <w:spacing w:after="0"/>
              <w:rPr>
                <w:sz w:val="12"/>
                <w:szCs w:val="12"/>
                <w:color w:val="auto"/>
              </w:rPr>
            </w:pPr>
          </w:p>
        </w:tc>
        <w:tc>
          <w:tcPr>
            <w:tcW w:w="560" w:type="dxa"/>
            <w:vAlign w:val="bottom"/>
            <w:tcBorders>
              <w:right w:val="single" w:sz="8" w:color="auto"/>
            </w:tcBorders>
            <w:shd w:val="clear" w:color="auto" w:fill="FF00FF"/>
          </w:tcPr>
          <w:p>
            <w:pPr>
              <w:jc w:val="center"/>
              <w:ind w:right="179"/>
              <w:spacing w:after="0" w:line="145" w:lineRule="exact"/>
              <w:rPr>
                <w:sz w:val="20"/>
                <w:szCs w:val="20"/>
                <w:color w:val="auto"/>
              </w:rPr>
            </w:pPr>
            <w:r>
              <w:rPr>
                <w:rFonts w:ascii="Calibri" w:cs="Calibri" w:eastAsia="Calibri" w:hAnsi="Calibri"/>
                <w:sz w:val="12"/>
                <w:szCs w:val="12"/>
                <w:color w:val="auto"/>
              </w:rPr>
              <w:t>-5.0%</w:t>
            </w:r>
          </w:p>
        </w:tc>
        <w:tc>
          <w:tcPr>
            <w:tcW w:w="780" w:type="dxa"/>
            <w:vAlign w:val="bottom"/>
          </w:tcPr>
          <w:p>
            <w:pPr>
              <w:jc w:val="center"/>
              <w:spacing w:after="0" w:line="145" w:lineRule="exact"/>
              <w:rPr>
                <w:sz w:val="20"/>
                <w:szCs w:val="20"/>
                <w:color w:val="auto"/>
              </w:rPr>
            </w:pPr>
            <w:r>
              <w:rPr>
                <w:rFonts w:ascii="Calibri" w:cs="Calibri" w:eastAsia="Calibri" w:hAnsi="Calibri"/>
                <w:sz w:val="12"/>
                <w:szCs w:val="12"/>
                <w:color w:val="auto"/>
              </w:rPr>
              <w:t>3,318</w:t>
            </w:r>
          </w:p>
        </w:tc>
        <w:tc>
          <w:tcPr>
            <w:tcW w:w="760" w:type="dxa"/>
            <w:vAlign w:val="bottom"/>
          </w:tcPr>
          <w:p>
            <w:pPr>
              <w:jc w:val="center"/>
              <w:spacing w:after="0" w:line="145" w:lineRule="exact"/>
              <w:rPr>
                <w:sz w:val="20"/>
                <w:szCs w:val="20"/>
                <w:color w:val="auto"/>
              </w:rPr>
            </w:pPr>
            <w:r>
              <w:rPr>
                <w:rFonts w:ascii="Calibri" w:cs="Calibri" w:eastAsia="Calibri" w:hAnsi="Calibri"/>
                <w:sz w:val="12"/>
                <w:szCs w:val="12"/>
                <w:color w:val="auto"/>
              </w:rPr>
              <w:t>3,308</w:t>
            </w:r>
          </w:p>
        </w:tc>
        <w:tc>
          <w:tcPr>
            <w:tcW w:w="7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4"/>
              </w:rPr>
              <w:t>3,125</w:t>
            </w:r>
          </w:p>
        </w:tc>
        <w:tc>
          <w:tcPr>
            <w:tcW w:w="540" w:type="dxa"/>
            <w:vAlign w:val="bottom"/>
            <w:shd w:val="clear" w:color="auto" w:fill="FF00FF"/>
          </w:tcPr>
          <w:p>
            <w:pPr>
              <w:jc w:val="center"/>
              <w:ind w:left="199"/>
              <w:spacing w:after="0" w:line="145" w:lineRule="exact"/>
              <w:rPr>
                <w:sz w:val="20"/>
                <w:szCs w:val="20"/>
                <w:color w:val="auto"/>
              </w:rPr>
            </w:pPr>
            <w:r>
              <w:rPr>
                <w:rFonts w:ascii="Calibri" w:cs="Calibri" w:eastAsia="Calibri" w:hAnsi="Calibri"/>
                <w:sz w:val="12"/>
                <w:szCs w:val="12"/>
                <w:color w:val="auto"/>
              </w:rPr>
              <w:t>-5.5%</w:t>
            </w:r>
          </w:p>
        </w:tc>
        <w:tc>
          <w:tcPr>
            <w:tcW w:w="260" w:type="dxa"/>
            <w:vAlign w:val="bottom"/>
            <w:shd w:val="clear" w:color="auto" w:fill="FF00FF"/>
          </w:tcPr>
          <w:p>
            <w:pPr>
              <w:spacing w:after="0"/>
              <w:rPr>
                <w:sz w:val="12"/>
                <w:szCs w:val="12"/>
                <w:color w:val="auto"/>
              </w:rPr>
            </w:pPr>
          </w:p>
        </w:tc>
        <w:tc>
          <w:tcPr>
            <w:tcW w:w="780" w:type="dxa"/>
            <w:vAlign w:val="bottom"/>
            <w:tcBorders>
              <w:right w:val="single" w:sz="8" w:color="auto"/>
            </w:tcBorders>
            <w:shd w:val="clear" w:color="auto" w:fill="FF00FF"/>
          </w:tcPr>
          <w:p>
            <w:pPr>
              <w:jc w:val="center"/>
              <w:spacing w:after="0" w:line="145" w:lineRule="exact"/>
              <w:rPr>
                <w:sz w:val="20"/>
                <w:szCs w:val="20"/>
                <w:color w:val="auto"/>
              </w:rPr>
            </w:pPr>
            <w:r>
              <w:rPr>
                <w:rFonts w:ascii="Calibri" w:cs="Calibri" w:eastAsia="Calibri" w:hAnsi="Calibri"/>
                <w:sz w:val="12"/>
                <w:szCs w:val="12"/>
                <w:color w:val="auto"/>
              </w:rPr>
              <w:t>-5.8%</w:t>
            </w:r>
          </w:p>
        </w:tc>
        <w:tc>
          <w:tcPr>
            <w:tcW w:w="58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rPr>
              <w:t>43.3%</w:t>
            </w:r>
          </w:p>
        </w:tc>
        <w:tc>
          <w:tcPr>
            <w:tcW w:w="1000" w:type="dxa"/>
            <w:vAlign w:val="bottom"/>
            <w:tcBorders>
              <w:right w:val="single" w:sz="8" w:color="auto"/>
            </w:tcBorders>
          </w:tcPr>
          <w:p>
            <w:pPr>
              <w:jc w:val="center"/>
              <w:ind w:left="159"/>
              <w:spacing w:after="0" w:line="145" w:lineRule="exact"/>
              <w:rPr>
                <w:sz w:val="20"/>
                <w:szCs w:val="20"/>
                <w:color w:val="auto"/>
              </w:rPr>
            </w:pPr>
            <w:r>
              <w:rPr>
                <w:rFonts w:ascii="Calibri" w:cs="Calibri" w:eastAsia="Calibri" w:hAnsi="Calibri"/>
                <w:sz w:val="12"/>
                <w:szCs w:val="12"/>
                <w:color w:val="auto"/>
              </w:rPr>
              <w:t>56.7%</w:t>
            </w:r>
          </w:p>
        </w:tc>
      </w:tr>
      <w:tr>
        <w:trPr>
          <w:trHeight w:val="133"/>
        </w:trPr>
        <w:tc>
          <w:tcPr>
            <w:tcW w:w="1880" w:type="dxa"/>
            <w:vAlign w:val="bottom"/>
            <w:tcBorders>
              <w:left w:val="single" w:sz="8" w:color="auto"/>
              <w:right w:val="single" w:sz="8" w:color="auto"/>
            </w:tcBorders>
          </w:tcPr>
          <w:p>
            <w:pPr>
              <w:ind w:left="20"/>
              <w:spacing w:after="0" w:line="134" w:lineRule="exact"/>
              <w:rPr>
                <w:sz w:val="20"/>
                <w:szCs w:val="20"/>
                <w:color w:val="auto"/>
              </w:rPr>
            </w:pPr>
            <w:r>
              <w:rPr>
                <w:rFonts w:ascii="Calibri" w:cs="Calibri" w:eastAsia="Calibri" w:hAnsi="Calibri"/>
                <w:sz w:val="12"/>
                <w:szCs w:val="12"/>
                <w:b w:val="1"/>
                <w:bCs w:val="1"/>
                <w:color w:val="auto"/>
              </w:rPr>
              <w:t>Retail Banking</w:t>
            </w:r>
          </w:p>
        </w:tc>
        <w:tc>
          <w:tcPr>
            <w:tcW w:w="780" w:type="dxa"/>
            <w:vAlign w:val="bottom"/>
          </w:tcPr>
          <w:p>
            <w:pPr>
              <w:jc w:val="right"/>
              <w:ind w:right="159"/>
              <w:spacing w:after="0" w:line="134" w:lineRule="exact"/>
              <w:rPr>
                <w:sz w:val="20"/>
                <w:szCs w:val="20"/>
                <w:color w:val="auto"/>
              </w:rPr>
            </w:pPr>
            <w:r>
              <w:rPr>
                <w:rFonts w:ascii="Calibri" w:cs="Calibri" w:eastAsia="Calibri" w:hAnsi="Calibri"/>
                <w:sz w:val="12"/>
                <w:szCs w:val="12"/>
                <w:b w:val="1"/>
                <w:bCs w:val="1"/>
                <w:color w:val="auto"/>
              </w:rPr>
              <w:t>55,972</w:t>
            </w:r>
          </w:p>
        </w:tc>
        <w:tc>
          <w:tcPr>
            <w:tcW w:w="760" w:type="dxa"/>
            <w:vAlign w:val="bottom"/>
          </w:tcPr>
          <w:p>
            <w:pPr>
              <w:jc w:val="right"/>
              <w:ind w:right="139"/>
              <w:spacing w:after="0" w:line="134" w:lineRule="exact"/>
              <w:rPr>
                <w:sz w:val="20"/>
                <w:szCs w:val="20"/>
                <w:color w:val="auto"/>
              </w:rPr>
            </w:pPr>
            <w:r>
              <w:rPr>
                <w:rFonts w:ascii="Calibri" w:cs="Calibri" w:eastAsia="Calibri" w:hAnsi="Calibri"/>
                <w:sz w:val="12"/>
                <w:szCs w:val="12"/>
                <w:b w:val="1"/>
                <w:bCs w:val="1"/>
                <w:color w:val="auto"/>
              </w:rPr>
              <w:t>55,870</w:t>
            </w:r>
          </w:p>
        </w:tc>
        <w:tc>
          <w:tcPr>
            <w:tcW w:w="760" w:type="dxa"/>
            <w:vAlign w:val="bottom"/>
            <w:tcBorders>
              <w:right w:val="single" w:sz="8" w:color="auto"/>
            </w:tcBorders>
          </w:tcPr>
          <w:p>
            <w:pPr>
              <w:jc w:val="right"/>
              <w:ind w:right="159"/>
              <w:spacing w:after="0" w:line="134" w:lineRule="exact"/>
              <w:rPr>
                <w:sz w:val="20"/>
                <w:szCs w:val="20"/>
                <w:color w:val="auto"/>
              </w:rPr>
            </w:pPr>
            <w:r>
              <w:rPr>
                <w:rFonts w:ascii="Calibri" w:cs="Calibri" w:eastAsia="Calibri" w:hAnsi="Calibri"/>
                <w:sz w:val="12"/>
                <w:szCs w:val="12"/>
                <w:b w:val="1"/>
                <w:bCs w:val="1"/>
                <w:color w:val="auto"/>
              </w:rPr>
              <w:t>56,235</w:t>
            </w:r>
          </w:p>
        </w:tc>
        <w:tc>
          <w:tcPr>
            <w:tcW w:w="80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auto"/>
                <w:w w:val="99"/>
              </w:rPr>
              <w:t>0.7%</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center"/>
              <w:ind w:right="179"/>
              <w:spacing w:after="0" w:line="134" w:lineRule="exact"/>
              <w:rPr>
                <w:sz w:val="20"/>
                <w:szCs w:val="20"/>
                <w:color w:val="auto"/>
              </w:rPr>
            </w:pPr>
            <w:r>
              <w:rPr>
                <w:rFonts w:ascii="Calibri" w:cs="Calibri" w:eastAsia="Calibri" w:hAnsi="Calibri"/>
                <w:sz w:val="12"/>
                <w:szCs w:val="12"/>
                <w:b w:val="1"/>
                <w:bCs w:val="1"/>
                <w:color w:val="auto"/>
                <w:w w:val="99"/>
              </w:rPr>
              <w:t>0.5%</w:t>
            </w:r>
          </w:p>
        </w:tc>
        <w:tc>
          <w:tcPr>
            <w:tcW w:w="78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auto"/>
              </w:rPr>
              <w:t>2,011</w:t>
            </w: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auto"/>
              </w:rPr>
              <w:t>1,999</w:t>
            </w:r>
          </w:p>
        </w:tc>
        <w:tc>
          <w:tcPr>
            <w:tcW w:w="780" w:type="dxa"/>
            <w:vAlign w:val="bottom"/>
            <w:tcBorders>
              <w:right w:val="single" w:sz="8" w:color="auto"/>
            </w:tcBorders>
          </w:tcPr>
          <w:p>
            <w:pPr>
              <w:jc w:val="center"/>
              <w:spacing w:after="0" w:line="134" w:lineRule="exact"/>
              <w:rPr>
                <w:sz w:val="20"/>
                <w:szCs w:val="20"/>
                <w:color w:val="auto"/>
              </w:rPr>
            </w:pPr>
            <w:r>
              <w:rPr>
                <w:rFonts w:ascii="Calibri" w:cs="Calibri" w:eastAsia="Calibri" w:hAnsi="Calibri"/>
                <w:sz w:val="12"/>
                <w:szCs w:val="12"/>
                <w:b w:val="1"/>
                <w:bCs w:val="1"/>
                <w:color w:val="auto"/>
              </w:rPr>
              <w:t>2,055</w:t>
            </w:r>
          </w:p>
        </w:tc>
        <w:tc>
          <w:tcPr>
            <w:tcW w:w="540" w:type="dxa"/>
            <w:vAlign w:val="bottom"/>
          </w:tcPr>
          <w:p>
            <w:pPr>
              <w:jc w:val="center"/>
              <w:ind w:left="199"/>
              <w:spacing w:after="0" w:line="134" w:lineRule="exact"/>
              <w:rPr>
                <w:sz w:val="20"/>
                <w:szCs w:val="20"/>
                <w:color w:val="auto"/>
              </w:rPr>
            </w:pPr>
            <w:r>
              <w:rPr>
                <w:rFonts w:ascii="Calibri" w:cs="Calibri" w:eastAsia="Calibri" w:hAnsi="Calibri"/>
                <w:sz w:val="12"/>
                <w:szCs w:val="12"/>
                <w:b w:val="1"/>
                <w:bCs w:val="1"/>
                <w:color w:val="auto"/>
                <w:w w:val="99"/>
              </w:rPr>
              <w:t>2.8%</w:t>
            </w:r>
          </w:p>
        </w:tc>
        <w:tc>
          <w:tcPr>
            <w:tcW w:w="1040" w:type="dxa"/>
            <w:vAlign w:val="bottom"/>
            <w:tcBorders>
              <w:right w:val="single" w:sz="8" w:color="auto"/>
            </w:tcBorders>
            <w:gridSpan w:val="2"/>
          </w:tcPr>
          <w:p>
            <w:pPr>
              <w:jc w:val="center"/>
              <w:ind w:left="179"/>
              <w:spacing w:after="0" w:line="134" w:lineRule="exact"/>
              <w:rPr>
                <w:sz w:val="20"/>
                <w:szCs w:val="20"/>
                <w:color w:val="auto"/>
              </w:rPr>
            </w:pPr>
            <w:r>
              <w:rPr>
                <w:rFonts w:ascii="Calibri" w:cs="Calibri" w:eastAsia="Calibri" w:hAnsi="Calibri"/>
                <w:sz w:val="12"/>
                <w:szCs w:val="12"/>
                <w:b w:val="1"/>
                <w:bCs w:val="1"/>
                <w:color w:val="auto"/>
                <w:w w:val="99"/>
              </w:rPr>
              <w:t>2.2%</w:t>
            </w:r>
          </w:p>
        </w:tc>
        <w:tc>
          <w:tcPr>
            <w:tcW w:w="580" w:type="dxa"/>
            <w:vAlign w:val="bottom"/>
          </w:tcPr>
          <w:p>
            <w:pPr>
              <w:jc w:val="center"/>
              <w:ind w:left="159"/>
              <w:spacing w:after="0" w:line="134" w:lineRule="exact"/>
              <w:rPr>
                <w:sz w:val="20"/>
                <w:szCs w:val="20"/>
                <w:color w:val="auto"/>
              </w:rPr>
            </w:pPr>
            <w:r>
              <w:rPr>
                <w:rFonts w:ascii="Calibri" w:cs="Calibri" w:eastAsia="Calibri" w:hAnsi="Calibri"/>
                <w:sz w:val="12"/>
                <w:szCs w:val="12"/>
                <w:b w:val="1"/>
                <w:bCs w:val="1"/>
                <w:color w:val="auto"/>
              </w:rPr>
              <w:t>87.9%</w:t>
            </w:r>
          </w:p>
        </w:tc>
        <w:tc>
          <w:tcPr>
            <w:tcW w:w="1000" w:type="dxa"/>
            <w:vAlign w:val="bottom"/>
            <w:tcBorders>
              <w:right w:val="single" w:sz="8" w:color="auto"/>
            </w:tcBorders>
          </w:tcPr>
          <w:p>
            <w:pPr>
              <w:jc w:val="center"/>
              <w:ind w:left="139"/>
              <w:spacing w:after="0" w:line="134" w:lineRule="exact"/>
              <w:rPr>
                <w:sz w:val="20"/>
                <w:szCs w:val="20"/>
                <w:color w:val="auto"/>
              </w:rPr>
            </w:pPr>
            <w:r>
              <w:rPr>
                <w:rFonts w:ascii="Calibri" w:cs="Calibri" w:eastAsia="Calibri" w:hAnsi="Calibri"/>
                <w:sz w:val="12"/>
                <w:szCs w:val="12"/>
                <w:b w:val="1"/>
                <w:bCs w:val="1"/>
                <w:color w:val="auto"/>
              </w:rPr>
              <w:t>12.1%</w:t>
            </w:r>
          </w:p>
        </w:tc>
      </w:tr>
      <w:tr>
        <w:trPr>
          <w:trHeight w:val="146"/>
        </w:trPr>
        <w:tc>
          <w:tcPr>
            <w:tcW w:w="1880" w:type="dxa"/>
            <w:vAlign w:val="bottom"/>
            <w:tcBorders>
              <w:left w:val="single" w:sz="8" w:color="auto"/>
              <w:right w:val="single" w:sz="8" w:color="auto"/>
            </w:tcBorders>
          </w:tcPr>
          <w:p>
            <w:pPr>
              <w:ind w:left="100"/>
              <w:spacing w:after="0"/>
              <w:rPr>
                <w:sz w:val="20"/>
                <w:szCs w:val="20"/>
                <w:color w:val="auto"/>
              </w:rPr>
            </w:pPr>
            <w:r>
              <w:rPr>
                <w:rFonts w:ascii="Calibri" w:cs="Calibri" w:eastAsia="Calibri" w:hAnsi="Calibri"/>
                <w:sz w:val="12"/>
                <w:szCs w:val="12"/>
                <w:color w:val="auto"/>
              </w:rPr>
              <w:t>SME - Business</w:t>
            </w:r>
          </w:p>
        </w:tc>
        <w:tc>
          <w:tcPr>
            <w:tcW w:w="780" w:type="dxa"/>
            <w:vAlign w:val="bottom"/>
          </w:tcPr>
          <w:p>
            <w:pPr>
              <w:jc w:val="right"/>
              <w:ind w:right="179"/>
              <w:spacing w:after="0"/>
              <w:rPr>
                <w:sz w:val="20"/>
                <w:szCs w:val="20"/>
                <w:color w:val="auto"/>
              </w:rPr>
            </w:pPr>
            <w:r>
              <w:rPr>
                <w:rFonts w:ascii="Calibri" w:cs="Calibri" w:eastAsia="Calibri" w:hAnsi="Calibri"/>
                <w:sz w:val="12"/>
                <w:szCs w:val="12"/>
                <w:color w:val="auto"/>
              </w:rPr>
              <w:t>4,242</w:t>
            </w:r>
          </w:p>
        </w:tc>
        <w:tc>
          <w:tcPr>
            <w:tcW w:w="760" w:type="dxa"/>
            <w:vAlign w:val="bottom"/>
          </w:tcPr>
          <w:p>
            <w:pPr>
              <w:ind w:left="240"/>
              <w:spacing w:after="0"/>
              <w:rPr>
                <w:sz w:val="20"/>
                <w:szCs w:val="20"/>
                <w:color w:val="auto"/>
              </w:rPr>
            </w:pPr>
            <w:r>
              <w:rPr>
                <w:rFonts w:ascii="Calibri" w:cs="Calibri" w:eastAsia="Calibri" w:hAnsi="Calibri"/>
                <w:sz w:val="12"/>
                <w:szCs w:val="12"/>
                <w:color w:val="auto"/>
              </w:rPr>
              <w:t>4,581</w:t>
            </w:r>
          </w:p>
        </w:tc>
        <w:tc>
          <w:tcPr>
            <w:tcW w:w="760" w:type="dxa"/>
            <w:vAlign w:val="bottom"/>
            <w:tcBorders>
              <w:right w:val="single" w:sz="8" w:color="auto"/>
            </w:tcBorders>
          </w:tcPr>
          <w:p>
            <w:pPr>
              <w:jc w:val="right"/>
              <w:ind w:right="199"/>
              <w:spacing w:after="0"/>
              <w:rPr>
                <w:sz w:val="20"/>
                <w:szCs w:val="20"/>
                <w:color w:val="auto"/>
              </w:rPr>
            </w:pPr>
            <w:r>
              <w:rPr>
                <w:rFonts w:ascii="Calibri" w:cs="Calibri" w:eastAsia="Calibri" w:hAnsi="Calibri"/>
                <w:sz w:val="12"/>
                <w:szCs w:val="12"/>
                <w:color w:val="auto"/>
              </w:rPr>
              <w:t>4,721</w:t>
            </w:r>
          </w:p>
        </w:tc>
        <w:tc>
          <w:tcPr>
            <w:tcW w:w="800" w:type="dxa"/>
            <w:vAlign w:val="bottom"/>
          </w:tcPr>
          <w:p>
            <w:pPr>
              <w:jc w:val="center"/>
              <w:spacing w:after="0"/>
              <w:rPr>
                <w:sz w:val="20"/>
                <w:szCs w:val="20"/>
                <w:color w:val="auto"/>
              </w:rPr>
            </w:pPr>
            <w:r>
              <w:rPr>
                <w:rFonts w:ascii="Calibri" w:cs="Calibri" w:eastAsia="Calibri" w:hAnsi="Calibri"/>
                <w:sz w:val="12"/>
                <w:szCs w:val="12"/>
                <w:color w:val="auto"/>
              </w:rPr>
              <w:t>3.1%</w:t>
            </w:r>
          </w:p>
        </w:tc>
        <w:tc>
          <w:tcPr>
            <w:tcW w:w="220" w:type="dxa"/>
            <w:vAlign w:val="bottom"/>
          </w:tcPr>
          <w:p>
            <w:pPr>
              <w:spacing w:after="0"/>
              <w:rPr>
                <w:sz w:val="12"/>
                <w:szCs w:val="12"/>
                <w:color w:val="auto"/>
              </w:rPr>
            </w:pPr>
          </w:p>
        </w:tc>
        <w:tc>
          <w:tcPr>
            <w:tcW w:w="560" w:type="dxa"/>
            <w:vAlign w:val="bottom"/>
            <w:tcBorders>
              <w:right w:val="single" w:sz="8" w:color="auto"/>
            </w:tcBorders>
          </w:tcPr>
          <w:p>
            <w:pPr>
              <w:jc w:val="center"/>
              <w:ind w:right="199"/>
              <w:spacing w:after="0"/>
              <w:rPr>
                <w:sz w:val="20"/>
                <w:szCs w:val="20"/>
                <w:color w:val="auto"/>
              </w:rPr>
            </w:pPr>
            <w:r>
              <w:rPr>
                <w:rFonts w:ascii="Calibri" w:cs="Calibri" w:eastAsia="Calibri" w:hAnsi="Calibri"/>
                <w:sz w:val="12"/>
                <w:szCs w:val="12"/>
                <w:color w:val="auto"/>
              </w:rPr>
              <w:t>11.3%</w:t>
            </w:r>
          </w:p>
        </w:tc>
        <w:tc>
          <w:tcPr>
            <w:tcW w:w="780" w:type="dxa"/>
            <w:vAlign w:val="bottom"/>
          </w:tcPr>
          <w:p>
            <w:pPr>
              <w:jc w:val="center"/>
              <w:spacing w:after="0"/>
              <w:rPr>
                <w:sz w:val="20"/>
                <w:szCs w:val="20"/>
                <w:color w:val="auto"/>
              </w:rPr>
            </w:pPr>
            <w:r>
              <w:rPr>
                <w:rFonts w:ascii="Calibri" w:cs="Calibri" w:eastAsia="Calibri" w:hAnsi="Calibri"/>
                <w:sz w:val="12"/>
                <w:szCs w:val="12"/>
                <w:color w:val="auto"/>
                <w:w w:val="98"/>
              </w:rPr>
              <w:t>778</w:t>
            </w:r>
          </w:p>
        </w:tc>
        <w:tc>
          <w:tcPr>
            <w:tcW w:w="760" w:type="dxa"/>
            <w:vAlign w:val="bottom"/>
          </w:tcPr>
          <w:p>
            <w:pPr>
              <w:jc w:val="center"/>
              <w:spacing w:after="0"/>
              <w:rPr>
                <w:sz w:val="20"/>
                <w:szCs w:val="20"/>
                <w:color w:val="auto"/>
              </w:rPr>
            </w:pPr>
            <w:r>
              <w:rPr>
                <w:rFonts w:ascii="Calibri" w:cs="Calibri" w:eastAsia="Calibri" w:hAnsi="Calibri"/>
                <w:sz w:val="12"/>
                <w:szCs w:val="12"/>
                <w:color w:val="auto"/>
                <w:w w:val="98"/>
              </w:rPr>
              <w:t>745</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8"/>
              </w:rPr>
              <w:t>774</w:t>
            </w:r>
          </w:p>
        </w:tc>
        <w:tc>
          <w:tcPr>
            <w:tcW w:w="540" w:type="dxa"/>
            <w:vAlign w:val="bottom"/>
          </w:tcPr>
          <w:p>
            <w:pPr>
              <w:jc w:val="center"/>
              <w:ind w:left="199"/>
              <w:spacing w:after="0"/>
              <w:rPr>
                <w:sz w:val="20"/>
                <w:szCs w:val="20"/>
                <w:color w:val="auto"/>
              </w:rPr>
            </w:pPr>
            <w:r>
              <w:rPr>
                <w:rFonts w:ascii="Calibri" w:cs="Calibri" w:eastAsia="Calibri" w:hAnsi="Calibri"/>
                <w:sz w:val="12"/>
                <w:szCs w:val="12"/>
                <w:color w:val="auto"/>
              </w:rPr>
              <w:t>3.8%</w:t>
            </w:r>
          </w:p>
        </w:tc>
        <w:tc>
          <w:tcPr>
            <w:tcW w:w="1040" w:type="dxa"/>
            <w:vAlign w:val="bottom"/>
            <w:tcBorders>
              <w:right w:val="single" w:sz="8" w:color="auto"/>
            </w:tcBorders>
            <w:gridSpan w:val="2"/>
          </w:tcPr>
          <w:p>
            <w:pPr>
              <w:jc w:val="center"/>
              <w:ind w:left="179"/>
              <w:spacing w:after="0"/>
              <w:rPr>
                <w:sz w:val="20"/>
                <w:szCs w:val="20"/>
                <w:color w:val="auto"/>
              </w:rPr>
            </w:pPr>
            <w:r>
              <w:rPr>
                <w:rFonts w:ascii="Calibri" w:cs="Calibri" w:eastAsia="Calibri" w:hAnsi="Calibri"/>
                <w:sz w:val="12"/>
                <w:szCs w:val="12"/>
                <w:color w:val="auto"/>
              </w:rPr>
              <w:t>-0.5%</w:t>
            </w:r>
          </w:p>
        </w:tc>
        <w:tc>
          <w:tcPr>
            <w:tcW w:w="580" w:type="dxa"/>
            <w:vAlign w:val="bottom"/>
          </w:tcPr>
          <w:p>
            <w:pPr>
              <w:jc w:val="center"/>
              <w:ind w:left="139"/>
              <w:spacing w:after="0"/>
              <w:rPr>
                <w:sz w:val="20"/>
                <w:szCs w:val="20"/>
                <w:color w:val="auto"/>
              </w:rPr>
            </w:pPr>
            <w:r>
              <w:rPr>
                <w:rFonts w:ascii="Calibri" w:cs="Calibri" w:eastAsia="Calibri" w:hAnsi="Calibri"/>
                <w:sz w:val="12"/>
                <w:szCs w:val="12"/>
                <w:color w:val="auto"/>
              </w:rPr>
              <w:t>61.9%</w:t>
            </w:r>
          </w:p>
        </w:tc>
        <w:tc>
          <w:tcPr>
            <w:tcW w:w="1000" w:type="dxa"/>
            <w:vAlign w:val="bottom"/>
            <w:tcBorders>
              <w:right w:val="single" w:sz="8" w:color="auto"/>
            </w:tcBorders>
          </w:tcPr>
          <w:p>
            <w:pPr>
              <w:jc w:val="center"/>
              <w:ind w:left="159"/>
              <w:spacing w:after="0"/>
              <w:rPr>
                <w:sz w:val="20"/>
                <w:szCs w:val="20"/>
                <w:color w:val="auto"/>
              </w:rPr>
            </w:pPr>
            <w:r>
              <w:rPr>
                <w:rFonts w:ascii="Calibri" w:cs="Calibri" w:eastAsia="Calibri" w:hAnsi="Calibri"/>
                <w:sz w:val="12"/>
                <w:szCs w:val="12"/>
                <w:color w:val="auto"/>
              </w:rPr>
              <w:t>38.1%</w:t>
            </w:r>
          </w:p>
        </w:tc>
      </w:tr>
      <w:tr>
        <w:trPr>
          <w:trHeight w:val="154"/>
        </w:trPr>
        <w:tc>
          <w:tcPr>
            <w:tcW w:w="1880" w:type="dxa"/>
            <w:vAlign w:val="bottom"/>
            <w:tcBorders>
              <w:left w:val="single" w:sz="8" w:color="auto"/>
              <w:right w:val="single" w:sz="8" w:color="auto"/>
            </w:tcBorders>
          </w:tcPr>
          <w:p>
            <w:pPr>
              <w:ind w:left="100"/>
              <w:spacing w:after="0"/>
              <w:rPr>
                <w:sz w:val="20"/>
                <w:szCs w:val="20"/>
                <w:color w:val="auto"/>
              </w:rPr>
            </w:pPr>
            <w:r>
              <w:rPr>
                <w:rFonts w:ascii="Calibri" w:cs="Calibri" w:eastAsia="Calibri" w:hAnsi="Calibri"/>
                <w:sz w:val="12"/>
                <w:szCs w:val="12"/>
                <w:color w:val="auto"/>
              </w:rPr>
              <w:t>SME - Pyme</w:t>
            </w:r>
          </w:p>
        </w:tc>
        <w:tc>
          <w:tcPr>
            <w:tcW w:w="780" w:type="dxa"/>
            <w:vAlign w:val="bottom"/>
          </w:tcPr>
          <w:p>
            <w:pPr>
              <w:jc w:val="right"/>
              <w:ind w:right="159"/>
              <w:spacing w:after="0"/>
              <w:rPr>
                <w:sz w:val="20"/>
                <w:szCs w:val="20"/>
                <w:color w:val="auto"/>
              </w:rPr>
            </w:pPr>
            <w:r>
              <w:rPr>
                <w:rFonts w:ascii="Calibri" w:cs="Calibri" w:eastAsia="Calibri" w:hAnsi="Calibri"/>
                <w:sz w:val="12"/>
                <w:szCs w:val="12"/>
                <w:color w:val="auto"/>
              </w:rPr>
              <w:t>16,589</w:t>
            </w:r>
          </w:p>
        </w:tc>
        <w:tc>
          <w:tcPr>
            <w:tcW w:w="760" w:type="dxa"/>
            <w:vAlign w:val="bottom"/>
          </w:tcPr>
          <w:p>
            <w:pPr>
              <w:jc w:val="right"/>
              <w:ind w:right="139"/>
              <w:spacing w:after="0"/>
              <w:rPr>
                <w:sz w:val="20"/>
                <w:szCs w:val="20"/>
                <w:color w:val="auto"/>
              </w:rPr>
            </w:pPr>
            <w:r>
              <w:rPr>
                <w:rFonts w:ascii="Calibri" w:cs="Calibri" w:eastAsia="Calibri" w:hAnsi="Calibri"/>
                <w:sz w:val="12"/>
                <w:szCs w:val="12"/>
                <w:color w:val="auto"/>
              </w:rPr>
              <w:t>16,023</w:t>
            </w:r>
          </w:p>
        </w:tc>
        <w:tc>
          <w:tcPr>
            <w:tcW w:w="760" w:type="dxa"/>
            <w:vAlign w:val="bottom"/>
            <w:tcBorders>
              <w:right w:val="single" w:sz="8" w:color="auto"/>
            </w:tcBorders>
          </w:tcPr>
          <w:p>
            <w:pPr>
              <w:jc w:val="right"/>
              <w:ind w:right="159"/>
              <w:spacing w:after="0"/>
              <w:rPr>
                <w:sz w:val="20"/>
                <w:szCs w:val="20"/>
                <w:color w:val="auto"/>
              </w:rPr>
            </w:pPr>
            <w:r>
              <w:rPr>
                <w:rFonts w:ascii="Calibri" w:cs="Calibri" w:eastAsia="Calibri" w:hAnsi="Calibri"/>
                <w:sz w:val="12"/>
                <w:szCs w:val="12"/>
                <w:color w:val="auto"/>
              </w:rPr>
              <w:t>16,095</w:t>
            </w:r>
          </w:p>
        </w:tc>
        <w:tc>
          <w:tcPr>
            <w:tcW w:w="800" w:type="dxa"/>
            <w:vAlign w:val="bottom"/>
          </w:tcPr>
          <w:p>
            <w:pPr>
              <w:jc w:val="center"/>
              <w:spacing w:after="0"/>
              <w:rPr>
                <w:sz w:val="20"/>
                <w:szCs w:val="20"/>
                <w:color w:val="auto"/>
              </w:rPr>
            </w:pPr>
            <w:r>
              <w:rPr>
                <w:rFonts w:ascii="Calibri" w:cs="Calibri" w:eastAsia="Calibri" w:hAnsi="Calibri"/>
                <w:sz w:val="12"/>
                <w:szCs w:val="12"/>
                <w:color w:val="auto"/>
              </w:rPr>
              <w:t>0.4%</w:t>
            </w:r>
          </w:p>
        </w:tc>
        <w:tc>
          <w:tcPr>
            <w:tcW w:w="220" w:type="dxa"/>
            <w:vAlign w:val="bottom"/>
            <w:shd w:val="clear" w:color="auto" w:fill="FF00FF"/>
          </w:tcPr>
          <w:p>
            <w:pPr>
              <w:spacing w:after="0"/>
              <w:rPr>
                <w:sz w:val="13"/>
                <w:szCs w:val="13"/>
                <w:color w:val="auto"/>
              </w:rPr>
            </w:pPr>
          </w:p>
        </w:tc>
        <w:tc>
          <w:tcPr>
            <w:tcW w:w="560" w:type="dxa"/>
            <w:vAlign w:val="bottom"/>
            <w:tcBorders>
              <w:right w:val="single" w:sz="8" w:color="auto"/>
            </w:tcBorders>
            <w:shd w:val="clear" w:color="auto" w:fill="FF00FF"/>
          </w:tcPr>
          <w:p>
            <w:pPr>
              <w:jc w:val="center"/>
              <w:ind w:right="179"/>
              <w:spacing w:after="0"/>
              <w:rPr>
                <w:sz w:val="20"/>
                <w:szCs w:val="20"/>
                <w:color w:val="auto"/>
              </w:rPr>
            </w:pPr>
            <w:r>
              <w:rPr>
                <w:rFonts w:ascii="Calibri" w:cs="Calibri" w:eastAsia="Calibri" w:hAnsi="Calibri"/>
                <w:sz w:val="12"/>
                <w:szCs w:val="12"/>
                <w:color w:val="auto"/>
              </w:rPr>
              <w:t>-3.0%</w:t>
            </w:r>
          </w:p>
        </w:tc>
        <w:tc>
          <w:tcPr>
            <w:tcW w:w="780" w:type="dxa"/>
            <w:vAlign w:val="bottom"/>
          </w:tcPr>
          <w:p>
            <w:pPr>
              <w:jc w:val="center"/>
              <w:spacing w:after="0"/>
              <w:rPr>
                <w:sz w:val="20"/>
                <w:szCs w:val="20"/>
                <w:color w:val="auto"/>
              </w:rPr>
            </w:pPr>
            <w:r>
              <w:rPr>
                <w:rFonts w:ascii="Calibri" w:cs="Calibri" w:eastAsia="Calibri" w:hAnsi="Calibri"/>
                <w:sz w:val="12"/>
                <w:szCs w:val="12"/>
                <w:color w:val="auto"/>
              </w:rPr>
              <w:t>43</w:t>
            </w:r>
          </w:p>
        </w:tc>
        <w:tc>
          <w:tcPr>
            <w:tcW w:w="760" w:type="dxa"/>
            <w:vAlign w:val="bottom"/>
          </w:tcPr>
          <w:p>
            <w:pPr>
              <w:jc w:val="center"/>
              <w:spacing w:after="0"/>
              <w:rPr>
                <w:sz w:val="20"/>
                <w:szCs w:val="20"/>
                <w:color w:val="auto"/>
              </w:rPr>
            </w:pPr>
            <w:r>
              <w:rPr>
                <w:rFonts w:ascii="Calibri" w:cs="Calibri" w:eastAsia="Calibri" w:hAnsi="Calibri"/>
                <w:sz w:val="12"/>
                <w:szCs w:val="12"/>
                <w:color w:val="auto"/>
              </w:rPr>
              <w:t>43</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42</w:t>
            </w:r>
          </w:p>
        </w:tc>
        <w:tc>
          <w:tcPr>
            <w:tcW w:w="540" w:type="dxa"/>
            <w:vAlign w:val="bottom"/>
          </w:tcPr>
          <w:p>
            <w:pPr>
              <w:jc w:val="center"/>
              <w:ind w:left="199"/>
              <w:spacing w:after="0"/>
              <w:rPr>
                <w:sz w:val="20"/>
                <w:szCs w:val="20"/>
                <w:color w:val="auto"/>
              </w:rPr>
            </w:pPr>
            <w:r>
              <w:rPr>
                <w:rFonts w:ascii="Calibri" w:cs="Calibri" w:eastAsia="Calibri" w:hAnsi="Calibri"/>
                <w:sz w:val="12"/>
                <w:szCs w:val="12"/>
                <w:color w:val="auto"/>
              </w:rPr>
              <w:t>-4.2%</w:t>
            </w:r>
          </w:p>
        </w:tc>
        <w:tc>
          <w:tcPr>
            <w:tcW w:w="1040" w:type="dxa"/>
            <w:vAlign w:val="bottom"/>
            <w:tcBorders>
              <w:right w:val="single" w:sz="8" w:color="auto"/>
            </w:tcBorders>
            <w:gridSpan w:val="2"/>
          </w:tcPr>
          <w:p>
            <w:pPr>
              <w:jc w:val="center"/>
              <w:ind w:left="179"/>
              <w:spacing w:after="0"/>
              <w:rPr>
                <w:sz w:val="20"/>
                <w:szCs w:val="20"/>
                <w:color w:val="auto"/>
              </w:rPr>
            </w:pPr>
            <w:r>
              <w:rPr>
                <w:rFonts w:ascii="Calibri" w:cs="Calibri" w:eastAsia="Calibri" w:hAnsi="Calibri"/>
                <w:sz w:val="12"/>
                <w:szCs w:val="12"/>
                <w:color w:val="auto"/>
              </w:rPr>
              <w:t>-3.8%</w:t>
            </w:r>
          </w:p>
        </w:tc>
        <w:tc>
          <w:tcPr>
            <w:tcW w:w="580" w:type="dxa"/>
            <w:vAlign w:val="bottom"/>
          </w:tcPr>
          <w:p>
            <w:pPr>
              <w:jc w:val="center"/>
              <w:ind w:left="139"/>
              <w:spacing w:after="0"/>
              <w:rPr>
                <w:sz w:val="20"/>
                <w:szCs w:val="20"/>
                <w:color w:val="auto"/>
              </w:rPr>
            </w:pPr>
            <w:r>
              <w:rPr>
                <w:rFonts w:ascii="Calibri" w:cs="Calibri" w:eastAsia="Calibri" w:hAnsi="Calibri"/>
                <w:sz w:val="12"/>
                <w:szCs w:val="12"/>
                <w:color w:val="auto"/>
              </w:rPr>
              <w:t>99.0%</w:t>
            </w:r>
          </w:p>
        </w:tc>
        <w:tc>
          <w:tcPr>
            <w:tcW w:w="1000" w:type="dxa"/>
            <w:vAlign w:val="bottom"/>
            <w:tcBorders>
              <w:right w:val="single" w:sz="8" w:color="auto"/>
            </w:tcBorders>
          </w:tcPr>
          <w:p>
            <w:pPr>
              <w:jc w:val="center"/>
              <w:ind w:left="139"/>
              <w:spacing w:after="0"/>
              <w:rPr>
                <w:sz w:val="20"/>
                <w:szCs w:val="20"/>
                <w:color w:val="auto"/>
              </w:rPr>
            </w:pPr>
            <w:r>
              <w:rPr>
                <w:rFonts w:ascii="Calibri" w:cs="Calibri" w:eastAsia="Calibri" w:hAnsi="Calibri"/>
                <w:sz w:val="12"/>
                <w:szCs w:val="12"/>
                <w:color w:val="auto"/>
              </w:rPr>
              <w:t>1.0%</w:t>
            </w:r>
          </w:p>
        </w:tc>
      </w:tr>
      <w:tr>
        <w:trPr>
          <w:trHeight w:val="144"/>
        </w:trPr>
        <w:tc>
          <w:tcPr>
            <w:tcW w:w="1880" w:type="dxa"/>
            <w:vAlign w:val="bottom"/>
            <w:tcBorders>
              <w:left w:val="single" w:sz="8" w:color="auto"/>
              <w:right w:val="single" w:sz="8" w:color="auto"/>
            </w:tcBorders>
          </w:tcPr>
          <w:p>
            <w:pPr>
              <w:ind w:left="100"/>
              <w:spacing w:after="0" w:line="145" w:lineRule="exact"/>
              <w:rPr>
                <w:sz w:val="20"/>
                <w:szCs w:val="20"/>
                <w:color w:val="auto"/>
              </w:rPr>
            </w:pPr>
            <w:r>
              <w:rPr>
                <w:rFonts w:ascii="Calibri" w:cs="Calibri" w:eastAsia="Calibri" w:hAnsi="Calibri"/>
                <w:sz w:val="12"/>
                <w:szCs w:val="12"/>
                <w:color w:val="auto"/>
              </w:rPr>
              <w:t>Mortgage</w:t>
            </w:r>
          </w:p>
        </w:tc>
        <w:tc>
          <w:tcPr>
            <w:tcW w:w="780" w:type="dxa"/>
            <w:vAlign w:val="bottom"/>
          </w:tcPr>
          <w:p>
            <w:pPr>
              <w:jc w:val="right"/>
              <w:ind w:right="159"/>
              <w:spacing w:after="0" w:line="145" w:lineRule="exact"/>
              <w:rPr>
                <w:sz w:val="20"/>
                <w:szCs w:val="20"/>
                <w:color w:val="auto"/>
              </w:rPr>
            </w:pPr>
            <w:r>
              <w:rPr>
                <w:rFonts w:ascii="Calibri" w:cs="Calibri" w:eastAsia="Calibri" w:hAnsi="Calibri"/>
                <w:sz w:val="12"/>
                <w:szCs w:val="12"/>
                <w:color w:val="auto"/>
              </w:rPr>
              <w:t>19,095</w:t>
            </w:r>
          </w:p>
        </w:tc>
        <w:tc>
          <w:tcPr>
            <w:tcW w:w="760" w:type="dxa"/>
            <w:vAlign w:val="bottom"/>
          </w:tcPr>
          <w:p>
            <w:pPr>
              <w:jc w:val="right"/>
              <w:ind w:right="139"/>
              <w:spacing w:after="0" w:line="145" w:lineRule="exact"/>
              <w:rPr>
                <w:sz w:val="20"/>
                <w:szCs w:val="20"/>
                <w:color w:val="auto"/>
              </w:rPr>
            </w:pPr>
            <w:r>
              <w:rPr>
                <w:rFonts w:ascii="Calibri" w:cs="Calibri" w:eastAsia="Calibri" w:hAnsi="Calibri"/>
                <w:sz w:val="12"/>
                <w:szCs w:val="12"/>
                <w:color w:val="auto"/>
              </w:rPr>
              <w:t>19,690</w:t>
            </w:r>
          </w:p>
        </w:tc>
        <w:tc>
          <w:tcPr>
            <w:tcW w:w="760" w:type="dxa"/>
            <w:vAlign w:val="bottom"/>
            <w:tcBorders>
              <w:right w:val="single" w:sz="8" w:color="auto"/>
            </w:tcBorders>
          </w:tcPr>
          <w:p>
            <w:pPr>
              <w:jc w:val="right"/>
              <w:ind w:right="159"/>
              <w:spacing w:after="0" w:line="145" w:lineRule="exact"/>
              <w:rPr>
                <w:sz w:val="20"/>
                <w:szCs w:val="20"/>
                <w:color w:val="auto"/>
              </w:rPr>
            </w:pPr>
            <w:r>
              <w:rPr>
                <w:rFonts w:ascii="Calibri" w:cs="Calibri" w:eastAsia="Calibri" w:hAnsi="Calibri"/>
                <w:sz w:val="12"/>
                <w:szCs w:val="12"/>
                <w:color w:val="auto"/>
              </w:rPr>
              <w:t>19,953</w:t>
            </w:r>
          </w:p>
        </w:tc>
        <w:tc>
          <w:tcPr>
            <w:tcW w:w="800" w:type="dxa"/>
            <w:vAlign w:val="bottom"/>
            <w:shd w:val="clear" w:color="auto" w:fill="33CCCC"/>
          </w:tcPr>
          <w:p>
            <w:pPr>
              <w:jc w:val="center"/>
              <w:spacing w:after="0" w:line="145" w:lineRule="exact"/>
              <w:rPr>
                <w:sz w:val="20"/>
                <w:szCs w:val="20"/>
                <w:color w:val="auto"/>
              </w:rPr>
            </w:pPr>
            <w:r>
              <w:rPr>
                <w:rFonts w:ascii="Calibri" w:cs="Calibri" w:eastAsia="Calibri" w:hAnsi="Calibri"/>
                <w:sz w:val="12"/>
                <w:szCs w:val="12"/>
                <w:color w:val="auto"/>
              </w:rPr>
              <w:t>1.3%</w:t>
            </w:r>
          </w:p>
        </w:tc>
        <w:tc>
          <w:tcPr>
            <w:tcW w:w="220" w:type="dxa"/>
            <w:vAlign w:val="bottom"/>
          </w:tcPr>
          <w:p>
            <w:pPr>
              <w:spacing w:after="0"/>
              <w:rPr>
                <w:sz w:val="12"/>
                <w:szCs w:val="12"/>
                <w:color w:val="auto"/>
              </w:rPr>
            </w:pPr>
          </w:p>
        </w:tc>
        <w:tc>
          <w:tcPr>
            <w:tcW w:w="560" w:type="dxa"/>
            <w:vAlign w:val="bottom"/>
            <w:tcBorders>
              <w:right w:val="single" w:sz="8" w:color="auto"/>
            </w:tcBorders>
          </w:tcPr>
          <w:p>
            <w:pPr>
              <w:jc w:val="center"/>
              <w:ind w:right="179"/>
              <w:spacing w:after="0" w:line="145" w:lineRule="exact"/>
              <w:rPr>
                <w:sz w:val="20"/>
                <w:szCs w:val="20"/>
                <w:color w:val="auto"/>
              </w:rPr>
            </w:pPr>
            <w:r>
              <w:rPr>
                <w:rFonts w:ascii="Calibri" w:cs="Calibri" w:eastAsia="Calibri" w:hAnsi="Calibri"/>
                <w:sz w:val="12"/>
                <w:szCs w:val="12"/>
                <w:color w:val="auto"/>
              </w:rPr>
              <w:t>4.5%</w:t>
            </w:r>
          </w:p>
        </w:tc>
        <w:tc>
          <w:tcPr>
            <w:tcW w:w="78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523</w:t>
            </w:r>
          </w:p>
        </w:tc>
        <w:tc>
          <w:tcPr>
            <w:tcW w:w="76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515</w:t>
            </w:r>
          </w:p>
        </w:tc>
        <w:tc>
          <w:tcPr>
            <w:tcW w:w="7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510</w:t>
            </w:r>
          </w:p>
        </w:tc>
        <w:tc>
          <w:tcPr>
            <w:tcW w:w="54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-0.9%</w:t>
            </w:r>
          </w:p>
        </w:tc>
        <w:tc>
          <w:tcPr>
            <w:tcW w:w="1040" w:type="dxa"/>
            <w:vAlign w:val="bottom"/>
            <w:tcBorders>
              <w:right w:val="single" w:sz="8" w:color="auto"/>
            </w:tcBorders>
            <w:gridSpan w:val="2"/>
          </w:tcPr>
          <w:p>
            <w:pPr>
              <w:jc w:val="center"/>
              <w:ind w:left="179"/>
              <w:spacing w:after="0" w:line="145" w:lineRule="exact"/>
              <w:rPr>
                <w:sz w:val="20"/>
                <w:szCs w:val="20"/>
                <w:color w:val="auto"/>
              </w:rPr>
            </w:pPr>
            <w:r>
              <w:rPr>
                <w:rFonts w:ascii="Calibri" w:cs="Calibri" w:eastAsia="Calibri" w:hAnsi="Calibri"/>
                <w:sz w:val="12"/>
                <w:szCs w:val="12"/>
                <w:color w:val="auto"/>
              </w:rPr>
              <w:t>-2.5%</w:t>
            </w:r>
          </w:p>
        </w:tc>
        <w:tc>
          <w:tcPr>
            <w:tcW w:w="58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rPr>
              <w:t>91.2%</w:t>
            </w:r>
          </w:p>
        </w:tc>
        <w:tc>
          <w:tcPr>
            <w:tcW w:w="100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rPr>
              <w:t>8.8%</w:t>
            </w:r>
          </w:p>
        </w:tc>
      </w:tr>
      <w:tr>
        <w:trPr>
          <w:trHeight w:val="133"/>
        </w:trPr>
        <w:tc>
          <w:tcPr>
            <w:tcW w:w="1880" w:type="dxa"/>
            <w:vAlign w:val="bottom"/>
            <w:tcBorders>
              <w:left w:val="single" w:sz="8" w:color="auto"/>
              <w:right w:val="single" w:sz="8" w:color="auto"/>
            </w:tcBorders>
          </w:tcPr>
          <w:p>
            <w:pPr>
              <w:ind w:left="100"/>
              <w:spacing w:after="0" w:line="134" w:lineRule="exact"/>
              <w:rPr>
                <w:sz w:val="20"/>
                <w:szCs w:val="20"/>
                <w:color w:val="auto"/>
              </w:rPr>
            </w:pPr>
            <w:r>
              <w:rPr>
                <w:rFonts w:ascii="Calibri" w:cs="Calibri" w:eastAsia="Calibri" w:hAnsi="Calibri"/>
                <w:sz w:val="12"/>
                <w:szCs w:val="12"/>
                <w:color w:val="auto"/>
              </w:rPr>
              <w:t>Consumer</w:t>
            </w:r>
          </w:p>
        </w:tc>
        <w:tc>
          <w:tcPr>
            <w:tcW w:w="780" w:type="dxa"/>
            <w:vAlign w:val="bottom"/>
          </w:tcPr>
          <w:p>
            <w:pPr>
              <w:jc w:val="right"/>
              <w:ind w:right="159"/>
              <w:spacing w:after="0" w:line="134" w:lineRule="exact"/>
              <w:rPr>
                <w:sz w:val="20"/>
                <w:szCs w:val="20"/>
                <w:color w:val="auto"/>
              </w:rPr>
            </w:pPr>
            <w:r>
              <w:rPr>
                <w:rFonts w:ascii="Calibri" w:cs="Calibri" w:eastAsia="Calibri" w:hAnsi="Calibri"/>
                <w:sz w:val="12"/>
                <w:szCs w:val="12"/>
                <w:color w:val="auto"/>
              </w:rPr>
              <w:t>11,075</w:t>
            </w:r>
          </w:p>
        </w:tc>
        <w:tc>
          <w:tcPr>
            <w:tcW w:w="760" w:type="dxa"/>
            <w:vAlign w:val="bottom"/>
          </w:tcPr>
          <w:p>
            <w:pPr>
              <w:jc w:val="right"/>
              <w:ind w:right="139"/>
              <w:spacing w:after="0" w:line="134" w:lineRule="exact"/>
              <w:rPr>
                <w:sz w:val="20"/>
                <w:szCs w:val="20"/>
                <w:color w:val="auto"/>
              </w:rPr>
            </w:pPr>
            <w:r>
              <w:rPr>
                <w:rFonts w:ascii="Calibri" w:cs="Calibri" w:eastAsia="Calibri" w:hAnsi="Calibri"/>
                <w:sz w:val="12"/>
                <w:szCs w:val="12"/>
                <w:color w:val="auto"/>
              </w:rPr>
              <w:t>10,742</w:t>
            </w:r>
          </w:p>
        </w:tc>
        <w:tc>
          <w:tcPr>
            <w:tcW w:w="760" w:type="dxa"/>
            <w:vAlign w:val="bottom"/>
            <w:tcBorders>
              <w:right w:val="single" w:sz="8" w:color="auto"/>
            </w:tcBorders>
          </w:tcPr>
          <w:p>
            <w:pPr>
              <w:jc w:val="right"/>
              <w:ind w:right="159"/>
              <w:spacing w:after="0" w:line="134" w:lineRule="exact"/>
              <w:rPr>
                <w:sz w:val="20"/>
                <w:szCs w:val="20"/>
                <w:color w:val="auto"/>
              </w:rPr>
            </w:pPr>
            <w:r>
              <w:rPr>
                <w:rFonts w:ascii="Calibri" w:cs="Calibri" w:eastAsia="Calibri" w:hAnsi="Calibri"/>
                <w:sz w:val="12"/>
                <w:szCs w:val="12"/>
                <w:color w:val="auto"/>
              </w:rPr>
              <w:t>10,679</w:t>
            </w:r>
          </w:p>
        </w:tc>
        <w:tc>
          <w:tcPr>
            <w:tcW w:w="800" w:type="dxa"/>
            <w:vAlign w:val="bottom"/>
          </w:tcPr>
          <w:p>
            <w:pPr>
              <w:jc w:val="center"/>
              <w:spacing w:after="0" w:line="134" w:lineRule="exact"/>
              <w:rPr>
                <w:sz w:val="20"/>
                <w:szCs w:val="20"/>
                <w:color w:val="auto"/>
              </w:rPr>
            </w:pPr>
            <w:r>
              <w:rPr>
                <w:rFonts w:ascii="Calibri" w:cs="Calibri" w:eastAsia="Calibri" w:hAnsi="Calibri"/>
                <w:sz w:val="12"/>
                <w:szCs w:val="12"/>
                <w:color w:val="auto"/>
              </w:rPr>
              <w:t>-0.6%</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center"/>
              <w:ind w:right="179"/>
              <w:spacing w:after="0" w:line="134" w:lineRule="exact"/>
              <w:rPr>
                <w:sz w:val="20"/>
                <w:szCs w:val="20"/>
                <w:color w:val="auto"/>
              </w:rPr>
            </w:pPr>
            <w:r>
              <w:rPr>
                <w:rFonts w:ascii="Calibri" w:cs="Calibri" w:eastAsia="Calibri" w:hAnsi="Calibri"/>
                <w:sz w:val="12"/>
                <w:szCs w:val="12"/>
                <w:color w:val="auto"/>
              </w:rPr>
              <w:t>-3.6%</w:t>
            </w:r>
          </w:p>
        </w:tc>
        <w:tc>
          <w:tcPr>
            <w:tcW w:w="780" w:type="dxa"/>
            <w:vAlign w:val="bottom"/>
          </w:tcPr>
          <w:p>
            <w:pPr>
              <w:jc w:val="center"/>
              <w:spacing w:after="0" w:line="134" w:lineRule="exact"/>
              <w:rPr>
                <w:sz w:val="20"/>
                <w:szCs w:val="20"/>
                <w:color w:val="auto"/>
              </w:rPr>
            </w:pPr>
            <w:r>
              <w:rPr>
                <w:rFonts w:ascii="Calibri" w:cs="Calibri" w:eastAsia="Calibri" w:hAnsi="Calibri"/>
                <w:sz w:val="12"/>
                <w:szCs w:val="12"/>
                <w:color w:val="auto"/>
                <w:w w:val="98"/>
              </w:rPr>
              <w:t>407</w:t>
            </w: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color w:val="auto"/>
                <w:w w:val="98"/>
              </w:rPr>
              <w:t>423</w:t>
            </w:r>
          </w:p>
        </w:tc>
        <w:tc>
          <w:tcPr>
            <w:tcW w:w="780" w:type="dxa"/>
            <w:vAlign w:val="bottom"/>
            <w:tcBorders>
              <w:right w:val="single" w:sz="8" w:color="auto"/>
            </w:tcBorders>
          </w:tcPr>
          <w:p>
            <w:pPr>
              <w:jc w:val="center"/>
              <w:spacing w:after="0" w:line="134" w:lineRule="exact"/>
              <w:rPr>
                <w:sz w:val="20"/>
                <w:szCs w:val="20"/>
                <w:color w:val="auto"/>
              </w:rPr>
            </w:pPr>
            <w:r>
              <w:rPr>
                <w:rFonts w:ascii="Calibri" w:cs="Calibri" w:eastAsia="Calibri" w:hAnsi="Calibri"/>
                <w:sz w:val="12"/>
                <w:szCs w:val="12"/>
                <w:color w:val="auto"/>
                <w:w w:val="98"/>
              </w:rPr>
              <w:t>447</w:t>
            </w:r>
          </w:p>
        </w:tc>
        <w:tc>
          <w:tcPr>
            <w:tcW w:w="540" w:type="dxa"/>
            <w:vAlign w:val="bottom"/>
          </w:tcPr>
          <w:p>
            <w:pPr>
              <w:jc w:val="center"/>
              <w:ind w:left="199"/>
              <w:spacing w:after="0" w:line="134" w:lineRule="exact"/>
              <w:rPr>
                <w:sz w:val="20"/>
                <w:szCs w:val="20"/>
                <w:color w:val="auto"/>
              </w:rPr>
            </w:pPr>
            <w:r>
              <w:rPr>
                <w:rFonts w:ascii="Calibri" w:cs="Calibri" w:eastAsia="Calibri" w:hAnsi="Calibri"/>
                <w:sz w:val="12"/>
                <w:szCs w:val="12"/>
                <w:color w:val="auto"/>
              </w:rPr>
              <w:t>5.5%</w:t>
            </w:r>
          </w:p>
        </w:tc>
        <w:tc>
          <w:tcPr>
            <w:tcW w:w="1040" w:type="dxa"/>
            <w:vAlign w:val="bottom"/>
            <w:tcBorders>
              <w:right w:val="single" w:sz="8" w:color="auto"/>
            </w:tcBorders>
            <w:gridSpan w:val="2"/>
          </w:tcPr>
          <w:p>
            <w:pPr>
              <w:jc w:val="center"/>
              <w:ind w:left="179"/>
              <w:spacing w:after="0" w:line="134" w:lineRule="exact"/>
              <w:rPr>
                <w:sz w:val="20"/>
                <w:szCs w:val="20"/>
                <w:color w:val="auto"/>
              </w:rPr>
            </w:pPr>
            <w:r>
              <w:rPr>
                <w:rFonts w:ascii="Calibri" w:cs="Calibri" w:eastAsia="Calibri" w:hAnsi="Calibri"/>
                <w:sz w:val="12"/>
                <w:szCs w:val="12"/>
                <w:color w:val="auto"/>
              </w:rPr>
              <w:t>9.9%</w:t>
            </w:r>
          </w:p>
        </w:tc>
        <w:tc>
          <w:tcPr>
            <w:tcW w:w="580" w:type="dxa"/>
            <w:vAlign w:val="bottom"/>
          </w:tcPr>
          <w:p>
            <w:pPr>
              <w:jc w:val="center"/>
              <w:ind w:left="139"/>
              <w:spacing w:after="0" w:line="134" w:lineRule="exact"/>
              <w:rPr>
                <w:sz w:val="20"/>
                <w:szCs w:val="20"/>
                <w:color w:val="auto"/>
              </w:rPr>
            </w:pPr>
            <w:r>
              <w:rPr>
                <w:rFonts w:ascii="Calibri" w:cs="Calibri" w:eastAsia="Calibri" w:hAnsi="Calibri"/>
                <w:sz w:val="12"/>
                <w:szCs w:val="12"/>
                <w:color w:val="auto"/>
              </w:rPr>
              <w:t>86.4%</w:t>
            </w:r>
          </w:p>
        </w:tc>
        <w:tc>
          <w:tcPr>
            <w:tcW w:w="1000" w:type="dxa"/>
            <w:vAlign w:val="bottom"/>
            <w:tcBorders>
              <w:right w:val="single" w:sz="8" w:color="auto"/>
            </w:tcBorders>
          </w:tcPr>
          <w:p>
            <w:pPr>
              <w:jc w:val="center"/>
              <w:ind w:left="159"/>
              <w:spacing w:after="0" w:line="134" w:lineRule="exact"/>
              <w:rPr>
                <w:sz w:val="20"/>
                <w:szCs w:val="20"/>
                <w:color w:val="auto"/>
              </w:rPr>
            </w:pPr>
            <w:r>
              <w:rPr>
                <w:rFonts w:ascii="Calibri" w:cs="Calibri" w:eastAsia="Calibri" w:hAnsi="Calibri"/>
                <w:sz w:val="12"/>
                <w:szCs w:val="12"/>
                <w:color w:val="auto"/>
              </w:rPr>
              <w:t>13.6%</w:t>
            </w:r>
          </w:p>
        </w:tc>
      </w:tr>
      <w:tr>
        <w:trPr>
          <w:trHeight w:val="146"/>
        </w:trPr>
        <w:tc>
          <w:tcPr>
            <w:tcW w:w="1880" w:type="dxa"/>
            <w:vAlign w:val="bottom"/>
            <w:tcBorders>
              <w:left w:val="single" w:sz="8" w:color="auto"/>
              <w:right w:val="single" w:sz="8" w:color="auto"/>
            </w:tcBorders>
          </w:tcPr>
          <w:p>
            <w:pPr>
              <w:ind w:left="100"/>
              <w:spacing w:after="0"/>
              <w:rPr>
                <w:sz w:val="20"/>
                <w:szCs w:val="20"/>
                <w:color w:val="auto"/>
              </w:rPr>
            </w:pPr>
            <w:r>
              <w:rPr>
                <w:rFonts w:ascii="Calibri" w:cs="Calibri" w:eastAsia="Calibri" w:hAnsi="Calibri"/>
                <w:sz w:val="12"/>
                <w:szCs w:val="12"/>
                <w:color w:val="auto"/>
              </w:rPr>
              <w:t>Credit Card</w:t>
            </w:r>
          </w:p>
        </w:tc>
        <w:tc>
          <w:tcPr>
            <w:tcW w:w="780" w:type="dxa"/>
            <w:vAlign w:val="bottom"/>
          </w:tcPr>
          <w:p>
            <w:pPr>
              <w:jc w:val="right"/>
              <w:ind w:right="179"/>
              <w:spacing w:after="0"/>
              <w:rPr>
                <w:sz w:val="20"/>
                <w:szCs w:val="20"/>
                <w:color w:val="auto"/>
              </w:rPr>
            </w:pPr>
            <w:r>
              <w:rPr>
                <w:rFonts w:ascii="Calibri" w:cs="Calibri" w:eastAsia="Calibri" w:hAnsi="Calibri"/>
                <w:sz w:val="12"/>
                <w:szCs w:val="12"/>
                <w:color w:val="auto"/>
              </w:rPr>
              <w:t>4,971</w:t>
            </w:r>
          </w:p>
        </w:tc>
        <w:tc>
          <w:tcPr>
            <w:tcW w:w="760" w:type="dxa"/>
            <w:vAlign w:val="bottom"/>
          </w:tcPr>
          <w:p>
            <w:pPr>
              <w:ind w:left="240"/>
              <w:spacing w:after="0"/>
              <w:rPr>
                <w:sz w:val="20"/>
                <w:szCs w:val="20"/>
                <w:color w:val="auto"/>
              </w:rPr>
            </w:pPr>
            <w:r>
              <w:rPr>
                <w:rFonts w:ascii="Calibri" w:cs="Calibri" w:eastAsia="Calibri" w:hAnsi="Calibri"/>
                <w:sz w:val="12"/>
                <w:szCs w:val="12"/>
                <w:color w:val="auto"/>
              </w:rPr>
              <w:t>4,834</w:t>
            </w:r>
          </w:p>
        </w:tc>
        <w:tc>
          <w:tcPr>
            <w:tcW w:w="760" w:type="dxa"/>
            <w:vAlign w:val="bottom"/>
            <w:tcBorders>
              <w:right w:val="single" w:sz="8" w:color="auto"/>
            </w:tcBorders>
          </w:tcPr>
          <w:p>
            <w:pPr>
              <w:jc w:val="right"/>
              <w:ind w:right="199"/>
              <w:spacing w:after="0"/>
              <w:rPr>
                <w:sz w:val="20"/>
                <w:szCs w:val="20"/>
                <w:color w:val="auto"/>
              </w:rPr>
            </w:pPr>
            <w:r>
              <w:rPr>
                <w:rFonts w:ascii="Calibri" w:cs="Calibri" w:eastAsia="Calibri" w:hAnsi="Calibri"/>
                <w:sz w:val="12"/>
                <w:szCs w:val="12"/>
                <w:color w:val="auto"/>
              </w:rPr>
              <w:t>4,788</w:t>
            </w:r>
          </w:p>
        </w:tc>
        <w:tc>
          <w:tcPr>
            <w:tcW w:w="800" w:type="dxa"/>
            <w:vAlign w:val="bottom"/>
          </w:tcPr>
          <w:p>
            <w:pPr>
              <w:jc w:val="center"/>
              <w:spacing w:after="0"/>
              <w:rPr>
                <w:sz w:val="20"/>
                <w:szCs w:val="20"/>
                <w:color w:val="auto"/>
              </w:rPr>
            </w:pPr>
            <w:r>
              <w:rPr>
                <w:rFonts w:ascii="Calibri" w:cs="Calibri" w:eastAsia="Calibri" w:hAnsi="Calibri"/>
                <w:sz w:val="12"/>
                <w:szCs w:val="12"/>
                <w:color w:val="auto"/>
              </w:rPr>
              <w:t>-1.0%</w:t>
            </w:r>
          </w:p>
        </w:tc>
        <w:tc>
          <w:tcPr>
            <w:tcW w:w="220" w:type="dxa"/>
            <w:vAlign w:val="bottom"/>
          </w:tcPr>
          <w:p>
            <w:pPr>
              <w:spacing w:after="0"/>
              <w:rPr>
                <w:sz w:val="12"/>
                <w:szCs w:val="12"/>
                <w:color w:val="auto"/>
              </w:rPr>
            </w:pPr>
          </w:p>
        </w:tc>
        <w:tc>
          <w:tcPr>
            <w:tcW w:w="560" w:type="dxa"/>
            <w:vAlign w:val="bottom"/>
            <w:tcBorders>
              <w:right w:val="single" w:sz="8" w:color="auto"/>
            </w:tcBorders>
          </w:tcPr>
          <w:p>
            <w:pPr>
              <w:jc w:val="center"/>
              <w:ind w:right="179"/>
              <w:spacing w:after="0"/>
              <w:rPr>
                <w:sz w:val="20"/>
                <w:szCs w:val="20"/>
                <w:color w:val="auto"/>
              </w:rPr>
            </w:pPr>
            <w:r>
              <w:rPr>
                <w:rFonts w:ascii="Calibri" w:cs="Calibri" w:eastAsia="Calibri" w:hAnsi="Calibri"/>
                <w:sz w:val="12"/>
                <w:szCs w:val="12"/>
                <w:color w:val="auto"/>
              </w:rPr>
              <w:t>-3.7%</w:t>
            </w:r>
          </w:p>
        </w:tc>
        <w:tc>
          <w:tcPr>
            <w:tcW w:w="780" w:type="dxa"/>
            <w:vAlign w:val="bottom"/>
          </w:tcPr>
          <w:p>
            <w:pPr>
              <w:jc w:val="center"/>
              <w:spacing w:after="0"/>
              <w:rPr>
                <w:sz w:val="20"/>
                <w:szCs w:val="20"/>
                <w:color w:val="auto"/>
              </w:rPr>
            </w:pPr>
            <w:r>
              <w:rPr>
                <w:rFonts w:ascii="Calibri" w:cs="Calibri" w:eastAsia="Calibri" w:hAnsi="Calibri"/>
                <w:sz w:val="12"/>
                <w:szCs w:val="12"/>
                <w:color w:val="auto"/>
                <w:w w:val="98"/>
              </w:rPr>
              <w:t>260</w:t>
            </w:r>
          </w:p>
        </w:tc>
        <w:tc>
          <w:tcPr>
            <w:tcW w:w="760" w:type="dxa"/>
            <w:vAlign w:val="bottom"/>
          </w:tcPr>
          <w:p>
            <w:pPr>
              <w:jc w:val="center"/>
              <w:spacing w:after="0"/>
              <w:rPr>
                <w:sz w:val="20"/>
                <w:szCs w:val="20"/>
                <w:color w:val="auto"/>
              </w:rPr>
            </w:pPr>
            <w:r>
              <w:rPr>
                <w:rFonts w:ascii="Calibri" w:cs="Calibri" w:eastAsia="Calibri" w:hAnsi="Calibri"/>
                <w:sz w:val="12"/>
                <w:szCs w:val="12"/>
                <w:color w:val="auto"/>
                <w:w w:val="98"/>
              </w:rPr>
              <w:t>272</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8"/>
              </w:rPr>
              <w:t>283</w:t>
            </w:r>
          </w:p>
        </w:tc>
        <w:tc>
          <w:tcPr>
            <w:tcW w:w="540" w:type="dxa"/>
            <w:vAlign w:val="bottom"/>
          </w:tcPr>
          <w:p>
            <w:pPr>
              <w:jc w:val="center"/>
              <w:ind w:left="199"/>
              <w:spacing w:after="0"/>
              <w:rPr>
                <w:sz w:val="20"/>
                <w:szCs w:val="20"/>
                <w:color w:val="auto"/>
              </w:rPr>
            </w:pPr>
            <w:r>
              <w:rPr>
                <w:rFonts w:ascii="Calibri" w:cs="Calibri" w:eastAsia="Calibri" w:hAnsi="Calibri"/>
                <w:sz w:val="12"/>
                <w:szCs w:val="12"/>
                <w:color w:val="auto"/>
              </w:rPr>
              <w:t>4.2%</w:t>
            </w:r>
          </w:p>
        </w:tc>
        <w:tc>
          <w:tcPr>
            <w:tcW w:w="1040" w:type="dxa"/>
            <w:vAlign w:val="bottom"/>
            <w:tcBorders>
              <w:right w:val="single" w:sz="8" w:color="auto"/>
            </w:tcBorders>
            <w:gridSpan w:val="2"/>
          </w:tcPr>
          <w:p>
            <w:pPr>
              <w:jc w:val="center"/>
              <w:ind w:left="179"/>
              <w:spacing w:after="0"/>
              <w:rPr>
                <w:sz w:val="20"/>
                <w:szCs w:val="20"/>
                <w:color w:val="auto"/>
              </w:rPr>
            </w:pPr>
            <w:r>
              <w:rPr>
                <w:rFonts w:ascii="Calibri" w:cs="Calibri" w:eastAsia="Calibri" w:hAnsi="Calibri"/>
                <w:sz w:val="12"/>
                <w:szCs w:val="12"/>
                <w:color w:val="auto"/>
              </w:rPr>
              <w:t>8.8%</w:t>
            </w:r>
          </w:p>
        </w:tc>
        <w:tc>
          <w:tcPr>
            <w:tcW w:w="580" w:type="dxa"/>
            <w:vAlign w:val="bottom"/>
          </w:tcPr>
          <w:p>
            <w:pPr>
              <w:jc w:val="center"/>
              <w:ind w:left="139"/>
              <w:spacing w:after="0"/>
              <w:rPr>
                <w:sz w:val="20"/>
                <w:szCs w:val="20"/>
                <w:color w:val="auto"/>
              </w:rPr>
            </w:pPr>
            <w:r>
              <w:rPr>
                <w:rFonts w:ascii="Calibri" w:cs="Calibri" w:eastAsia="Calibri" w:hAnsi="Calibri"/>
                <w:sz w:val="12"/>
                <w:szCs w:val="12"/>
                <w:color w:val="auto"/>
              </w:rPr>
              <w:t>81.8%</w:t>
            </w:r>
          </w:p>
        </w:tc>
        <w:tc>
          <w:tcPr>
            <w:tcW w:w="1000" w:type="dxa"/>
            <w:vAlign w:val="bottom"/>
            <w:tcBorders>
              <w:right w:val="single" w:sz="8" w:color="auto"/>
            </w:tcBorders>
          </w:tcPr>
          <w:p>
            <w:pPr>
              <w:jc w:val="center"/>
              <w:ind w:left="159"/>
              <w:spacing w:after="0"/>
              <w:rPr>
                <w:sz w:val="20"/>
                <w:szCs w:val="20"/>
                <w:color w:val="auto"/>
              </w:rPr>
            </w:pPr>
            <w:r>
              <w:rPr>
                <w:rFonts w:ascii="Calibri" w:cs="Calibri" w:eastAsia="Calibri" w:hAnsi="Calibri"/>
                <w:sz w:val="12"/>
                <w:szCs w:val="12"/>
                <w:color w:val="auto"/>
              </w:rPr>
              <w:t>18.2%</w:t>
            </w:r>
          </w:p>
        </w:tc>
      </w:tr>
      <w:tr>
        <w:trPr>
          <w:trHeight w:val="154"/>
        </w:trPr>
        <w:tc>
          <w:tcPr>
            <w:tcW w:w="1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Mibanco</w:t>
            </w:r>
          </w:p>
        </w:tc>
        <w:tc>
          <w:tcPr>
            <w:tcW w:w="780" w:type="dxa"/>
            <w:vAlign w:val="bottom"/>
          </w:tcPr>
          <w:p>
            <w:pPr>
              <w:jc w:val="right"/>
              <w:ind w:right="159"/>
              <w:spacing w:after="0"/>
              <w:rPr>
                <w:sz w:val="20"/>
                <w:szCs w:val="20"/>
                <w:color w:val="auto"/>
              </w:rPr>
            </w:pPr>
            <w:r>
              <w:rPr>
                <w:rFonts w:ascii="Calibri" w:cs="Calibri" w:eastAsia="Calibri" w:hAnsi="Calibri"/>
                <w:sz w:val="12"/>
                <w:szCs w:val="12"/>
                <w:b w:val="1"/>
                <w:bCs w:val="1"/>
                <w:color w:val="auto"/>
              </w:rPr>
              <w:t>13,181</w:t>
            </w:r>
          </w:p>
        </w:tc>
        <w:tc>
          <w:tcPr>
            <w:tcW w:w="760" w:type="dxa"/>
            <w:vAlign w:val="bottom"/>
          </w:tcPr>
          <w:p>
            <w:pPr>
              <w:jc w:val="right"/>
              <w:ind w:right="139"/>
              <w:spacing w:after="0"/>
              <w:rPr>
                <w:sz w:val="20"/>
                <w:szCs w:val="20"/>
                <w:color w:val="auto"/>
              </w:rPr>
            </w:pPr>
            <w:r>
              <w:rPr>
                <w:rFonts w:ascii="Calibri" w:cs="Calibri" w:eastAsia="Calibri" w:hAnsi="Calibri"/>
                <w:sz w:val="12"/>
                <w:szCs w:val="12"/>
                <w:b w:val="1"/>
                <w:bCs w:val="1"/>
                <w:color w:val="auto"/>
              </w:rPr>
              <w:t>12,186</w:t>
            </w:r>
          </w:p>
        </w:tc>
        <w:tc>
          <w:tcPr>
            <w:tcW w:w="760" w:type="dxa"/>
            <w:vAlign w:val="bottom"/>
            <w:tcBorders>
              <w:right w:val="single" w:sz="8" w:color="auto"/>
            </w:tcBorders>
          </w:tcPr>
          <w:p>
            <w:pPr>
              <w:jc w:val="right"/>
              <w:ind w:right="159"/>
              <w:spacing w:after="0"/>
              <w:rPr>
                <w:sz w:val="20"/>
                <w:szCs w:val="20"/>
                <w:color w:val="auto"/>
              </w:rPr>
            </w:pPr>
            <w:r>
              <w:rPr>
                <w:rFonts w:ascii="Calibri" w:cs="Calibri" w:eastAsia="Calibri" w:hAnsi="Calibri"/>
                <w:sz w:val="12"/>
                <w:szCs w:val="12"/>
                <w:b w:val="1"/>
                <w:bCs w:val="1"/>
                <w:color w:val="auto"/>
              </w:rPr>
              <w:t>12,045</w:t>
            </w:r>
          </w:p>
        </w:tc>
        <w:tc>
          <w:tcPr>
            <w:tcW w:w="800" w:type="dxa"/>
            <w:vAlign w:val="bottom"/>
          </w:tcPr>
          <w:p>
            <w:pPr>
              <w:jc w:val="center"/>
              <w:spacing w:after="0"/>
              <w:rPr>
                <w:sz w:val="20"/>
                <w:szCs w:val="20"/>
                <w:color w:val="auto"/>
              </w:rPr>
            </w:pPr>
            <w:r>
              <w:rPr>
                <w:rFonts w:ascii="Calibri" w:cs="Calibri" w:eastAsia="Calibri" w:hAnsi="Calibri"/>
                <w:sz w:val="12"/>
                <w:szCs w:val="12"/>
                <w:b w:val="1"/>
                <w:bCs w:val="1"/>
                <w:color w:val="auto"/>
              </w:rPr>
              <w:t>-1.2%</w:t>
            </w:r>
          </w:p>
        </w:tc>
        <w:tc>
          <w:tcPr>
            <w:tcW w:w="220" w:type="dxa"/>
            <w:vAlign w:val="bottom"/>
            <w:shd w:val="clear" w:color="auto" w:fill="FF00FF"/>
          </w:tcPr>
          <w:p>
            <w:pPr>
              <w:spacing w:after="0"/>
              <w:rPr>
                <w:sz w:val="13"/>
                <w:szCs w:val="13"/>
                <w:color w:val="auto"/>
              </w:rPr>
            </w:pPr>
          </w:p>
        </w:tc>
        <w:tc>
          <w:tcPr>
            <w:tcW w:w="560" w:type="dxa"/>
            <w:vAlign w:val="bottom"/>
            <w:tcBorders>
              <w:right w:val="single" w:sz="8" w:color="auto"/>
            </w:tcBorders>
            <w:shd w:val="clear" w:color="auto" w:fill="FF00FF"/>
          </w:tcPr>
          <w:p>
            <w:pPr>
              <w:jc w:val="center"/>
              <w:ind w:right="179"/>
              <w:spacing w:after="0"/>
              <w:rPr>
                <w:sz w:val="20"/>
                <w:szCs w:val="20"/>
                <w:color w:val="auto"/>
              </w:rPr>
            </w:pPr>
            <w:r>
              <w:rPr>
                <w:rFonts w:ascii="Calibri" w:cs="Calibri" w:eastAsia="Calibri" w:hAnsi="Calibri"/>
                <w:sz w:val="12"/>
                <w:szCs w:val="12"/>
                <w:b w:val="1"/>
                <w:bCs w:val="1"/>
                <w:color w:val="auto"/>
              </w:rPr>
              <w:t>-8.6%</w:t>
            </w:r>
          </w:p>
        </w:tc>
        <w:tc>
          <w:tcPr>
            <w:tcW w:w="780" w:type="dxa"/>
            <w:vAlign w:val="bottom"/>
          </w:tcPr>
          <w:p>
            <w:pPr>
              <w:jc w:val="center"/>
              <w:spacing w:after="0"/>
              <w:rPr>
                <w:sz w:val="20"/>
                <w:szCs w:val="20"/>
                <w:color w:val="auto"/>
              </w:rPr>
            </w:pPr>
            <w:r>
              <w:rPr>
                <w:rFonts w:ascii="Calibri" w:cs="Calibri" w:eastAsia="Calibri" w:hAnsi="Calibri"/>
                <w:sz w:val="12"/>
                <w:szCs w:val="12"/>
                <w:b w:val="1"/>
                <w:bCs w:val="1"/>
                <w:color w:val="auto"/>
                <w:w w:val="98"/>
              </w:rPr>
              <w:t>129</w:t>
            </w:r>
          </w:p>
        </w:tc>
        <w:tc>
          <w:tcPr>
            <w:tcW w:w="760" w:type="dxa"/>
            <w:vAlign w:val="bottom"/>
          </w:tcPr>
          <w:p>
            <w:pPr>
              <w:jc w:val="center"/>
              <w:spacing w:after="0"/>
              <w:rPr>
                <w:sz w:val="20"/>
                <w:szCs w:val="20"/>
                <w:color w:val="auto"/>
              </w:rPr>
            </w:pPr>
            <w:r>
              <w:rPr>
                <w:rFonts w:ascii="Calibri" w:cs="Calibri" w:eastAsia="Calibri" w:hAnsi="Calibri"/>
                <w:sz w:val="12"/>
                <w:szCs w:val="12"/>
                <w:b w:val="1"/>
                <w:bCs w:val="1"/>
                <w:color w:val="auto"/>
                <w:w w:val="97"/>
              </w:rPr>
              <w:t>4</w:t>
            </w:r>
          </w:p>
        </w:tc>
        <w:tc>
          <w:tcPr>
            <w:tcW w:w="7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7"/>
              </w:rPr>
              <w:t>3</w:t>
            </w:r>
          </w:p>
        </w:tc>
        <w:tc>
          <w:tcPr>
            <w:tcW w:w="54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-8.1%</w:t>
            </w:r>
          </w:p>
        </w:tc>
        <w:tc>
          <w:tcPr>
            <w:tcW w:w="1040" w:type="dxa"/>
            <w:vAlign w:val="bottom"/>
            <w:tcBorders>
              <w:right w:val="single" w:sz="8" w:color="auto"/>
            </w:tcBorders>
            <w:gridSpan w:val="2"/>
          </w:tcPr>
          <w:p>
            <w:pPr>
              <w:jc w:val="center"/>
              <w:ind w:left="199"/>
              <w:spacing w:after="0"/>
              <w:rPr>
                <w:sz w:val="20"/>
                <w:szCs w:val="20"/>
                <w:color w:val="auto"/>
              </w:rPr>
            </w:pPr>
            <w:r>
              <w:rPr>
                <w:rFonts w:ascii="Calibri" w:cs="Calibri" w:eastAsia="Calibri" w:hAnsi="Calibri"/>
                <w:sz w:val="12"/>
                <w:szCs w:val="12"/>
                <w:b w:val="1"/>
                <w:bCs w:val="1"/>
                <w:color w:val="auto"/>
              </w:rPr>
              <w:t>-97.5%</w:t>
            </w:r>
          </w:p>
        </w:tc>
        <w:tc>
          <w:tcPr>
            <w:tcW w:w="580" w:type="dxa"/>
            <w:vAlign w:val="bottom"/>
          </w:tcPr>
          <w:p>
            <w:pPr>
              <w:jc w:val="center"/>
              <w:ind w:left="159"/>
              <w:spacing w:after="0"/>
              <w:rPr>
                <w:sz w:val="20"/>
                <w:szCs w:val="20"/>
                <w:color w:val="auto"/>
              </w:rPr>
            </w:pPr>
            <w:r>
              <w:rPr>
                <w:rFonts w:ascii="Calibri" w:cs="Calibri" w:eastAsia="Calibri" w:hAnsi="Calibri"/>
                <w:sz w:val="12"/>
                <w:szCs w:val="12"/>
                <w:b w:val="1"/>
                <w:bCs w:val="1"/>
                <w:color w:val="auto"/>
              </w:rPr>
              <w:t>99.9%</w:t>
            </w:r>
          </w:p>
        </w:tc>
        <w:tc>
          <w:tcPr>
            <w:tcW w:w="1000" w:type="dxa"/>
            <w:vAlign w:val="bottom"/>
            <w:tcBorders>
              <w:right w:val="single" w:sz="8" w:color="auto"/>
            </w:tcBorders>
          </w:tcPr>
          <w:p>
            <w:pPr>
              <w:jc w:val="center"/>
              <w:ind w:left="139"/>
              <w:spacing w:after="0"/>
              <w:rPr>
                <w:sz w:val="20"/>
                <w:szCs w:val="20"/>
                <w:color w:val="auto"/>
              </w:rPr>
            </w:pPr>
            <w:r>
              <w:rPr>
                <w:rFonts w:ascii="Calibri" w:cs="Calibri" w:eastAsia="Calibri" w:hAnsi="Calibri"/>
                <w:sz w:val="12"/>
                <w:szCs w:val="12"/>
                <w:b w:val="1"/>
                <w:bCs w:val="1"/>
                <w:color w:val="auto"/>
                <w:w w:val="99"/>
              </w:rPr>
              <w:t>0.1%</w:t>
            </w:r>
          </w:p>
        </w:tc>
      </w:tr>
      <w:tr>
        <w:trPr>
          <w:trHeight w:val="133"/>
        </w:trPr>
        <w:tc>
          <w:tcPr>
            <w:tcW w:w="1880" w:type="dxa"/>
            <w:vAlign w:val="bottom"/>
            <w:tcBorders>
              <w:left w:val="single" w:sz="8" w:color="auto"/>
              <w:right w:val="single" w:sz="8" w:color="auto"/>
            </w:tcBorders>
          </w:tcPr>
          <w:p>
            <w:pPr>
              <w:ind w:left="20"/>
              <w:spacing w:after="0" w:line="134" w:lineRule="exact"/>
              <w:rPr>
                <w:sz w:val="20"/>
                <w:szCs w:val="20"/>
                <w:color w:val="auto"/>
              </w:rPr>
            </w:pPr>
            <w:r>
              <w:rPr>
                <w:rFonts w:ascii="Calibri" w:cs="Calibri" w:eastAsia="Calibri" w:hAnsi="Calibri"/>
                <w:sz w:val="12"/>
                <w:szCs w:val="12"/>
                <w:b w:val="1"/>
                <w:bCs w:val="1"/>
                <w:color w:val="auto"/>
              </w:rPr>
              <w:t>Mibanco Colombia</w:t>
            </w:r>
          </w:p>
        </w:tc>
        <w:tc>
          <w:tcPr>
            <w:tcW w:w="780" w:type="dxa"/>
            <w:vAlign w:val="bottom"/>
          </w:tcPr>
          <w:p>
            <w:pPr>
              <w:jc w:val="right"/>
              <w:ind w:right="159"/>
              <w:spacing w:after="0" w:line="134" w:lineRule="exact"/>
              <w:rPr>
                <w:sz w:val="20"/>
                <w:szCs w:val="20"/>
                <w:color w:val="auto"/>
              </w:rPr>
            </w:pPr>
            <w:r>
              <w:rPr>
                <w:rFonts w:ascii="Calibri" w:cs="Calibri" w:eastAsia="Calibri" w:hAnsi="Calibri"/>
                <w:sz w:val="12"/>
                <w:szCs w:val="12"/>
                <w:b w:val="1"/>
                <w:bCs w:val="1"/>
                <w:color w:val="auto"/>
              </w:rPr>
              <w:t>-</w:t>
            </w:r>
          </w:p>
        </w:tc>
        <w:tc>
          <w:tcPr>
            <w:tcW w:w="760" w:type="dxa"/>
            <w:vAlign w:val="bottom"/>
          </w:tcPr>
          <w:p>
            <w:pPr>
              <w:jc w:val="right"/>
              <w:ind w:right="139"/>
              <w:spacing w:after="0" w:line="134" w:lineRule="exact"/>
              <w:rPr>
                <w:sz w:val="20"/>
                <w:szCs w:val="20"/>
                <w:color w:val="auto"/>
              </w:rPr>
            </w:pPr>
            <w:r>
              <w:rPr>
                <w:rFonts w:ascii="Calibri" w:cs="Calibri" w:eastAsia="Calibri" w:hAnsi="Calibri"/>
                <w:sz w:val="12"/>
                <w:szCs w:val="12"/>
                <w:b w:val="1"/>
                <w:bCs w:val="1"/>
                <w:color w:val="auto"/>
              </w:rPr>
              <w:t>-</w:t>
            </w:r>
          </w:p>
        </w:tc>
        <w:tc>
          <w:tcPr>
            <w:tcW w:w="760" w:type="dxa"/>
            <w:vAlign w:val="bottom"/>
            <w:tcBorders>
              <w:right w:val="single" w:sz="8" w:color="auto"/>
            </w:tcBorders>
          </w:tcPr>
          <w:p>
            <w:pPr>
              <w:jc w:val="right"/>
              <w:ind w:right="159"/>
              <w:spacing w:after="0" w:line="134" w:lineRule="exact"/>
              <w:rPr>
                <w:sz w:val="20"/>
                <w:szCs w:val="20"/>
                <w:color w:val="auto"/>
              </w:rPr>
            </w:pPr>
            <w:r>
              <w:rPr>
                <w:rFonts w:ascii="Calibri" w:cs="Calibri" w:eastAsia="Calibri" w:hAnsi="Calibri"/>
                <w:sz w:val="12"/>
                <w:szCs w:val="12"/>
                <w:b w:val="1"/>
                <w:bCs w:val="1"/>
                <w:color w:val="auto"/>
              </w:rPr>
              <w:t>-</w:t>
            </w:r>
          </w:p>
        </w:tc>
        <w:tc>
          <w:tcPr>
            <w:tcW w:w="800" w:type="dxa"/>
            <w:vAlign w:val="bottom"/>
          </w:tcPr>
          <w:p>
            <w:pPr>
              <w:ind w:left="520"/>
              <w:spacing w:after="0" w:line="134" w:lineRule="exact"/>
              <w:rPr>
                <w:sz w:val="20"/>
                <w:szCs w:val="20"/>
                <w:color w:val="auto"/>
              </w:rPr>
            </w:pPr>
            <w:r>
              <w:rPr>
                <w:rFonts w:ascii="Calibri" w:cs="Calibri" w:eastAsia="Calibri" w:hAnsi="Calibri"/>
                <w:sz w:val="12"/>
                <w:szCs w:val="12"/>
                <w:b w:val="1"/>
                <w:bCs w:val="1"/>
                <w:color w:val="auto"/>
              </w:rPr>
              <w:t>-</w:t>
            </w:r>
          </w:p>
        </w:tc>
        <w:tc>
          <w:tcPr>
            <w:tcW w:w="220" w:type="dxa"/>
            <w:vAlign w:val="bottom"/>
          </w:tcPr>
          <w:p>
            <w:pPr>
              <w:spacing w:after="0"/>
              <w:rPr>
                <w:sz w:val="11"/>
                <w:szCs w:val="11"/>
                <w:color w:val="auto"/>
              </w:rPr>
            </w:pPr>
          </w:p>
        </w:tc>
        <w:tc>
          <w:tcPr>
            <w:tcW w:w="560" w:type="dxa"/>
            <w:vAlign w:val="bottom"/>
            <w:tcBorders>
              <w:right w:val="single" w:sz="8" w:color="auto"/>
            </w:tcBorders>
          </w:tcPr>
          <w:p>
            <w:pPr>
              <w:jc w:val="right"/>
              <w:ind w:right="179"/>
              <w:spacing w:after="0" w:line="134" w:lineRule="exact"/>
              <w:rPr>
                <w:sz w:val="20"/>
                <w:szCs w:val="20"/>
                <w:color w:val="auto"/>
              </w:rPr>
            </w:pPr>
            <w:r>
              <w:rPr>
                <w:rFonts w:ascii="Calibri" w:cs="Calibri" w:eastAsia="Calibri" w:hAnsi="Calibri"/>
                <w:sz w:val="12"/>
                <w:szCs w:val="12"/>
                <w:b w:val="1"/>
                <w:bCs w:val="1"/>
                <w:color w:val="auto"/>
              </w:rPr>
              <w:t>-</w:t>
            </w:r>
          </w:p>
        </w:tc>
        <w:tc>
          <w:tcPr>
            <w:tcW w:w="78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auto"/>
                <w:w w:val="98"/>
              </w:rPr>
              <w:t>443</w:t>
            </w:r>
          </w:p>
        </w:tc>
        <w:tc>
          <w:tcPr>
            <w:tcW w:w="76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auto"/>
                <w:w w:val="98"/>
              </w:rPr>
              <w:t>462</w:t>
            </w:r>
          </w:p>
        </w:tc>
        <w:tc>
          <w:tcPr>
            <w:tcW w:w="780" w:type="dxa"/>
            <w:vAlign w:val="bottom"/>
            <w:tcBorders>
              <w:right w:val="single" w:sz="8" w:color="auto"/>
            </w:tcBorders>
          </w:tcPr>
          <w:p>
            <w:pPr>
              <w:jc w:val="center"/>
              <w:spacing w:after="0" w:line="134" w:lineRule="exact"/>
              <w:rPr>
                <w:sz w:val="20"/>
                <w:szCs w:val="20"/>
                <w:color w:val="auto"/>
              </w:rPr>
            </w:pPr>
            <w:r>
              <w:rPr>
                <w:rFonts w:ascii="Calibri" w:cs="Calibri" w:eastAsia="Calibri" w:hAnsi="Calibri"/>
                <w:sz w:val="12"/>
                <w:szCs w:val="12"/>
                <w:b w:val="1"/>
                <w:bCs w:val="1"/>
                <w:color w:val="auto"/>
                <w:w w:val="98"/>
              </w:rPr>
              <w:t>456</w:t>
            </w:r>
          </w:p>
        </w:tc>
        <w:tc>
          <w:tcPr>
            <w:tcW w:w="540" w:type="dxa"/>
            <w:vAlign w:val="bottom"/>
          </w:tcPr>
          <w:p>
            <w:pPr>
              <w:jc w:val="center"/>
              <w:ind w:left="199"/>
              <w:spacing w:after="0" w:line="134" w:lineRule="exact"/>
              <w:rPr>
                <w:sz w:val="20"/>
                <w:szCs w:val="20"/>
                <w:color w:val="auto"/>
              </w:rPr>
            </w:pPr>
            <w:r>
              <w:rPr>
                <w:rFonts w:ascii="Calibri" w:cs="Calibri" w:eastAsia="Calibri" w:hAnsi="Calibri"/>
                <w:sz w:val="12"/>
                <w:szCs w:val="12"/>
                <w:b w:val="1"/>
                <w:bCs w:val="1"/>
                <w:color w:val="auto"/>
              </w:rPr>
              <w:t>-1.3%</w:t>
            </w:r>
          </w:p>
        </w:tc>
        <w:tc>
          <w:tcPr>
            <w:tcW w:w="1040" w:type="dxa"/>
            <w:vAlign w:val="bottom"/>
            <w:tcBorders>
              <w:right w:val="single" w:sz="8" w:color="auto"/>
            </w:tcBorders>
            <w:gridSpan w:val="2"/>
          </w:tcPr>
          <w:p>
            <w:pPr>
              <w:jc w:val="center"/>
              <w:ind w:left="179"/>
              <w:spacing w:after="0" w:line="134" w:lineRule="exact"/>
              <w:rPr>
                <w:sz w:val="20"/>
                <w:szCs w:val="20"/>
                <w:color w:val="auto"/>
              </w:rPr>
            </w:pPr>
            <w:r>
              <w:rPr>
                <w:rFonts w:ascii="Calibri" w:cs="Calibri" w:eastAsia="Calibri" w:hAnsi="Calibri"/>
                <w:sz w:val="12"/>
                <w:szCs w:val="12"/>
                <w:b w:val="1"/>
                <w:bCs w:val="1"/>
                <w:color w:val="auto"/>
                <w:w w:val="99"/>
              </w:rPr>
              <w:t>2.9%</w:t>
            </w:r>
          </w:p>
        </w:tc>
        <w:tc>
          <w:tcPr>
            <w:tcW w:w="580" w:type="dxa"/>
            <w:vAlign w:val="bottom"/>
          </w:tcPr>
          <w:p>
            <w:pPr>
              <w:jc w:val="right"/>
              <w:spacing w:after="0" w:line="134" w:lineRule="exact"/>
              <w:rPr>
                <w:sz w:val="20"/>
                <w:szCs w:val="20"/>
                <w:color w:val="auto"/>
              </w:rPr>
            </w:pPr>
            <w:r>
              <w:rPr>
                <w:rFonts w:ascii="Calibri" w:cs="Calibri" w:eastAsia="Calibri" w:hAnsi="Calibri"/>
                <w:sz w:val="12"/>
                <w:szCs w:val="12"/>
                <w:b w:val="1"/>
                <w:bCs w:val="1"/>
                <w:color w:val="auto"/>
              </w:rPr>
              <w:t>-</w:t>
            </w:r>
          </w:p>
        </w:tc>
        <w:tc>
          <w:tcPr>
            <w:tcW w:w="1000" w:type="dxa"/>
            <w:vAlign w:val="bottom"/>
            <w:tcBorders>
              <w:right w:val="single" w:sz="8" w:color="auto"/>
            </w:tcBorders>
          </w:tcPr>
          <w:p>
            <w:pPr>
              <w:jc w:val="center"/>
              <w:ind w:left="139"/>
              <w:spacing w:after="0" w:line="134" w:lineRule="exact"/>
              <w:rPr>
                <w:sz w:val="20"/>
                <w:szCs w:val="20"/>
                <w:color w:val="auto"/>
              </w:rPr>
            </w:pPr>
            <w:r>
              <w:rPr>
                <w:rFonts w:ascii="Calibri" w:cs="Calibri" w:eastAsia="Calibri" w:hAnsi="Calibri"/>
                <w:sz w:val="12"/>
                <w:szCs w:val="12"/>
                <w:b w:val="1"/>
                <w:bCs w:val="1"/>
                <w:color w:val="auto"/>
                <w:w w:val="99"/>
              </w:rPr>
              <w:t>100.0%</w:t>
            </w:r>
          </w:p>
        </w:tc>
      </w:tr>
      <w:tr>
        <w:trPr>
          <w:trHeight w:val="144"/>
        </w:trPr>
        <w:tc>
          <w:tcPr>
            <w:tcW w:w="188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Bolivia</w:t>
            </w:r>
          </w:p>
        </w:tc>
        <w:tc>
          <w:tcPr>
            <w:tcW w:w="780" w:type="dxa"/>
            <w:vAlign w:val="bottom"/>
          </w:tcPr>
          <w:p>
            <w:pPr>
              <w:jc w:val="right"/>
              <w:ind w:right="159"/>
              <w:spacing w:after="0" w:line="145" w:lineRule="exact"/>
              <w:rPr>
                <w:sz w:val="20"/>
                <w:szCs w:val="20"/>
                <w:color w:val="auto"/>
              </w:rPr>
            </w:pPr>
            <w:r>
              <w:rPr>
                <w:rFonts w:ascii="Calibri" w:cs="Calibri" w:eastAsia="Calibri" w:hAnsi="Calibri"/>
                <w:sz w:val="12"/>
                <w:szCs w:val="12"/>
                <w:b w:val="1"/>
                <w:bCs w:val="1"/>
                <w:color w:val="auto"/>
              </w:rPr>
              <w:t>-</w:t>
            </w:r>
          </w:p>
        </w:tc>
        <w:tc>
          <w:tcPr>
            <w:tcW w:w="760" w:type="dxa"/>
            <w:vAlign w:val="bottom"/>
          </w:tcPr>
          <w:p>
            <w:pPr>
              <w:jc w:val="right"/>
              <w:ind w:right="139"/>
              <w:spacing w:after="0" w:line="145" w:lineRule="exact"/>
              <w:rPr>
                <w:sz w:val="20"/>
                <w:szCs w:val="20"/>
                <w:color w:val="auto"/>
              </w:rPr>
            </w:pPr>
            <w:r>
              <w:rPr>
                <w:rFonts w:ascii="Calibri" w:cs="Calibri" w:eastAsia="Calibri" w:hAnsi="Calibri"/>
                <w:sz w:val="12"/>
                <w:szCs w:val="12"/>
                <w:b w:val="1"/>
                <w:bCs w:val="1"/>
                <w:color w:val="auto"/>
              </w:rPr>
              <w:t>-</w:t>
            </w:r>
          </w:p>
        </w:tc>
        <w:tc>
          <w:tcPr>
            <w:tcW w:w="760" w:type="dxa"/>
            <w:vAlign w:val="bottom"/>
            <w:tcBorders>
              <w:right w:val="single" w:sz="8" w:color="auto"/>
            </w:tcBorders>
          </w:tcPr>
          <w:p>
            <w:pPr>
              <w:jc w:val="right"/>
              <w:ind w:right="159"/>
              <w:spacing w:after="0" w:line="145" w:lineRule="exact"/>
              <w:rPr>
                <w:sz w:val="20"/>
                <w:szCs w:val="20"/>
                <w:color w:val="auto"/>
              </w:rPr>
            </w:pPr>
            <w:r>
              <w:rPr>
                <w:rFonts w:ascii="Calibri" w:cs="Calibri" w:eastAsia="Calibri" w:hAnsi="Calibri"/>
                <w:sz w:val="12"/>
                <w:szCs w:val="12"/>
                <w:b w:val="1"/>
                <w:bCs w:val="1"/>
                <w:color w:val="auto"/>
              </w:rPr>
              <w:t>-</w:t>
            </w:r>
          </w:p>
        </w:tc>
        <w:tc>
          <w:tcPr>
            <w:tcW w:w="800" w:type="dxa"/>
            <w:vAlign w:val="bottom"/>
          </w:tcPr>
          <w:p>
            <w:pPr>
              <w:ind w:left="520"/>
              <w:spacing w:after="0" w:line="145" w:lineRule="exact"/>
              <w:rPr>
                <w:sz w:val="20"/>
                <w:szCs w:val="20"/>
                <w:color w:val="auto"/>
              </w:rPr>
            </w:pPr>
            <w:r>
              <w:rPr>
                <w:rFonts w:ascii="Calibri" w:cs="Calibri" w:eastAsia="Calibri" w:hAnsi="Calibri"/>
                <w:sz w:val="12"/>
                <w:szCs w:val="12"/>
                <w:b w:val="1"/>
                <w:bCs w:val="1"/>
                <w:color w:val="auto"/>
              </w:rPr>
              <w:t>-</w:t>
            </w:r>
          </w:p>
        </w:tc>
        <w:tc>
          <w:tcPr>
            <w:tcW w:w="220" w:type="dxa"/>
            <w:vAlign w:val="bottom"/>
          </w:tcPr>
          <w:p>
            <w:pPr>
              <w:spacing w:after="0"/>
              <w:rPr>
                <w:sz w:val="12"/>
                <w:szCs w:val="12"/>
                <w:color w:val="auto"/>
              </w:rPr>
            </w:pPr>
          </w:p>
        </w:tc>
        <w:tc>
          <w:tcPr>
            <w:tcW w:w="560" w:type="dxa"/>
            <w:vAlign w:val="bottom"/>
            <w:tcBorders>
              <w:right w:val="single" w:sz="8" w:color="auto"/>
            </w:tcBorders>
          </w:tcPr>
          <w:p>
            <w:pPr>
              <w:jc w:val="right"/>
              <w:ind w:right="179"/>
              <w:spacing w:after="0" w:line="145" w:lineRule="exact"/>
              <w:rPr>
                <w:sz w:val="20"/>
                <w:szCs w:val="20"/>
                <w:color w:val="auto"/>
              </w:rPr>
            </w:pPr>
            <w:r>
              <w:rPr>
                <w:rFonts w:ascii="Calibri" w:cs="Calibri" w:eastAsia="Calibri" w:hAnsi="Calibri"/>
                <w:sz w:val="12"/>
                <w:szCs w:val="12"/>
                <w:b w:val="1"/>
                <w:bCs w:val="1"/>
                <w:color w:val="auto"/>
              </w:rPr>
              <w:t>-</w:t>
            </w:r>
          </w:p>
        </w:tc>
        <w:tc>
          <w:tcPr>
            <w:tcW w:w="78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2,443</w:t>
            </w:r>
          </w:p>
        </w:tc>
        <w:tc>
          <w:tcPr>
            <w:tcW w:w="76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2,566</w:t>
            </w:r>
          </w:p>
        </w:tc>
        <w:tc>
          <w:tcPr>
            <w:tcW w:w="7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2,562</w:t>
            </w:r>
          </w:p>
        </w:tc>
        <w:tc>
          <w:tcPr>
            <w:tcW w:w="540" w:type="dxa"/>
            <w:vAlign w:val="bottom"/>
          </w:tcPr>
          <w:p>
            <w:pPr>
              <w:jc w:val="center"/>
              <w:ind w:left="199"/>
              <w:spacing w:after="0" w:line="145" w:lineRule="exact"/>
              <w:rPr>
                <w:sz w:val="20"/>
                <w:szCs w:val="20"/>
                <w:color w:val="auto"/>
              </w:rPr>
            </w:pPr>
            <w:r>
              <w:rPr>
                <w:rFonts w:ascii="Calibri" w:cs="Calibri" w:eastAsia="Calibri" w:hAnsi="Calibri"/>
                <w:sz w:val="12"/>
                <w:szCs w:val="12"/>
                <w:b w:val="1"/>
                <w:bCs w:val="1"/>
                <w:color w:val="auto"/>
              </w:rPr>
              <w:t>-0.2%</w:t>
            </w:r>
          </w:p>
        </w:tc>
        <w:tc>
          <w:tcPr>
            <w:tcW w:w="1040" w:type="dxa"/>
            <w:vAlign w:val="bottom"/>
            <w:tcBorders>
              <w:right w:val="single" w:sz="8" w:color="auto"/>
            </w:tcBorders>
            <w:gridSpan w:val="2"/>
          </w:tcPr>
          <w:p>
            <w:pPr>
              <w:jc w:val="center"/>
              <w:ind w:left="179"/>
              <w:spacing w:after="0" w:line="145" w:lineRule="exact"/>
              <w:rPr>
                <w:sz w:val="20"/>
                <w:szCs w:val="20"/>
                <w:color w:val="auto"/>
              </w:rPr>
            </w:pPr>
            <w:r>
              <w:rPr>
                <w:rFonts w:ascii="Calibri" w:cs="Calibri" w:eastAsia="Calibri" w:hAnsi="Calibri"/>
                <w:sz w:val="12"/>
                <w:szCs w:val="12"/>
                <w:b w:val="1"/>
                <w:bCs w:val="1"/>
                <w:color w:val="auto"/>
                <w:w w:val="99"/>
              </w:rPr>
              <w:t>4.9%</w:t>
            </w:r>
          </w:p>
        </w:tc>
        <w:tc>
          <w:tcPr>
            <w:tcW w:w="580" w:type="dxa"/>
            <w:vAlign w:val="bottom"/>
          </w:tcPr>
          <w:p>
            <w:pPr>
              <w:jc w:val="right"/>
              <w:spacing w:after="0" w:line="145" w:lineRule="exact"/>
              <w:rPr>
                <w:sz w:val="20"/>
                <w:szCs w:val="20"/>
                <w:color w:val="auto"/>
              </w:rPr>
            </w:pPr>
            <w:r>
              <w:rPr>
                <w:rFonts w:ascii="Calibri" w:cs="Calibri" w:eastAsia="Calibri" w:hAnsi="Calibri"/>
                <w:sz w:val="12"/>
                <w:szCs w:val="12"/>
                <w:b w:val="1"/>
                <w:bCs w:val="1"/>
                <w:color w:val="auto"/>
              </w:rPr>
              <w:t>-</w:t>
            </w:r>
          </w:p>
        </w:tc>
        <w:tc>
          <w:tcPr>
            <w:tcW w:w="100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b w:val="1"/>
                <w:bCs w:val="1"/>
                <w:color w:val="auto"/>
                <w:w w:val="99"/>
              </w:rPr>
              <w:t>100.0%</w:t>
            </w:r>
          </w:p>
        </w:tc>
      </w:tr>
      <w:tr>
        <w:trPr>
          <w:trHeight w:val="150"/>
        </w:trPr>
        <w:tc>
          <w:tcPr>
            <w:tcW w:w="18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ASB Bank Corp.</w:t>
            </w:r>
          </w:p>
        </w:tc>
        <w:tc>
          <w:tcPr>
            <w:tcW w:w="780" w:type="dxa"/>
            <w:vAlign w:val="bottom"/>
            <w:tcBorders>
              <w:bottom w:val="single" w:sz="8" w:color="auto"/>
            </w:tcBorders>
          </w:tcPr>
          <w:p>
            <w:pPr>
              <w:jc w:val="right"/>
              <w:ind w:right="159"/>
              <w:spacing w:after="0"/>
              <w:rPr>
                <w:sz w:val="20"/>
                <w:szCs w:val="20"/>
                <w:color w:val="auto"/>
              </w:rPr>
            </w:pPr>
            <w:r>
              <w:rPr>
                <w:rFonts w:ascii="Calibri" w:cs="Calibri" w:eastAsia="Calibri" w:hAnsi="Calibri"/>
                <w:sz w:val="12"/>
                <w:szCs w:val="12"/>
                <w:b w:val="1"/>
                <w:bCs w:val="1"/>
                <w:color w:val="auto"/>
              </w:rPr>
              <w:t>-</w:t>
            </w:r>
          </w:p>
        </w:tc>
        <w:tc>
          <w:tcPr>
            <w:tcW w:w="760" w:type="dxa"/>
            <w:vAlign w:val="bottom"/>
            <w:tcBorders>
              <w:bottom w:val="single" w:sz="8" w:color="auto"/>
            </w:tcBorders>
          </w:tcPr>
          <w:p>
            <w:pPr>
              <w:jc w:val="right"/>
              <w:ind w:right="139"/>
              <w:spacing w:after="0"/>
              <w:rPr>
                <w:sz w:val="20"/>
                <w:szCs w:val="20"/>
                <w:color w:val="auto"/>
              </w:rPr>
            </w:pPr>
            <w:r>
              <w:rPr>
                <w:rFonts w:ascii="Calibri" w:cs="Calibri" w:eastAsia="Calibri" w:hAnsi="Calibri"/>
                <w:sz w:val="12"/>
                <w:szCs w:val="12"/>
                <w:b w:val="1"/>
                <w:bCs w:val="1"/>
                <w:color w:val="auto"/>
              </w:rPr>
              <w:t>-</w:t>
            </w:r>
          </w:p>
        </w:tc>
        <w:tc>
          <w:tcPr>
            <w:tcW w:w="760" w:type="dxa"/>
            <w:vAlign w:val="bottom"/>
            <w:tcBorders>
              <w:bottom w:val="single" w:sz="8" w:color="auto"/>
              <w:right w:val="single" w:sz="8" w:color="auto"/>
            </w:tcBorders>
          </w:tcPr>
          <w:p>
            <w:pPr>
              <w:jc w:val="right"/>
              <w:ind w:right="159"/>
              <w:spacing w:after="0"/>
              <w:rPr>
                <w:sz w:val="20"/>
                <w:szCs w:val="20"/>
                <w:color w:val="auto"/>
              </w:rPr>
            </w:pPr>
            <w:r>
              <w:rPr>
                <w:rFonts w:ascii="Calibri" w:cs="Calibri" w:eastAsia="Calibri" w:hAnsi="Calibri"/>
                <w:sz w:val="12"/>
                <w:szCs w:val="12"/>
                <w:b w:val="1"/>
                <w:bCs w:val="1"/>
                <w:color w:val="auto"/>
              </w:rPr>
              <w:t>-</w:t>
            </w:r>
          </w:p>
        </w:tc>
        <w:tc>
          <w:tcPr>
            <w:tcW w:w="800" w:type="dxa"/>
            <w:vAlign w:val="bottom"/>
            <w:tcBorders>
              <w:bottom w:val="single" w:sz="8" w:color="auto"/>
            </w:tcBorders>
          </w:tcPr>
          <w:p>
            <w:pPr>
              <w:ind w:left="520"/>
              <w:spacing w:after="0"/>
              <w:rPr>
                <w:sz w:val="20"/>
                <w:szCs w:val="20"/>
                <w:color w:val="auto"/>
              </w:rPr>
            </w:pPr>
            <w:r>
              <w:rPr>
                <w:rFonts w:ascii="Calibri" w:cs="Calibri" w:eastAsia="Calibri" w:hAnsi="Calibri"/>
                <w:sz w:val="12"/>
                <w:szCs w:val="12"/>
                <w:b w:val="1"/>
                <w:bCs w:val="1"/>
                <w:color w:val="auto"/>
              </w:rPr>
              <w:t>-</w:t>
            </w: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jc w:val="right"/>
              <w:ind w:right="179"/>
              <w:spacing w:after="0"/>
              <w:rPr>
                <w:sz w:val="20"/>
                <w:szCs w:val="20"/>
                <w:color w:val="auto"/>
              </w:rPr>
            </w:pPr>
            <w:r>
              <w:rPr>
                <w:rFonts w:ascii="Calibri" w:cs="Calibri" w:eastAsia="Calibri" w:hAnsi="Calibri"/>
                <w:sz w:val="12"/>
                <w:szCs w:val="12"/>
                <w:b w:val="1"/>
                <w:bCs w:val="1"/>
                <w:color w:val="auto"/>
              </w:rPr>
              <w:t>-</w:t>
            </w:r>
          </w:p>
        </w:tc>
        <w:tc>
          <w:tcPr>
            <w:tcW w:w="78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541</w:t>
            </w:r>
          </w:p>
        </w:tc>
        <w:tc>
          <w:tcPr>
            <w:tcW w:w="7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501</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8"/>
              </w:rPr>
              <w:t>481</w:t>
            </w:r>
          </w:p>
        </w:tc>
        <w:tc>
          <w:tcPr>
            <w:tcW w:w="54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b w:val="1"/>
                <w:bCs w:val="1"/>
                <w:color w:val="auto"/>
              </w:rPr>
              <w:t>-4.1%</w:t>
            </w:r>
          </w:p>
        </w:tc>
        <w:tc>
          <w:tcPr>
            <w:tcW w:w="1040" w:type="dxa"/>
            <w:vAlign w:val="bottom"/>
            <w:tcBorders>
              <w:bottom w:val="single" w:sz="8" w:color="auto"/>
              <w:right w:val="single" w:sz="8" w:color="auto"/>
            </w:tcBorders>
            <w:gridSpan w:val="2"/>
          </w:tcPr>
          <w:p>
            <w:pPr>
              <w:jc w:val="center"/>
              <w:ind w:left="199"/>
              <w:spacing w:after="0"/>
              <w:rPr>
                <w:sz w:val="20"/>
                <w:szCs w:val="20"/>
                <w:color w:val="auto"/>
              </w:rPr>
            </w:pPr>
            <w:r>
              <w:rPr>
                <w:rFonts w:ascii="Calibri" w:cs="Calibri" w:eastAsia="Calibri" w:hAnsi="Calibri"/>
                <w:sz w:val="12"/>
                <w:szCs w:val="12"/>
                <w:b w:val="1"/>
                <w:bCs w:val="1"/>
                <w:color w:val="auto"/>
              </w:rPr>
              <w:t>-11.2%</w:t>
            </w:r>
          </w:p>
        </w:tc>
        <w:tc>
          <w:tcPr>
            <w:tcW w:w="58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b w:val="1"/>
                <w:bCs w:val="1"/>
                <w:color w:val="auto"/>
              </w:rPr>
              <w:t>-</w:t>
            </w:r>
          </w:p>
        </w:tc>
        <w:tc>
          <w:tcPr>
            <w:tcW w:w="1000" w:type="dxa"/>
            <w:vAlign w:val="bottom"/>
            <w:tcBorders>
              <w:bottom w:val="single" w:sz="8" w:color="auto"/>
              <w:right w:val="single" w:sz="8" w:color="auto"/>
            </w:tcBorders>
          </w:tcPr>
          <w:p>
            <w:pPr>
              <w:jc w:val="center"/>
              <w:ind w:left="139"/>
              <w:spacing w:after="0"/>
              <w:rPr>
                <w:sz w:val="20"/>
                <w:szCs w:val="20"/>
                <w:color w:val="auto"/>
              </w:rPr>
            </w:pPr>
            <w:r>
              <w:rPr>
                <w:rFonts w:ascii="Calibri" w:cs="Calibri" w:eastAsia="Calibri" w:hAnsi="Calibri"/>
                <w:sz w:val="12"/>
                <w:szCs w:val="12"/>
                <w:b w:val="1"/>
                <w:bCs w:val="1"/>
                <w:color w:val="auto"/>
                <w:w w:val="99"/>
              </w:rPr>
              <w:t>100.0%</w:t>
            </w:r>
          </w:p>
        </w:tc>
      </w:tr>
      <w:tr>
        <w:trPr>
          <w:trHeight w:val="142"/>
        </w:trPr>
        <w:tc>
          <w:tcPr>
            <w:tcW w:w="1880" w:type="dxa"/>
            <w:vAlign w:val="bottom"/>
            <w:tcBorders>
              <w:left w:val="single" w:sz="8" w:color="auto"/>
              <w:bottom w:val="single" w:sz="8" w:color="auto"/>
              <w:right w:val="single" w:sz="8" w:color="auto"/>
            </w:tcBorders>
          </w:tcPr>
          <w:p>
            <w:pPr>
              <w:ind w:left="20"/>
              <w:spacing w:after="0" w:line="142" w:lineRule="exact"/>
              <w:rPr>
                <w:sz w:val="20"/>
                <w:szCs w:val="20"/>
                <w:color w:val="auto"/>
              </w:rPr>
            </w:pPr>
            <w:r>
              <w:rPr>
                <w:rFonts w:ascii="Calibri" w:cs="Calibri" w:eastAsia="Calibri" w:hAnsi="Calibri"/>
                <w:sz w:val="12"/>
                <w:szCs w:val="12"/>
                <w:b w:val="1"/>
                <w:bCs w:val="1"/>
                <w:color w:val="auto"/>
              </w:rPr>
              <w:t>Total loans</w:t>
            </w:r>
          </w:p>
        </w:tc>
        <w:tc>
          <w:tcPr>
            <w:tcW w:w="780" w:type="dxa"/>
            <w:vAlign w:val="bottom"/>
            <w:tcBorders>
              <w:bottom w:val="single" w:sz="8" w:color="auto"/>
            </w:tcBorders>
          </w:tcPr>
          <w:p>
            <w:pPr>
              <w:jc w:val="right"/>
              <w:ind w:right="159"/>
              <w:spacing w:after="0" w:line="142" w:lineRule="exact"/>
              <w:rPr>
                <w:sz w:val="20"/>
                <w:szCs w:val="20"/>
                <w:color w:val="auto"/>
              </w:rPr>
            </w:pPr>
            <w:r>
              <w:rPr>
                <w:rFonts w:ascii="Calibri" w:cs="Calibri" w:eastAsia="Calibri" w:hAnsi="Calibri"/>
                <w:sz w:val="12"/>
                <w:szCs w:val="12"/>
                <w:b w:val="1"/>
                <w:bCs w:val="1"/>
                <w:color w:val="auto"/>
              </w:rPr>
              <w:t>92,606</w:t>
            </w:r>
          </w:p>
        </w:tc>
        <w:tc>
          <w:tcPr>
            <w:tcW w:w="760" w:type="dxa"/>
            <w:vAlign w:val="bottom"/>
            <w:tcBorders>
              <w:bottom w:val="single" w:sz="8" w:color="auto"/>
            </w:tcBorders>
          </w:tcPr>
          <w:p>
            <w:pPr>
              <w:jc w:val="right"/>
              <w:ind w:right="139"/>
              <w:spacing w:after="0" w:line="142" w:lineRule="exact"/>
              <w:rPr>
                <w:sz w:val="20"/>
                <w:szCs w:val="20"/>
                <w:color w:val="auto"/>
              </w:rPr>
            </w:pPr>
            <w:r>
              <w:rPr>
                <w:rFonts w:ascii="Calibri" w:cs="Calibri" w:eastAsia="Calibri" w:hAnsi="Calibri"/>
                <w:sz w:val="12"/>
                <w:szCs w:val="12"/>
                <w:b w:val="1"/>
                <w:bCs w:val="1"/>
                <w:color w:val="auto"/>
              </w:rPr>
              <w:t>90,805</w:t>
            </w:r>
          </w:p>
        </w:tc>
        <w:tc>
          <w:tcPr>
            <w:tcW w:w="760" w:type="dxa"/>
            <w:vAlign w:val="bottom"/>
            <w:tcBorders>
              <w:bottom w:val="single" w:sz="8" w:color="auto"/>
              <w:right w:val="single" w:sz="8" w:color="auto"/>
            </w:tcBorders>
          </w:tcPr>
          <w:p>
            <w:pPr>
              <w:jc w:val="right"/>
              <w:ind w:right="159"/>
              <w:spacing w:after="0" w:line="142" w:lineRule="exact"/>
              <w:rPr>
                <w:sz w:val="20"/>
                <w:szCs w:val="20"/>
                <w:color w:val="auto"/>
              </w:rPr>
            </w:pPr>
            <w:r>
              <w:rPr>
                <w:rFonts w:ascii="Calibri" w:cs="Calibri" w:eastAsia="Calibri" w:hAnsi="Calibri"/>
                <w:sz w:val="12"/>
                <w:szCs w:val="12"/>
                <w:b w:val="1"/>
                <w:bCs w:val="1"/>
                <w:color w:val="auto"/>
              </w:rPr>
              <w:t>91,779</w:t>
            </w:r>
          </w:p>
        </w:tc>
        <w:tc>
          <w:tcPr>
            <w:tcW w:w="800" w:type="dxa"/>
            <w:vAlign w:val="bottom"/>
            <w:tcBorders>
              <w:bottom w:val="single" w:sz="8" w:color="auto"/>
            </w:tcBorders>
          </w:tcPr>
          <w:p>
            <w:pPr>
              <w:jc w:val="center"/>
              <w:spacing w:after="0" w:line="142" w:lineRule="exact"/>
              <w:rPr>
                <w:sz w:val="20"/>
                <w:szCs w:val="20"/>
                <w:color w:val="auto"/>
              </w:rPr>
            </w:pPr>
            <w:r>
              <w:rPr>
                <w:rFonts w:ascii="Calibri" w:cs="Calibri" w:eastAsia="Calibri" w:hAnsi="Calibri"/>
                <w:sz w:val="12"/>
                <w:szCs w:val="12"/>
                <w:b w:val="1"/>
                <w:bCs w:val="1"/>
                <w:color w:val="auto"/>
                <w:w w:val="99"/>
              </w:rPr>
              <w:t>1.1%</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jc w:val="center"/>
              <w:ind w:right="179"/>
              <w:spacing w:after="0" w:line="142" w:lineRule="exact"/>
              <w:rPr>
                <w:sz w:val="20"/>
                <w:szCs w:val="20"/>
                <w:color w:val="auto"/>
              </w:rPr>
            </w:pPr>
            <w:r>
              <w:rPr>
                <w:rFonts w:ascii="Calibri" w:cs="Calibri" w:eastAsia="Calibri" w:hAnsi="Calibri"/>
                <w:sz w:val="12"/>
                <w:szCs w:val="12"/>
                <w:b w:val="1"/>
                <w:bCs w:val="1"/>
                <w:color w:val="auto"/>
              </w:rPr>
              <w:t>-0.9%</w:t>
            </w:r>
          </w:p>
        </w:tc>
        <w:tc>
          <w:tcPr>
            <w:tcW w:w="780" w:type="dxa"/>
            <w:vAlign w:val="bottom"/>
            <w:tcBorders>
              <w:bottom w:val="single" w:sz="8" w:color="auto"/>
            </w:tcBorders>
          </w:tcPr>
          <w:p>
            <w:pPr>
              <w:jc w:val="center"/>
              <w:spacing w:after="0" w:line="142" w:lineRule="exact"/>
              <w:rPr>
                <w:sz w:val="20"/>
                <w:szCs w:val="20"/>
                <w:color w:val="auto"/>
              </w:rPr>
            </w:pPr>
            <w:r>
              <w:rPr>
                <w:rFonts w:ascii="Calibri" w:cs="Calibri" w:eastAsia="Calibri" w:hAnsi="Calibri"/>
                <w:sz w:val="12"/>
                <w:szCs w:val="12"/>
                <w:b w:val="1"/>
                <w:bCs w:val="1"/>
                <w:color w:val="auto"/>
              </w:rPr>
              <w:t>13,284</w:t>
            </w:r>
          </w:p>
        </w:tc>
        <w:tc>
          <w:tcPr>
            <w:tcW w:w="760" w:type="dxa"/>
            <w:vAlign w:val="bottom"/>
            <w:tcBorders>
              <w:bottom w:val="single" w:sz="8" w:color="auto"/>
            </w:tcBorders>
          </w:tcPr>
          <w:p>
            <w:pPr>
              <w:jc w:val="center"/>
              <w:spacing w:after="0" w:line="142" w:lineRule="exact"/>
              <w:rPr>
                <w:sz w:val="20"/>
                <w:szCs w:val="20"/>
                <w:color w:val="auto"/>
              </w:rPr>
            </w:pPr>
            <w:r>
              <w:rPr>
                <w:rFonts w:ascii="Calibri" w:cs="Calibri" w:eastAsia="Calibri" w:hAnsi="Calibri"/>
                <w:sz w:val="12"/>
                <w:szCs w:val="12"/>
                <w:b w:val="1"/>
                <w:bCs w:val="1"/>
                <w:color w:val="auto"/>
              </w:rPr>
              <w:t>13,457</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Calibri" w:cs="Calibri" w:eastAsia="Calibri" w:hAnsi="Calibri"/>
                <w:sz w:val="12"/>
                <w:szCs w:val="12"/>
                <w:b w:val="1"/>
                <w:bCs w:val="1"/>
                <w:color w:val="auto"/>
              </w:rPr>
              <w:t>13,321</w:t>
            </w:r>
          </w:p>
        </w:tc>
        <w:tc>
          <w:tcPr>
            <w:tcW w:w="540" w:type="dxa"/>
            <w:vAlign w:val="bottom"/>
            <w:tcBorders>
              <w:bottom w:val="single" w:sz="8" w:color="auto"/>
            </w:tcBorders>
          </w:tcPr>
          <w:p>
            <w:pPr>
              <w:jc w:val="center"/>
              <w:ind w:left="199"/>
              <w:spacing w:after="0" w:line="142" w:lineRule="exact"/>
              <w:rPr>
                <w:sz w:val="20"/>
                <w:szCs w:val="20"/>
                <w:color w:val="auto"/>
              </w:rPr>
            </w:pPr>
            <w:r>
              <w:rPr>
                <w:rFonts w:ascii="Calibri" w:cs="Calibri" w:eastAsia="Calibri" w:hAnsi="Calibri"/>
                <w:sz w:val="12"/>
                <w:szCs w:val="12"/>
                <w:b w:val="1"/>
                <w:bCs w:val="1"/>
                <w:color w:val="auto"/>
              </w:rPr>
              <w:t>-1.0%</w:t>
            </w:r>
          </w:p>
        </w:tc>
        <w:tc>
          <w:tcPr>
            <w:tcW w:w="1040" w:type="dxa"/>
            <w:vAlign w:val="bottom"/>
            <w:tcBorders>
              <w:bottom w:val="single" w:sz="8" w:color="auto"/>
              <w:right w:val="single" w:sz="8" w:color="auto"/>
            </w:tcBorders>
            <w:gridSpan w:val="2"/>
          </w:tcPr>
          <w:p>
            <w:pPr>
              <w:jc w:val="center"/>
              <w:ind w:left="179"/>
              <w:spacing w:after="0" w:line="142" w:lineRule="exact"/>
              <w:rPr>
                <w:sz w:val="20"/>
                <w:szCs w:val="20"/>
                <w:color w:val="auto"/>
              </w:rPr>
            </w:pPr>
            <w:r>
              <w:rPr>
                <w:rFonts w:ascii="Calibri" w:cs="Calibri" w:eastAsia="Calibri" w:hAnsi="Calibri"/>
                <w:sz w:val="12"/>
                <w:szCs w:val="12"/>
                <w:b w:val="1"/>
                <w:bCs w:val="1"/>
                <w:color w:val="auto"/>
                <w:w w:val="99"/>
              </w:rPr>
              <w:t>0.3%</w:t>
            </w:r>
          </w:p>
        </w:tc>
        <w:tc>
          <w:tcPr>
            <w:tcW w:w="580" w:type="dxa"/>
            <w:vAlign w:val="bottom"/>
            <w:tcBorders>
              <w:bottom w:val="single" w:sz="8" w:color="auto"/>
            </w:tcBorders>
          </w:tcPr>
          <w:p>
            <w:pPr>
              <w:jc w:val="center"/>
              <w:ind w:left="159"/>
              <w:spacing w:after="0" w:line="142" w:lineRule="exact"/>
              <w:rPr>
                <w:sz w:val="20"/>
                <w:szCs w:val="20"/>
                <w:color w:val="auto"/>
              </w:rPr>
            </w:pPr>
            <w:r>
              <w:rPr>
                <w:rFonts w:ascii="Calibri" w:cs="Calibri" w:eastAsia="Calibri" w:hAnsi="Calibri"/>
                <w:sz w:val="12"/>
                <w:szCs w:val="12"/>
                <w:b w:val="1"/>
                <w:bCs w:val="1"/>
                <w:color w:val="auto"/>
              </w:rPr>
              <w:t>64.7%</w:t>
            </w:r>
          </w:p>
        </w:tc>
        <w:tc>
          <w:tcPr>
            <w:tcW w:w="1000" w:type="dxa"/>
            <w:vAlign w:val="bottom"/>
            <w:tcBorders>
              <w:bottom w:val="single" w:sz="8" w:color="auto"/>
              <w:right w:val="single" w:sz="8" w:color="auto"/>
            </w:tcBorders>
          </w:tcPr>
          <w:p>
            <w:pPr>
              <w:jc w:val="center"/>
              <w:ind w:left="139"/>
              <w:spacing w:after="0" w:line="142" w:lineRule="exact"/>
              <w:rPr>
                <w:sz w:val="20"/>
                <w:szCs w:val="20"/>
                <w:color w:val="auto"/>
              </w:rPr>
            </w:pPr>
            <w:r>
              <w:rPr>
                <w:rFonts w:ascii="Calibri" w:cs="Calibri" w:eastAsia="Calibri" w:hAnsi="Calibri"/>
                <w:sz w:val="12"/>
                <w:szCs w:val="12"/>
                <w:b w:val="1"/>
                <w:bCs w:val="1"/>
                <w:color w:val="auto"/>
              </w:rPr>
              <w:t>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-1506855</wp:posOffset>
            </wp:positionV>
            <wp:extent cx="156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845" cy="8255"/>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-1506855</wp:posOffset>
            </wp:positionV>
            <wp:extent cx="1568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Calibri" w:cs="Calibri" w:eastAsia="Calibri" w:hAnsi="Calibri"/>
          <w:sz w:val="14"/>
          <w:szCs w:val="14"/>
          <w:color w:val="auto"/>
        </w:rPr>
        <w:t>Measured in Average Daily Balances.</w:t>
      </w:r>
    </w:p>
    <w:p>
      <w:pPr>
        <w:ind w:left="200" w:hanging="195"/>
        <w:spacing w:after="0"/>
        <w:tabs>
          <w:tab w:leader="none" w:pos="2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Includes Special accounts, and other banking.</w:t>
      </w:r>
    </w:p>
    <w:p>
      <w:pPr>
        <w:ind w:left="200" w:hanging="195"/>
        <w:spacing w:after="0"/>
        <w:tabs>
          <w:tab w:leader="none" w:pos="200"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Internal Management Figures.</w:t>
      </w:r>
    </w:p>
    <w:p>
      <w:pPr>
        <w:spacing w:after="0"/>
        <w:rPr>
          <w:sz w:val="20"/>
          <w:szCs w:val="20"/>
          <w:color w:val="auto"/>
        </w:rPr>
      </w:pPr>
      <w:r>
        <w:rPr>
          <w:rFonts w:ascii="Calibri" w:cs="Calibri" w:eastAsia="Calibri" w:hAnsi="Calibri"/>
          <w:sz w:val="14"/>
          <w:szCs w:val="14"/>
          <w:color w:val="auto"/>
        </w:rPr>
        <w:t>Largest contracton in volumes</w:t>
      </w:r>
    </w:p>
    <w:p>
      <w:pPr>
        <w:spacing w:after="0" w:line="238" w:lineRule="auto"/>
        <w:rPr>
          <w:sz w:val="20"/>
          <w:szCs w:val="20"/>
          <w:color w:val="auto"/>
        </w:rPr>
      </w:pPr>
      <w:r>
        <w:rPr>
          <w:rFonts w:ascii="Calibri" w:cs="Calibri" w:eastAsia="Calibri" w:hAnsi="Calibri"/>
          <w:sz w:val="14"/>
          <w:szCs w:val="14"/>
          <w:color w:val="auto"/>
        </w:rPr>
        <w:t>Highest growth in volumes</w:t>
      </w:r>
    </w:p>
    <w:p>
      <w:pPr>
        <w:spacing w:after="0" w:line="181" w:lineRule="exact"/>
        <w:rPr>
          <w:sz w:val="20"/>
          <w:szCs w:val="20"/>
          <w:color w:val="auto"/>
        </w:rPr>
      </w:pPr>
    </w:p>
    <w:p>
      <w:pPr>
        <w:ind w:right="440"/>
        <w:spacing w:after="0" w:line="242" w:lineRule="auto"/>
        <w:rPr>
          <w:sz w:val="20"/>
          <w:szCs w:val="20"/>
          <w:color w:val="auto"/>
        </w:rPr>
      </w:pPr>
      <w:r>
        <w:rPr>
          <w:rFonts w:ascii="Calibri" w:cs="Calibri" w:eastAsia="Calibri" w:hAnsi="Calibri"/>
          <w:sz w:val="17"/>
          <w:szCs w:val="17"/>
          <w:color w:val="auto"/>
        </w:rPr>
        <w:t xml:space="preserve">At the end of December 2024, the dollarizaton level of total loans fell 27 bps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(35.3% in December 24). This evoluton was primarily driven by growth LC loans, partcularly in </w:t>
      </w:r>
      <w:r>
        <w:rPr>
          <w:rFonts w:ascii="Calibri" w:cs="Calibri" w:eastAsia="Calibri" w:hAnsi="Calibri"/>
          <w:sz w:val="17"/>
          <w:szCs w:val="17"/>
          <w:b w:val="1"/>
          <w:bCs w:val="1"/>
          <w:color w:val="auto"/>
        </w:rPr>
        <w:t>Wholesale Banking.</w:t>
      </w:r>
    </w:p>
    <w:p>
      <w:pPr>
        <w:spacing w:after="0" w:line="187" w:lineRule="exact"/>
        <w:rPr>
          <w:sz w:val="20"/>
          <w:szCs w:val="20"/>
          <w:color w:val="auto"/>
        </w:rPr>
      </w:pPr>
    </w:p>
    <w:p>
      <w:pPr>
        <w:ind w:right="520"/>
        <w:spacing w:after="0" w:line="254" w:lineRule="auto"/>
        <w:rPr>
          <w:sz w:val="20"/>
          <w:szCs w:val="20"/>
          <w:color w:val="auto"/>
        </w:rPr>
      </w:pPr>
      <w:r>
        <w:rPr>
          <w:rFonts w:ascii="Calibri" w:cs="Calibri" w:eastAsia="Calibri" w:hAnsi="Calibri"/>
          <w:sz w:val="17"/>
          <w:szCs w:val="17"/>
          <w:b w:val="1"/>
          <w:bCs w:val="1"/>
          <w:color w:val="auto"/>
        </w:rPr>
        <w:t>YoY</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dollarizaton level of total loans rose 25 bps due to a drop in total loans in LC (-0.9%), primarily via</w:t>
      </w:r>
      <w:r>
        <w:rPr>
          <w:rFonts w:ascii="Calibri" w:cs="Calibri" w:eastAsia="Calibri" w:hAnsi="Calibri"/>
          <w:sz w:val="17"/>
          <w:szCs w:val="17"/>
          <w:b w:val="1"/>
          <w:bCs w:val="1"/>
          <w:color w:val="auto"/>
        </w:rPr>
        <w:t xml:space="preserve"> Mibanco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SME-Pyme</w:t>
      </w:r>
      <w:r>
        <w:rPr>
          <w:rFonts w:ascii="Calibri" w:cs="Calibri" w:eastAsia="Calibri" w:hAnsi="Calibri"/>
          <w:sz w:val="17"/>
          <w:szCs w:val="17"/>
          <w:color w:val="auto"/>
        </w:rPr>
        <w:t>, and to a lesser extent,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through growth in total loans in FC (+0.3%).</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20" w:name="page21"/>
    <w:bookmarkEnd w:id="20"/>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80"/>
        <w:spacing w:after="0"/>
        <w:rPr>
          <w:sz w:val="20"/>
          <w:szCs w:val="20"/>
          <w:color w:val="auto"/>
        </w:rPr>
      </w:pPr>
      <w:r>
        <w:rPr>
          <w:rFonts w:ascii="Calibri" w:cs="Calibri" w:eastAsia="Calibri" w:hAnsi="Calibri"/>
          <w:sz w:val="21"/>
          <w:szCs w:val="21"/>
          <w:b w:val="1"/>
          <w:bCs w:val="1"/>
          <w:color w:val="FFFFFF"/>
        </w:rPr>
        <w:t>01. Loan Portolio</w:t>
      </w:r>
    </w:p>
    <w:p>
      <w:pPr>
        <w:spacing w:after="0" w:line="215" w:lineRule="exact"/>
        <w:rPr>
          <w:sz w:val="20"/>
          <w:szCs w:val="20"/>
          <w:color w:val="auto"/>
        </w:rPr>
      </w:pPr>
    </w:p>
    <w:p>
      <w:pPr>
        <w:jc w:val="center"/>
        <w:ind w:right="280"/>
        <w:spacing w:after="0"/>
        <w:rPr>
          <w:sz w:val="20"/>
          <w:szCs w:val="20"/>
          <w:color w:val="auto"/>
        </w:rPr>
      </w:pPr>
      <w:r>
        <w:rPr>
          <w:rFonts w:ascii="Calibri" w:cs="Calibri" w:eastAsia="Calibri" w:hAnsi="Calibri"/>
          <w:sz w:val="17"/>
          <w:szCs w:val="17"/>
          <w:b w:val="1"/>
          <w:bCs w:val="1"/>
          <w:color w:val="auto"/>
        </w:rPr>
        <w:t>Evoluion of the Dollarizaton Level of Total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131445</wp:posOffset>
            </wp:positionV>
            <wp:extent cx="5912485" cy="2006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1248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40" w:hanging="235"/>
        <w:spacing w:after="0"/>
        <w:tabs>
          <w:tab w:leader="none" w:pos="240" w:val="left"/>
        </w:tabs>
        <w:numPr>
          <w:ilvl w:val="0"/>
          <w:numId w:val="19"/>
        </w:numPr>
        <w:rPr>
          <w:rFonts w:ascii="Calibri" w:cs="Calibri" w:eastAsia="Calibri" w:hAnsi="Calibri"/>
          <w:sz w:val="11"/>
          <w:szCs w:val="11"/>
          <w:color w:val="auto"/>
        </w:rPr>
      </w:pPr>
      <w:r>
        <w:rPr>
          <w:rFonts w:ascii="Calibri" w:cs="Calibri" w:eastAsia="Calibri" w:hAnsi="Calibri"/>
          <w:sz w:val="11"/>
          <w:szCs w:val="11"/>
          <w:color w:val="auto"/>
        </w:rPr>
        <w:t>The FC share of Credicorp’s loan portolio is calculated including BCP Bolivia and ASB Bank Corp., however the chart shows only the loan books of BCP Stand-alone and Mibanco.</w:t>
      </w:r>
    </w:p>
    <w:p>
      <w:pPr>
        <w:ind w:right="2680" w:firstLine="5"/>
        <w:spacing w:after="0" w:line="234" w:lineRule="auto"/>
        <w:tabs>
          <w:tab w:leader="none" w:pos="236" w:val="left"/>
        </w:tabs>
        <w:numPr>
          <w:ilvl w:val="0"/>
          <w:numId w:val="19"/>
        </w:numPr>
        <w:rPr>
          <w:rFonts w:ascii="Calibri" w:cs="Calibri" w:eastAsia="Calibri" w:hAnsi="Calibri"/>
          <w:sz w:val="11"/>
          <w:szCs w:val="11"/>
          <w:color w:val="auto"/>
        </w:rPr>
      </w:pPr>
      <w:r>
        <w:rPr>
          <w:rFonts w:ascii="Calibri" w:cs="Calibri" w:eastAsia="Calibri" w:hAnsi="Calibri"/>
          <w:sz w:val="11"/>
          <w:szCs w:val="11"/>
          <w:color w:val="auto"/>
        </w:rPr>
        <w:t>The year with the historic maximum level of dollarizaton for Wholesale Banking was 2012, for Mibanco was 2016, for Credit Card was in 2021 and for the rest of segments was 2009. * For dollarizaton fgures in the quarter-end period, please refer to “12. Annexes – 12.3 Loan Portolio Quality.</w:t>
      </w:r>
    </w:p>
    <w:p>
      <w:pPr>
        <w:spacing w:after="0" w:line="25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Evoluton of Loans in Quarter-End balances</w:t>
      </w:r>
    </w:p>
    <w:p>
      <w:pPr>
        <w:spacing w:after="0" w:line="21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Total loans increased 2.2%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and 0.5% </w:t>
      </w:r>
      <w:r>
        <w:rPr>
          <w:rFonts w:ascii="Calibri" w:cs="Calibri" w:eastAsia="Calibri" w:hAnsi="Calibri"/>
          <w:sz w:val="17"/>
          <w:szCs w:val="17"/>
          <w:b w:val="1"/>
          <w:bCs w:val="1"/>
          <w:color w:val="auto"/>
        </w:rPr>
        <w:t>YoY</w:t>
      </w:r>
      <w:r>
        <w:rPr>
          <w:rFonts w:ascii="Calibri" w:cs="Calibri" w:eastAsia="Calibri" w:hAnsi="Calibri"/>
          <w:sz w:val="17"/>
          <w:szCs w:val="17"/>
          <w:color w:val="auto"/>
        </w:rPr>
        <w:t xml:space="preserve"> in quarter-end balances, driven by the same factors that drove the evoluton of average daily balances.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1" w:name="page22"/>
    <w:bookmarkEnd w:id="21"/>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390" w:lineRule="exact"/>
        <w:rPr>
          <w:sz w:val="20"/>
          <w:szCs w:val="20"/>
          <w:color w:val="auto"/>
        </w:rPr>
      </w:pPr>
    </w:p>
    <w:p>
      <w:pPr>
        <w:spacing w:after="0"/>
        <w:rPr>
          <w:sz w:val="20"/>
          <w:szCs w:val="20"/>
          <w:color w:val="auto"/>
        </w:rPr>
      </w:pPr>
      <w:r>
        <w:rPr>
          <w:rFonts w:ascii="Arial" w:cs="Arial" w:eastAsia="Arial" w:hAnsi="Arial"/>
          <w:sz w:val="51"/>
          <w:szCs w:val="51"/>
          <w:b w:val="1"/>
          <w:bCs w:val="1"/>
          <w:color w:val="E93BAC"/>
        </w:rPr>
        <w:t xml:space="preserve">02 </w:t>
      </w:r>
      <w:r>
        <w:rPr>
          <w:rFonts w:ascii="Arial" w:cs="Arial" w:eastAsia="Arial" w:hAnsi="Arial"/>
          <w:sz w:val="31"/>
          <w:szCs w:val="31"/>
          <w:color w:val="E93BAB"/>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136130" cy="1165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1165860"/>
                    </a:xfrm>
                    <a:prstGeom prst="rect">
                      <a:avLst/>
                    </a:prstGeom>
                    <a:noFill/>
                  </pic:spPr>
                </pic:pic>
              </a:graphicData>
            </a:graphic>
          </wp:anchor>
        </w:drawing>
      </w:r>
    </w:p>
    <w:p>
      <w:pPr>
        <w:spacing w:after="0" w:line="277" w:lineRule="exact"/>
        <w:rPr>
          <w:sz w:val="20"/>
          <w:szCs w:val="20"/>
          <w:color w:val="auto"/>
        </w:rPr>
      </w:pPr>
    </w:p>
    <w:p>
      <w:pPr>
        <w:jc w:val="both"/>
        <w:ind w:left="100" w:right="120"/>
        <w:spacing w:after="0" w:line="242" w:lineRule="auto"/>
        <w:rPr>
          <w:sz w:val="20"/>
          <w:szCs w:val="20"/>
          <w:color w:val="auto"/>
        </w:rPr>
      </w:pPr>
      <w:r>
        <w:rPr>
          <w:rFonts w:ascii="Calibri" w:cs="Calibri" w:eastAsia="Calibri" w:hAnsi="Calibri"/>
          <w:sz w:val="17"/>
          <w:szCs w:val="17"/>
          <w:color w:val="FFFFFF"/>
        </w:rPr>
        <w:t>Total deposits contnued to grow this quarter, closing the year with a record high-balance. QoQ, growth was primarily driven by a 9.7% increase in Savings Deposits, which was mainly atributable to payments of statutory bonuses in December, and secondarily by a 6.4% increase in Time Deposits, which was driven by the recurrent capture of funds, mainly in wholesale clients.</w:t>
      </w:r>
    </w:p>
    <w:p>
      <w:pPr>
        <w:spacing w:after="0" w:line="146" w:lineRule="exact"/>
        <w:rPr>
          <w:sz w:val="20"/>
          <w:szCs w:val="20"/>
          <w:color w:val="auto"/>
        </w:rPr>
      </w:pPr>
    </w:p>
    <w:p>
      <w:pPr>
        <w:jc w:val="both"/>
        <w:ind w:left="100" w:right="120"/>
        <w:spacing w:after="0" w:line="242" w:lineRule="auto"/>
        <w:rPr>
          <w:sz w:val="20"/>
          <w:szCs w:val="20"/>
          <w:color w:val="auto"/>
        </w:rPr>
      </w:pPr>
      <w:r>
        <w:rPr>
          <w:rFonts w:ascii="Calibri" w:cs="Calibri" w:eastAsia="Calibri" w:hAnsi="Calibri"/>
          <w:sz w:val="17"/>
          <w:szCs w:val="17"/>
          <w:color w:val="FFFFFF"/>
        </w:rPr>
        <w:t>YoY, the deposit balance grew fueled by low-cost deposits (+11.7%), and by Savings Deposits in partcular, which rose 14.1% thanks to improvements in our transactonal ofering. These improvements have enabled us to atract infows related to pension funds withdrawals.</w:t>
      </w:r>
    </w:p>
    <w:p>
      <w:pPr>
        <w:spacing w:after="0" w:line="132" w:lineRule="exact"/>
        <w:rPr>
          <w:sz w:val="20"/>
          <w:szCs w:val="20"/>
          <w:color w:val="auto"/>
        </w:rPr>
      </w:pPr>
    </w:p>
    <w:p>
      <w:pPr>
        <w:jc w:val="both"/>
        <w:ind w:left="100" w:right="120"/>
        <w:spacing w:after="0" w:line="242" w:lineRule="auto"/>
        <w:rPr>
          <w:sz w:val="20"/>
          <w:szCs w:val="20"/>
          <w:color w:val="auto"/>
        </w:rPr>
      </w:pPr>
      <w:r>
        <w:rPr>
          <w:rFonts w:ascii="Calibri" w:cs="Calibri" w:eastAsia="Calibri" w:hAnsi="Calibri"/>
          <w:sz w:val="17"/>
          <w:szCs w:val="17"/>
          <w:color w:val="FFFFFF"/>
        </w:rPr>
        <w:t>At the end of 4Q24, 69.4% of total deposits were low-cost (Demand and Savings). Credicorp contnued to lead the low-cost deposit market with a 40.9% share at the end of November 2024. This evoluton represents an important compettve advantage to a context marked by an easing cycle in interest rates.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6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Deposits</w:t>
            </w:r>
          </w:p>
        </w:tc>
        <w:tc>
          <w:tcPr>
            <w:tcW w:w="1500" w:type="dxa"/>
            <w:vAlign w:val="bottom"/>
            <w:tcBorders>
              <w:top w:val="single" w:sz="8" w:color="auto"/>
            </w:tcBorders>
            <w:shd w:val="clear" w:color="auto" w:fill="33CCCC"/>
          </w:tcPr>
          <w:p>
            <w:pPr>
              <w:spacing w:after="0"/>
              <w:rPr>
                <w:sz w:val="14"/>
                <w:szCs w:val="14"/>
                <w:color w:val="auto"/>
              </w:rPr>
            </w:pPr>
          </w:p>
        </w:tc>
        <w:tc>
          <w:tcPr>
            <w:tcW w:w="1280" w:type="dxa"/>
            <w:vAlign w:val="bottom"/>
            <w:tcBorders>
              <w:top w:val="single" w:sz="8" w:color="auto"/>
            </w:tcBorders>
            <w:shd w:val="clear" w:color="auto" w:fill="33CCCC"/>
          </w:tcPr>
          <w:p>
            <w:pPr>
              <w:jc w:val="right"/>
              <w:ind w:right="674"/>
              <w:spacing w:after="0"/>
              <w:rPr>
                <w:sz w:val="20"/>
                <w:szCs w:val="20"/>
                <w:color w:val="auto"/>
              </w:rPr>
            </w:pPr>
            <w:r>
              <w:rPr>
                <w:rFonts w:ascii="Calibri" w:cs="Calibri" w:eastAsia="Calibri" w:hAnsi="Calibri"/>
                <w:sz w:val="13"/>
                <w:szCs w:val="13"/>
                <w:b w:val="1"/>
                <w:bCs w:val="1"/>
                <w:color w:val="FFFFFF"/>
              </w:rPr>
              <w:t>As of</w:t>
            </w:r>
          </w:p>
        </w:tc>
        <w:tc>
          <w:tcPr>
            <w:tcW w:w="1060" w:type="dxa"/>
            <w:vAlign w:val="bottom"/>
            <w:tcBorders>
              <w:top w:val="single" w:sz="8" w:color="auto"/>
              <w:right w:val="single" w:sz="8" w:color="auto"/>
            </w:tcBorders>
            <w:shd w:val="clear" w:color="auto" w:fill="33CCCC"/>
          </w:tcPr>
          <w:p>
            <w:pPr>
              <w:spacing w:after="0"/>
              <w:rPr>
                <w:sz w:val="14"/>
                <w:szCs w:val="14"/>
                <w:color w:val="auto"/>
              </w:rPr>
            </w:pPr>
          </w:p>
        </w:tc>
        <w:tc>
          <w:tcPr>
            <w:tcW w:w="860" w:type="dxa"/>
            <w:vAlign w:val="bottom"/>
            <w:tcBorders>
              <w:top w:val="single" w:sz="8" w:color="auto"/>
            </w:tcBorders>
            <w:shd w:val="clear" w:color="auto" w:fill="33CCCC"/>
          </w:tcPr>
          <w:p>
            <w:pPr>
              <w:spacing w:after="0"/>
              <w:rPr>
                <w:sz w:val="14"/>
                <w:szCs w:val="14"/>
                <w:color w:val="auto"/>
              </w:rPr>
            </w:pPr>
          </w:p>
        </w:tc>
        <w:tc>
          <w:tcPr>
            <w:tcW w:w="1580" w:type="dxa"/>
            <w:vAlign w:val="bottom"/>
            <w:tcBorders>
              <w:top w:val="single" w:sz="8" w:color="auto"/>
              <w:right w:val="single" w:sz="8" w:color="auto"/>
            </w:tcBorders>
            <w:shd w:val="clear" w:color="auto" w:fill="33CCCC"/>
          </w:tcPr>
          <w:p>
            <w:pPr>
              <w:ind w:left="100"/>
              <w:spacing w:after="0"/>
              <w:rPr>
                <w:sz w:val="20"/>
                <w:szCs w:val="20"/>
                <w:color w:val="auto"/>
              </w:rPr>
            </w:pPr>
            <w:r>
              <w:rPr>
                <w:rFonts w:ascii="Calibri" w:cs="Calibri" w:eastAsia="Calibri" w:hAnsi="Calibri"/>
                <w:sz w:val="13"/>
                <w:szCs w:val="13"/>
                <w:b w:val="1"/>
                <w:bCs w:val="1"/>
                <w:color w:val="FFFFFF"/>
              </w:rPr>
              <w:t>% change</w:t>
            </w:r>
          </w:p>
        </w:tc>
        <w:tc>
          <w:tcPr>
            <w:tcW w:w="860" w:type="dxa"/>
            <w:vAlign w:val="bottom"/>
            <w:tcBorders>
              <w:top w:val="single" w:sz="8" w:color="auto"/>
            </w:tcBorders>
            <w:shd w:val="clear" w:color="auto" w:fill="33CCCC"/>
          </w:tcPr>
          <w:p>
            <w:pPr>
              <w:spacing w:after="0"/>
              <w:rPr>
                <w:sz w:val="14"/>
                <w:szCs w:val="14"/>
                <w:color w:val="auto"/>
              </w:rPr>
            </w:pPr>
          </w:p>
        </w:tc>
        <w:tc>
          <w:tcPr>
            <w:tcW w:w="150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3"/>
                <w:szCs w:val="13"/>
                <w:b w:val="1"/>
                <w:bCs w:val="1"/>
                <w:color w:val="FFFFFF"/>
              </w:rPr>
              <w:t>Currency</w:t>
            </w:r>
          </w:p>
        </w:tc>
      </w:tr>
      <w:tr>
        <w:trPr>
          <w:trHeight w:val="190"/>
        </w:trPr>
        <w:tc>
          <w:tcPr>
            <w:tcW w:w="2600" w:type="dxa"/>
            <w:vAlign w:val="bottom"/>
            <w:tcBorders>
              <w:left w:val="single" w:sz="8" w:color="auto"/>
              <w:bottom w:val="single" w:sz="8" w:color="33CCCC"/>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S/000</w:t>
            </w:r>
          </w:p>
        </w:tc>
        <w:tc>
          <w:tcPr>
            <w:tcW w:w="1500" w:type="dxa"/>
            <w:vAlign w:val="bottom"/>
            <w:tcBorders>
              <w:bottom w:val="single" w:sz="8" w:color="33CCCC"/>
            </w:tcBorders>
            <w:shd w:val="clear" w:color="auto" w:fill="33CCCC"/>
          </w:tcPr>
          <w:p>
            <w:pPr>
              <w:jc w:val="right"/>
              <w:ind w:right="614"/>
              <w:spacing w:after="0"/>
              <w:rPr>
                <w:sz w:val="20"/>
                <w:szCs w:val="20"/>
                <w:color w:val="auto"/>
              </w:rPr>
            </w:pPr>
            <w:r>
              <w:rPr>
                <w:rFonts w:ascii="Calibri" w:cs="Calibri" w:eastAsia="Calibri" w:hAnsi="Calibri"/>
                <w:sz w:val="13"/>
                <w:szCs w:val="13"/>
                <w:b w:val="1"/>
                <w:bCs w:val="1"/>
                <w:color w:val="FFFFFF"/>
              </w:rPr>
              <w:t>Dec 23</w:t>
            </w:r>
          </w:p>
        </w:tc>
        <w:tc>
          <w:tcPr>
            <w:tcW w:w="1280" w:type="dxa"/>
            <w:vAlign w:val="bottom"/>
            <w:tcBorders>
              <w:bottom w:val="single" w:sz="8" w:color="33CCCC"/>
            </w:tcBorders>
            <w:shd w:val="clear" w:color="auto" w:fill="33CCCC"/>
          </w:tcPr>
          <w:p>
            <w:pPr>
              <w:jc w:val="right"/>
              <w:ind w:right="634"/>
              <w:spacing w:after="0"/>
              <w:rPr>
                <w:sz w:val="20"/>
                <w:szCs w:val="20"/>
                <w:color w:val="auto"/>
              </w:rPr>
            </w:pPr>
            <w:r>
              <w:rPr>
                <w:rFonts w:ascii="Calibri" w:cs="Calibri" w:eastAsia="Calibri" w:hAnsi="Calibri"/>
                <w:sz w:val="13"/>
                <w:szCs w:val="13"/>
                <w:b w:val="1"/>
                <w:bCs w:val="1"/>
                <w:color w:val="FFFFFF"/>
              </w:rPr>
              <w:t>Sep 24</w:t>
            </w:r>
          </w:p>
        </w:tc>
        <w:tc>
          <w:tcPr>
            <w:tcW w:w="1060" w:type="dxa"/>
            <w:vAlign w:val="bottom"/>
            <w:tcBorders>
              <w:bottom w:val="single" w:sz="8" w:color="33CCCC"/>
              <w:right w:val="single" w:sz="8" w:color="auto"/>
            </w:tcBorders>
            <w:shd w:val="clear" w:color="auto" w:fill="33CCCC"/>
          </w:tcPr>
          <w:p>
            <w:pPr>
              <w:jc w:val="right"/>
              <w:ind w:right="414"/>
              <w:spacing w:after="0"/>
              <w:rPr>
                <w:sz w:val="20"/>
                <w:szCs w:val="20"/>
                <w:color w:val="auto"/>
              </w:rPr>
            </w:pPr>
            <w:r>
              <w:rPr>
                <w:rFonts w:ascii="Calibri" w:cs="Calibri" w:eastAsia="Calibri" w:hAnsi="Calibri"/>
                <w:sz w:val="13"/>
                <w:szCs w:val="13"/>
                <w:b w:val="1"/>
                <w:bCs w:val="1"/>
                <w:color w:val="FFFFFF"/>
              </w:rPr>
              <w:t>Dec 24</w:t>
            </w:r>
          </w:p>
        </w:tc>
        <w:tc>
          <w:tcPr>
            <w:tcW w:w="860" w:type="dxa"/>
            <w:vAlign w:val="bottom"/>
            <w:tcBorders>
              <w:bottom w:val="single" w:sz="8" w:color="33CCCC"/>
            </w:tcBorders>
            <w:shd w:val="clear" w:color="auto" w:fill="33CCCC"/>
          </w:tcPr>
          <w:p>
            <w:pPr>
              <w:ind w:left="480"/>
              <w:spacing w:after="0"/>
              <w:rPr>
                <w:sz w:val="20"/>
                <w:szCs w:val="20"/>
                <w:color w:val="auto"/>
              </w:rPr>
            </w:pPr>
            <w:r>
              <w:rPr>
                <w:rFonts w:ascii="Calibri" w:cs="Calibri" w:eastAsia="Calibri" w:hAnsi="Calibri"/>
                <w:sz w:val="13"/>
                <w:szCs w:val="13"/>
                <w:b w:val="1"/>
                <w:bCs w:val="1"/>
                <w:color w:val="FFFFFF"/>
              </w:rPr>
              <w:t>QoQ</w:t>
            </w:r>
          </w:p>
        </w:tc>
        <w:tc>
          <w:tcPr>
            <w:tcW w:w="1580" w:type="dxa"/>
            <w:vAlign w:val="bottom"/>
            <w:tcBorders>
              <w:bottom w:val="single" w:sz="8" w:color="33CCCC"/>
              <w:right w:val="single" w:sz="8" w:color="auto"/>
            </w:tcBorders>
            <w:shd w:val="clear" w:color="auto" w:fill="33CCCC"/>
          </w:tcPr>
          <w:p>
            <w:pPr>
              <w:ind w:left="860"/>
              <w:spacing w:after="0"/>
              <w:rPr>
                <w:sz w:val="20"/>
                <w:szCs w:val="20"/>
                <w:color w:val="auto"/>
              </w:rPr>
            </w:pPr>
            <w:r>
              <w:rPr>
                <w:rFonts w:ascii="Calibri" w:cs="Calibri" w:eastAsia="Calibri" w:hAnsi="Calibri"/>
                <w:sz w:val="13"/>
                <w:szCs w:val="13"/>
                <w:b w:val="1"/>
                <w:bCs w:val="1"/>
                <w:color w:val="FFFFFF"/>
              </w:rPr>
              <w:t>YoY</w:t>
            </w:r>
          </w:p>
        </w:tc>
        <w:tc>
          <w:tcPr>
            <w:tcW w:w="860" w:type="dxa"/>
            <w:vAlign w:val="bottom"/>
            <w:tcBorders>
              <w:bottom w:val="single" w:sz="8" w:color="33CCCC"/>
            </w:tcBorders>
            <w:shd w:val="clear" w:color="auto" w:fill="33CCCC"/>
          </w:tcPr>
          <w:p>
            <w:pPr>
              <w:jc w:val="center"/>
              <w:ind w:left="314"/>
              <w:spacing w:after="0"/>
              <w:rPr>
                <w:sz w:val="20"/>
                <w:szCs w:val="20"/>
                <w:color w:val="auto"/>
              </w:rPr>
            </w:pPr>
            <w:r>
              <w:rPr>
                <w:rFonts w:ascii="Calibri" w:cs="Calibri" w:eastAsia="Calibri" w:hAnsi="Calibri"/>
                <w:sz w:val="13"/>
                <w:szCs w:val="13"/>
                <w:b w:val="1"/>
                <w:bCs w:val="1"/>
                <w:color w:val="FFFFFF"/>
                <w:w w:val="96"/>
              </w:rPr>
              <w:t>LC</w:t>
            </w:r>
          </w:p>
        </w:tc>
        <w:tc>
          <w:tcPr>
            <w:tcW w:w="1500" w:type="dxa"/>
            <w:vAlign w:val="bottom"/>
            <w:tcBorders>
              <w:bottom w:val="single" w:sz="8" w:color="33CCCC"/>
              <w:right w:val="single" w:sz="8" w:color="auto"/>
            </w:tcBorders>
            <w:shd w:val="clear" w:color="auto" w:fill="33CCCC"/>
          </w:tcPr>
          <w:p>
            <w:pPr>
              <w:jc w:val="center"/>
              <w:ind w:left="294"/>
              <w:spacing w:after="0"/>
              <w:rPr>
                <w:sz w:val="20"/>
                <w:szCs w:val="20"/>
                <w:color w:val="auto"/>
              </w:rPr>
            </w:pPr>
            <w:r>
              <w:rPr>
                <w:rFonts w:ascii="Calibri" w:cs="Calibri" w:eastAsia="Calibri" w:hAnsi="Calibri"/>
                <w:sz w:val="13"/>
                <w:szCs w:val="13"/>
                <w:b w:val="1"/>
                <w:bCs w:val="1"/>
                <w:color w:val="FFFFFF"/>
              </w:rPr>
              <w:t>FC</w:t>
            </w:r>
          </w:p>
        </w:tc>
      </w:tr>
      <w:tr>
        <w:trPr>
          <w:trHeight w:val="149"/>
        </w:trPr>
        <w:tc>
          <w:tcPr>
            <w:tcW w:w="2600" w:type="dxa"/>
            <w:vAlign w:val="bottom"/>
            <w:tcBorders>
              <w:top w:val="single" w:sz="8" w:color="auto"/>
              <w:left w:val="single" w:sz="8" w:color="auto"/>
              <w:right w:val="single" w:sz="8" w:color="auto"/>
            </w:tcBorders>
          </w:tcPr>
          <w:p>
            <w:pPr>
              <w:ind w:left="20"/>
              <w:spacing w:after="0" w:line="150" w:lineRule="exact"/>
              <w:rPr>
                <w:sz w:val="20"/>
                <w:szCs w:val="20"/>
                <w:color w:val="auto"/>
              </w:rPr>
            </w:pPr>
            <w:r>
              <w:rPr>
                <w:rFonts w:ascii="Calibri" w:cs="Calibri" w:eastAsia="Calibri" w:hAnsi="Calibri"/>
                <w:sz w:val="13"/>
                <w:szCs w:val="13"/>
                <w:color w:val="auto"/>
              </w:rPr>
              <w:t>Demand deposits</w:t>
            </w:r>
          </w:p>
        </w:tc>
        <w:tc>
          <w:tcPr>
            <w:tcW w:w="1500" w:type="dxa"/>
            <w:vAlign w:val="bottom"/>
            <w:tcBorders>
              <w:top w:val="single" w:sz="8" w:color="auto"/>
            </w:tcBorders>
          </w:tcPr>
          <w:p>
            <w:pPr>
              <w:jc w:val="right"/>
              <w:ind w:right="154"/>
              <w:spacing w:after="0" w:line="150" w:lineRule="exact"/>
              <w:rPr>
                <w:sz w:val="20"/>
                <w:szCs w:val="20"/>
                <w:color w:val="auto"/>
              </w:rPr>
            </w:pPr>
            <w:r>
              <w:rPr>
                <w:rFonts w:ascii="Calibri" w:cs="Calibri" w:eastAsia="Calibri" w:hAnsi="Calibri"/>
                <w:sz w:val="13"/>
                <w:szCs w:val="13"/>
                <w:color w:val="auto"/>
              </w:rPr>
              <w:t>48,229,323</w:t>
            </w:r>
          </w:p>
        </w:tc>
        <w:tc>
          <w:tcPr>
            <w:tcW w:w="1280" w:type="dxa"/>
            <w:vAlign w:val="bottom"/>
            <w:tcBorders>
              <w:top w:val="single" w:sz="8" w:color="auto"/>
            </w:tcBorders>
          </w:tcPr>
          <w:p>
            <w:pPr>
              <w:jc w:val="right"/>
              <w:ind w:right="174"/>
              <w:spacing w:after="0" w:line="150" w:lineRule="exact"/>
              <w:rPr>
                <w:sz w:val="20"/>
                <w:szCs w:val="20"/>
                <w:color w:val="auto"/>
              </w:rPr>
            </w:pPr>
            <w:r>
              <w:rPr>
                <w:rFonts w:ascii="Calibri" w:cs="Calibri" w:eastAsia="Calibri" w:hAnsi="Calibri"/>
                <w:sz w:val="13"/>
                <w:szCs w:val="13"/>
                <w:color w:val="auto"/>
              </w:rPr>
              <w:t>53,149,144</w:t>
            </w:r>
          </w:p>
        </w:tc>
        <w:tc>
          <w:tcPr>
            <w:tcW w:w="1060" w:type="dxa"/>
            <w:vAlign w:val="bottom"/>
            <w:tcBorders>
              <w:top w:val="single" w:sz="8" w:color="auto"/>
              <w:right w:val="single" w:sz="8" w:color="auto"/>
            </w:tcBorders>
          </w:tcPr>
          <w:p>
            <w:pPr>
              <w:jc w:val="right"/>
              <w:spacing w:after="0" w:line="150" w:lineRule="exact"/>
              <w:rPr>
                <w:sz w:val="20"/>
                <w:szCs w:val="20"/>
                <w:color w:val="auto"/>
              </w:rPr>
            </w:pPr>
            <w:r>
              <w:rPr>
                <w:rFonts w:ascii="Calibri" w:cs="Calibri" w:eastAsia="Calibri" w:hAnsi="Calibri"/>
                <w:sz w:val="13"/>
                <w:szCs w:val="13"/>
                <w:color w:val="auto"/>
              </w:rPr>
              <w:t>52,590,952</w:t>
            </w:r>
          </w:p>
        </w:tc>
        <w:tc>
          <w:tcPr>
            <w:tcW w:w="860" w:type="dxa"/>
            <w:vAlign w:val="bottom"/>
            <w:tcBorders>
              <w:top w:val="single" w:sz="8" w:color="auto"/>
            </w:tcBorders>
          </w:tcPr>
          <w:p>
            <w:pPr>
              <w:jc w:val="center"/>
              <w:ind w:left="294"/>
              <w:spacing w:after="0" w:line="150" w:lineRule="exact"/>
              <w:rPr>
                <w:sz w:val="20"/>
                <w:szCs w:val="20"/>
                <w:color w:val="auto"/>
              </w:rPr>
            </w:pPr>
            <w:r>
              <w:rPr>
                <w:rFonts w:ascii="Calibri" w:cs="Calibri" w:eastAsia="Calibri" w:hAnsi="Calibri"/>
                <w:sz w:val="13"/>
                <w:szCs w:val="13"/>
                <w:color w:val="auto"/>
              </w:rPr>
              <w:t>-1.1%</w:t>
            </w:r>
          </w:p>
        </w:tc>
        <w:tc>
          <w:tcPr>
            <w:tcW w:w="1580" w:type="dxa"/>
            <w:vAlign w:val="bottom"/>
            <w:tcBorders>
              <w:top w:val="single" w:sz="8" w:color="auto"/>
              <w:right w:val="single" w:sz="8" w:color="auto"/>
            </w:tcBorders>
          </w:tcPr>
          <w:p>
            <w:pPr>
              <w:jc w:val="center"/>
              <w:ind w:left="254"/>
              <w:spacing w:after="0" w:line="150" w:lineRule="exact"/>
              <w:rPr>
                <w:sz w:val="20"/>
                <w:szCs w:val="20"/>
                <w:color w:val="auto"/>
              </w:rPr>
            </w:pPr>
            <w:r>
              <w:rPr>
                <w:rFonts w:ascii="Calibri" w:cs="Calibri" w:eastAsia="Calibri" w:hAnsi="Calibri"/>
                <w:sz w:val="13"/>
                <w:szCs w:val="13"/>
                <w:color w:val="auto"/>
              </w:rPr>
              <w:t>9.0%</w:t>
            </w:r>
          </w:p>
        </w:tc>
        <w:tc>
          <w:tcPr>
            <w:tcW w:w="860" w:type="dxa"/>
            <w:vAlign w:val="bottom"/>
            <w:tcBorders>
              <w:top w:val="single" w:sz="8" w:color="auto"/>
            </w:tcBorders>
          </w:tcPr>
          <w:p>
            <w:pPr>
              <w:jc w:val="center"/>
              <w:ind w:left="294"/>
              <w:spacing w:after="0" w:line="150" w:lineRule="exact"/>
              <w:rPr>
                <w:sz w:val="20"/>
                <w:szCs w:val="20"/>
                <w:color w:val="auto"/>
              </w:rPr>
            </w:pPr>
            <w:r>
              <w:rPr>
                <w:rFonts w:ascii="Calibri" w:cs="Calibri" w:eastAsia="Calibri" w:hAnsi="Calibri"/>
                <w:sz w:val="13"/>
                <w:szCs w:val="13"/>
                <w:color w:val="auto"/>
              </w:rPr>
              <w:t>49.4%</w:t>
            </w:r>
          </w:p>
        </w:tc>
        <w:tc>
          <w:tcPr>
            <w:tcW w:w="1500" w:type="dxa"/>
            <w:vAlign w:val="bottom"/>
            <w:tcBorders>
              <w:top w:val="single" w:sz="8" w:color="auto"/>
              <w:right w:val="single" w:sz="8" w:color="auto"/>
            </w:tcBorders>
          </w:tcPr>
          <w:p>
            <w:pPr>
              <w:jc w:val="center"/>
              <w:ind w:left="274"/>
              <w:spacing w:after="0" w:line="150" w:lineRule="exact"/>
              <w:rPr>
                <w:sz w:val="20"/>
                <w:szCs w:val="20"/>
                <w:color w:val="auto"/>
              </w:rPr>
            </w:pPr>
            <w:r>
              <w:rPr>
                <w:rFonts w:ascii="Calibri" w:cs="Calibri" w:eastAsia="Calibri" w:hAnsi="Calibri"/>
                <w:sz w:val="13"/>
                <w:szCs w:val="13"/>
                <w:color w:val="auto"/>
                <w:w w:val="98"/>
              </w:rPr>
              <w:t>50.6%</w:t>
            </w:r>
          </w:p>
        </w:tc>
      </w:tr>
      <w:tr>
        <w:trPr>
          <w:trHeight w:val="164"/>
        </w:trPr>
        <w:tc>
          <w:tcPr>
            <w:tcW w:w="26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Saving deposits</w:t>
            </w:r>
          </w:p>
        </w:tc>
        <w:tc>
          <w:tcPr>
            <w:tcW w:w="1500" w:type="dxa"/>
            <w:vAlign w:val="bottom"/>
          </w:tcPr>
          <w:p>
            <w:pPr>
              <w:jc w:val="right"/>
              <w:ind w:right="154"/>
              <w:spacing w:after="0"/>
              <w:rPr>
                <w:sz w:val="20"/>
                <w:szCs w:val="20"/>
                <w:color w:val="auto"/>
              </w:rPr>
            </w:pPr>
            <w:r>
              <w:rPr>
                <w:rFonts w:ascii="Calibri" w:cs="Calibri" w:eastAsia="Calibri" w:hAnsi="Calibri"/>
                <w:sz w:val="13"/>
                <w:szCs w:val="13"/>
                <w:color w:val="auto"/>
              </w:rPr>
              <w:t>52,375,813</w:t>
            </w:r>
          </w:p>
        </w:tc>
        <w:tc>
          <w:tcPr>
            <w:tcW w:w="1280" w:type="dxa"/>
            <w:vAlign w:val="bottom"/>
          </w:tcPr>
          <w:p>
            <w:pPr>
              <w:jc w:val="right"/>
              <w:ind w:right="174"/>
              <w:spacing w:after="0"/>
              <w:rPr>
                <w:sz w:val="20"/>
                <w:szCs w:val="20"/>
                <w:color w:val="auto"/>
              </w:rPr>
            </w:pPr>
            <w:r>
              <w:rPr>
                <w:rFonts w:ascii="Calibri" w:cs="Calibri" w:eastAsia="Calibri" w:hAnsi="Calibri"/>
                <w:sz w:val="13"/>
                <w:szCs w:val="13"/>
                <w:color w:val="auto"/>
              </w:rPr>
              <w:t>54,474,960</w:t>
            </w:r>
          </w:p>
        </w:tc>
        <w:tc>
          <w:tcPr>
            <w:tcW w:w="10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59,757,825</w:t>
            </w:r>
          </w:p>
        </w:tc>
        <w:tc>
          <w:tcPr>
            <w:tcW w:w="860" w:type="dxa"/>
            <w:vAlign w:val="bottom"/>
          </w:tcPr>
          <w:p>
            <w:pPr>
              <w:jc w:val="center"/>
              <w:ind w:left="294"/>
              <w:spacing w:after="0"/>
              <w:rPr>
                <w:sz w:val="20"/>
                <w:szCs w:val="20"/>
                <w:color w:val="auto"/>
              </w:rPr>
            </w:pPr>
            <w:r>
              <w:rPr>
                <w:rFonts w:ascii="Calibri" w:cs="Calibri" w:eastAsia="Calibri" w:hAnsi="Calibri"/>
                <w:sz w:val="13"/>
                <w:szCs w:val="13"/>
                <w:color w:val="auto"/>
              </w:rPr>
              <w:t>9.7%</w:t>
            </w:r>
          </w:p>
        </w:tc>
        <w:tc>
          <w:tcPr>
            <w:tcW w:w="1580" w:type="dxa"/>
            <w:vAlign w:val="bottom"/>
            <w:tcBorders>
              <w:right w:val="single" w:sz="8" w:color="auto"/>
            </w:tcBorders>
          </w:tcPr>
          <w:p>
            <w:pPr>
              <w:jc w:val="center"/>
              <w:ind w:left="274"/>
              <w:spacing w:after="0"/>
              <w:rPr>
                <w:sz w:val="20"/>
                <w:szCs w:val="20"/>
                <w:color w:val="auto"/>
              </w:rPr>
            </w:pPr>
            <w:r>
              <w:rPr>
                <w:rFonts w:ascii="Calibri" w:cs="Calibri" w:eastAsia="Calibri" w:hAnsi="Calibri"/>
                <w:sz w:val="13"/>
                <w:szCs w:val="13"/>
                <w:color w:val="auto"/>
                <w:w w:val="98"/>
              </w:rPr>
              <w:t>14.1%</w:t>
            </w:r>
          </w:p>
        </w:tc>
        <w:tc>
          <w:tcPr>
            <w:tcW w:w="860" w:type="dxa"/>
            <w:vAlign w:val="bottom"/>
          </w:tcPr>
          <w:p>
            <w:pPr>
              <w:jc w:val="center"/>
              <w:ind w:left="294"/>
              <w:spacing w:after="0"/>
              <w:rPr>
                <w:sz w:val="20"/>
                <w:szCs w:val="20"/>
                <w:color w:val="auto"/>
              </w:rPr>
            </w:pPr>
            <w:r>
              <w:rPr>
                <w:rFonts w:ascii="Calibri" w:cs="Calibri" w:eastAsia="Calibri" w:hAnsi="Calibri"/>
                <w:sz w:val="13"/>
                <w:szCs w:val="13"/>
                <w:color w:val="auto"/>
              </w:rPr>
              <w:t>61.3%</w:t>
            </w:r>
          </w:p>
        </w:tc>
        <w:tc>
          <w:tcPr>
            <w:tcW w:w="1500" w:type="dxa"/>
            <w:vAlign w:val="bottom"/>
            <w:tcBorders>
              <w:right w:val="single" w:sz="8" w:color="auto"/>
            </w:tcBorders>
          </w:tcPr>
          <w:p>
            <w:pPr>
              <w:jc w:val="center"/>
              <w:ind w:left="274"/>
              <w:spacing w:after="0"/>
              <w:rPr>
                <w:sz w:val="20"/>
                <w:szCs w:val="20"/>
                <w:color w:val="auto"/>
              </w:rPr>
            </w:pPr>
            <w:r>
              <w:rPr>
                <w:rFonts w:ascii="Calibri" w:cs="Calibri" w:eastAsia="Calibri" w:hAnsi="Calibri"/>
                <w:sz w:val="13"/>
                <w:szCs w:val="13"/>
                <w:color w:val="auto"/>
                <w:w w:val="98"/>
              </w:rPr>
              <w:t>38.7%</w:t>
            </w:r>
          </w:p>
        </w:tc>
      </w:tr>
      <w:tr>
        <w:trPr>
          <w:trHeight w:val="170"/>
        </w:trPr>
        <w:tc>
          <w:tcPr>
            <w:tcW w:w="26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Time deposits</w:t>
            </w:r>
          </w:p>
        </w:tc>
        <w:tc>
          <w:tcPr>
            <w:tcW w:w="1500" w:type="dxa"/>
            <w:vAlign w:val="bottom"/>
          </w:tcPr>
          <w:p>
            <w:pPr>
              <w:jc w:val="right"/>
              <w:ind w:right="154"/>
              <w:spacing w:after="0"/>
              <w:rPr>
                <w:sz w:val="20"/>
                <w:szCs w:val="20"/>
                <w:color w:val="auto"/>
              </w:rPr>
            </w:pPr>
            <w:r>
              <w:rPr>
                <w:rFonts w:ascii="Calibri" w:cs="Calibri" w:eastAsia="Calibri" w:hAnsi="Calibri"/>
                <w:sz w:val="13"/>
                <w:szCs w:val="13"/>
                <w:color w:val="auto"/>
              </w:rPr>
              <w:t>42,484,664</w:t>
            </w:r>
          </w:p>
        </w:tc>
        <w:tc>
          <w:tcPr>
            <w:tcW w:w="1280" w:type="dxa"/>
            <w:vAlign w:val="bottom"/>
          </w:tcPr>
          <w:p>
            <w:pPr>
              <w:jc w:val="right"/>
              <w:ind w:right="174"/>
              <w:spacing w:after="0"/>
              <w:rPr>
                <w:sz w:val="20"/>
                <w:szCs w:val="20"/>
                <w:color w:val="auto"/>
              </w:rPr>
            </w:pPr>
            <w:r>
              <w:rPr>
                <w:rFonts w:ascii="Calibri" w:cs="Calibri" w:eastAsia="Calibri" w:hAnsi="Calibri"/>
                <w:sz w:val="13"/>
                <w:szCs w:val="13"/>
                <w:color w:val="auto"/>
              </w:rPr>
              <w:t>42,514,849</w:t>
            </w:r>
          </w:p>
        </w:tc>
        <w:tc>
          <w:tcPr>
            <w:tcW w:w="10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45,217,785</w:t>
            </w:r>
          </w:p>
        </w:tc>
        <w:tc>
          <w:tcPr>
            <w:tcW w:w="860" w:type="dxa"/>
            <w:vAlign w:val="bottom"/>
          </w:tcPr>
          <w:p>
            <w:pPr>
              <w:jc w:val="center"/>
              <w:ind w:left="294"/>
              <w:spacing w:after="0"/>
              <w:rPr>
                <w:sz w:val="20"/>
                <w:szCs w:val="20"/>
                <w:color w:val="auto"/>
              </w:rPr>
            </w:pPr>
            <w:r>
              <w:rPr>
                <w:rFonts w:ascii="Calibri" w:cs="Calibri" w:eastAsia="Calibri" w:hAnsi="Calibri"/>
                <w:sz w:val="13"/>
                <w:szCs w:val="13"/>
                <w:color w:val="auto"/>
              </w:rPr>
              <w:t>6.4%</w:t>
            </w:r>
          </w:p>
        </w:tc>
        <w:tc>
          <w:tcPr>
            <w:tcW w:w="1580" w:type="dxa"/>
            <w:vAlign w:val="bottom"/>
            <w:tcBorders>
              <w:right w:val="single" w:sz="8" w:color="auto"/>
            </w:tcBorders>
          </w:tcPr>
          <w:p>
            <w:pPr>
              <w:jc w:val="center"/>
              <w:ind w:left="254"/>
              <w:spacing w:after="0"/>
              <w:rPr>
                <w:sz w:val="20"/>
                <w:szCs w:val="20"/>
                <w:color w:val="auto"/>
              </w:rPr>
            </w:pPr>
            <w:r>
              <w:rPr>
                <w:rFonts w:ascii="Calibri" w:cs="Calibri" w:eastAsia="Calibri" w:hAnsi="Calibri"/>
                <w:sz w:val="13"/>
                <w:szCs w:val="13"/>
                <w:color w:val="auto"/>
              </w:rPr>
              <w:t>6.4%</w:t>
            </w:r>
          </w:p>
        </w:tc>
        <w:tc>
          <w:tcPr>
            <w:tcW w:w="860" w:type="dxa"/>
            <w:vAlign w:val="bottom"/>
          </w:tcPr>
          <w:p>
            <w:pPr>
              <w:jc w:val="center"/>
              <w:ind w:left="294"/>
              <w:spacing w:after="0"/>
              <w:rPr>
                <w:sz w:val="20"/>
                <w:szCs w:val="20"/>
                <w:color w:val="auto"/>
              </w:rPr>
            </w:pPr>
            <w:r>
              <w:rPr>
                <w:rFonts w:ascii="Calibri" w:cs="Calibri" w:eastAsia="Calibri" w:hAnsi="Calibri"/>
                <w:sz w:val="13"/>
                <w:szCs w:val="13"/>
                <w:color w:val="auto"/>
              </w:rPr>
              <w:t>46.4%</w:t>
            </w:r>
          </w:p>
        </w:tc>
        <w:tc>
          <w:tcPr>
            <w:tcW w:w="1500" w:type="dxa"/>
            <w:vAlign w:val="bottom"/>
            <w:tcBorders>
              <w:right w:val="single" w:sz="8" w:color="auto"/>
            </w:tcBorders>
          </w:tcPr>
          <w:p>
            <w:pPr>
              <w:jc w:val="center"/>
              <w:ind w:left="274"/>
              <w:spacing w:after="0"/>
              <w:rPr>
                <w:sz w:val="20"/>
                <w:szCs w:val="20"/>
                <w:color w:val="auto"/>
              </w:rPr>
            </w:pPr>
            <w:r>
              <w:rPr>
                <w:rFonts w:ascii="Calibri" w:cs="Calibri" w:eastAsia="Calibri" w:hAnsi="Calibri"/>
                <w:sz w:val="13"/>
                <w:szCs w:val="13"/>
                <w:color w:val="auto"/>
                <w:w w:val="98"/>
              </w:rPr>
              <w:t>53.6%</w:t>
            </w:r>
          </w:p>
        </w:tc>
      </w:tr>
      <w:tr>
        <w:trPr>
          <w:trHeight w:val="170"/>
        </w:trPr>
        <w:tc>
          <w:tcPr>
            <w:tcW w:w="26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Severance indemnity deposits</w:t>
            </w:r>
          </w:p>
        </w:tc>
        <w:tc>
          <w:tcPr>
            <w:tcW w:w="1500" w:type="dxa"/>
            <w:vAlign w:val="bottom"/>
          </w:tcPr>
          <w:p>
            <w:pPr>
              <w:jc w:val="right"/>
              <w:ind w:right="154"/>
              <w:spacing w:after="0"/>
              <w:rPr>
                <w:sz w:val="20"/>
                <w:szCs w:val="20"/>
                <w:color w:val="auto"/>
              </w:rPr>
            </w:pPr>
            <w:r>
              <w:rPr>
                <w:rFonts w:ascii="Calibri" w:cs="Calibri" w:eastAsia="Calibri" w:hAnsi="Calibri"/>
                <w:sz w:val="13"/>
                <w:szCs w:val="13"/>
                <w:color w:val="auto"/>
              </w:rPr>
              <w:t>3,185,603</w:t>
            </w:r>
          </w:p>
        </w:tc>
        <w:tc>
          <w:tcPr>
            <w:tcW w:w="1280" w:type="dxa"/>
            <w:vAlign w:val="bottom"/>
          </w:tcPr>
          <w:p>
            <w:pPr>
              <w:jc w:val="right"/>
              <w:ind w:right="174"/>
              <w:spacing w:after="0"/>
              <w:rPr>
                <w:sz w:val="20"/>
                <w:szCs w:val="20"/>
                <w:color w:val="auto"/>
              </w:rPr>
            </w:pPr>
            <w:r>
              <w:rPr>
                <w:rFonts w:ascii="Calibri" w:cs="Calibri" w:eastAsia="Calibri" w:hAnsi="Calibri"/>
                <w:sz w:val="13"/>
                <w:szCs w:val="13"/>
                <w:color w:val="auto"/>
              </w:rPr>
              <w:t>2,989,705</w:t>
            </w:r>
          </w:p>
        </w:tc>
        <w:tc>
          <w:tcPr>
            <w:tcW w:w="10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2,996,020</w:t>
            </w:r>
          </w:p>
        </w:tc>
        <w:tc>
          <w:tcPr>
            <w:tcW w:w="860" w:type="dxa"/>
            <w:vAlign w:val="bottom"/>
          </w:tcPr>
          <w:p>
            <w:pPr>
              <w:jc w:val="center"/>
              <w:ind w:left="294"/>
              <w:spacing w:after="0"/>
              <w:rPr>
                <w:sz w:val="20"/>
                <w:szCs w:val="20"/>
                <w:color w:val="auto"/>
              </w:rPr>
            </w:pPr>
            <w:r>
              <w:rPr>
                <w:rFonts w:ascii="Calibri" w:cs="Calibri" w:eastAsia="Calibri" w:hAnsi="Calibri"/>
                <w:sz w:val="13"/>
                <w:szCs w:val="13"/>
                <w:color w:val="auto"/>
              </w:rPr>
              <w:t>0.2%</w:t>
            </w:r>
          </w:p>
        </w:tc>
        <w:tc>
          <w:tcPr>
            <w:tcW w:w="1580" w:type="dxa"/>
            <w:vAlign w:val="bottom"/>
            <w:tcBorders>
              <w:right w:val="single" w:sz="8" w:color="auto"/>
            </w:tcBorders>
          </w:tcPr>
          <w:p>
            <w:pPr>
              <w:jc w:val="center"/>
              <w:ind w:left="254"/>
              <w:spacing w:after="0"/>
              <w:rPr>
                <w:sz w:val="20"/>
                <w:szCs w:val="20"/>
                <w:color w:val="auto"/>
              </w:rPr>
            </w:pPr>
            <w:r>
              <w:rPr>
                <w:rFonts w:ascii="Calibri" w:cs="Calibri" w:eastAsia="Calibri" w:hAnsi="Calibri"/>
                <w:sz w:val="13"/>
                <w:szCs w:val="13"/>
                <w:color w:val="auto"/>
              </w:rPr>
              <w:t>-6.0%</w:t>
            </w:r>
          </w:p>
        </w:tc>
        <w:tc>
          <w:tcPr>
            <w:tcW w:w="860" w:type="dxa"/>
            <w:vAlign w:val="bottom"/>
          </w:tcPr>
          <w:p>
            <w:pPr>
              <w:jc w:val="center"/>
              <w:ind w:left="294"/>
              <w:spacing w:after="0"/>
              <w:rPr>
                <w:sz w:val="20"/>
                <w:szCs w:val="20"/>
                <w:color w:val="auto"/>
              </w:rPr>
            </w:pPr>
            <w:r>
              <w:rPr>
                <w:rFonts w:ascii="Calibri" w:cs="Calibri" w:eastAsia="Calibri" w:hAnsi="Calibri"/>
                <w:sz w:val="13"/>
                <w:szCs w:val="13"/>
                <w:color w:val="auto"/>
              </w:rPr>
              <w:t>74.4%</w:t>
            </w:r>
          </w:p>
        </w:tc>
        <w:tc>
          <w:tcPr>
            <w:tcW w:w="1500" w:type="dxa"/>
            <w:vAlign w:val="bottom"/>
            <w:tcBorders>
              <w:right w:val="single" w:sz="8" w:color="auto"/>
            </w:tcBorders>
          </w:tcPr>
          <w:p>
            <w:pPr>
              <w:jc w:val="center"/>
              <w:ind w:left="274"/>
              <w:spacing w:after="0"/>
              <w:rPr>
                <w:sz w:val="20"/>
                <w:szCs w:val="20"/>
                <w:color w:val="auto"/>
              </w:rPr>
            </w:pPr>
            <w:r>
              <w:rPr>
                <w:rFonts w:ascii="Calibri" w:cs="Calibri" w:eastAsia="Calibri" w:hAnsi="Calibri"/>
                <w:sz w:val="13"/>
                <w:szCs w:val="13"/>
                <w:color w:val="auto"/>
                <w:w w:val="98"/>
              </w:rPr>
              <w:t>25.6%</w:t>
            </w:r>
          </w:p>
        </w:tc>
      </w:tr>
      <w:tr>
        <w:trPr>
          <w:trHeight w:val="170"/>
        </w:trPr>
        <w:tc>
          <w:tcPr>
            <w:tcW w:w="260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Interest payable</w:t>
            </w:r>
          </w:p>
        </w:tc>
        <w:tc>
          <w:tcPr>
            <w:tcW w:w="1500" w:type="dxa"/>
            <w:vAlign w:val="bottom"/>
          </w:tcPr>
          <w:p>
            <w:pPr>
              <w:jc w:val="right"/>
              <w:ind w:right="154"/>
              <w:spacing w:after="0"/>
              <w:rPr>
                <w:sz w:val="20"/>
                <w:szCs w:val="20"/>
                <w:color w:val="auto"/>
              </w:rPr>
            </w:pPr>
            <w:r>
              <w:rPr>
                <w:rFonts w:ascii="Calibri" w:cs="Calibri" w:eastAsia="Calibri" w:hAnsi="Calibri"/>
                <w:sz w:val="13"/>
                <w:szCs w:val="13"/>
                <w:color w:val="auto"/>
              </w:rPr>
              <w:t>1,429,591</w:t>
            </w:r>
          </w:p>
        </w:tc>
        <w:tc>
          <w:tcPr>
            <w:tcW w:w="1280" w:type="dxa"/>
            <w:vAlign w:val="bottom"/>
          </w:tcPr>
          <w:p>
            <w:pPr>
              <w:jc w:val="right"/>
              <w:ind w:right="174"/>
              <w:spacing w:after="0"/>
              <w:rPr>
                <w:sz w:val="20"/>
                <w:szCs w:val="20"/>
                <w:color w:val="auto"/>
              </w:rPr>
            </w:pPr>
            <w:r>
              <w:rPr>
                <w:rFonts w:ascii="Calibri" w:cs="Calibri" w:eastAsia="Calibri" w:hAnsi="Calibri"/>
                <w:sz w:val="13"/>
                <w:szCs w:val="13"/>
                <w:color w:val="auto"/>
              </w:rPr>
              <w:t>1,306,793</w:t>
            </w:r>
          </w:p>
        </w:tc>
        <w:tc>
          <w:tcPr>
            <w:tcW w:w="1060" w:type="dxa"/>
            <w:vAlign w:val="bottom"/>
            <w:tcBorders>
              <w:right w:val="single" w:sz="8" w:color="auto"/>
            </w:tcBorders>
          </w:tcPr>
          <w:p>
            <w:pPr>
              <w:jc w:val="right"/>
              <w:spacing w:after="0"/>
              <w:rPr>
                <w:sz w:val="20"/>
                <w:szCs w:val="20"/>
                <w:color w:val="auto"/>
              </w:rPr>
            </w:pPr>
            <w:r>
              <w:rPr>
                <w:rFonts w:ascii="Calibri" w:cs="Calibri" w:eastAsia="Calibri" w:hAnsi="Calibri"/>
                <w:sz w:val="13"/>
                <w:szCs w:val="13"/>
                <w:color w:val="auto"/>
              </w:rPr>
              <w:t>1,279,484</w:t>
            </w:r>
          </w:p>
        </w:tc>
        <w:tc>
          <w:tcPr>
            <w:tcW w:w="860" w:type="dxa"/>
            <w:vAlign w:val="bottom"/>
          </w:tcPr>
          <w:p>
            <w:pPr>
              <w:jc w:val="center"/>
              <w:ind w:left="294"/>
              <w:spacing w:after="0"/>
              <w:rPr>
                <w:sz w:val="20"/>
                <w:szCs w:val="20"/>
                <w:color w:val="auto"/>
              </w:rPr>
            </w:pPr>
            <w:r>
              <w:rPr>
                <w:rFonts w:ascii="Calibri" w:cs="Calibri" w:eastAsia="Calibri" w:hAnsi="Calibri"/>
                <w:sz w:val="13"/>
                <w:szCs w:val="13"/>
                <w:color w:val="auto"/>
              </w:rPr>
              <w:t>-2.1%</w:t>
            </w:r>
          </w:p>
        </w:tc>
        <w:tc>
          <w:tcPr>
            <w:tcW w:w="1580" w:type="dxa"/>
            <w:vAlign w:val="bottom"/>
            <w:tcBorders>
              <w:right w:val="single" w:sz="8" w:color="auto"/>
            </w:tcBorders>
          </w:tcPr>
          <w:p>
            <w:pPr>
              <w:jc w:val="center"/>
              <w:ind w:left="274"/>
              <w:spacing w:after="0"/>
              <w:rPr>
                <w:sz w:val="20"/>
                <w:szCs w:val="20"/>
                <w:color w:val="auto"/>
              </w:rPr>
            </w:pPr>
            <w:r>
              <w:rPr>
                <w:rFonts w:ascii="Calibri" w:cs="Calibri" w:eastAsia="Calibri" w:hAnsi="Calibri"/>
                <w:sz w:val="13"/>
                <w:szCs w:val="13"/>
                <w:color w:val="auto"/>
                <w:w w:val="98"/>
              </w:rPr>
              <w:t>-10.5%</w:t>
            </w:r>
          </w:p>
        </w:tc>
        <w:tc>
          <w:tcPr>
            <w:tcW w:w="860" w:type="dxa"/>
            <w:vAlign w:val="bottom"/>
          </w:tcPr>
          <w:p>
            <w:pPr>
              <w:jc w:val="center"/>
              <w:ind w:left="294"/>
              <w:spacing w:after="0"/>
              <w:rPr>
                <w:sz w:val="20"/>
                <w:szCs w:val="20"/>
                <w:color w:val="auto"/>
              </w:rPr>
            </w:pPr>
            <w:r>
              <w:rPr>
                <w:rFonts w:ascii="Calibri" w:cs="Calibri" w:eastAsia="Calibri" w:hAnsi="Calibri"/>
                <w:sz w:val="13"/>
                <w:szCs w:val="13"/>
                <w:color w:val="auto"/>
              </w:rPr>
              <w:t>20.5%</w:t>
            </w:r>
          </w:p>
        </w:tc>
        <w:tc>
          <w:tcPr>
            <w:tcW w:w="1500" w:type="dxa"/>
            <w:vAlign w:val="bottom"/>
            <w:tcBorders>
              <w:right w:val="single" w:sz="8" w:color="auto"/>
            </w:tcBorders>
          </w:tcPr>
          <w:p>
            <w:pPr>
              <w:jc w:val="center"/>
              <w:ind w:left="274"/>
              <w:spacing w:after="0"/>
              <w:rPr>
                <w:sz w:val="20"/>
                <w:szCs w:val="20"/>
                <w:color w:val="auto"/>
              </w:rPr>
            </w:pPr>
            <w:r>
              <w:rPr>
                <w:rFonts w:ascii="Calibri" w:cs="Calibri" w:eastAsia="Calibri" w:hAnsi="Calibri"/>
                <w:sz w:val="13"/>
                <w:szCs w:val="13"/>
                <w:color w:val="auto"/>
                <w:w w:val="98"/>
              </w:rPr>
              <w:t>79.5%</w:t>
            </w:r>
          </w:p>
        </w:tc>
      </w:tr>
      <w:tr>
        <w:trPr>
          <w:trHeight w:val="20"/>
        </w:trPr>
        <w:tc>
          <w:tcPr>
            <w:tcW w:w="2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r>
        <w:trPr>
          <w:trHeight w:val="164"/>
        </w:trPr>
        <w:tc>
          <w:tcPr>
            <w:tcW w:w="260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1"/>
                <w:szCs w:val="11"/>
                <w:b w:val="1"/>
                <w:bCs w:val="1"/>
                <w:color w:val="auto"/>
              </w:rPr>
              <w:t xml:space="preserve">Low-cost deposits </w:t>
            </w:r>
            <w:r>
              <w:rPr>
                <w:rFonts w:ascii="Calibri" w:cs="Calibri" w:eastAsia="Calibri" w:hAnsi="Calibri"/>
                <w:sz w:val="17"/>
                <w:szCs w:val="17"/>
                <w:b w:val="1"/>
                <w:bCs w:val="1"/>
                <w:color w:val="auto"/>
                <w:vertAlign w:val="superscript"/>
              </w:rPr>
              <w:t>(1)</w:t>
            </w:r>
          </w:p>
        </w:tc>
        <w:tc>
          <w:tcPr>
            <w:tcW w:w="1500" w:type="dxa"/>
            <w:vAlign w:val="bottom"/>
            <w:tcBorders>
              <w:bottom w:val="single" w:sz="8" w:color="auto"/>
            </w:tcBorders>
          </w:tcPr>
          <w:p>
            <w:pPr>
              <w:jc w:val="right"/>
              <w:ind w:right="154"/>
              <w:spacing w:after="0" w:line="157" w:lineRule="exact"/>
              <w:rPr>
                <w:sz w:val="20"/>
                <w:szCs w:val="20"/>
                <w:color w:val="auto"/>
              </w:rPr>
            </w:pPr>
            <w:r>
              <w:rPr>
                <w:rFonts w:ascii="Calibri" w:cs="Calibri" w:eastAsia="Calibri" w:hAnsi="Calibri"/>
                <w:sz w:val="13"/>
                <w:szCs w:val="13"/>
                <w:b w:val="1"/>
                <w:bCs w:val="1"/>
                <w:color w:val="auto"/>
              </w:rPr>
              <w:t>100,605,136</w:t>
            </w:r>
          </w:p>
        </w:tc>
        <w:tc>
          <w:tcPr>
            <w:tcW w:w="1280" w:type="dxa"/>
            <w:vAlign w:val="bottom"/>
            <w:tcBorders>
              <w:bottom w:val="single" w:sz="8" w:color="auto"/>
            </w:tcBorders>
          </w:tcPr>
          <w:p>
            <w:pPr>
              <w:jc w:val="right"/>
              <w:ind w:right="174"/>
              <w:spacing w:after="0" w:line="157" w:lineRule="exact"/>
              <w:rPr>
                <w:sz w:val="20"/>
                <w:szCs w:val="20"/>
                <w:color w:val="auto"/>
              </w:rPr>
            </w:pPr>
            <w:r>
              <w:rPr>
                <w:rFonts w:ascii="Calibri" w:cs="Calibri" w:eastAsia="Calibri" w:hAnsi="Calibri"/>
                <w:sz w:val="13"/>
                <w:szCs w:val="13"/>
                <w:b w:val="1"/>
                <w:bCs w:val="1"/>
                <w:color w:val="auto"/>
              </w:rPr>
              <w:t>107,624,104</w:t>
            </w:r>
          </w:p>
        </w:tc>
        <w:tc>
          <w:tcPr>
            <w:tcW w:w="1060" w:type="dxa"/>
            <w:vAlign w:val="bottom"/>
            <w:tcBorders>
              <w:bottom w:val="single" w:sz="8" w:color="auto"/>
              <w:right w:val="single" w:sz="8" w:color="auto"/>
            </w:tcBorders>
          </w:tcPr>
          <w:p>
            <w:pPr>
              <w:jc w:val="right"/>
              <w:spacing w:after="0" w:line="157" w:lineRule="exact"/>
              <w:rPr>
                <w:sz w:val="20"/>
                <w:szCs w:val="20"/>
                <w:color w:val="auto"/>
              </w:rPr>
            </w:pPr>
            <w:r>
              <w:rPr>
                <w:rFonts w:ascii="Calibri" w:cs="Calibri" w:eastAsia="Calibri" w:hAnsi="Calibri"/>
                <w:sz w:val="13"/>
                <w:szCs w:val="13"/>
                <w:b w:val="1"/>
                <w:bCs w:val="1"/>
                <w:color w:val="auto"/>
              </w:rPr>
              <w:t>112,348,777</w:t>
            </w:r>
          </w:p>
        </w:tc>
        <w:tc>
          <w:tcPr>
            <w:tcW w:w="860" w:type="dxa"/>
            <w:vAlign w:val="bottom"/>
            <w:tcBorders>
              <w:bottom w:val="single" w:sz="8" w:color="auto"/>
            </w:tcBorders>
          </w:tcPr>
          <w:p>
            <w:pPr>
              <w:jc w:val="center"/>
              <w:ind w:left="274"/>
              <w:spacing w:after="0" w:line="157" w:lineRule="exact"/>
              <w:rPr>
                <w:sz w:val="20"/>
                <w:szCs w:val="20"/>
                <w:color w:val="auto"/>
              </w:rPr>
            </w:pPr>
            <w:r>
              <w:rPr>
                <w:rFonts w:ascii="Calibri" w:cs="Calibri" w:eastAsia="Calibri" w:hAnsi="Calibri"/>
                <w:sz w:val="13"/>
                <w:szCs w:val="13"/>
                <w:b w:val="1"/>
                <w:bCs w:val="1"/>
                <w:color w:val="auto"/>
              </w:rPr>
              <w:t>4.4%</w:t>
            </w:r>
          </w:p>
        </w:tc>
        <w:tc>
          <w:tcPr>
            <w:tcW w:w="1580" w:type="dxa"/>
            <w:vAlign w:val="bottom"/>
            <w:tcBorders>
              <w:bottom w:val="single" w:sz="8" w:color="auto"/>
              <w:right w:val="single" w:sz="8" w:color="auto"/>
            </w:tcBorders>
          </w:tcPr>
          <w:p>
            <w:pPr>
              <w:jc w:val="center"/>
              <w:ind w:left="274"/>
              <w:spacing w:after="0" w:line="157" w:lineRule="exact"/>
              <w:rPr>
                <w:sz w:val="20"/>
                <w:szCs w:val="20"/>
                <w:color w:val="auto"/>
              </w:rPr>
            </w:pPr>
            <w:r>
              <w:rPr>
                <w:rFonts w:ascii="Calibri" w:cs="Calibri" w:eastAsia="Calibri" w:hAnsi="Calibri"/>
                <w:sz w:val="13"/>
                <w:szCs w:val="13"/>
                <w:b w:val="1"/>
                <w:bCs w:val="1"/>
                <w:color w:val="auto"/>
                <w:w w:val="97"/>
              </w:rPr>
              <w:t>11.7%</w:t>
            </w:r>
          </w:p>
        </w:tc>
        <w:tc>
          <w:tcPr>
            <w:tcW w:w="860" w:type="dxa"/>
            <w:vAlign w:val="bottom"/>
            <w:tcBorders>
              <w:bottom w:val="single" w:sz="8" w:color="auto"/>
            </w:tcBorders>
          </w:tcPr>
          <w:p>
            <w:pPr>
              <w:jc w:val="center"/>
              <w:ind w:left="294"/>
              <w:spacing w:after="0" w:line="157" w:lineRule="exact"/>
              <w:rPr>
                <w:sz w:val="20"/>
                <w:szCs w:val="20"/>
                <w:color w:val="auto"/>
              </w:rPr>
            </w:pPr>
            <w:r>
              <w:rPr>
                <w:rFonts w:ascii="Calibri" w:cs="Calibri" w:eastAsia="Calibri" w:hAnsi="Calibri"/>
                <w:sz w:val="13"/>
                <w:szCs w:val="13"/>
                <w:b w:val="1"/>
                <w:bCs w:val="1"/>
                <w:color w:val="auto"/>
              </w:rPr>
              <w:t>55.7%</w:t>
            </w:r>
          </w:p>
        </w:tc>
        <w:tc>
          <w:tcPr>
            <w:tcW w:w="1500" w:type="dxa"/>
            <w:vAlign w:val="bottom"/>
            <w:tcBorders>
              <w:bottom w:val="single" w:sz="8" w:color="auto"/>
              <w:right w:val="single" w:sz="8" w:color="auto"/>
            </w:tcBorders>
          </w:tcPr>
          <w:p>
            <w:pPr>
              <w:jc w:val="center"/>
              <w:ind w:left="294"/>
              <w:spacing w:after="0" w:line="157" w:lineRule="exact"/>
              <w:rPr>
                <w:sz w:val="20"/>
                <w:szCs w:val="20"/>
                <w:color w:val="auto"/>
              </w:rPr>
            </w:pPr>
            <w:r>
              <w:rPr>
                <w:rFonts w:ascii="Calibri" w:cs="Calibri" w:eastAsia="Calibri" w:hAnsi="Calibri"/>
                <w:sz w:val="13"/>
                <w:szCs w:val="13"/>
                <w:b w:val="1"/>
                <w:bCs w:val="1"/>
                <w:color w:val="auto"/>
              </w:rPr>
              <w:t>44.3%</w:t>
            </w:r>
          </w:p>
        </w:tc>
      </w:tr>
      <w:tr>
        <w:trPr>
          <w:trHeight w:val="157"/>
        </w:trPr>
        <w:tc>
          <w:tcPr>
            <w:tcW w:w="2600" w:type="dxa"/>
            <w:vAlign w:val="bottom"/>
            <w:tcBorders>
              <w:left w:val="single" w:sz="8" w:color="auto"/>
              <w:bottom w:val="single" w:sz="8" w:color="auto"/>
              <w:right w:val="single" w:sz="8" w:color="auto"/>
            </w:tcBorders>
          </w:tcPr>
          <w:p>
            <w:pPr>
              <w:ind w:left="20"/>
              <w:spacing w:after="0" w:line="157" w:lineRule="exact"/>
              <w:rPr>
                <w:sz w:val="20"/>
                <w:szCs w:val="20"/>
                <w:color w:val="auto"/>
              </w:rPr>
            </w:pPr>
            <w:r>
              <w:rPr>
                <w:rFonts w:ascii="Calibri" w:cs="Calibri" w:eastAsia="Calibri" w:hAnsi="Calibri"/>
                <w:sz w:val="13"/>
                <w:szCs w:val="13"/>
                <w:b w:val="1"/>
                <w:bCs w:val="1"/>
                <w:color w:val="auto"/>
              </w:rPr>
              <w:t>Deposits and obligatons</w:t>
            </w:r>
          </w:p>
        </w:tc>
        <w:tc>
          <w:tcPr>
            <w:tcW w:w="1500" w:type="dxa"/>
            <w:vAlign w:val="bottom"/>
            <w:tcBorders>
              <w:bottom w:val="single" w:sz="8" w:color="auto"/>
            </w:tcBorders>
          </w:tcPr>
          <w:p>
            <w:pPr>
              <w:jc w:val="right"/>
              <w:ind w:right="154"/>
              <w:spacing w:after="0" w:line="157" w:lineRule="exact"/>
              <w:rPr>
                <w:sz w:val="20"/>
                <w:szCs w:val="20"/>
                <w:color w:val="auto"/>
              </w:rPr>
            </w:pPr>
            <w:r>
              <w:rPr>
                <w:rFonts w:ascii="Calibri" w:cs="Calibri" w:eastAsia="Calibri" w:hAnsi="Calibri"/>
                <w:sz w:val="13"/>
                <w:szCs w:val="13"/>
                <w:b w:val="1"/>
                <w:bCs w:val="1"/>
                <w:color w:val="auto"/>
              </w:rPr>
              <w:t>147,704,994</w:t>
            </w:r>
          </w:p>
        </w:tc>
        <w:tc>
          <w:tcPr>
            <w:tcW w:w="1280" w:type="dxa"/>
            <w:vAlign w:val="bottom"/>
            <w:tcBorders>
              <w:bottom w:val="single" w:sz="8" w:color="auto"/>
            </w:tcBorders>
          </w:tcPr>
          <w:p>
            <w:pPr>
              <w:jc w:val="right"/>
              <w:ind w:right="174"/>
              <w:spacing w:after="0" w:line="157" w:lineRule="exact"/>
              <w:rPr>
                <w:sz w:val="20"/>
                <w:szCs w:val="20"/>
                <w:color w:val="auto"/>
              </w:rPr>
            </w:pPr>
            <w:r>
              <w:rPr>
                <w:rFonts w:ascii="Calibri" w:cs="Calibri" w:eastAsia="Calibri" w:hAnsi="Calibri"/>
                <w:sz w:val="13"/>
                <w:szCs w:val="13"/>
                <w:b w:val="1"/>
                <w:bCs w:val="1"/>
                <w:color w:val="auto"/>
              </w:rPr>
              <w:t>154,435,451</w:t>
            </w:r>
          </w:p>
        </w:tc>
        <w:tc>
          <w:tcPr>
            <w:tcW w:w="1060" w:type="dxa"/>
            <w:vAlign w:val="bottom"/>
            <w:tcBorders>
              <w:bottom w:val="single" w:sz="8" w:color="auto"/>
              <w:right w:val="single" w:sz="8" w:color="auto"/>
            </w:tcBorders>
          </w:tcPr>
          <w:p>
            <w:pPr>
              <w:jc w:val="right"/>
              <w:spacing w:after="0" w:line="157" w:lineRule="exact"/>
              <w:rPr>
                <w:sz w:val="20"/>
                <w:szCs w:val="20"/>
                <w:color w:val="auto"/>
              </w:rPr>
            </w:pPr>
            <w:r>
              <w:rPr>
                <w:rFonts w:ascii="Calibri" w:cs="Calibri" w:eastAsia="Calibri" w:hAnsi="Calibri"/>
                <w:sz w:val="13"/>
                <w:szCs w:val="13"/>
                <w:b w:val="1"/>
                <w:bCs w:val="1"/>
                <w:color w:val="auto"/>
              </w:rPr>
              <w:t>161,842,066</w:t>
            </w:r>
          </w:p>
        </w:tc>
        <w:tc>
          <w:tcPr>
            <w:tcW w:w="860" w:type="dxa"/>
            <w:vAlign w:val="bottom"/>
            <w:tcBorders>
              <w:bottom w:val="single" w:sz="8" w:color="auto"/>
            </w:tcBorders>
          </w:tcPr>
          <w:p>
            <w:pPr>
              <w:jc w:val="center"/>
              <w:ind w:left="274"/>
              <w:spacing w:after="0" w:line="157" w:lineRule="exact"/>
              <w:rPr>
                <w:sz w:val="20"/>
                <w:szCs w:val="20"/>
                <w:color w:val="auto"/>
              </w:rPr>
            </w:pPr>
            <w:r>
              <w:rPr>
                <w:rFonts w:ascii="Calibri" w:cs="Calibri" w:eastAsia="Calibri" w:hAnsi="Calibri"/>
                <w:sz w:val="13"/>
                <w:szCs w:val="13"/>
                <w:b w:val="1"/>
                <w:bCs w:val="1"/>
                <w:color w:val="auto"/>
              </w:rPr>
              <w:t>4.8%</w:t>
            </w:r>
          </w:p>
        </w:tc>
        <w:tc>
          <w:tcPr>
            <w:tcW w:w="1580" w:type="dxa"/>
            <w:vAlign w:val="bottom"/>
            <w:tcBorders>
              <w:bottom w:val="single" w:sz="8" w:color="auto"/>
              <w:right w:val="single" w:sz="8" w:color="auto"/>
            </w:tcBorders>
          </w:tcPr>
          <w:p>
            <w:pPr>
              <w:jc w:val="center"/>
              <w:ind w:left="274"/>
              <w:spacing w:after="0" w:line="157" w:lineRule="exact"/>
              <w:rPr>
                <w:sz w:val="20"/>
                <w:szCs w:val="20"/>
                <w:color w:val="auto"/>
              </w:rPr>
            </w:pPr>
            <w:r>
              <w:rPr>
                <w:rFonts w:ascii="Calibri" w:cs="Calibri" w:eastAsia="Calibri" w:hAnsi="Calibri"/>
                <w:sz w:val="13"/>
                <w:szCs w:val="13"/>
                <w:b w:val="1"/>
                <w:bCs w:val="1"/>
                <w:color w:val="auto"/>
              </w:rPr>
              <w:t>9.6%</w:t>
            </w:r>
          </w:p>
        </w:tc>
        <w:tc>
          <w:tcPr>
            <w:tcW w:w="860" w:type="dxa"/>
            <w:vAlign w:val="bottom"/>
            <w:tcBorders>
              <w:bottom w:val="single" w:sz="8" w:color="auto"/>
            </w:tcBorders>
          </w:tcPr>
          <w:p>
            <w:pPr>
              <w:jc w:val="center"/>
              <w:ind w:left="294"/>
              <w:spacing w:after="0" w:line="157" w:lineRule="exact"/>
              <w:rPr>
                <w:sz w:val="20"/>
                <w:szCs w:val="20"/>
                <w:color w:val="auto"/>
              </w:rPr>
            </w:pPr>
            <w:r>
              <w:rPr>
                <w:rFonts w:ascii="Calibri" w:cs="Calibri" w:eastAsia="Calibri" w:hAnsi="Calibri"/>
                <w:sz w:val="13"/>
                <w:szCs w:val="13"/>
                <w:b w:val="1"/>
                <w:bCs w:val="1"/>
                <w:color w:val="auto"/>
              </w:rPr>
              <w:t>53.2%</w:t>
            </w:r>
          </w:p>
        </w:tc>
        <w:tc>
          <w:tcPr>
            <w:tcW w:w="1500" w:type="dxa"/>
            <w:vAlign w:val="bottom"/>
            <w:tcBorders>
              <w:bottom w:val="single" w:sz="8" w:color="auto"/>
              <w:right w:val="single" w:sz="8" w:color="auto"/>
            </w:tcBorders>
          </w:tcPr>
          <w:p>
            <w:pPr>
              <w:jc w:val="center"/>
              <w:ind w:left="294"/>
              <w:spacing w:after="0" w:line="157" w:lineRule="exact"/>
              <w:rPr>
                <w:sz w:val="20"/>
                <w:szCs w:val="20"/>
                <w:color w:val="auto"/>
              </w:rPr>
            </w:pPr>
            <w:r>
              <w:rPr>
                <w:rFonts w:ascii="Calibri" w:cs="Calibri" w:eastAsia="Calibri" w:hAnsi="Calibri"/>
                <w:sz w:val="13"/>
                <w:szCs w:val="13"/>
                <w:b w:val="1"/>
                <w:bCs w:val="1"/>
                <w:color w:val="auto"/>
              </w:rPr>
              <w:t>46.8%</w:t>
            </w:r>
          </w:p>
        </w:tc>
      </w:tr>
    </w:tbl>
    <w:p>
      <w:pPr>
        <w:spacing w:after="0" w:line="208" w:lineRule="exact"/>
        <w:rPr>
          <w:sz w:val="20"/>
          <w:szCs w:val="20"/>
          <w:color w:val="auto"/>
        </w:rPr>
      </w:pPr>
    </w:p>
    <w:p>
      <w:pPr>
        <w:spacing w:after="0"/>
        <w:rPr>
          <w:sz w:val="20"/>
          <w:szCs w:val="20"/>
          <w:color w:val="auto"/>
        </w:rPr>
      </w:pPr>
      <w:r>
        <w:rPr>
          <w:rFonts w:ascii="Calibri" w:cs="Calibri" w:eastAsia="Calibri" w:hAnsi="Calibri"/>
          <w:sz w:val="11"/>
          <w:szCs w:val="11"/>
          <w:color w:val="auto"/>
        </w:rPr>
        <w:t>(1) Includes Demand Deposits and Saving Deposits</w:t>
      </w:r>
    </w:p>
    <w:p>
      <w:pPr>
        <w:spacing w:after="0" w:line="25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QoQ</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our</w:t>
      </w:r>
      <w:r>
        <w:rPr>
          <w:rFonts w:ascii="Calibri" w:cs="Calibri" w:eastAsia="Calibri" w:hAnsi="Calibri"/>
          <w:sz w:val="17"/>
          <w:szCs w:val="17"/>
          <w:b w:val="1"/>
          <w:bCs w:val="1"/>
          <w:color w:val="auto"/>
        </w:rPr>
        <w:t xml:space="preserve"> Total Deposit </w:t>
      </w:r>
      <w:r>
        <w:rPr>
          <w:rFonts w:ascii="Calibri" w:cs="Calibri" w:eastAsia="Calibri" w:hAnsi="Calibri"/>
          <w:sz w:val="17"/>
          <w:szCs w:val="17"/>
          <w:color w:val="auto"/>
        </w:rPr>
        <w:t>balance rose 4.8% (+4.1% FX neutral), driven mainly by:</w:t>
      </w:r>
    </w:p>
    <w:p>
      <w:pPr>
        <w:spacing w:after="0" w:line="197" w:lineRule="exact"/>
        <w:rPr>
          <w:sz w:val="20"/>
          <w:szCs w:val="20"/>
          <w:color w:val="auto"/>
        </w:rPr>
      </w:pPr>
    </w:p>
    <w:p>
      <w:pPr>
        <w:ind w:left="720" w:hanging="392"/>
        <w:spacing w:after="0" w:line="242" w:lineRule="auto"/>
        <w:tabs>
          <w:tab w:leader="none" w:pos="720" w:val="left"/>
        </w:tabs>
        <w:numPr>
          <w:ilvl w:val="0"/>
          <w:numId w:val="20"/>
        </w:numPr>
        <w:rPr>
          <w:rFonts w:ascii="Arial" w:cs="Arial" w:eastAsia="Arial" w:hAnsi="Arial"/>
          <w:sz w:val="17"/>
          <w:szCs w:val="17"/>
          <w:color w:val="auto"/>
        </w:rPr>
      </w:pPr>
      <w:r>
        <w:rPr>
          <w:rFonts w:ascii="Calibri" w:cs="Calibri" w:eastAsia="Calibri" w:hAnsi="Calibri"/>
          <w:sz w:val="17"/>
          <w:szCs w:val="17"/>
          <w:color w:val="auto"/>
        </w:rPr>
        <w:t xml:space="preserve">Growth of 9.7% (+9.1% FX neutral) in the </w:t>
      </w:r>
      <w:r>
        <w:rPr>
          <w:rFonts w:ascii="Calibri" w:cs="Calibri" w:eastAsia="Calibri" w:hAnsi="Calibri"/>
          <w:sz w:val="17"/>
          <w:szCs w:val="17"/>
          <w:b w:val="1"/>
          <w:bCs w:val="1"/>
          <w:color w:val="auto"/>
        </w:rPr>
        <w:t>Savings Deposit</w:t>
      </w:r>
      <w:r>
        <w:rPr>
          <w:rFonts w:ascii="Calibri" w:cs="Calibri" w:eastAsia="Calibri" w:hAnsi="Calibri"/>
          <w:sz w:val="17"/>
          <w:szCs w:val="17"/>
          <w:color w:val="auto"/>
        </w:rPr>
        <w:t xml:space="preserve"> balance, which was primarily fueled by LC deposits and to a lesser extent by FC deposits, both at BCP Stand-alone and associated with liquidity from statutory bonuses and campaigns to capture more deposits.</w:t>
      </w:r>
    </w:p>
    <w:p>
      <w:pPr>
        <w:spacing w:after="0" w:line="1" w:lineRule="exact"/>
        <w:rPr>
          <w:rFonts w:ascii="Arial" w:cs="Arial" w:eastAsia="Arial" w:hAnsi="Arial"/>
          <w:sz w:val="17"/>
          <w:szCs w:val="17"/>
          <w:color w:val="auto"/>
        </w:rPr>
      </w:pPr>
    </w:p>
    <w:p>
      <w:pPr>
        <w:ind w:left="720" w:hanging="392"/>
        <w:spacing w:after="0" w:line="242" w:lineRule="auto"/>
        <w:tabs>
          <w:tab w:leader="none" w:pos="720" w:val="left"/>
        </w:tabs>
        <w:numPr>
          <w:ilvl w:val="0"/>
          <w:numId w:val="20"/>
        </w:numPr>
        <w:rPr>
          <w:rFonts w:ascii="Arial" w:cs="Arial" w:eastAsia="Arial" w:hAnsi="Arial"/>
          <w:sz w:val="17"/>
          <w:szCs w:val="17"/>
          <w:color w:val="auto"/>
        </w:rPr>
      </w:pPr>
      <w:r>
        <w:rPr>
          <w:rFonts w:ascii="Calibri" w:cs="Calibri" w:eastAsia="Calibri" w:hAnsi="Calibri"/>
          <w:sz w:val="17"/>
          <w:szCs w:val="17"/>
          <w:color w:val="auto"/>
        </w:rPr>
        <w:t xml:space="preserve">An increase of 6.4% (+5.5% FX neutral) in the </w:t>
      </w:r>
      <w:r>
        <w:rPr>
          <w:rFonts w:ascii="Calibri" w:cs="Calibri" w:eastAsia="Calibri" w:hAnsi="Calibri"/>
          <w:sz w:val="17"/>
          <w:szCs w:val="17"/>
          <w:b w:val="1"/>
          <w:bCs w:val="1"/>
          <w:color w:val="auto"/>
        </w:rPr>
        <w:t>Time Deposit</w:t>
      </w:r>
      <w:r>
        <w:rPr>
          <w:rFonts w:ascii="Calibri" w:cs="Calibri" w:eastAsia="Calibri" w:hAnsi="Calibri"/>
          <w:sz w:val="17"/>
          <w:szCs w:val="17"/>
          <w:color w:val="auto"/>
        </w:rPr>
        <w:t xml:space="preserve"> balance, which was mainly driven by an uptck in LC volumes due to recurrent captures of wholesale funds and migraton from Low Cost Deposits as clients looked to leverage, stll relatvely high rates.</w:t>
      </w:r>
    </w:p>
    <w:p>
      <w:pPr>
        <w:spacing w:after="0" w:line="18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YoY</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our</w:t>
      </w:r>
      <w:r>
        <w:rPr>
          <w:rFonts w:ascii="Calibri" w:cs="Calibri" w:eastAsia="Calibri" w:hAnsi="Calibri"/>
          <w:sz w:val="17"/>
          <w:szCs w:val="17"/>
          <w:b w:val="1"/>
          <w:bCs w:val="1"/>
          <w:color w:val="auto"/>
        </w:rPr>
        <w:t xml:space="preserve"> Total Deposit </w:t>
      </w:r>
      <w:r>
        <w:rPr>
          <w:rFonts w:ascii="Calibri" w:cs="Calibri" w:eastAsia="Calibri" w:hAnsi="Calibri"/>
          <w:sz w:val="17"/>
          <w:szCs w:val="17"/>
          <w:color w:val="auto"/>
        </w:rPr>
        <w:t>volume rose 9.6% (+8.8% FX neutral), fueled mainly by:</w:t>
      </w:r>
    </w:p>
    <w:p>
      <w:pPr>
        <w:spacing w:after="0" w:line="197" w:lineRule="exact"/>
        <w:rPr>
          <w:sz w:val="20"/>
          <w:szCs w:val="20"/>
          <w:color w:val="auto"/>
        </w:rPr>
      </w:pPr>
    </w:p>
    <w:p>
      <w:pPr>
        <w:jc w:val="both"/>
        <w:ind w:left="720" w:hanging="392"/>
        <w:spacing w:after="0" w:line="242" w:lineRule="auto"/>
        <w:tabs>
          <w:tab w:leader="none" w:pos="720" w:val="left"/>
        </w:tabs>
        <w:numPr>
          <w:ilvl w:val="0"/>
          <w:numId w:val="21"/>
        </w:numPr>
        <w:rPr>
          <w:rFonts w:ascii="Arial" w:cs="Arial" w:eastAsia="Arial" w:hAnsi="Arial"/>
          <w:sz w:val="17"/>
          <w:szCs w:val="17"/>
          <w:color w:val="auto"/>
        </w:rPr>
      </w:pPr>
      <w:r>
        <w:rPr>
          <w:rFonts w:ascii="Calibri" w:cs="Calibri" w:eastAsia="Calibri" w:hAnsi="Calibri"/>
          <w:sz w:val="17"/>
          <w:szCs w:val="17"/>
          <w:color w:val="auto"/>
        </w:rPr>
        <w:t xml:space="preserve">A 14.1% (+13.5% FX neutral) increase in </w:t>
      </w:r>
      <w:r>
        <w:rPr>
          <w:rFonts w:ascii="Calibri" w:cs="Calibri" w:eastAsia="Calibri" w:hAnsi="Calibri"/>
          <w:sz w:val="17"/>
          <w:szCs w:val="17"/>
          <w:b w:val="1"/>
          <w:bCs w:val="1"/>
          <w:color w:val="auto"/>
        </w:rPr>
        <w:t>Savings Deposits</w:t>
      </w:r>
      <w:r>
        <w:rPr>
          <w:rFonts w:ascii="Calibri" w:cs="Calibri" w:eastAsia="Calibri" w:hAnsi="Calibri"/>
          <w:sz w:val="17"/>
          <w:szCs w:val="17"/>
          <w:color w:val="auto"/>
        </w:rPr>
        <w:t>, driven primarily by growth in LC deposits at BCP Stand-alone, primarily atributable to improvements in our transactonal oferings, which has enabled us to atract infows related to pension funds withdrawals and secondarily by the same dynamics seen QoQ.</w:t>
      </w:r>
    </w:p>
    <w:p>
      <w:pPr>
        <w:spacing w:after="0" w:line="185" w:lineRule="exact"/>
        <w:rPr>
          <w:rFonts w:ascii="Arial" w:cs="Arial" w:eastAsia="Arial" w:hAnsi="Arial"/>
          <w:sz w:val="17"/>
          <w:szCs w:val="17"/>
          <w:color w:val="auto"/>
        </w:rPr>
      </w:pPr>
    </w:p>
    <w:p>
      <w:pPr>
        <w:jc w:val="both"/>
        <w:ind w:left="720" w:hanging="392"/>
        <w:spacing w:after="0" w:line="242" w:lineRule="auto"/>
        <w:tabs>
          <w:tab w:leader="none" w:pos="720" w:val="left"/>
        </w:tabs>
        <w:numPr>
          <w:ilvl w:val="0"/>
          <w:numId w:val="21"/>
        </w:numPr>
        <w:rPr>
          <w:rFonts w:ascii="Arial" w:cs="Arial" w:eastAsia="Arial" w:hAnsi="Arial"/>
          <w:sz w:val="17"/>
          <w:szCs w:val="17"/>
          <w:color w:val="auto"/>
        </w:rPr>
      </w:pPr>
      <w:r>
        <w:rPr>
          <w:rFonts w:ascii="Calibri" w:cs="Calibri" w:eastAsia="Calibri" w:hAnsi="Calibri"/>
          <w:sz w:val="17"/>
          <w:szCs w:val="17"/>
          <w:color w:val="auto"/>
        </w:rPr>
        <w:t xml:space="preserve">A 9.0% (+8.2% FX neutral) rise in the </w:t>
      </w:r>
      <w:r>
        <w:rPr>
          <w:rFonts w:ascii="Calibri" w:cs="Calibri" w:eastAsia="Calibri" w:hAnsi="Calibri"/>
          <w:sz w:val="17"/>
          <w:szCs w:val="17"/>
          <w:b w:val="1"/>
          <w:bCs w:val="1"/>
          <w:color w:val="auto"/>
        </w:rPr>
        <w:t>Demand Deposits</w:t>
      </w:r>
      <w:r>
        <w:rPr>
          <w:rFonts w:ascii="Calibri" w:cs="Calibri" w:eastAsia="Calibri" w:hAnsi="Calibri"/>
          <w:sz w:val="17"/>
          <w:szCs w:val="17"/>
          <w:color w:val="auto"/>
        </w:rPr>
        <w:t xml:space="preserve"> balance, which was driven by growth in the LC balance at BCP Stand- alone. This expansion was primarily atributable to growth in the balances of the individuals and small business banking segments, which was driven by the enhancements in our transactonal ofering and by disbursements of government program loans, respectvely.</w:t>
      </w:r>
    </w:p>
    <w:p>
      <w:pPr>
        <w:spacing w:after="0" w:line="185" w:lineRule="exact"/>
        <w:rPr>
          <w:rFonts w:ascii="Arial" w:cs="Arial" w:eastAsia="Arial" w:hAnsi="Arial"/>
          <w:sz w:val="17"/>
          <w:szCs w:val="17"/>
          <w:color w:val="auto"/>
        </w:rPr>
      </w:pPr>
    </w:p>
    <w:p>
      <w:pPr>
        <w:jc w:val="both"/>
        <w:ind w:left="720" w:hanging="392"/>
        <w:spacing w:after="0" w:line="242" w:lineRule="auto"/>
        <w:tabs>
          <w:tab w:leader="none" w:pos="720" w:val="left"/>
        </w:tabs>
        <w:numPr>
          <w:ilvl w:val="0"/>
          <w:numId w:val="21"/>
        </w:numPr>
        <w:rPr>
          <w:rFonts w:ascii="Arial" w:cs="Arial" w:eastAsia="Arial" w:hAnsi="Arial"/>
          <w:sz w:val="17"/>
          <w:szCs w:val="17"/>
          <w:color w:val="auto"/>
        </w:rPr>
      </w:pPr>
      <w:r>
        <w:rPr>
          <w:rFonts w:ascii="Calibri" w:cs="Calibri" w:eastAsia="Calibri" w:hAnsi="Calibri"/>
          <w:sz w:val="17"/>
          <w:szCs w:val="17"/>
          <w:color w:val="auto"/>
        </w:rPr>
        <w:t xml:space="preserve">Growth of 6.4% (+5.6% FX neutral) in the </w:t>
      </w:r>
      <w:r>
        <w:rPr>
          <w:rFonts w:ascii="Calibri" w:cs="Calibri" w:eastAsia="Calibri" w:hAnsi="Calibri"/>
          <w:sz w:val="17"/>
          <w:szCs w:val="17"/>
          <w:b w:val="1"/>
          <w:bCs w:val="1"/>
          <w:color w:val="auto"/>
        </w:rPr>
        <w:t>Time Deposits</w:t>
      </w:r>
      <w:r>
        <w:rPr>
          <w:rFonts w:ascii="Calibri" w:cs="Calibri" w:eastAsia="Calibri" w:hAnsi="Calibri"/>
          <w:sz w:val="17"/>
          <w:szCs w:val="17"/>
          <w:color w:val="auto"/>
        </w:rPr>
        <w:t xml:space="preserve"> balance, which was driven primarily by BCP Stand-alone. This expansion was mainly atributable to an uptck in the LC balance, which was fueled by corporate clients via the same dynamics seen QoQ, and secondarily, by an increase in the FC balance via recurrent captures of deposits.</w:t>
      </w:r>
    </w:p>
    <w:p>
      <w:pPr>
        <w:spacing w:after="0" w:line="185" w:lineRule="exact"/>
        <w:rPr>
          <w:sz w:val="20"/>
          <w:szCs w:val="20"/>
          <w:color w:val="auto"/>
        </w:rPr>
      </w:pPr>
    </w:p>
    <w:p>
      <w:pPr>
        <w:spacing w:after="0" w:line="242" w:lineRule="auto"/>
        <w:rPr>
          <w:sz w:val="20"/>
          <w:szCs w:val="20"/>
          <w:color w:val="auto"/>
        </w:rPr>
      </w:pPr>
      <w:r>
        <w:rPr>
          <w:rFonts w:ascii="Calibri" w:cs="Calibri" w:eastAsia="Calibri" w:hAnsi="Calibri"/>
          <w:sz w:val="17"/>
          <w:szCs w:val="17"/>
          <w:color w:val="auto"/>
        </w:rPr>
        <w:t>Noteworthy, low-cost deposits grew over the year to represent 69.4% of total deposits (+125 bps YoY) by year-end. This advance refects improvements in deposit mix management as we strengthen the fnancial margin in a context marked by an easing cycle in interest rates.</w:t>
      </w:r>
    </w:p>
    <w:p>
      <w:pPr>
        <w:spacing w:after="0" w:line="36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2" w:name="page23"/>
    <w:bookmarkEnd w:id="22"/>
    <w:p>
      <w:pPr>
        <w:jc w:val="both"/>
        <w:ind w:left="2680"/>
        <w:spacing w:after="0"/>
        <w:tabs>
          <w:tab w:leader="none" w:pos="2960" w:val="left"/>
        </w:tabs>
        <w:rPr>
          <w:sz w:val="20"/>
          <w:szCs w:val="20"/>
          <w:color w:val="auto"/>
        </w:rPr>
      </w:pPr>
      <w:r>
        <w:rPr>
          <w:rFonts w:ascii="Calibri" w:cs="Calibri" w:eastAsia="Calibri" w:hAnsi="Calibri"/>
          <w:sz w:val="19"/>
          <w:szCs w:val="19"/>
          <w:color w:val="A6A6A6"/>
        </w:rPr>
        <w:t>|</w:t>
      </w:r>
      <w:r>
        <w:rPr>
          <w:sz w:val="20"/>
          <w:szCs w:val="20"/>
          <w:color w:val="auto"/>
        </w:rPr>
        <w:tab/>
      </w:r>
      <w:r>
        <w:rPr>
          <w:rFonts w:ascii="Calibri" w:cs="Calibri" w:eastAsia="Calibri" w:hAnsi="Calibri"/>
          <w:sz w:val="16"/>
          <w:szCs w:val="16"/>
          <w:color w:val="FFFFFF"/>
        </w:rPr>
        <w:t>Earnings Release 4Q / 2024</w:t>
      </w:r>
    </w:p>
    <w:p>
      <w:pPr>
        <w:spacing w:after="0" w:line="316" w:lineRule="exact"/>
        <w:rPr>
          <w:sz w:val="20"/>
          <w:szCs w:val="20"/>
          <w:color w:val="auto"/>
        </w:rPr>
      </w:pPr>
    </w:p>
    <w:p>
      <w:pPr>
        <w:ind w:left="100"/>
        <w:spacing w:after="0"/>
        <w:rPr>
          <w:sz w:val="20"/>
          <w:szCs w:val="20"/>
          <w:color w:val="auto"/>
        </w:rPr>
      </w:pPr>
      <w:r>
        <w:rPr>
          <w:rFonts w:ascii="Calibri" w:cs="Calibri" w:eastAsia="Calibri" w:hAnsi="Calibri"/>
          <w:sz w:val="21"/>
          <w:szCs w:val="21"/>
          <w:b w:val="1"/>
          <w:bCs w:val="1"/>
          <w:color w:val="FFFFFF"/>
        </w:rPr>
        <w:t>02. Deposits</w:t>
      </w:r>
    </w:p>
    <w:p>
      <w:pPr>
        <w:spacing w:after="0" w:line="35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Dollarizaton Level of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119380</wp:posOffset>
            </wp:positionV>
            <wp:extent cx="2289810" cy="1882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89810" cy="1882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820"/>
        <w:spacing w:after="0"/>
        <w:rPr>
          <w:sz w:val="20"/>
          <w:szCs w:val="20"/>
          <w:color w:val="auto"/>
        </w:rPr>
      </w:pPr>
      <w:r>
        <w:rPr>
          <w:rFonts w:ascii="Calibri" w:cs="Calibri" w:eastAsia="Calibri" w:hAnsi="Calibri"/>
          <w:sz w:val="16"/>
          <w:szCs w:val="16"/>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-240030</wp:posOffset>
            </wp:positionV>
            <wp:extent cx="7136130" cy="649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64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 xml:space="preserve">At the end of December 2024, the dollarizaton level of </w:t>
      </w:r>
      <w:r>
        <w:rPr>
          <w:rFonts w:ascii="Calibri" w:cs="Calibri" w:eastAsia="Calibri" w:hAnsi="Calibri"/>
          <w:sz w:val="17"/>
          <w:szCs w:val="17"/>
          <w:b w:val="1"/>
          <w:bCs w:val="1"/>
          <w:color w:val="auto"/>
        </w:rPr>
        <w:t>Total Deposits</w:t>
      </w:r>
      <w:r>
        <w:rPr>
          <w:rFonts w:ascii="Calibri" w:cs="Calibri" w:eastAsia="Calibri" w:hAnsi="Calibri"/>
          <w:sz w:val="17"/>
          <w:szCs w:val="17"/>
          <w:color w:val="auto"/>
        </w:rPr>
        <w:t xml:space="preserve"> dropped 135 bps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to stand at 46.7%, which is below the average reported for the last 2 years (49.6%). This result was driven mainly by growth in </w:t>
      </w:r>
      <w:r>
        <w:rPr>
          <w:rFonts w:ascii="Calibri" w:cs="Calibri" w:eastAsia="Calibri" w:hAnsi="Calibri"/>
          <w:sz w:val="17"/>
          <w:szCs w:val="17"/>
          <w:b w:val="1"/>
          <w:bCs w:val="1"/>
          <w:color w:val="auto"/>
        </w:rPr>
        <w:t>Savings</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Deposits </w:t>
      </w:r>
      <w:r>
        <w:rPr>
          <w:rFonts w:ascii="Calibri" w:cs="Calibri" w:eastAsia="Calibri" w:hAnsi="Calibri"/>
          <w:sz w:val="17"/>
          <w:szCs w:val="17"/>
          <w:color w:val="auto"/>
        </w:rPr>
        <w:t>fueled by liquidity from payments of statutory bonuses,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impacted by capturing campaigns. </w:t>
      </w:r>
      <w:r>
        <w:rPr>
          <w:rFonts w:ascii="Calibri" w:cs="Calibri" w:eastAsia="Calibri" w:hAnsi="Calibri"/>
          <w:sz w:val="17"/>
          <w:szCs w:val="17"/>
          <w:b w:val="1"/>
          <w:bCs w:val="1"/>
          <w:color w:val="auto"/>
        </w:rPr>
        <w:t>Time Deposits</w:t>
      </w:r>
      <w:r>
        <w:rPr>
          <w:rFonts w:ascii="Calibri" w:cs="Calibri" w:eastAsia="Calibri" w:hAnsi="Calibri"/>
          <w:sz w:val="17"/>
          <w:szCs w:val="17"/>
          <w:color w:val="auto"/>
        </w:rPr>
        <w:t xml:space="preserve"> also drove growth in the LC balance, which refect migraton of wholesale funds from Demand to Time deposits.</w:t>
      </w:r>
    </w:p>
    <w:p>
      <w:pPr>
        <w:spacing w:after="0" w:line="190" w:lineRule="exact"/>
        <w:rPr>
          <w:sz w:val="20"/>
          <w:szCs w:val="20"/>
          <w:color w:val="auto"/>
        </w:rPr>
      </w:pPr>
    </w:p>
    <w:p>
      <w:pPr>
        <w:jc w:val="both"/>
        <w:spacing w:after="0" w:line="245" w:lineRule="auto"/>
        <w:rPr>
          <w:sz w:val="20"/>
          <w:szCs w:val="20"/>
          <w:color w:val="auto"/>
        </w:rPr>
      </w:pPr>
      <w:r>
        <w:rPr>
          <w:rFonts w:ascii="Calibri" w:cs="Calibri" w:eastAsia="Calibri" w:hAnsi="Calibri"/>
          <w:sz w:val="17"/>
          <w:szCs w:val="17"/>
          <w:b w:val="1"/>
          <w:bCs w:val="1"/>
          <w:color w:val="auto"/>
        </w:rPr>
        <w:t>YoY</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dollarizaton level dropped 237 bps due to growth in the LC balances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for </w:t>
      </w:r>
      <w:r>
        <w:rPr>
          <w:rFonts w:ascii="Calibri" w:cs="Calibri" w:eastAsia="Calibri" w:hAnsi="Calibri"/>
          <w:sz w:val="17"/>
          <w:szCs w:val="17"/>
          <w:b w:val="1"/>
          <w:bCs w:val="1"/>
          <w:color w:val="auto"/>
        </w:rPr>
        <w:t>Low-cost Deposits</w:t>
      </w:r>
      <w:r>
        <w:rPr>
          <w:rFonts w:ascii="Calibri" w:cs="Calibri" w:eastAsia="Calibri" w:hAnsi="Calibri"/>
          <w:sz w:val="17"/>
          <w:szCs w:val="17"/>
          <w:color w:val="auto"/>
        </w:rPr>
        <w:t xml:space="preserve">, which were bolstered by infows from pension fund withdrawals and the dynamics seen in the QoQ. </w:t>
      </w:r>
      <w:r>
        <w:rPr>
          <w:rFonts w:ascii="Calibri" w:cs="Calibri" w:eastAsia="Calibri" w:hAnsi="Calibri"/>
          <w:sz w:val="17"/>
          <w:szCs w:val="17"/>
          <w:b w:val="1"/>
          <w:bCs w:val="1"/>
          <w:color w:val="auto"/>
        </w:rPr>
        <w:t>Time deposits</w:t>
      </w:r>
      <w:r>
        <w:rPr>
          <w:rFonts w:ascii="Calibri" w:cs="Calibri" w:eastAsia="Calibri" w:hAnsi="Calibri"/>
          <w:sz w:val="17"/>
          <w:szCs w:val="17"/>
          <w:color w:val="auto"/>
        </w:rPr>
        <w:t xml:space="preserve"> also increased the LC balance due to the dynamics seen in the QoQ and recurrent captures of deposits.</w:t>
      </w:r>
    </w:p>
    <w:p>
      <w:pPr>
        <w:spacing w:after="0" w:line="200" w:lineRule="exact"/>
        <w:rPr>
          <w:sz w:val="20"/>
          <w:szCs w:val="20"/>
          <w:color w:val="auto"/>
        </w:rPr>
      </w:pPr>
    </w:p>
    <w:p>
      <w:pPr>
        <w:sectPr>
          <w:pgSz w:w="11900" w:h="16838" w:orient="portrait"/>
          <w:cols w:equalWidth="0" w:num="2">
            <w:col w:w="5120" w:space="720"/>
            <w:col w:w="5400"/>
          </w:cols>
          <w:pgMar w:left="320" w:top="279" w:right="339" w:bottom="3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80"/>
        <w:spacing w:after="0"/>
        <w:rPr>
          <w:sz w:val="20"/>
          <w:szCs w:val="20"/>
          <w:color w:val="auto"/>
        </w:rPr>
      </w:pPr>
      <w:r>
        <w:rPr>
          <w:rFonts w:ascii="Calibri" w:cs="Calibri" w:eastAsia="Calibri" w:hAnsi="Calibri"/>
          <w:sz w:val="15"/>
          <w:szCs w:val="15"/>
          <w:b w:val="1"/>
          <w:bCs w:val="1"/>
          <w:color w:val="auto"/>
        </w:rPr>
        <w:t>Deposits by Currency and Type</w:t>
      </w:r>
    </w:p>
    <w:p>
      <w:pPr>
        <w:spacing w:after="0" w:line="19" w:lineRule="exact"/>
        <w:rPr>
          <w:sz w:val="20"/>
          <w:szCs w:val="20"/>
          <w:color w:val="auto"/>
        </w:rPr>
      </w:pPr>
    </w:p>
    <w:p>
      <w:pPr>
        <w:jc w:val="center"/>
        <w:ind w:right="280"/>
        <w:spacing w:after="0"/>
        <w:rPr>
          <w:sz w:val="20"/>
          <w:szCs w:val="20"/>
          <w:color w:val="auto"/>
        </w:rPr>
      </w:pPr>
      <w:r>
        <w:rPr>
          <w:rFonts w:ascii="Calibri" w:cs="Calibri" w:eastAsia="Calibri" w:hAnsi="Calibri"/>
          <w:sz w:val="12"/>
          <w:szCs w:val="12"/>
          <w:color w:val="auto"/>
        </w:rPr>
        <w:t>(measured at quarter-end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122555</wp:posOffset>
            </wp:positionV>
            <wp:extent cx="5995670" cy="17405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95670" cy="1740535"/>
                    </a:xfrm>
                    <a:prstGeom prst="rect">
                      <a:avLst/>
                    </a:prstGeom>
                    <a:noFill/>
                  </pic:spPr>
                </pic:pic>
              </a:graphicData>
            </a:graphic>
          </wp:anchor>
        </w:drawing>
      </w:r>
    </w:p>
    <w:p>
      <w:pPr>
        <w:sectPr>
          <w:pgSz w:w="11900" w:h="16838" w:orient="portrait"/>
          <w:cols w:equalWidth="0" w:num="1">
            <w:col w:w="11240"/>
          </w:cols>
          <w:pgMar w:left="320" w:top="279" w:right="339" w:bottom="33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Loan / Deposit Rato (L/D 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19685</wp:posOffset>
            </wp:positionV>
            <wp:extent cx="2498090" cy="16484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8090" cy="164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0"/>
        <w:spacing w:after="0"/>
        <w:rPr>
          <w:sz w:val="20"/>
          <w:szCs w:val="20"/>
          <w:color w:val="auto"/>
        </w:rPr>
      </w:pPr>
      <w:r>
        <w:rPr>
          <w:rFonts w:ascii="Calibri" w:cs="Calibri" w:eastAsia="Calibri" w:hAnsi="Calibri"/>
          <w:sz w:val="17"/>
          <w:szCs w:val="17"/>
          <w:color w:val="auto"/>
        </w:rPr>
        <w:t>In this context, the L/D rato at Credicorp declined to 90.2%.</w:t>
      </w:r>
    </w:p>
    <w:p>
      <w:pPr>
        <w:ind w:left="1700"/>
        <w:spacing w:after="0" w:line="236" w:lineRule="auto"/>
        <w:rPr>
          <w:sz w:val="20"/>
          <w:szCs w:val="20"/>
          <w:color w:val="auto"/>
        </w:rPr>
      </w:pPr>
      <w:r>
        <w:rPr>
          <w:rFonts w:ascii="Calibri" w:cs="Calibri" w:eastAsia="Calibri" w:hAnsi="Calibri"/>
          <w:sz w:val="19"/>
          <w:szCs w:val="19"/>
          <w:b w:val="1"/>
          <w:bCs w:val="1"/>
          <w:color w:val="auto"/>
        </w:rPr>
        <w:t>L/D Rato Local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170180</wp:posOffset>
            </wp:positionV>
            <wp:extent cx="2498090" cy="130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8090" cy="1307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QoQ, the L/D rato dropped 198 bps at BCP and 156 bps at Mibanco. Both reductons refect the impact of growth in the balance of LC deposits due to statutory bonus payments. This dynamic was ofset by loan growth at the end of the period. At BCP, loan growth was driven primarily by the wholesale segment, while at Mibanco, expansion was fueled by growth in small-tcket loans.</w:t>
      </w:r>
    </w:p>
    <w:p>
      <w:pPr>
        <w:spacing w:after="0" w:line="213"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YoY, the L/D rato fell 940 bps and 2204 bps at BCP and Mibanco respectvely. At BCP, the decline was atributable to growth in low-cost deposits, which benefted from infows from pension fund withdrawals, and was partallyofset by loan growth in the wholesale segment. At Mibanco, the reducton was driven by growth in low-cost deposits and a contracton in loans, which were impacted by moves to tghten credit guidelines.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L/D Ratio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125095</wp:posOffset>
            </wp:positionV>
            <wp:extent cx="2498090" cy="12071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8090" cy="120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45085</wp:posOffset>
            </wp:positionV>
            <wp:extent cx="713613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2">
            <w:col w:w="5120" w:space="720"/>
            <w:col w:w="5400"/>
          </w:cols>
          <w:pgMar w:left="320" w:top="279" w:right="339" w:bottom="338" w:gutter="0" w:footer="0" w:header="0"/>
          <w:type w:val="continuous"/>
        </w:sectPr>
      </w:pPr>
    </w:p>
    <w:bookmarkStart w:id="23" w:name="page24"/>
    <w:bookmarkEnd w:id="23"/>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00"/>
        <w:spacing w:after="0"/>
        <w:rPr>
          <w:sz w:val="20"/>
          <w:szCs w:val="20"/>
          <w:color w:val="auto"/>
        </w:rPr>
      </w:pPr>
      <w:r>
        <w:rPr>
          <w:rFonts w:ascii="Calibri" w:cs="Calibri" w:eastAsia="Calibri" w:hAnsi="Calibri"/>
          <w:sz w:val="21"/>
          <w:szCs w:val="21"/>
          <w:b w:val="1"/>
          <w:bCs w:val="1"/>
          <w:color w:val="FFFFFF"/>
        </w:rPr>
        <w:t>02. Deposits</w:t>
      </w:r>
    </w:p>
    <w:p>
      <w:pPr>
        <w:spacing w:after="0" w:line="21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Market Share (MS)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135890</wp:posOffset>
            </wp:positionV>
            <wp:extent cx="5912485" cy="23812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12485"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At the end of November 2024, the MS for </w:t>
      </w:r>
      <w:r>
        <w:rPr>
          <w:rFonts w:ascii="Calibri" w:cs="Calibri" w:eastAsia="Calibri" w:hAnsi="Calibri"/>
          <w:sz w:val="17"/>
          <w:szCs w:val="17"/>
          <w:b w:val="1"/>
          <w:bCs w:val="1"/>
          <w:color w:val="auto"/>
        </w:rPr>
        <w:t>Total Deposits</w:t>
      </w:r>
      <w:r>
        <w:rPr>
          <w:rFonts w:ascii="Calibri" w:cs="Calibri" w:eastAsia="Calibri" w:hAnsi="Calibri"/>
          <w:sz w:val="17"/>
          <w:szCs w:val="17"/>
          <w:color w:val="auto"/>
        </w:rPr>
        <w:t xml:space="preserve"> at BCP and Mibanco in Peru was 32.0% and 2.6% (-6 bps and -3 bps vs December 2023, respectvely).</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With this result, BCP contnues to lead the market for total deposits.</w:t>
      </w:r>
    </w:p>
    <w:p>
      <w:pPr>
        <w:spacing w:after="0" w:line="213"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BCP reported interannual growth in its low-cost deposit balance (+7.9%), which fell below the fgure reported by the fnancial system (+10.4%). Nonetheless, BCP contnued to lead the market for low-cost deposits with a MS of 40.9% to November 2024 (-75 bps versus December 2023). Growth in BCP’s balance for Time Deposits stood at +15.9% (versus December 2023), outperforming the system’s result of +9.0% for the same period. In this context, BCP’s MS for Time Deposits rose +114 bps (versus December 2023) to stand at 19.0% at the end of November 2024.</w:t>
      </w:r>
    </w:p>
    <w:p>
      <w:pPr>
        <w:spacing w:after="0" w:line="212"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Credicorp’s share (BCP + Mibanco) of the low-cost deposit market dropped 75 bps YoY to stand at 40.9% at the end of November 2024. Credicorp’s share of the market for tme deposits, in turn, increased 80 bps with regard to 2023, situatng at 24.5% at the end of November 2024.</w:t>
      </w:r>
    </w:p>
    <w:p>
      <w:pPr>
        <w:spacing w:after="0" w:line="36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4" w:name="page25"/>
    <w:bookmarkEnd w:id="24"/>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03 </w:t>
      </w:r>
      <w:r>
        <w:rPr>
          <w:rFonts w:ascii="Arial" w:cs="Arial" w:eastAsia="Arial" w:hAnsi="Arial"/>
          <w:sz w:val="31"/>
          <w:szCs w:val="31"/>
          <w:color w:val="E93BAB"/>
        </w:rPr>
        <w:t>Interest-earning Assets (IEA) and Funding</w:t>
      </w:r>
    </w:p>
    <w:p>
      <w:pPr>
        <w:spacing w:after="0" w:line="218" w:lineRule="exact"/>
        <w:rPr>
          <w:sz w:val="20"/>
          <w:szCs w:val="20"/>
          <w:color w:val="auto"/>
        </w:rPr>
      </w:pPr>
    </w:p>
    <w:p>
      <w:pPr>
        <w:ind w:left="580"/>
        <w:spacing w:after="0"/>
        <w:rPr>
          <w:sz w:val="20"/>
          <w:szCs w:val="20"/>
          <w:color w:val="auto"/>
        </w:rPr>
      </w:pPr>
      <w:r>
        <w:rPr>
          <w:rFonts w:ascii="Calibri" w:cs="Calibri" w:eastAsia="Calibri" w:hAnsi="Calibri"/>
          <w:sz w:val="17"/>
          <w:szCs w:val="17"/>
          <w:color w:val="FFFFFF"/>
        </w:rPr>
        <w:t>QoQ, IEA increased 2.7%. This growth was driven by an increase in wholesale loans and by a higher balance of Cash and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-117475</wp:posOffset>
            </wp:positionV>
            <wp:extent cx="6561455" cy="1066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61455" cy="1066165"/>
                    </a:xfrm>
                    <a:prstGeom prst="rect">
                      <a:avLst/>
                    </a:prstGeom>
                    <a:noFill/>
                  </pic:spPr>
                </pic:pic>
              </a:graphicData>
            </a:graphic>
          </wp:anchor>
        </w:drawing>
      </w:r>
    </w:p>
    <w:p>
      <w:pPr>
        <w:jc w:val="both"/>
        <w:ind w:left="580" w:right="580"/>
        <w:spacing w:after="0" w:line="242" w:lineRule="auto"/>
        <w:rPr>
          <w:sz w:val="20"/>
          <w:szCs w:val="20"/>
          <w:color w:val="auto"/>
        </w:rPr>
      </w:pPr>
      <w:r>
        <w:rPr>
          <w:rFonts w:ascii="Calibri" w:cs="Calibri" w:eastAsia="Calibri" w:hAnsi="Calibri"/>
          <w:sz w:val="17"/>
          <w:szCs w:val="17"/>
          <w:color w:val="FFFFFF"/>
        </w:rPr>
        <w:t>from banks. Funding rose 3.9%, fueled mainly by growth in Deposits. This uptck was concentrated in low-cost deposits, underscoring the strength of BCP’s transactonal ofering. Growth in funding through deposits was partally ofset by a drop in Due to banks and correspondents, which registered expiratons over the period.</w:t>
      </w:r>
    </w:p>
    <w:p>
      <w:pPr>
        <w:spacing w:after="0" w:line="212" w:lineRule="exact"/>
        <w:rPr>
          <w:sz w:val="20"/>
          <w:szCs w:val="20"/>
          <w:color w:val="auto"/>
        </w:rPr>
      </w:pPr>
    </w:p>
    <w:p>
      <w:pPr>
        <w:jc w:val="both"/>
        <w:ind w:left="580" w:right="560"/>
        <w:spacing w:after="0" w:line="242" w:lineRule="auto"/>
        <w:rPr>
          <w:sz w:val="20"/>
          <w:szCs w:val="20"/>
          <w:color w:val="auto"/>
        </w:rPr>
      </w:pPr>
      <w:r>
        <w:rPr>
          <w:rFonts w:ascii="Calibri" w:cs="Calibri" w:eastAsia="Calibri" w:hAnsi="Calibri"/>
          <w:sz w:val="17"/>
          <w:szCs w:val="17"/>
          <w:color w:val="FFFFFF"/>
        </w:rPr>
        <w:t>YoY, IEA advanced (+7.2%), fueled primarily by growth in the balance for Cash and due from banks and secondarily by an uptck in the balance for Investments, which rose on the back of higher sovereign bond holdings. Lastly, funding rose 7.7%, driven mainly by growth in Deposits and to a lesser extent by an increase in the balance of Bonds and notes issued.</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500" w:type="dxa"/>
            <w:vAlign w:val="bottom"/>
          </w:tcPr>
          <w:p>
            <w:pPr>
              <w:spacing w:after="0"/>
              <w:rPr>
                <w:sz w:val="20"/>
                <w:szCs w:val="20"/>
                <w:color w:val="auto"/>
              </w:rPr>
            </w:pPr>
            <w:r>
              <w:rPr>
                <w:rFonts w:ascii="Calibri" w:cs="Calibri" w:eastAsia="Calibri" w:hAnsi="Calibri"/>
                <w:sz w:val="17"/>
                <w:szCs w:val="17"/>
                <w:b w:val="1"/>
                <w:bCs w:val="1"/>
                <w:color w:val="auto"/>
              </w:rPr>
              <w:t>3.1.</w:t>
            </w:r>
          </w:p>
        </w:tc>
        <w:tc>
          <w:tcPr>
            <w:tcW w:w="5380" w:type="dxa"/>
            <w:vAlign w:val="bottom"/>
          </w:tcPr>
          <w:p>
            <w:pPr>
              <w:ind w:left="60"/>
              <w:spacing w:after="0"/>
              <w:rPr>
                <w:sz w:val="20"/>
                <w:szCs w:val="20"/>
                <w:color w:val="auto"/>
              </w:rPr>
            </w:pPr>
            <w:r>
              <w:rPr>
                <w:rFonts w:ascii="Calibri" w:cs="Calibri" w:eastAsia="Calibri" w:hAnsi="Calibri"/>
                <w:sz w:val="17"/>
                <w:szCs w:val="17"/>
                <w:b w:val="1"/>
                <w:bCs w:val="1"/>
                <w:color w:val="auto"/>
              </w:rPr>
              <w:t>IEA</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5880" w:type="dxa"/>
            <w:vAlign w:val="bottom"/>
            <w:tcBorders>
              <w:bottom w:val="single" w:sz="8" w:color="auto"/>
            </w:tcBorders>
            <w:gridSpan w:val="2"/>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spacing w:after="0"/>
              <w:rPr>
                <w:sz w:val="18"/>
                <w:szCs w:val="18"/>
                <w:color w:val="auto"/>
              </w:rPr>
            </w:pPr>
          </w:p>
        </w:tc>
      </w:tr>
      <w:tr>
        <w:trPr>
          <w:trHeight w:val="200"/>
        </w:trPr>
        <w:tc>
          <w:tcPr>
            <w:tcW w:w="5880" w:type="dxa"/>
            <w:vAlign w:val="bottom"/>
            <w:tcBorders>
              <w:left w:val="single" w:sz="8" w:color="auto"/>
              <w:right w:val="single" w:sz="8" w:color="auto"/>
            </w:tcBorders>
            <w:gridSpan w:val="2"/>
            <w:shd w:val="clear" w:color="auto" w:fill="33CCCC"/>
          </w:tcPr>
          <w:p>
            <w:pPr>
              <w:ind w:left="20"/>
              <w:spacing w:after="0" w:line="200" w:lineRule="exact"/>
              <w:rPr>
                <w:sz w:val="20"/>
                <w:szCs w:val="20"/>
                <w:color w:val="auto"/>
              </w:rPr>
            </w:pPr>
            <w:r>
              <w:rPr>
                <w:rFonts w:ascii="Calibri" w:cs="Calibri" w:eastAsia="Calibri" w:hAnsi="Calibri"/>
                <w:sz w:val="17"/>
                <w:szCs w:val="17"/>
                <w:b w:val="1"/>
                <w:bCs w:val="1"/>
                <w:color w:val="FFFFFF"/>
              </w:rPr>
              <w:t>Interest Earning Assets</w:t>
            </w:r>
          </w:p>
        </w:tc>
        <w:tc>
          <w:tcPr>
            <w:tcW w:w="1160" w:type="dxa"/>
            <w:vAlign w:val="bottom"/>
            <w:shd w:val="clear" w:color="auto" w:fill="33CCCC"/>
          </w:tcPr>
          <w:p>
            <w:pPr>
              <w:spacing w:after="0"/>
              <w:rPr>
                <w:sz w:val="17"/>
                <w:szCs w:val="17"/>
                <w:color w:val="auto"/>
              </w:rPr>
            </w:pPr>
          </w:p>
        </w:tc>
        <w:tc>
          <w:tcPr>
            <w:tcW w:w="1160" w:type="dxa"/>
            <w:vAlign w:val="bottom"/>
            <w:shd w:val="clear" w:color="auto" w:fill="33CCCC"/>
          </w:tcPr>
          <w:p>
            <w:pPr>
              <w:jc w:val="center"/>
              <w:spacing w:after="0" w:line="200" w:lineRule="exact"/>
              <w:rPr>
                <w:sz w:val="20"/>
                <w:szCs w:val="20"/>
                <w:color w:val="auto"/>
              </w:rPr>
            </w:pPr>
            <w:r>
              <w:rPr>
                <w:rFonts w:ascii="Calibri" w:cs="Calibri" w:eastAsia="Calibri" w:hAnsi="Calibri"/>
                <w:sz w:val="17"/>
                <w:szCs w:val="17"/>
                <w:b w:val="1"/>
                <w:bCs w:val="1"/>
                <w:color w:val="FFFFFF"/>
              </w:rPr>
              <w:t>As of</w:t>
            </w:r>
          </w:p>
        </w:tc>
        <w:tc>
          <w:tcPr>
            <w:tcW w:w="1180" w:type="dxa"/>
            <w:vAlign w:val="bottom"/>
            <w:tcBorders>
              <w:right w:val="single" w:sz="8" w:color="auto"/>
            </w:tcBorders>
            <w:shd w:val="clear" w:color="auto" w:fill="33CCCC"/>
          </w:tcPr>
          <w:p>
            <w:pPr>
              <w:spacing w:after="0"/>
              <w:rPr>
                <w:sz w:val="17"/>
                <w:szCs w:val="17"/>
                <w:color w:val="auto"/>
              </w:rPr>
            </w:pPr>
          </w:p>
        </w:tc>
        <w:tc>
          <w:tcPr>
            <w:tcW w:w="1860" w:type="dxa"/>
            <w:vAlign w:val="bottom"/>
            <w:tcBorders>
              <w:right w:val="single" w:sz="8" w:color="auto"/>
            </w:tcBorders>
            <w:gridSpan w:val="2"/>
            <w:shd w:val="clear" w:color="auto" w:fill="33CCCC"/>
          </w:tcPr>
          <w:p>
            <w:pPr>
              <w:ind w:left="600"/>
              <w:spacing w:after="0" w:line="200" w:lineRule="exact"/>
              <w:rPr>
                <w:sz w:val="20"/>
                <w:szCs w:val="20"/>
                <w:color w:val="auto"/>
              </w:rPr>
            </w:pPr>
            <w:r>
              <w:rPr>
                <w:rFonts w:ascii="Calibri" w:cs="Calibri" w:eastAsia="Calibri" w:hAnsi="Calibri"/>
                <w:sz w:val="17"/>
                <w:szCs w:val="17"/>
                <w:b w:val="1"/>
                <w:bCs w:val="1"/>
                <w:color w:val="FFFFFF"/>
              </w:rPr>
              <w:t>% change</w:t>
            </w:r>
          </w:p>
        </w:tc>
      </w:tr>
      <w:tr>
        <w:trPr>
          <w:trHeight w:val="210"/>
        </w:trPr>
        <w:tc>
          <w:tcPr>
            <w:tcW w:w="500" w:type="dxa"/>
            <w:vAlign w:val="bottom"/>
            <w:tcBorders>
              <w:left w:val="single" w:sz="8" w:color="auto"/>
              <w:bottom w:val="single" w:sz="8" w:color="auto"/>
            </w:tcBorders>
            <w:shd w:val="clear" w:color="auto" w:fill="33CCCC"/>
          </w:tcPr>
          <w:p>
            <w:pPr>
              <w:ind w:left="20"/>
              <w:spacing w:after="0"/>
              <w:rPr>
                <w:sz w:val="20"/>
                <w:szCs w:val="20"/>
                <w:color w:val="auto"/>
              </w:rPr>
            </w:pPr>
            <w:r>
              <w:rPr>
                <w:rFonts w:ascii="Calibri" w:cs="Calibri" w:eastAsia="Calibri" w:hAnsi="Calibri"/>
                <w:sz w:val="17"/>
                <w:szCs w:val="17"/>
                <w:b w:val="1"/>
                <w:bCs w:val="1"/>
                <w:color w:val="FFFFFF"/>
              </w:rPr>
              <w:t>S/000</w:t>
            </w:r>
          </w:p>
        </w:tc>
        <w:tc>
          <w:tcPr>
            <w:tcW w:w="5380" w:type="dxa"/>
            <w:vAlign w:val="bottom"/>
            <w:tcBorders>
              <w:bottom w:val="single" w:sz="8" w:color="auto"/>
              <w:right w:val="single" w:sz="8" w:color="auto"/>
            </w:tcBorders>
            <w:shd w:val="clear" w:color="auto" w:fill="33CCCC"/>
          </w:tcPr>
          <w:p>
            <w:pPr>
              <w:spacing w:after="0"/>
              <w:rPr>
                <w:sz w:val="18"/>
                <w:szCs w:val="18"/>
                <w:color w:val="auto"/>
              </w:rPr>
            </w:pPr>
          </w:p>
        </w:tc>
        <w:tc>
          <w:tcPr>
            <w:tcW w:w="1160" w:type="dxa"/>
            <w:vAlign w:val="bottom"/>
            <w:tcBorders>
              <w:bottom w:val="single" w:sz="8" w:color="auto"/>
            </w:tcBorders>
            <w:shd w:val="clear" w:color="auto" w:fill="33CCCC"/>
          </w:tcPr>
          <w:p>
            <w:pPr>
              <w:ind w:left="340"/>
              <w:spacing w:after="0"/>
              <w:rPr>
                <w:sz w:val="20"/>
                <w:szCs w:val="20"/>
                <w:color w:val="auto"/>
              </w:rPr>
            </w:pPr>
            <w:r>
              <w:rPr>
                <w:rFonts w:ascii="Calibri" w:cs="Calibri" w:eastAsia="Calibri" w:hAnsi="Calibri"/>
                <w:sz w:val="17"/>
                <w:szCs w:val="17"/>
                <w:b w:val="1"/>
                <w:bCs w:val="1"/>
                <w:color w:val="FFFFFF"/>
              </w:rPr>
              <w:t>Dec 23</w:t>
            </w:r>
          </w:p>
        </w:tc>
        <w:tc>
          <w:tcPr>
            <w:tcW w:w="116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Sep 24</w:t>
            </w:r>
          </w:p>
        </w:tc>
        <w:tc>
          <w:tcPr>
            <w:tcW w:w="118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Calibri" w:cs="Calibri" w:eastAsia="Calibri" w:hAnsi="Calibri"/>
                <w:sz w:val="17"/>
                <w:szCs w:val="17"/>
                <w:b w:val="1"/>
                <w:bCs w:val="1"/>
                <w:color w:val="FFFFFF"/>
              </w:rPr>
              <w:t>Dec 24</w:t>
            </w:r>
          </w:p>
        </w:tc>
        <w:tc>
          <w:tcPr>
            <w:tcW w:w="960" w:type="dxa"/>
            <w:vAlign w:val="bottom"/>
            <w:tcBorders>
              <w:bottom w:val="single" w:sz="8" w:color="auto"/>
            </w:tcBorders>
            <w:shd w:val="clear" w:color="auto" w:fill="33CCCC"/>
          </w:tcPr>
          <w:p>
            <w:pPr>
              <w:ind w:left="340"/>
              <w:spacing w:after="0"/>
              <w:rPr>
                <w:sz w:val="20"/>
                <w:szCs w:val="20"/>
                <w:color w:val="auto"/>
              </w:rPr>
            </w:pPr>
            <w:r>
              <w:rPr>
                <w:rFonts w:ascii="Calibri" w:cs="Calibri" w:eastAsia="Calibri" w:hAnsi="Calibri"/>
                <w:sz w:val="17"/>
                <w:szCs w:val="17"/>
                <w:b w:val="1"/>
                <w:bCs w:val="1"/>
                <w:color w:val="FFFFFF"/>
              </w:rPr>
              <w:t>QoQ</w:t>
            </w:r>
          </w:p>
        </w:tc>
        <w:tc>
          <w:tcPr>
            <w:tcW w:w="90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Calibri" w:cs="Calibri" w:eastAsia="Calibri" w:hAnsi="Calibri"/>
                <w:sz w:val="17"/>
                <w:szCs w:val="17"/>
                <w:b w:val="1"/>
                <w:bCs w:val="1"/>
                <w:color w:val="FFFFFF"/>
              </w:rPr>
              <w:t>YoY</w:t>
            </w:r>
          </w:p>
        </w:tc>
      </w:tr>
      <w:tr>
        <w:trPr>
          <w:trHeight w:val="185"/>
        </w:trPr>
        <w:tc>
          <w:tcPr>
            <w:tcW w:w="5880" w:type="dxa"/>
            <w:vAlign w:val="bottom"/>
            <w:tcBorders>
              <w:left w:val="single" w:sz="8" w:color="auto"/>
              <w:right w:val="single" w:sz="8" w:color="auto"/>
            </w:tcBorders>
            <w:gridSpan w:val="2"/>
          </w:tcPr>
          <w:p>
            <w:pPr>
              <w:ind w:left="20"/>
              <w:spacing w:after="0" w:line="185" w:lineRule="exact"/>
              <w:rPr>
                <w:sz w:val="20"/>
                <w:szCs w:val="20"/>
                <w:color w:val="auto"/>
              </w:rPr>
            </w:pPr>
            <w:r>
              <w:rPr>
                <w:rFonts w:ascii="Calibri" w:cs="Calibri" w:eastAsia="Calibri" w:hAnsi="Calibri"/>
                <w:sz w:val="17"/>
                <w:szCs w:val="17"/>
                <w:color w:val="auto"/>
              </w:rPr>
              <w:t>Cash and due from banks</w:t>
            </w:r>
          </w:p>
        </w:tc>
        <w:tc>
          <w:tcPr>
            <w:tcW w:w="1160" w:type="dxa"/>
            <w:vAlign w:val="bottom"/>
          </w:tcPr>
          <w:p>
            <w:pPr>
              <w:jc w:val="center"/>
              <w:spacing w:after="0" w:line="185" w:lineRule="exact"/>
              <w:rPr>
                <w:sz w:val="20"/>
                <w:szCs w:val="20"/>
                <w:color w:val="auto"/>
              </w:rPr>
            </w:pPr>
            <w:r>
              <w:rPr>
                <w:rFonts w:ascii="Calibri" w:cs="Calibri" w:eastAsia="Calibri" w:hAnsi="Calibri"/>
                <w:sz w:val="17"/>
                <w:szCs w:val="17"/>
                <w:color w:val="auto"/>
              </w:rPr>
              <w:t>25,978,577</w:t>
            </w:r>
          </w:p>
        </w:tc>
        <w:tc>
          <w:tcPr>
            <w:tcW w:w="1160" w:type="dxa"/>
            <w:vAlign w:val="bottom"/>
          </w:tcPr>
          <w:p>
            <w:pPr>
              <w:jc w:val="center"/>
              <w:spacing w:after="0" w:line="185" w:lineRule="exact"/>
              <w:rPr>
                <w:sz w:val="20"/>
                <w:szCs w:val="20"/>
                <w:color w:val="auto"/>
              </w:rPr>
            </w:pPr>
            <w:r>
              <w:rPr>
                <w:rFonts w:ascii="Calibri" w:cs="Calibri" w:eastAsia="Calibri" w:hAnsi="Calibri"/>
                <w:sz w:val="17"/>
                <w:szCs w:val="17"/>
                <w:color w:val="auto"/>
              </w:rPr>
              <w:t>37,007,966</w:t>
            </w:r>
          </w:p>
        </w:tc>
        <w:tc>
          <w:tcPr>
            <w:tcW w:w="118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7"/>
                <w:szCs w:val="17"/>
                <w:color w:val="auto"/>
              </w:rPr>
              <w:t>40,119,937</w:t>
            </w:r>
          </w:p>
        </w:tc>
        <w:tc>
          <w:tcPr>
            <w:tcW w:w="960" w:type="dxa"/>
            <w:vAlign w:val="bottom"/>
          </w:tcPr>
          <w:p>
            <w:pPr>
              <w:jc w:val="center"/>
              <w:spacing w:after="0" w:line="185" w:lineRule="exact"/>
              <w:rPr>
                <w:sz w:val="20"/>
                <w:szCs w:val="20"/>
                <w:color w:val="auto"/>
              </w:rPr>
            </w:pPr>
            <w:r>
              <w:rPr>
                <w:rFonts w:ascii="Calibri" w:cs="Calibri" w:eastAsia="Calibri" w:hAnsi="Calibri"/>
                <w:sz w:val="17"/>
                <w:szCs w:val="17"/>
                <w:color w:val="auto"/>
              </w:rPr>
              <w:t>8.4%</w:t>
            </w:r>
          </w:p>
        </w:tc>
        <w:tc>
          <w:tcPr>
            <w:tcW w:w="90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7"/>
                <w:szCs w:val="17"/>
                <w:color w:val="auto"/>
                <w:w w:val="99"/>
              </w:rPr>
              <w:t>54.4%</w:t>
            </w:r>
          </w:p>
        </w:tc>
      </w:tr>
      <w:tr>
        <w:trPr>
          <w:trHeight w:val="207"/>
        </w:trPr>
        <w:tc>
          <w:tcPr>
            <w:tcW w:w="588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7"/>
                <w:szCs w:val="17"/>
                <w:color w:val="auto"/>
              </w:rPr>
              <w:t>Total investments</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52,215,528</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53,328,873</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53,825,858</w:t>
            </w:r>
          </w:p>
        </w:tc>
        <w:tc>
          <w:tcPr>
            <w:tcW w:w="960" w:type="dxa"/>
            <w:vAlign w:val="bottom"/>
          </w:tcPr>
          <w:p>
            <w:pPr>
              <w:jc w:val="center"/>
              <w:spacing w:after="0"/>
              <w:rPr>
                <w:sz w:val="20"/>
                <w:szCs w:val="20"/>
                <w:color w:val="auto"/>
              </w:rPr>
            </w:pPr>
            <w:r>
              <w:rPr>
                <w:rFonts w:ascii="Calibri" w:cs="Calibri" w:eastAsia="Calibri" w:hAnsi="Calibri"/>
                <w:sz w:val="17"/>
                <w:szCs w:val="17"/>
                <w:color w:val="auto"/>
              </w:rPr>
              <w:t>0.9%</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3.1%</w:t>
            </w:r>
          </w:p>
        </w:tc>
      </w:tr>
      <w:tr>
        <w:trPr>
          <w:trHeight w:val="210"/>
        </w:trPr>
        <w:tc>
          <w:tcPr>
            <w:tcW w:w="588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7"/>
                <w:szCs w:val="17"/>
                <w:color w:val="auto"/>
              </w:rPr>
              <w:t>Cash collateral, reverse repurchase agreements and securites borrowing</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1,410,647</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8"/>
              </w:rPr>
              <w:t>1,419,305</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1,033,177</w:t>
            </w:r>
          </w:p>
        </w:tc>
        <w:tc>
          <w:tcPr>
            <w:tcW w:w="960" w:type="dxa"/>
            <w:vAlign w:val="bottom"/>
          </w:tcPr>
          <w:p>
            <w:pPr>
              <w:jc w:val="center"/>
              <w:spacing w:after="0"/>
              <w:rPr>
                <w:sz w:val="20"/>
                <w:szCs w:val="20"/>
                <w:color w:val="auto"/>
              </w:rPr>
            </w:pPr>
            <w:r>
              <w:rPr>
                <w:rFonts w:ascii="Calibri" w:cs="Calibri" w:eastAsia="Calibri" w:hAnsi="Calibri"/>
                <w:sz w:val="17"/>
                <w:szCs w:val="17"/>
                <w:color w:val="auto"/>
              </w:rPr>
              <w:t>-27.2%</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-26.8%</w:t>
            </w:r>
          </w:p>
        </w:tc>
      </w:tr>
      <w:tr>
        <w:trPr>
          <w:trHeight w:val="210"/>
        </w:trPr>
        <w:tc>
          <w:tcPr>
            <w:tcW w:w="588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7"/>
                <w:szCs w:val="17"/>
                <w:color w:val="auto"/>
              </w:rPr>
              <w:t>Total loans</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9"/>
              </w:rPr>
              <w:t>144,976,051</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142,568,785</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145,732,273</w:t>
            </w:r>
          </w:p>
        </w:tc>
        <w:tc>
          <w:tcPr>
            <w:tcW w:w="960" w:type="dxa"/>
            <w:vAlign w:val="bottom"/>
          </w:tcPr>
          <w:p>
            <w:pPr>
              <w:jc w:val="center"/>
              <w:spacing w:after="0"/>
              <w:rPr>
                <w:sz w:val="20"/>
                <w:szCs w:val="20"/>
                <w:color w:val="auto"/>
              </w:rPr>
            </w:pPr>
            <w:r>
              <w:rPr>
                <w:rFonts w:ascii="Calibri" w:cs="Calibri" w:eastAsia="Calibri" w:hAnsi="Calibri"/>
                <w:sz w:val="17"/>
                <w:szCs w:val="17"/>
                <w:color w:val="auto"/>
              </w:rPr>
              <w:t>2.2%</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0.5%</w:t>
            </w:r>
          </w:p>
        </w:tc>
      </w:tr>
      <w:tr>
        <w:trPr>
          <w:trHeight w:val="24"/>
        </w:trPr>
        <w:tc>
          <w:tcPr>
            <w:tcW w:w="5880" w:type="dxa"/>
            <w:vAlign w:val="bottom"/>
            <w:tcBorders>
              <w:left w:val="single" w:sz="8" w:color="auto"/>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02"/>
        </w:trPr>
        <w:tc>
          <w:tcPr>
            <w:tcW w:w="5880" w:type="dxa"/>
            <w:vAlign w:val="bottom"/>
            <w:tcBorders>
              <w:left w:val="single" w:sz="8" w:color="auto"/>
              <w:bottom w:val="single" w:sz="8" w:color="auto"/>
              <w:right w:val="single" w:sz="8" w:color="auto"/>
            </w:tcBorders>
            <w:gridSpan w:val="2"/>
          </w:tcPr>
          <w:p>
            <w:pPr>
              <w:ind w:left="20"/>
              <w:spacing w:after="0" w:line="202" w:lineRule="exact"/>
              <w:rPr>
                <w:sz w:val="20"/>
                <w:szCs w:val="20"/>
                <w:color w:val="auto"/>
              </w:rPr>
            </w:pPr>
            <w:r>
              <w:rPr>
                <w:rFonts w:ascii="Calibri" w:cs="Calibri" w:eastAsia="Calibri" w:hAnsi="Calibri"/>
                <w:sz w:val="17"/>
                <w:szCs w:val="17"/>
                <w:b w:val="1"/>
                <w:bCs w:val="1"/>
                <w:color w:val="auto"/>
              </w:rPr>
              <w:t>Total interest earning assets</w:t>
            </w:r>
          </w:p>
        </w:tc>
        <w:tc>
          <w:tcPr>
            <w:tcW w:w="11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224,580,803</w:t>
            </w:r>
          </w:p>
        </w:tc>
        <w:tc>
          <w:tcPr>
            <w:tcW w:w="11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234,324,929</w:t>
            </w:r>
          </w:p>
        </w:tc>
        <w:tc>
          <w:tcPr>
            <w:tcW w:w="118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240,711,245</w:t>
            </w:r>
          </w:p>
        </w:tc>
        <w:tc>
          <w:tcPr>
            <w:tcW w:w="9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2.7%</w:t>
            </w:r>
          </w:p>
        </w:tc>
        <w:tc>
          <w:tcPr>
            <w:tcW w:w="90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7.2%</w:t>
            </w:r>
          </w:p>
        </w:tc>
      </w:tr>
    </w:tbl>
    <w:p>
      <w:pPr>
        <w:spacing w:after="0" w:line="163"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QoQ, IEA rose 2.7%, driven primarily by growth in Loans and Cash and due from banks (both registering similar uptcks). Loans increased 2.2%, fueled mainly by commercial loans to corporate clients. The balance for Cash and due from banks rose on the back of high liquidity, where surpluses were capitalized in short-term deposits.</w:t>
      </w:r>
    </w:p>
    <w:p>
      <w:pPr>
        <w:spacing w:after="0" w:line="185"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YoY, IEA increased 7.2%, fueled primarily by growth in the balance for Cash and due from banks. In a context market by less lending actvity and high market liquidity, partcularly due to pension fund withdrawals from AFPs, the balance of Cash and due from banks rose signifcantly over the year. Total investments also contributed to growth in IEA, although to a lesser extent, via the strategy implemented this year to extend the duraton of the portolio by increasing sovereign bond holdings.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500" w:type="dxa"/>
            <w:vAlign w:val="bottom"/>
          </w:tcPr>
          <w:p>
            <w:pPr>
              <w:spacing w:after="0"/>
              <w:rPr>
                <w:sz w:val="20"/>
                <w:szCs w:val="20"/>
                <w:color w:val="auto"/>
              </w:rPr>
            </w:pPr>
            <w:r>
              <w:rPr>
                <w:rFonts w:ascii="Calibri" w:cs="Calibri" w:eastAsia="Calibri" w:hAnsi="Calibri"/>
                <w:sz w:val="17"/>
                <w:szCs w:val="17"/>
                <w:b w:val="1"/>
                <w:bCs w:val="1"/>
                <w:color w:val="auto"/>
              </w:rPr>
              <w:t>3.2.</w:t>
            </w:r>
          </w:p>
        </w:tc>
        <w:tc>
          <w:tcPr>
            <w:tcW w:w="5380" w:type="dxa"/>
            <w:vAlign w:val="bottom"/>
          </w:tcPr>
          <w:p>
            <w:pPr>
              <w:ind w:left="60"/>
              <w:spacing w:after="0"/>
              <w:rPr>
                <w:sz w:val="20"/>
                <w:szCs w:val="20"/>
                <w:color w:val="auto"/>
              </w:rPr>
            </w:pPr>
            <w:r>
              <w:rPr>
                <w:rFonts w:ascii="Calibri" w:cs="Calibri" w:eastAsia="Calibri" w:hAnsi="Calibri"/>
                <w:sz w:val="17"/>
                <w:szCs w:val="17"/>
                <w:b w:val="1"/>
                <w:bCs w:val="1"/>
                <w:color w:val="auto"/>
              </w:rPr>
              <w:t>Funding</w:t>
            </w: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7"/>
        </w:trPr>
        <w:tc>
          <w:tcPr>
            <w:tcW w:w="5880" w:type="dxa"/>
            <w:vAlign w:val="bottom"/>
            <w:tcBorders>
              <w:bottom w:val="single" w:sz="8" w:color="auto"/>
            </w:tcBorders>
            <w:gridSpan w:val="2"/>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spacing w:after="0"/>
              <w:rPr>
                <w:sz w:val="18"/>
                <w:szCs w:val="18"/>
                <w:color w:val="auto"/>
              </w:rPr>
            </w:pPr>
          </w:p>
        </w:tc>
      </w:tr>
      <w:tr>
        <w:trPr>
          <w:trHeight w:val="200"/>
        </w:trPr>
        <w:tc>
          <w:tcPr>
            <w:tcW w:w="5880" w:type="dxa"/>
            <w:vAlign w:val="bottom"/>
            <w:tcBorders>
              <w:left w:val="single" w:sz="8" w:color="auto"/>
              <w:right w:val="single" w:sz="8" w:color="auto"/>
            </w:tcBorders>
            <w:gridSpan w:val="2"/>
            <w:shd w:val="clear" w:color="auto" w:fill="33CCCC"/>
          </w:tcPr>
          <w:p>
            <w:pPr>
              <w:ind w:left="20"/>
              <w:spacing w:after="0" w:line="200" w:lineRule="exact"/>
              <w:rPr>
                <w:sz w:val="20"/>
                <w:szCs w:val="20"/>
                <w:color w:val="auto"/>
              </w:rPr>
            </w:pPr>
            <w:r>
              <w:rPr>
                <w:rFonts w:ascii="Calibri" w:cs="Calibri" w:eastAsia="Calibri" w:hAnsi="Calibri"/>
                <w:sz w:val="17"/>
                <w:szCs w:val="17"/>
                <w:b w:val="1"/>
                <w:bCs w:val="1"/>
                <w:color w:val="FFFFFF"/>
              </w:rPr>
              <w:t>Funding</w:t>
            </w:r>
          </w:p>
        </w:tc>
        <w:tc>
          <w:tcPr>
            <w:tcW w:w="1160" w:type="dxa"/>
            <w:vAlign w:val="bottom"/>
            <w:shd w:val="clear" w:color="auto" w:fill="33CCCC"/>
          </w:tcPr>
          <w:p>
            <w:pPr>
              <w:spacing w:after="0"/>
              <w:rPr>
                <w:sz w:val="17"/>
                <w:szCs w:val="17"/>
                <w:color w:val="auto"/>
              </w:rPr>
            </w:pPr>
          </w:p>
        </w:tc>
        <w:tc>
          <w:tcPr>
            <w:tcW w:w="1160" w:type="dxa"/>
            <w:vAlign w:val="bottom"/>
            <w:shd w:val="clear" w:color="auto" w:fill="33CCCC"/>
          </w:tcPr>
          <w:p>
            <w:pPr>
              <w:jc w:val="center"/>
              <w:spacing w:after="0" w:line="200" w:lineRule="exact"/>
              <w:rPr>
                <w:sz w:val="20"/>
                <w:szCs w:val="20"/>
                <w:color w:val="auto"/>
              </w:rPr>
            </w:pPr>
            <w:r>
              <w:rPr>
                <w:rFonts w:ascii="Calibri" w:cs="Calibri" w:eastAsia="Calibri" w:hAnsi="Calibri"/>
                <w:sz w:val="17"/>
                <w:szCs w:val="17"/>
                <w:b w:val="1"/>
                <w:bCs w:val="1"/>
                <w:color w:val="FFFFFF"/>
              </w:rPr>
              <w:t>As of</w:t>
            </w:r>
          </w:p>
        </w:tc>
        <w:tc>
          <w:tcPr>
            <w:tcW w:w="1180" w:type="dxa"/>
            <w:vAlign w:val="bottom"/>
            <w:tcBorders>
              <w:right w:val="single" w:sz="8" w:color="auto"/>
            </w:tcBorders>
            <w:shd w:val="clear" w:color="auto" w:fill="33CCCC"/>
          </w:tcPr>
          <w:p>
            <w:pPr>
              <w:spacing w:after="0"/>
              <w:rPr>
                <w:sz w:val="17"/>
                <w:szCs w:val="17"/>
                <w:color w:val="auto"/>
              </w:rPr>
            </w:pPr>
          </w:p>
        </w:tc>
        <w:tc>
          <w:tcPr>
            <w:tcW w:w="1860" w:type="dxa"/>
            <w:vAlign w:val="bottom"/>
            <w:tcBorders>
              <w:right w:val="single" w:sz="8" w:color="auto"/>
            </w:tcBorders>
            <w:gridSpan w:val="2"/>
            <w:shd w:val="clear" w:color="auto" w:fill="33CCCC"/>
          </w:tcPr>
          <w:p>
            <w:pPr>
              <w:ind w:left="600"/>
              <w:spacing w:after="0" w:line="200" w:lineRule="exact"/>
              <w:rPr>
                <w:sz w:val="20"/>
                <w:szCs w:val="20"/>
                <w:color w:val="auto"/>
              </w:rPr>
            </w:pPr>
            <w:r>
              <w:rPr>
                <w:rFonts w:ascii="Calibri" w:cs="Calibri" w:eastAsia="Calibri" w:hAnsi="Calibri"/>
                <w:sz w:val="17"/>
                <w:szCs w:val="17"/>
                <w:b w:val="1"/>
                <w:bCs w:val="1"/>
                <w:color w:val="FFFFFF"/>
              </w:rPr>
              <w:t>% change</w:t>
            </w:r>
          </w:p>
        </w:tc>
      </w:tr>
      <w:tr>
        <w:trPr>
          <w:trHeight w:val="210"/>
        </w:trPr>
        <w:tc>
          <w:tcPr>
            <w:tcW w:w="500" w:type="dxa"/>
            <w:vAlign w:val="bottom"/>
            <w:tcBorders>
              <w:left w:val="single" w:sz="8" w:color="auto"/>
              <w:bottom w:val="single" w:sz="8" w:color="auto"/>
            </w:tcBorders>
            <w:shd w:val="clear" w:color="auto" w:fill="33CCCC"/>
          </w:tcPr>
          <w:p>
            <w:pPr>
              <w:ind w:left="20"/>
              <w:spacing w:after="0"/>
              <w:rPr>
                <w:sz w:val="20"/>
                <w:szCs w:val="20"/>
                <w:color w:val="auto"/>
              </w:rPr>
            </w:pPr>
            <w:r>
              <w:rPr>
                <w:rFonts w:ascii="Calibri" w:cs="Calibri" w:eastAsia="Calibri" w:hAnsi="Calibri"/>
                <w:sz w:val="17"/>
                <w:szCs w:val="17"/>
                <w:b w:val="1"/>
                <w:bCs w:val="1"/>
                <w:color w:val="FFFFFF"/>
              </w:rPr>
              <w:t>S/000</w:t>
            </w:r>
          </w:p>
        </w:tc>
        <w:tc>
          <w:tcPr>
            <w:tcW w:w="5380" w:type="dxa"/>
            <w:vAlign w:val="bottom"/>
            <w:tcBorders>
              <w:bottom w:val="single" w:sz="8" w:color="auto"/>
              <w:right w:val="single" w:sz="8" w:color="auto"/>
            </w:tcBorders>
            <w:shd w:val="clear" w:color="auto" w:fill="33CCCC"/>
          </w:tcPr>
          <w:p>
            <w:pPr>
              <w:spacing w:after="0"/>
              <w:rPr>
                <w:sz w:val="18"/>
                <w:szCs w:val="18"/>
                <w:color w:val="auto"/>
              </w:rPr>
            </w:pPr>
          </w:p>
        </w:tc>
        <w:tc>
          <w:tcPr>
            <w:tcW w:w="1160" w:type="dxa"/>
            <w:vAlign w:val="bottom"/>
            <w:tcBorders>
              <w:bottom w:val="single" w:sz="8" w:color="auto"/>
            </w:tcBorders>
            <w:shd w:val="clear" w:color="auto" w:fill="33CCCC"/>
          </w:tcPr>
          <w:p>
            <w:pPr>
              <w:ind w:left="340"/>
              <w:spacing w:after="0"/>
              <w:rPr>
                <w:sz w:val="20"/>
                <w:szCs w:val="20"/>
                <w:color w:val="auto"/>
              </w:rPr>
            </w:pPr>
            <w:r>
              <w:rPr>
                <w:rFonts w:ascii="Calibri" w:cs="Calibri" w:eastAsia="Calibri" w:hAnsi="Calibri"/>
                <w:sz w:val="17"/>
                <w:szCs w:val="17"/>
                <w:b w:val="1"/>
                <w:bCs w:val="1"/>
                <w:color w:val="FFFFFF"/>
              </w:rPr>
              <w:t>Dec 23</w:t>
            </w:r>
          </w:p>
        </w:tc>
        <w:tc>
          <w:tcPr>
            <w:tcW w:w="116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Sep 24</w:t>
            </w:r>
          </w:p>
        </w:tc>
        <w:tc>
          <w:tcPr>
            <w:tcW w:w="118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Calibri" w:cs="Calibri" w:eastAsia="Calibri" w:hAnsi="Calibri"/>
                <w:sz w:val="17"/>
                <w:szCs w:val="17"/>
                <w:b w:val="1"/>
                <w:bCs w:val="1"/>
                <w:color w:val="FFFFFF"/>
              </w:rPr>
              <w:t>Dec 24</w:t>
            </w:r>
          </w:p>
        </w:tc>
        <w:tc>
          <w:tcPr>
            <w:tcW w:w="960" w:type="dxa"/>
            <w:vAlign w:val="bottom"/>
            <w:tcBorders>
              <w:bottom w:val="single" w:sz="8" w:color="auto"/>
            </w:tcBorders>
            <w:shd w:val="clear" w:color="auto" w:fill="33CCCC"/>
          </w:tcPr>
          <w:p>
            <w:pPr>
              <w:ind w:left="340"/>
              <w:spacing w:after="0"/>
              <w:rPr>
                <w:sz w:val="20"/>
                <w:szCs w:val="20"/>
                <w:color w:val="auto"/>
              </w:rPr>
            </w:pPr>
            <w:r>
              <w:rPr>
                <w:rFonts w:ascii="Calibri" w:cs="Calibri" w:eastAsia="Calibri" w:hAnsi="Calibri"/>
                <w:sz w:val="17"/>
                <w:szCs w:val="17"/>
                <w:b w:val="1"/>
                <w:bCs w:val="1"/>
                <w:color w:val="FFFFFF"/>
              </w:rPr>
              <w:t>QoQ</w:t>
            </w:r>
          </w:p>
        </w:tc>
        <w:tc>
          <w:tcPr>
            <w:tcW w:w="90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Calibri" w:cs="Calibri" w:eastAsia="Calibri" w:hAnsi="Calibri"/>
                <w:sz w:val="17"/>
                <w:szCs w:val="17"/>
                <w:b w:val="1"/>
                <w:bCs w:val="1"/>
                <w:color w:val="FFFFFF"/>
              </w:rPr>
              <w:t>YoY</w:t>
            </w:r>
          </w:p>
        </w:tc>
      </w:tr>
      <w:tr>
        <w:trPr>
          <w:trHeight w:val="185"/>
        </w:trPr>
        <w:tc>
          <w:tcPr>
            <w:tcW w:w="5880" w:type="dxa"/>
            <w:vAlign w:val="bottom"/>
            <w:tcBorders>
              <w:left w:val="single" w:sz="8" w:color="auto"/>
              <w:right w:val="single" w:sz="8" w:color="auto"/>
            </w:tcBorders>
            <w:gridSpan w:val="2"/>
          </w:tcPr>
          <w:p>
            <w:pPr>
              <w:ind w:left="20"/>
              <w:spacing w:after="0" w:line="185" w:lineRule="exact"/>
              <w:rPr>
                <w:sz w:val="20"/>
                <w:szCs w:val="20"/>
                <w:color w:val="auto"/>
              </w:rPr>
            </w:pPr>
            <w:r>
              <w:rPr>
                <w:rFonts w:ascii="Calibri" w:cs="Calibri" w:eastAsia="Calibri" w:hAnsi="Calibri"/>
                <w:sz w:val="17"/>
                <w:szCs w:val="17"/>
                <w:color w:val="auto"/>
              </w:rPr>
              <w:t>Deposits and obligatons</w:t>
            </w:r>
          </w:p>
        </w:tc>
        <w:tc>
          <w:tcPr>
            <w:tcW w:w="1160" w:type="dxa"/>
            <w:vAlign w:val="bottom"/>
          </w:tcPr>
          <w:p>
            <w:pPr>
              <w:jc w:val="center"/>
              <w:spacing w:after="0" w:line="185" w:lineRule="exact"/>
              <w:rPr>
                <w:sz w:val="20"/>
                <w:szCs w:val="20"/>
                <w:color w:val="auto"/>
              </w:rPr>
            </w:pPr>
            <w:r>
              <w:rPr>
                <w:rFonts w:ascii="Calibri" w:cs="Calibri" w:eastAsia="Calibri" w:hAnsi="Calibri"/>
                <w:sz w:val="17"/>
                <w:szCs w:val="17"/>
                <w:color w:val="auto"/>
                <w:w w:val="99"/>
              </w:rPr>
              <w:t>147,704,994</w:t>
            </w:r>
          </w:p>
        </w:tc>
        <w:tc>
          <w:tcPr>
            <w:tcW w:w="1160" w:type="dxa"/>
            <w:vAlign w:val="bottom"/>
          </w:tcPr>
          <w:p>
            <w:pPr>
              <w:jc w:val="center"/>
              <w:spacing w:after="0" w:line="185" w:lineRule="exact"/>
              <w:rPr>
                <w:sz w:val="20"/>
                <w:szCs w:val="20"/>
                <w:color w:val="auto"/>
              </w:rPr>
            </w:pPr>
            <w:r>
              <w:rPr>
                <w:rFonts w:ascii="Calibri" w:cs="Calibri" w:eastAsia="Calibri" w:hAnsi="Calibri"/>
                <w:sz w:val="17"/>
                <w:szCs w:val="17"/>
                <w:color w:val="auto"/>
              </w:rPr>
              <w:t>154,435,451</w:t>
            </w:r>
          </w:p>
        </w:tc>
        <w:tc>
          <w:tcPr>
            <w:tcW w:w="118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7"/>
                <w:szCs w:val="17"/>
                <w:color w:val="auto"/>
                <w:w w:val="99"/>
              </w:rPr>
              <w:t>161,842,066</w:t>
            </w:r>
          </w:p>
        </w:tc>
        <w:tc>
          <w:tcPr>
            <w:tcW w:w="960" w:type="dxa"/>
            <w:vAlign w:val="bottom"/>
          </w:tcPr>
          <w:p>
            <w:pPr>
              <w:jc w:val="center"/>
              <w:spacing w:after="0" w:line="185" w:lineRule="exact"/>
              <w:rPr>
                <w:sz w:val="20"/>
                <w:szCs w:val="20"/>
                <w:color w:val="auto"/>
              </w:rPr>
            </w:pPr>
            <w:r>
              <w:rPr>
                <w:rFonts w:ascii="Calibri" w:cs="Calibri" w:eastAsia="Calibri" w:hAnsi="Calibri"/>
                <w:sz w:val="17"/>
                <w:szCs w:val="17"/>
                <w:color w:val="auto"/>
              </w:rPr>
              <w:t>4.8%</w:t>
            </w:r>
          </w:p>
        </w:tc>
        <w:tc>
          <w:tcPr>
            <w:tcW w:w="90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7"/>
                <w:szCs w:val="17"/>
                <w:color w:val="auto"/>
              </w:rPr>
              <w:t>9.6%</w:t>
            </w:r>
          </w:p>
        </w:tc>
      </w:tr>
      <w:tr>
        <w:trPr>
          <w:trHeight w:val="207"/>
        </w:trPr>
        <w:tc>
          <w:tcPr>
            <w:tcW w:w="588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7"/>
                <w:szCs w:val="17"/>
                <w:color w:val="auto"/>
              </w:rPr>
              <w:t>Due to banks and correspondents</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12,278,681</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12,704,234</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10,754,385</w:t>
            </w:r>
          </w:p>
        </w:tc>
        <w:tc>
          <w:tcPr>
            <w:tcW w:w="960" w:type="dxa"/>
            <w:vAlign w:val="bottom"/>
          </w:tcPr>
          <w:p>
            <w:pPr>
              <w:jc w:val="center"/>
              <w:spacing w:after="0"/>
              <w:rPr>
                <w:sz w:val="20"/>
                <w:szCs w:val="20"/>
                <w:color w:val="auto"/>
              </w:rPr>
            </w:pPr>
            <w:r>
              <w:rPr>
                <w:rFonts w:ascii="Calibri" w:cs="Calibri" w:eastAsia="Calibri" w:hAnsi="Calibri"/>
                <w:sz w:val="17"/>
                <w:szCs w:val="17"/>
                <w:color w:val="auto"/>
              </w:rPr>
              <w:t>-15.3%</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-12.4%</w:t>
            </w:r>
          </w:p>
        </w:tc>
      </w:tr>
      <w:tr>
        <w:trPr>
          <w:trHeight w:val="210"/>
        </w:trPr>
        <w:tc>
          <w:tcPr>
            <w:tcW w:w="588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7"/>
                <w:szCs w:val="17"/>
                <w:color w:val="auto"/>
              </w:rPr>
              <w:t>BCRP instruments</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7,461,674</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8"/>
              </w:rPr>
              <w:t>4,788,939</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6,646,830</w:t>
            </w:r>
          </w:p>
        </w:tc>
        <w:tc>
          <w:tcPr>
            <w:tcW w:w="960" w:type="dxa"/>
            <w:vAlign w:val="bottom"/>
          </w:tcPr>
          <w:p>
            <w:pPr>
              <w:jc w:val="center"/>
              <w:spacing w:after="0"/>
              <w:rPr>
                <w:sz w:val="20"/>
                <w:szCs w:val="20"/>
                <w:color w:val="auto"/>
              </w:rPr>
            </w:pPr>
            <w:r>
              <w:rPr>
                <w:rFonts w:ascii="Calibri" w:cs="Calibri" w:eastAsia="Calibri" w:hAnsi="Calibri"/>
                <w:sz w:val="17"/>
                <w:szCs w:val="17"/>
                <w:color w:val="auto"/>
                <w:w w:val="99"/>
              </w:rPr>
              <w:t>38.8%</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-10.9%</w:t>
            </w:r>
          </w:p>
        </w:tc>
      </w:tr>
      <w:tr>
        <w:trPr>
          <w:trHeight w:val="210"/>
        </w:trPr>
        <w:tc>
          <w:tcPr>
            <w:tcW w:w="588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7"/>
                <w:szCs w:val="17"/>
                <w:color w:val="auto"/>
              </w:rPr>
              <w:t>Repurchase agreements with clients and third partes</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2,706,753</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8"/>
              </w:rPr>
              <w:t>2,594,165</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2,413,880</w:t>
            </w:r>
          </w:p>
        </w:tc>
        <w:tc>
          <w:tcPr>
            <w:tcW w:w="960" w:type="dxa"/>
            <w:vAlign w:val="bottom"/>
          </w:tcPr>
          <w:p>
            <w:pPr>
              <w:jc w:val="center"/>
              <w:spacing w:after="0"/>
              <w:rPr>
                <w:sz w:val="20"/>
                <w:szCs w:val="20"/>
                <w:color w:val="auto"/>
              </w:rPr>
            </w:pPr>
            <w:r>
              <w:rPr>
                <w:rFonts w:ascii="Calibri" w:cs="Calibri" w:eastAsia="Calibri" w:hAnsi="Calibri"/>
                <w:sz w:val="17"/>
                <w:szCs w:val="17"/>
                <w:color w:val="auto"/>
                <w:w w:val="97"/>
              </w:rPr>
              <w:t>-6.9%</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-10.8%</w:t>
            </w:r>
          </w:p>
        </w:tc>
      </w:tr>
      <w:tr>
        <w:trPr>
          <w:trHeight w:val="210"/>
        </w:trPr>
        <w:tc>
          <w:tcPr>
            <w:tcW w:w="5880" w:type="dxa"/>
            <w:vAlign w:val="bottom"/>
            <w:tcBorders>
              <w:left w:val="single" w:sz="8" w:color="auto"/>
              <w:right w:val="single" w:sz="8" w:color="auto"/>
            </w:tcBorders>
            <w:gridSpan w:val="2"/>
          </w:tcPr>
          <w:p>
            <w:pPr>
              <w:ind w:left="20"/>
              <w:spacing w:after="0"/>
              <w:rPr>
                <w:sz w:val="20"/>
                <w:szCs w:val="20"/>
                <w:color w:val="auto"/>
              </w:rPr>
            </w:pPr>
            <w:r>
              <w:rPr>
                <w:rFonts w:ascii="Calibri" w:cs="Calibri" w:eastAsia="Calibri" w:hAnsi="Calibri"/>
                <w:sz w:val="17"/>
                <w:szCs w:val="17"/>
                <w:color w:val="auto"/>
              </w:rPr>
              <w:t>Bonds and notes issued</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14,594,785</w:t>
            </w:r>
          </w:p>
        </w:tc>
        <w:tc>
          <w:tcPr>
            <w:tcW w:w="1160" w:type="dxa"/>
            <w:vAlign w:val="bottom"/>
          </w:tcPr>
          <w:p>
            <w:pPr>
              <w:jc w:val="center"/>
              <w:spacing w:after="0"/>
              <w:rPr>
                <w:sz w:val="20"/>
                <w:szCs w:val="20"/>
                <w:color w:val="auto"/>
              </w:rPr>
            </w:pPr>
            <w:r>
              <w:rPr>
                <w:rFonts w:ascii="Calibri" w:cs="Calibri" w:eastAsia="Calibri" w:hAnsi="Calibri"/>
                <w:sz w:val="17"/>
                <w:szCs w:val="17"/>
                <w:color w:val="auto"/>
              </w:rPr>
              <w:t>16,952,011</w:t>
            </w:r>
          </w:p>
        </w:tc>
        <w:tc>
          <w:tcPr>
            <w:tcW w:w="11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17,268,443</w:t>
            </w:r>
          </w:p>
        </w:tc>
        <w:tc>
          <w:tcPr>
            <w:tcW w:w="960" w:type="dxa"/>
            <w:vAlign w:val="bottom"/>
          </w:tcPr>
          <w:p>
            <w:pPr>
              <w:jc w:val="center"/>
              <w:spacing w:after="0"/>
              <w:rPr>
                <w:sz w:val="20"/>
                <w:szCs w:val="20"/>
                <w:color w:val="auto"/>
              </w:rPr>
            </w:pPr>
            <w:r>
              <w:rPr>
                <w:rFonts w:ascii="Calibri" w:cs="Calibri" w:eastAsia="Calibri" w:hAnsi="Calibri"/>
                <w:sz w:val="17"/>
                <w:szCs w:val="17"/>
                <w:color w:val="auto"/>
              </w:rPr>
              <w:t>1.9%</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18.3%</w:t>
            </w:r>
          </w:p>
        </w:tc>
      </w:tr>
      <w:tr>
        <w:trPr>
          <w:trHeight w:val="24"/>
        </w:trPr>
        <w:tc>
          <w:tcPr>
            <w:tcW w:w="5880" w:type="dxa"/>
            <w:vAlign w:val="bottom"/>
            <w:tcBorders>
              <w:left w:val="single" w:sz="8" w:color="auto"/>
              <w:bottom w:val="single" w:sz="8" w:color="auto"/>
              <w:right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02"/>
        </w:trPr>
        <w:tc>
          <w:tcPr>
            <w:tcW w:w="5880" w:type="dxa"/>
            <w:vAlign w:val="bottom"/>
            <w:tcBorders>
              <w:left w:val="single" w:sz="8" w:color="auto"/>
              <w:bottom w:val="single" w:sz="8" w:color="auto"/>
              <w:right w:val="single" w:sz="8" w:color="auto"/>
            </w:tcBorders>
            <w:gridSpan w:val="2"/>
          </w:tcPr>
          <w:p>
            <w:pPr>
              <w:ind w:left="20"/>
              <w:spacing w:after="0" w:line="202" w:lineRule="exact"/>
              <w:rPr>
                <w:sz w:val="20"/>
                <w:szCs w:val="20"/>
                <w:color w:val="auto"/>
              </w:rPr>
            </w:pPr>
            <w:r>
              <w:rPr>
                <w:rFonts w:ascii="Calibri" w:cs="Calibri" w:eastAsia="Calibri" w:hAnsi="Calibri"/>
                <w:sz w:val="17"/>
                <w:szCs w:val="17"/>
                <w:b w:val="1"/>
                <w:bCs w:val="1"/>
                <w:color w:val="auto"/>
              </w:rPr>
              <w:t>Total funding</w:t>
            </w:r>
          </w:p>
        </w:tc>
        <w:tc>
          <w:tcPr>
            <w:tcW w:w="11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184,746,887</w:t>
            </w:r>
          </w:p>
        </w:tc>
        <w:tc>
          <w:tcPr>
            <w:tcW w:w="11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191,474,800</w:t>
            </w:r>
          </w:p>
        </w:tc>
        <w:tc>
          <w:tcPr>
            <w:tcW w:w="118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198,925,604</w:t>
            </w:r>
          </w:p>
        </w:tc>
        <w:tc>
          <w:tcPr>
            <w:tcW w:w="9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3.9%</w:t>
            </w:r>
          </w:p>
        </w:tc>
        <w:tc>
          <w:tcPr>
            <w:tcW w:w="90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7.7%</w:t>
            </w:r>
          </w:p>
        </w:tc>
      </w:tr>
    </w:tbl>
    <w:p>
      <w:pPr>
        <w:spacing w:after="0" w:line="163"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QoQ, funding rose 3.9% driven by growth in deposits, partcularly low-cost deposits. The uptck in funding was also atributable, albeit to a lesser extent, to an increase in the balance of BCRP instruments, which refected an uptck in the supply of repos auctoned by the entty. In this context, BCP increased its balance of repos, which are an efcient source of funding. The balance of Due to Banks and correspondents dropped this quarter due to expiratons and lower funding requirements in US Dollars.</w:t>
      </w:r>
    </w:p>
    <w:p>
      <w:pPr>
        <w:spacing w:after="0" w:line="186"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YoY, funding rose 7.7%, fueled primarily by growth in deposits. This growth, like that registered QoQ, was concentrated in low-cost deposits, which received infows from AFP pension fund withdrawals throughout the year. The increase in funding was also driven, albeit to a lesser extent, by issuances of Bonds and notes through a structural funding management strategy. These dynamics were partally ofset by a drop in the balance for Due to banks and obligatons, which was fueled by the same dynamics as those seen QoQ.</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5" w:name="page26"/>
    <w:bookmarkEnd w:id="25"/>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04 </w:t>
      </w:r>
      <w:r>
        <w:rPr>
          <w:rFonts w:ascii="Arial" w:cs="Arial" w:eastAsia="Arial" w:hAnsi="Arial"/>
          <w:sz w:val="31"/>
          <w:szCs w:val="31"/>
          <w:color w:val="E93BAB"/>
        </w:rPr>
        <w:t>Net Interest Income (NII)</w:t>
      </w:r>
    </w:p>
    <w:p>
      <w:pPr>
        <w:spacing w:after="0" w:line="209" w:lineRule="exact"/>
        <w:rPr>
          <w:sz w:val="20"/>
          <w:szCs w:val="20"/>
          <w:color w:val="auto"/>
        </w:rPr>
      </w:pPr>
    </w:p>
    <w:p>
      <w:pPr>
        <w:jc w:val="both"/>
        <w:ind w:left="580" w:right="560"/>
        <w:spacing w:after="0" w:line="262" w:lineRule="auto"/>
        <w:rPr>
          <w:sz w:val="20"/>
          <w:szCs w:val="20"/>
          <w:color w:val="auto"/>
        </w:rPr>
      </w:pPr>
      <w:r>
        <w:rPr>
          <w:rFonts w:ascii="Arial" w:cs="Arial" w:eastAsia="Arial" w:hAnsi="Arial"/>
          <w:sz w:val="17"/>
          <w:szCs w:val="17"/>
          <w:color w:val="FFFFFF"/>
        </w:rPr>
        <w:t>In 4Q24, Net Interest Income (NII) rose 1.1% QoQ, driven by a drop in Interest and similar expenses. These reductions were fueled by a decrease in interest on deposits, in a juncture marked by lower market rates and an uptick in low-cost deposits’ share of the mix. Interest and similar income increased, spurred mainly by growth in interest on deposits with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-394970</wp:posOffset>
            </wp:positionV>
            <wp:extent cx="6561455" cy="1640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61455" cy="1640205"/>
                    </a:xfrm>
                    <a:prstGeom prst="rect">
                      <a:avLst/>
                    </a:prstGeom>
                    <a:noFill/>
                  </pic:spPr>
                </pic:pic>
              </a:graphicData>
            </a:graphic>
          </wp:anchor>
        </w:drawing>
      </w:r>
    </w:p>
    <w:p>
      <w:pPr>
        <w:spacing w:after="0" w:line="140" w:lineRule="exact"/>
        <w:rPr>
          <w:sz w:val="20"/>
          <w:szCs w:val="20"/>
          <w:color w:val="auto"/>
        </w:rPr>
      </w:pPr>
    </w:p>
    <w:p>
      <w:pPr>
        <w:jc w:val="both"/>
        <w:ind w:left="580" w:right="540"/>
        <w:spacing w:after="0" w:line="257" w:lineRule="auto"/>
        <w:rPr>
          <w:sz w:val="20"/>
          <w:szCs w:val="20"/>
          <w:color w:val="auto"/>
        </w:rPr>
      </w:pPr>
      <w:r>
        <w:rPr>
          <w:rFonts w:ascii="Arial" w:cs="Arial" w:eastAsia="Arial" w:hAnsi="Arial"/>
          <w:sz w:val="17"/>
          <w:szCs w:val="17"/>
          <w:color w:val="FFFFFF"/>
        </w:rPr>
        <w:t>YoY, NII grew 8.4% on the back of growth in Interest and similar income, which rose primarily due to an increase in interest on deposits with banks and secondarily to an increase in interest on loans, which reflects advances in pricing management in key sectors at BCP. Interest and similar expenses also contributed to NII’s expansion, via the same drivers mentioned in the QoQ analysis.</w:t>
      </w:r>
    </w:p>
    <w:p>
      <w:pPr>
        <w:spacing w:after="0" w:line="369" w:lineRule="exact"/>
        <w:rPr>
          <w:sz w:val="20"/>
          <w:szCs w:val="20"/>
          <w:color w:val="auto"/>
        </w:rPr>
      </w:pPr>
    </w:p>
    <w:p>
      <w:pPr>
        <w:jc w:val="both"/>
        <w:ind w:left="580" w:right="540"/>
        <w:spacing w:after="0" w:line="214" w:lineRule="auto"/>
        <w:rPr>
          <w:sz w:val="20"/>
          <w:szCs w:val="20"/>
          <w:color w:val="auto"/>
        </w:rPr>
      </w:pPr>
      <w:r>
        <w:rPr>
          <w:rFonts w:ascii="Arial" w:cs="Arial" w:eastAsia="Arial" w:hAnsi="Arial"/>
          <w:sz w:val="17"/>
          <w:szCs w:val="17"/>
          <w:color w:val="FFFFFF"/>
        </w:rPr>
        <w:t>NIM dropped 9 bps QoQ to stand at 6.34%. Notwithstanding, full-year growth reported a 29-bps increase in 2024, bolstered by a shift in the composition of the loan portfolio towards retail loans. Lastly, risk-adjusted NIM rose 15 bps QoQ and 39 bps for the full-year in 2024. FY24 risk-adjusted NIM stood at 4.8% which represents a record high</w:t>
      </w:r>
      <w:r>
        <w:rPr>
          <w:rFonts w:ascii="Arial" w:cs="Arial" w:eastAsia="Arial" w:hAnsi="Arial"/>
          <w:sz w:val="29"/>
          <w:szCs w:val="29"/>
          <w:color w:val="FFFFFF"/>
          <w:vertAlign w:val="superscript"/>
        </w:rPr>
        <w:t>1</w:t>
      </w:r>
      <w:r>
        <w:rPr>
          <w:rFonts w:ascii="Arial" w:cs="Arial" w:eastAsia="Arial" w:hAnsi="Arial"/>
          <w:sz w:val="17"/>
          <w:szCs w:val="17"/>
          <w:color w:val="FFFFFF"/>
        </w:rPr>
        <w:t xml:space="preserve"> on the back of improvements in the risk profile of the loan portfolio.</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2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Net interest income</w:t>
            </w:r>
          </w:p>
        </w:tc>
        <w:tc>
          <w:tcPr>
            <w:tcW w:w="1100" w:type="dxa"/>
            <w:vAlign w:val="bottom"/>
            <w:tcBorders>
              <w:top w:val="single" w:sz="8" w:color="auto"/>
            </w:tcBorders>
            <w:shd w:val="clear" w:color="auto" w:fill="33CCCC"/>
          </w:tcPr>
          <w:p>
            <w:pPr>
              <w:spacing w:after="0"/>
              <w:rPr>
                <w:sz w:val="12"/>
                <w:szCs w:val="12"/>
                <w:color w:val="auto"/>
              </w:rPr>
            </w:pPr>
          </w:p>
        </w:tc>
        <w:tc>
          <w:tcPr>
            <w:tcW w:w="1020" w:type="dxa"/>
            <w:vAlign w:val="bottom"/>
            <w:tcBorders>
              <w:top w:val="single" w:sz="8" w:color="auto"/>
            </w:tcBorders>
            <w:shd w:val="clear" w:color="auto" w:fill="33CCCC"/>
          </w:tcPr>
          <w:p>
            <w:pPr>
              <w:jc w:val="right"/>
              <w:ind w:right="343"/>
              <w:spacing w:after="0"/>
              <w:rPr>
                <w:sz w:val="20"/>
                <w:szCs w:val="20"/>
                <w:color w:val="auto"/>
              </w:rPr>
            </w:pPr>
            <w:r>
              <w:rPr>
                <w:rFonts w:ascii="Arial" w:cs="Arial" w:eastAsia="Arial" w:hAnsi="Arial"/>
                <w:sz w:val="11"/>
                <w:szCs w:val="11"/>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2"/>
                <w:szCs w:val="12"/>
                <w:color w:val="auto"/>
              </w:rPr>
            </w:pPr>
          </w:p>
        </w:tc>
        <w:tc>
          <w:tcPr>
            <w:tcW w:w="660" w:type="dxa"/>
            <w:vAlign w:val="bottom"/>
            <w:tcBorders>
              <w:top w:val="single" w:sz="8" w:color="auto"/>
            </w:tcBorders>
            <w:shd w:val="clear" w:color="auto" w:fill="33CCCC"/>
          </w:tcPr>
          <w:p>
            <w:pPr>
              <w:spacing w:after="0"/>
              <w:rPr>
                <w:sz w:val="12"/>
                <w:szCs w:val="12"/>
                <w:color w:val="auto"/>
              </w:rPr>
            </w:pPr>
          </w:p>
        </w:tc>
        <w:tc>
          <w:tcPr>
            <w:tcW w:w="1220" w:type="dxa"/>
            <w:vAlign w:val="bottom"/>
            <w:tcBorders>
              <w:top w:val="single" w:sz="8" w:color="auto"/>
              <w:right w:val="single" w:sz="8" w:color="auto"/>
            </w:tcBorders>
            <w:shd w:val="clear" w:color="auto" w:fill="33CCCC"/>
          </w:tcPr>
          <w:p>
            <w:pPr>
              <w:spacing w:after="0"/>
              <w:rPr>
                <w:sz w:val="20"/>
                <w:szCs w:val="20"/>
                <w:color w:val="auto"/>
              </w:rPr>
            </w:pPr>
            <w:r>
              <w:rPr>
                <w:rFonts w:ascii="Arial" w:cs="Arial" w:eastAsia="Arial" w:hAnsi="Arial"/>
                <w:sz w:val="11"/>
                <w:szCs w:val="11"/>
                <w:b w:val="1"/>
                <w:bCs w:val="1"/>
                <w:color w:val="FFFFFF"/>
              </w:rPr>
              <w:t>% change</w:t>
            </w:r>
          </w:p>
        </w:tc>
        <w:tc>
          <w:tcPr>
            <w:tcW w:w="1240" w:type="dxa"/>
            <w:vAlign w:val="bottom"/>
            <w:tcBorders>
              <w:top w:val="single" w:sz="8" w:color="auto"/>
            </w:tcBorders>
            <w:shd w:val="clear" w:color="auto" w:fill="33CCCC"/>
          </w:tcPr>
          <w:p>
            <w:pPr>
              <w:jc w:val="right"/>
              <w:ind w:right="43"/>
              <w:spacing w:after="0"/>
              <w:rPr>
                <w:sz w:val="20"/>
                <w:szCs w:val="20"/>
                <w:color w:val="auto"/>
              </w:rPr>
            </w:pPr>
            <w:r>
              <w:rPr>
                <w:rFonts w:ascii="Arial" w:cs="Arial" w:eastAsia="Arial" w:hAnsi="Arial"/>
                <w:sz w:val="11"/>
                <w:szCs w:val="11"/>
                <w:b w:val="1"/>
                <w:bCs w:val="1"/>
                <w:color w:val="FFFFFF"/>
              </w:rPr>
              <w:t>Up to</w:t>
            </w:r>
          </w:p>
        </w:tc>
        <w:tc>
          <w:tcPr>
            <w:tcW w:w="780" w:type="dxa"/>
            <w:vAlign w:val="bottom"/>
            <w:tcBorders>
              <w:top w:val="single" w:sz="8" w:color="auto"/>
              <w:right w:val="single" w:sz="8" w:color="auto"/>
            </w:tcBorders>
            <w:shd w:val="clear" w:color="auto" w:fill="33CCCC"/>
          </w:tcPr>
          <w:p>
            <w:pPr>
              <w:spacing w:after="0"/>
              <w:rPr>
                <w:sz w:val="12"/>
                <w:szCs w:val="12"/>
                <w:color w:val="auto"/>
              </w:rPr>
            </w:pPr>
          </w:p>
        </w:tc>
        <w:tc>
          <w:tcPr>
            <w:tcW w:w="10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 Change</w:t>
            </w:r>
          </w:p>
        </w:tc>
      </w:tr>
      <w:tr>
        <w:trPr>
          <w:trHeight w:val="131"/>
        </w:trPr>
        <w:tc>
          <w:tcPr>
            <w:tcW w:w="322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S/000</w:t>
            </w:r>
          </w:p>
        </w:tc>
        <w:tc>
          <w:tcPr>
            <w:tcW w:w="1100" w:type="dxa"/>
            <w:vAlign w:val="bottom"/>
            <w:tcBorders>
              <w:bottom w:val="single" w:sz="8" w:color="auto"/>
            </w:tcBorders>
            <w:shd w:val="clear" w:color="auto" w:fill="33CCCC"/>
          </w:tcPr>
          <w:p>
            <w:pPr>
              <w:jc w:val="center"/>
              <w:ind w:right="63"/>
              <w:spacing w:after="0"/>
              <w:rPr>
                <w:sz w:val="20"/>
                <w:szCs w:val="20"/>
                <w:color w:val="auto"/>
              </w:rPr>
            </w:pPr>
            <w:r>
              <w:rPr>
                <w:rFonts w:ascii="Arial" w:cs="Arial" w:eastAsia="Arial" w:hAnsi="Arial"/>
                <w:sz w:val="11"/>
                <w:szCs w:val="11"/>
                <w:b w:val="1"/>
                <w:bCs w:val="1"/>
                <w:color w:val="FFFFFF"/>
                <w:w w:val="96"/>
              </w:rPr>
              <w:t>4Q23</w:t>
            </w:r>
          </w:p>
        </w:tc>
        <w:tc>
          <w:tcPr>
            <w:tcW w:w="1020" w:type="dxa"/>
            <w:vAlign w:val="bottom"/>
            <w:tcBorders>
              <w:bottom w:val="single" w:sz="8" w:color="auto"/>
            </w:tcBorders>
            <w:shd w:val="clear" w:color="auto" w:fill="33CCCC"/>
          </w:tcPr>
          <w:p>
            <w:pPr>
              <w:jc w:val="center"/>
              <w:ind w:right="163"/>
              <w:spacing w:after="0"/>
              <w:rPr>
                <w:sz w:val="20"/>
                <w:szCs w:val="20"/>
                <w:color w:val="auto"/>
              </w:rPr>
            </w:pPr>
            <w:r>
              <w:rPr>
                <w:rFonts w:ascii="Arial" w:cs="Arial" w:eastAsia="Arial" w:hAnsi="Arial"/>
                <w:sz w:val="11"/>
                <w:szCs w:val="11"/>
                <w:b w:val="1"/>
                <w:bCs w:val="1"/>
                <w:color w:val="FFFFFF"/>
              </w:rPr>
              <w:t>3Q24</w:t>
            </w:r>
          </w:p>
        </w:tc>
        <w:tc>
          <w:tcPr>
            <w:tcW w:w="940" w:type="dxa"/>
            <w:vAlign w:val="bottom"/>
            <w:tcBorders>
              <w:bottom w:val="single" w:sz="8" w:color="auto"/>
              <w:right w:val="single" w:sz="8" w:color="auto"/>
            </w:tcBorders>
            <w:shd w:val="clear" w:color="auto" w:fill="33CCCC"/>
          </w:tcPr>
          <w:p>
            <w:pPr>
              <w:jc w:val="center"/>
              <w:ind w:right="83"/>
              <w:spacing w:after="0"/>
              <w:rPr>
                <w:sz w:val="20"/>
                <w:szCs w:val="20"/>
                <w:color w:val="auto"/>
              </w:rPr>
            </w:pPr>
            <w:r>
              <w:rPr>
                <w:rFonts w:ascii="Arial" w:cs="Arial" w:eastAsia="Arial" w:hAnsi="Arial"/>
                <w:sz w:val="11"/>
                <w:szCs w:val="11"/>
                <w:b w:val="1"/>
                <w:bCs w:val="1"/>
                <w:color w:val="FFFFFF"/>
              </w:rPr>
              <w:t>4Q24</w:t>
            </w:r>
          </w:p>
        </w:tc>
        <w:tc>
          <w:tcPr>
            <w:tcW w:w="660" w:type="dxa"/>
            <w:vAlign w:val="bottom"/>
            <w:tcBorders>
              <w:bottom w:val="single" w:sz="8" w:color="auto"/>
            </w:tcBorders>
            <w:shd w:val="clear" w:color="auto" w:fill="33CCCC"/>
          </w:tcPr>
          <w:p>
            <w:pPr>
              <w:jc w:val="center"/>
              <w:ind w:left="203"/>
              <w:spacing w:after="0"/>
              <w:rPr>
                <w:sz w:val="20"/>
                <w:szCs w:val="20"/>
                <w:color w:val="auto"/>
              </w:rPr>
            </w:pPr>
            <w:r>
              <w:rPr>
                <w:rFonts w:ascii="Arial" w:cs="Arial" w:eastAsia="Arial" w:hAnsi="Arial"/>
                <w:sz w:val="11"/>
                <w:szCs w:val="11"/>
                <w:b w:val="1"/>
                <w:bCs w:val="1"/>
                <w:color w:val="FFFFFF"/>
              </w:rPr>
              <w:t>QoQ</w:t>
            </w:r>
          </w:p>
        </w:tc>
        <w:tc>
          <w:tcPr>
            <w:tcW w:w="1220" w:type="dxa"/>
            <w:vAlign w:val="bottom"/>
            <w:tcBorders>
              <w:bottom w:val="single" w:sz="8" w:color="auto"/>
              <w:right w:val="single" w:sz="8" w:color="auto"/>
            </w:tcBorders>
            <w:shd w:val="clear" w:color="auto" w:fill="33CCCC"/>
          </w:tcPr>
          <w:p>
            <w:pPr>
              <w:jc w:val="center"/>
              <w:ind w:left="203"/>
              <w:spacing w:after="0"/>
              <w:rPr>
                <w:sz w:val="20"/>
                <w:szCs w:val="20"/>
                <w:color w:val="auto"/>
              </w:rPr>
            </w:pPr>
            <w:r>
              <w:rPr>
                <w:rFonts w:ascii="Arial" w:cs="Arial" w:eastAsia="Arial" w:hAnsi="Arial"/>
                <w:sz w:val="11"/>
                <w:szCs w:val="11"/>
                <w:b w:val="1"/>
                <w:bCs w:val="1"/>
                <w:color w:val="FFFFFF"/>
                <w:w w:val="93"/>
              </w:rPr>
              <w:t>YoY</w:t>
            </w:r>
          </w:p>
        </w:tc>
        <w:tc>
          <w:tcPr>
            <w:tcW w:w="1240" w:type="dxa"/>
            <w:vAlign w:val="bottom"/>
            <w:tcBorders>
              <w:bottom w:val="single" w:sz="8" w:color="auto"/>
            </w:tcBorders>
            <w:shd w:val="clear" w:color="auto" w:fill="33CCCC"/>
          </w:tcPr>
          <w:p>
            <w:pPr>
              <w:jc w:val="right"/>
              <w:ind w:right="503"/>
              <w:spacing w:after="0"/>
              <w:rPr>
                <w:sz w:val="20"/>
                <w:szCs w:val="20"/>
                <w:color w:val="auto"/>
              </w:rPr>
            </w:pPr>
            <w:r>
              <w:rPr>
                <w:rFonts w:ascii="Arial" w:cs="Arial" w:eastAsia="Arial" w:hAnsi="Arial"/>
                <w:sz w:val="11"/>
                <w:szCs w:val="11"/>
                <w:b w:val="1"/>
                <w:bCs w:val="1"/>
                <w:color w:val="FFFFFF"/>
              </w:rPr>
              <w:t>Dec 23</w:t>
            </w:r>
          </w:p>
        </w:tc>
        <w:tc>
          <w:tcPr>
            <w:tcW w:w="780" w:type="dxa"/>
            <w:vAlign w:val="bottom"/>
            <w:tcBorders>
              <w:bottom w:val="single" w:sz="8" w:color="auto"/>
              <w:right w:val="single" w:sz="8" w:color="auto"/>
            </w:tcBorders>
            <w:shd w:val="clear" w:color="auto" w:fill="33CCCC"/>
          </w:tcPr>
          <w:p>
            <w:pPr>
              <w:jc w:val="right"/>
              <w:ind w:right="283"/>
              <w:spacing w:after="0"/>
              <w:rPr>
                <w:sz w:val="20"/>
                <w:szCs w:val="20"/>
                <w:color w:val="auto"/>
              </w:rPr>
            </w:pPr>
            <w:r>
              <w:rPr>
                <w:rFonts w:ascii="Arial" w:cs="Arial" w:eastAsia="Arial" w:hAnsi="Arial"/>
                <w:sz w:val="11"/>
                <w:szCs w:val="11"/>
                <w:b w:val="1"/>
                <w:bCs w:val="1"/>
                <w:color w:val="FFFFFF"/>
              </w:rPr>
              <w:t>Dec 24</w:t>
            </w:r>
          </w:p>
        </w:tc>
        <w:tc>
          <w:tcPr>
            <w:tcW w:w="10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Dec 24 / Dec 23</w:t>
            </w:r>
          </w:p>
        </w:tc>
      </w:tr>
      <w:tr>
        <w:trPr>
          <w:trHeight w:val="116"/>
        </w:trPr>
        <w:tc>
          <w:tcPr>
            <w:tcW w:w="3220" w:type="dxa"/>
            <w:vAlign w:val="bottom"/>
            <w:tcBorders>
              <w:left w:val="single" w:sz="8" w:color="auto"/>
              <w:right w:val="single" w:sz="8" w:color="auto"/>
            </w:tcBorders>
          </w:tcPr>
          <w:p>
            <w:pPr>
              <w:ind w:left="180"/>
              <w:spacing w:after="0" w:line="116" w:lineRule="exact"/>
              <w:rPr>
                <w:sz w:val="20"/>
                <w:szCs w:val="20"/>
                <w:color w:val="auto"/>
              </w:rPr>
            </w:pPr>
            <w:r>
              <w:rPr>
                <w:rFonts w:ascii="Arial" w:cs="Arial" w:eastAsia="Arial" w:hAnsi="Arial"/>
                <w:sz w:val="11"/>
                <w:szCs w:val="11"/>
                <w:color w:val="auto"/>
              </w:rPr>
              <w:t>Interest Income</w:t>
            </w:r>
          </w:p>
        </w:tc>
        <w:tc>
          <w:tcPr>
            <w:tcW w:w="1100" w:type="dxa"/>
            <w:vAlign w:val="bottom"/>
          </w:tcPr>
          <w:p>
            <w:pPr>
              <w:jc w:val="center"/>
              <w:ind w:right="63"/>
              <w:spacing w:after="0" w:line="116" w:lineRule="exact"/>
              <w:rPr>
                <w:sz w:val="20"/>
                <w:szCs w:val="20"/>
                <w:color w:val="auto"/>
              </w:rPr>
            </w:pPr>
            <w:r>
              <w:rPr>
                <w:rFonts w:ascii="Arial" w:cs="Arial" w:eastAsia="Arial" w:hAnsi="Arial"/>
                <w:sz w:val="11"/>
                <w:szCs w:val="11"/>
                <w:b w:val="1"/>
                <w:bCs w:val="1"/>
                <w:color w:val="auto"/>
              </w:rPr>
              <w:t>4,870,042</w:t>
            </w:r>
          </w:p>
        </w:tc>
        <w:tc>
          <w:tcPr>
            <w:tcW w:w="1020" w:type="dxa"/>
            <w:vAlign w:val="bottom"/>
          </w:tcPr>
          <w:p>
            <w:pPr>
              <w:jc w:val="center"/>
              <w:ind w:right="143"/>
              <w:spacing w:after="0" w:line="116" w:lineRule="exact"/>
              <w:rPr>
                <w:sz w:val="20"/>
                <w:szCs w:val="20"/>
                <w:color w:val="auto"/>
              </w:rPr>
            </w:pPr>
            <w:r>
              <w:rPr>
                <w:rFonts w:ascii="Arial" w:cs="Arial" w:eastAsia="Arial" w:hAnsi="Arial"/>
                <w:sz w:val="11"/>
                <w:szCs w:val="11"/>
                <w:b w:val="1"/>
                <w:bCs w:val="1"/>
                <w:color w:val="auto"/>
              </w:rPr>
              <w:t>4,995,971</w:t>
            </w:r>
          </w:p>
        </w:tc>
        <w:tc>
          <w:tcPr>
            <w:tcW w:w="940" w:type="dxa"/>
            <w:vAlign w:val="bottom"/>
            <w:tcBorders>
              <w:right w:val="single" w:sz="8" w:color="auto"/>
            </w:tcBorders>
          </w:tcPr>
          <w:p>
            <w:pPr>
              <w:jc w:val="center"/>
              <w:ind w:right="63"/>
              <w:spacing w:after="0" w:line="116" w:lineRule="exact"/>
              <w:rPr>
                <w:sz w:val="20"/>
                <w:szCs w:val="20"/>
                <w:color w:val="auto"/>
              </w:rPr>
            </w:pPr>
            <w:r>
              <w:rPr>
                <w:rFonts w:ascii="Arial" w:cs="Arial" w:eastAsia="Arial" w:hAnsi="Arial"/>
                <w:sz w:val="11"/>
                <w:szCs w:val="11"/>
                <w:b w:val="1"/>
                <w:bCs w:val="1"/>
                <w:color w:val="auto"/>
              </w:rPr>
              <w:t>5,012,121</w:t>
            </w:r>
          </w:p>
        </w:tc>
        <w:tc>
          <w:tcPr>
            <w:tcW w:w="660" w:type="dxa"/>
            <w:vAlign w:val="bottom"/>
          </w:tcPr>
          <w:p>
            <w:pPr>
              <w:jc w:val="center"/>
              <w:ind w:left="183"/>
              <w:spacing w:after="0" w:line="116" w:lineRule="exact"/>
              <w:rPr>
                <w:sz w:val="20"/>
                <w:szCs w:val="20"/>
                <w:color w:val="auto"/>
              </w:rPr>
            </w:pPr>
            <w:r>
              <w:rPr>
                <w:rFonts w:ascii="Arial" w:cs="Arial" w:eastAsia="Arial" w:hAnsi="Arial"/>
                <w:sz w:val="11"/>
                <w:szCs w:val="11"/>
                <w:b w:val="1"/>
                <w:bCs w:val="1"/>
                <w:color w:val="auto"/>
              </w:rPr>
              <w:t>0.3%</w:t>
            </w:r>
          </w:p>
        </w:tc>
        <w:tc>
          <w:tcPr>
            <w:tcW w:w="1220" w:type="dxa"/>
            <w:vAlign w:val="bottom"/>
            <w:tcBorders>
              <w:right w:val="single" w:sz="8" w:color="auto"/>
            </w:tcBorders>
          </w:tcPr>
          <w:p>
            <w:pPr>
              <w:jc w:val="center"/>
              <w:ind w:left="183"/>
              <w:spacing w:after="0" w:line="116" w:lineRule="exact"/>
              <w:rPr>
                <w:sz w:val="20"/>
                <w:szCs w:val="20"/>
                <w:color w:val="auto"/>
              </w:rPr>
            </w:pPr>
            <w:r>
              <w:rPr>
                <w:rFonts w:ascii="Arial" w:cs="Arial" w:eastAsia="Arial" w:hAnsi="Arial"/>
                <w:sz w:val="11"/>
                <w:szCs w:val="11"/>
                <w:b w:val="1"/>
                <w:bCs w:val="1"/>
                <w:color w:val="auto"/>
              </w:rPr>
              <w:t>2.9%</w:t>
            </w:r>
          </w:p>
        </w:tc>
        <w:tc>
          <w:tcPr>
            <w:tcW w:w="1240" w:type="dxa"/>
            <w:vAlign w:val="bottom"/>
          </w:tcPr>
          <w:p>
            <w:pPr>
              <w:jc w:val="right"/>
              <w:ind w:right="183"/>
              <w:spacing w:after="0" w:line="116" w:lineRule="exact"/>
              <w:rPr>
                <w:sz w:val="20"/>
                <w:szCs w:val="20"/>
                <w:color w:val="auto"/>
              </w:rPr>
            </w:pPr>
            <w:r>
              <w:rPr>
                <w:rFonts w:ascii="Arial" w:cs="Arial" w:eastAsia="Arial" w:hAnsi="Arial"/>
                <w:sz w:val="11"/>
                <w:szCs w:val="11"/>
                <w:b w:val="1"/>
                <w:bCs w:val="1"/>
                <w:color w:val="auto"/>
              </w:rPr>
              <w:t>18,798,495</w:t>
            </w:r>
          </w:p>
        </w:tc>
        <w:tc>
          <w:tcPr>
            <w:tcW w:w="780" w:type="dxa"/>
            <w:vAlign w:val="bottom"/>
            <w:tcBorders>
              <w:right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19,869,256</w:t>
            </w:r>
          </w:p>
        </w:tc>
        <w:tc>
          <w:tcPr>
            <w:tcW w:w="10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rPr>
              <w:t>5.7%</w:t>
            </w:r>
          </w:p>
        </w:tc>
      </w:tr>
      <w:tr>
        <w:trPr>
          <w:trHeight w:val="131"/>
        </w:trPr>
        <w:tc>
          <w:tcPr>
            <w:tcW w:w="3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Interest Expense</w:t>
            </w:r>
          </w:p>
        </w:tc>
        <w:tc>
          <w:tcPr>
            <w:tcW w:w="1100" w:type="dxa"/>
            <w:vAlign w:val="bottom"/>
          </w:tcPr>
          <w:p>
            <w:pPr>
              <w:jc w:val="center"/>
              <w:ind w:right="63"/>
              <w:spacing w:after="0"/>
              <w:rPr>
                <w:sz w:val="20"/>
                <w:szCs w:val="20"/>
                <w:color w:val="auto"/>
              </w:rPr>
            </w:pPr>
            <w:r>
              <w:rPr>
                <w:rFonts w:ascii="Arial" w:cs="Arial" w:eastAsia="Arial" w:hAnsi="Arial"/>
                <w:sz w:val="11"/>
                <w:szCs w:val="11"/>
                <w:color w:val="auto"/>
              </w:rPr>
              <w:t>(1,522,358)</w:t>
            </w:r>
          </w:p>
        </w:tc>
        <w:tc>
          <w:tcPr>
            <w:tcW w:w="1020" w:type="dxa"/>
            <w:vAlign w:val="bottom"/>
          </w:tcPr>
          <w:p>
            <w:pPr>
              <w:jc w:val="center"/>
              <w:ind w:right="143"/>
              <w:spacing w:after="0"/>
              <w:rPr>
                <w:sz w:val="20"/>
                <w:szCs w:val="20"/>
                <w:color w:val="auto"/>
              </w:rPr>
            </w:pPr>
            <w:r>
              <w:rPr>
                <w:rFonts w:ascii="Arial" w:cs="Arial" w:eastAsia="Arial" w:hAnsi="Arial"/>
                <w:sz w:val="11"/>
                <w:szCs w:val="11"/>
                <w:color w:val="auto"/>
              </w:rPr>
              <w:t>(1,405,221)</w:t>
            </w:r>
          </w:p>
        </w:tc>
        <w:tc>
          <w:tcPr>
            <w:tcW w:w="940" w:type="dxa"/>
            <w:vAlign w:val="bottom"/>
            <w:tcBorders>
              <w:right w:val="single" w:sz="8" w:color="auto"/>
            </w:tcBorders>
          </w:tcPr>
          <w:p>
            <w:pPr>
              <w:jc w:val="center"/>
              <w:ind w:right="63"/>
              <w:spacing w:after="0"/>
              <w:rPr>
                <w:sz w:val="20"/>
                <w:szCs w:val="20"/>
                <w:color w:val="auto"/>
              </w:rPr>
            </w:pPr>
            <w:r>
              <w:rPr>
                <w:rFonts w:ascii="Arial" w:cs="Arial" w:eastAsia="Arial" w:hAnsi="Arial"/>
                <w:sz w:val="11"/>
                <w:szCs w:val="11"/>
                <w:color w:val="auto"/>
              </w:rPr>
              <w:t>(1,382,327)</w:t>
            </w:r>
          </w:p>
        </w:tc>
        <w:tc>
          <w:tcPr>
            <w:tcW w:w="660" w:type="dxa"/>
            <w:vAlign w:val="bottom"/>
          </w:tcPr>
          <w:p>
            <w:pPr>
              <w:jc w:val="center"/>
              <w:ind w:left="203"/>
              <w:spacing w:after="0"/>
              <w:rPr>
                <w:sz w:val="20"/>
                <w:szCs w:val="20"/>
                <w:color w:val="auto"/>
              </w:rPr>
            </w:pPr>
            <w:r>
              <w:rPr>
                <w:rFonts w:ascii="Arial" w:cs="Arial" w:eastAsia="Arial" w:hAnsi="Arial"/>
                <w:sz w:val="11"/>
                <w:szCs w:val="11"/>
                <w:color w:val="auto"/>
                <w:w w:val="97"/>
              </w:rPr>
              <w:t>-1.6%</w:t>
            </w:r>
          </w:p>
        </w:tc>
        <w:tc>
          <w:tcPr>
            <w:tcW w:w="122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-9.2%</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(5,860,523)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(5,754,125)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-1.8%</w:t>
            </w:r>
          </w:p>
        </w:tc>
      </w:tr>
      <w:tr>
        <w:trPr>
          <w:trHeight w:val="131"/>
        </w:trPr>
        <w:tc>
          <w:tcPr>
            <w:tcW w:w="3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1"/>
                <w:szCs w:val="11"/>
                <w:color w:val="auto"/>
              </w:rPr>
              <w:t>Interest Expense (excluding Net Insurance Financial</w:t>
            </w:r>
          </w:p>
        </w:tc>
        <w:tc>
          <w:tcPr>
            <w:tcW w:w="1100" w:type="dxa"/>
            <w:vAlign w:val="bottom"/>
          </w:tcPr>
          <w:p>
            <w:pPr>
              <w:jc w:val="center"/>
              <w:ind w:right="63"/>
              <w:spacing w:after="0"/>
              <w:rPr>
                <w:sz w:val="20"/>
                <w:szCs w:val="20"/>
                <w:color w:val="auto"/>
              </w:rPr>
            </w:pPr>
            <w:r>
              <w:rPr>
                <w:rFonts w:ascii="Arial" w:cs="Arial" w:eastAsia="Arial" w:hAnsi="Arial"/>
                <w:sz w:val="11"/>
                <w:szCs w:val="11"/>
                <w:color w:val="auto"/>
              </w:rPr>
              <w:t>(1,402,925)</w:t>
            </w:r>
          </w:p>
        </w:tc>
        <w:tc>
          <w:tcPr>
            <w:tcW w:w="1020" w:type="dxa"/>
            <w:vAlign w:val="bottom"/>
          </w:tcPr>
          <w:p>
            <w:pPr>
              <w:jc w:val="center"/>
              <w:ind w:right="143"/>
              <w:spacing w:after="0"/>
              <w:rPr>
                <w:sz w:val="20"/>
                <w:szCs w:val="20"/>
                <w:color w:val="auto"/>
              </w:rPr>
            </w:pPr>
            <w:r>
              <w:rPr>
                <w:rFonts w:ascii="Arial" w:cs="Arial" w:eastAsia="Arial" w:hAnsi="Arial"/>
                <w:sz w:val="11"/>
                <w:szCs w:val="11"/>
                <w:color w:val="auto"/>
              </w:rPr>
              <w:t>(1,276,643)</w:t>
            </w:r>
          </w:p>
        </w:tc>
        <w:tc>
          <w:tcPr>
            <w:tcW w:w="940" w:type="dxa"/>
            <w:vAlign w:val="bottom"/>
            <w:tcBorders>
              <w:right w:val="single" w:sz="8" w:color="auto"/>
            </w:tcBorders>
          </w:tcPr>
          <w:p>
            <w:pPr>
              <w:jc w:val="center"/>
              <w:ind w:right="63"/>
              <w:spacing w:after="0"/>
              <w:rPr>
                <w:sz w:val="20"/>
                <w:szCs w:val="20"/>
                <w:color w:val="auto"/>
              </w:rPr>
            </w:pPr>
            <w:r>
              <w:rPr>
                <w:rFonts w:ascii="Arial" w:cs="Arial" w:eastAsia="Arial" w:hAnsi="Arial"/>
                <w:sz w:val="11"/>
                <w:szCs w:val="11"/>
                <w:color w:val="auto"/>
              </w:rPr>
              <w:t>(1,250,239)</w:t>
            </w:r>
          </w:p>
        </w:tc>
        <w:tc>
          <w:tcPr>
            <w:tcW w:w="660" w:type="dxa"/>
            <w:vAlign w:val="bottom"/>
          </w:tcPr>
          <w:p>
            <w:pPr>
              <w:jc w:val="center"/>
              <w:ind w:left="203"/>
              <w:spacing w:after="0"/>
              <w:rPr>
                <w:sz w:val="20"/>
                <w:szCs w:val="20"/>
                <w:color w:val="auto"/>
              </w:rPr>
            </w:pPr>
            <w:r>
              <w:rPr>
                <w:rFonts w:ascii="Arial" w:cs="Arial" w:eastAsia="Arial" w:hAnsi="Arial"/>
                <w:sz w:val="11"/>
                <w:szCs w:val="11"/>
                <w:color w:val="auto"/>
                <w:w w:val="97"/>
              </w:rPr>
              <w:t>-2.1%</w:t>
            </w:r>
          </w:p>
        </w:tc>
        <w:tc>
          <w:tcPr>
            <w:tcW w:w="12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color w:val="auto"/>
              </w:rPr>
              <w:t>-10.9%</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(5,393,709)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(5,246,769)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-2.7%</w:t>
            </w:r>
          </w:p>
        </w:tc>
      </w:tr>
      <w:tr>
        <w:trPr>
          <w:trHeight w:val="131"/>
        </w:trPr>
        <w:tc>
          <w:tcPr>
            <w:tcW w:w="3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1"/>
                <w:szCs w:val="11"/>
                <w:color w:val="auto"/>
              </w:rPr>
              <w:t>Expenses)</w:t>
            </w: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r>
      <w:tr>
        <w:trPr>
          <w:trHeight w:val="139"/>
        </w:trPr>
        <w:tc>
          <w:tcPr>
            <w:tcW w:w="32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1"/>
                <w:szCs w:val="11"/>
                <w:color w:val="auto"/>
              </w:rPr>
              <w:t>Net Insurance Financial Expenses</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(119,433)</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(128,578)</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(132,088)</w:t>
            </w:r>
          </w:p>
        </w:tc>
        <w:tc>
          <w:tcPr>
            <w:tcW w:w="660" w:type="dxa"/>
            <w:vAlign w:val="bottom"/>
            <w:tcBorders>
              <w:bottom w:val="single" w:sz="8" w:color="auto"/>
            </w:tcBorders>
          </w:tcPr>
          <w:p>
            <w:pPr>
              <w:jc w:val="center"/>
              <w:ind w:left="183"/>
              <w:spacing w:after="0"/>
              <w:rPr>
                <w:sz w:val="20"/>
                <w:szCs w:val="20"/>
                <w:color w:val="auto"/>
              </w:rPr>
            </w:pPr>
            <w:r>
              <w:rPr>
                <w:rFonts w:ascii="Arial" w:cs="Arial" w:eastAsia="Arial" w:hAnsi="Arial"/>
                <w:sz w:val="11"/>
                <w:szCs w:val="11"/>
                <w:color w:val="auto"/>
              </w:rPr>
              <w:t>2.7%</w:t>
            </w:r>
          </w:p>
        </w:tc>
        <w:tc>
          <w:tcPr>
            <w:tcW w:w="122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color w:val="auto"/>
              </w:rPr>
              <w:t>10.6%</w:t>
            </w:r>
          </w:p>
        </w:tc>
        <w:tc>
          <w:tcPr>
            <w:tcW w:w="12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(466,814)</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(507,356)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8.7%</w:t>
            </w:r>
          </w:p>
        </w:tc>
      </w:tr>
      <w:tr>
        <w:trPr>
          <w:trHeight w:val="148"/>
        </w:trPr>
        <w:tc>
          <w:tcPr>
            <w:tcW w:w="3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Net Interest Income</w:t>
            </w:r>
          </w:p>
        </w:tc>
        <w:tc>
          <w:tcPr>
            <w:tcW w:w="1100" w:type="dxa"/>
            <w:vAlign w:val="bottom"/>
          </w:tcPr>
          <w:p>
            <w:pPr>
              <w:jc w:val="right"/>
              <w:ind w:right="43"/>
              <w:spacing w:after="0"/>
              <w:rPr>
                <w:sz w:val="20"/>
                <w:szCs w:val="20"/>
                <w:color w:val="auto"/>
              </w:rPr>
            </w:pPr>
            <w:r>
              <w:rPr>
                <w:rFonts w:ascii="Arial" w:cs="Arial" w:eastAsia="Arial" w:hAnsi="Arial"/>
                <w:sz w:val="11"/>
                <w:szCs w:val="11"/>
                <w:b w:val="1"/>
                <w:bCs w:val="1"/>
                <w:color w:val="auto"/>
              </w:rPr>
              <w:t>3,347,684</w:t>
            </w:r>
          </w:p>
        </w:tc>
        <w:tc>
          <w:tcPr>
            <w:tcW w:w="1020" w:type="dxa"/>
            <w:vAlign w:val="bottom"/>
          </w:tcPr>
          <w:p>
            <w:pPr>
              <w:jc w:val="right"/>
              <w:ind w:right="43"/>
              <w:spacing w:after="0"/>
              <w:rPr>
                <w:sz w:val="20"/>
                <w:szCs w:val="20"/>
                <w:color w:val="auto"/>
              </w:rPr>
            </w:pPr>
            <w:r>
              <w:rPr>
                <w:rFonts w:ascii="Arial" w:cs="Arial" w:eastAsia="Arial" w:hAnsi="Arial"/>
                <w:sz w:val="11"/>
                <w:szCs w:val="11"/>
                <w:b w:val="1"/>
                <w:bCs w:val="1"/>
                <w:color w:val="auto"/>
              </w:rPr>
              <w:t>3,590,750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3,629,794</w:t>
            </w:r>
          </w:p>
        </w:tc>
        <w:tc>
          <w:tcPr>
            <w:tcW w:w="660" w:type="dxa"/>
            <w:vAlign w:val="bottom"/>
          </w:tcPr>
          <w:p>
            <w:pPr>
              <w:jc w:val="center"/>
              <w:ind w:left="183"/>
              <w:spacing w:after="0"/>
              <w:rPr>
                <w:sz w:val="20"/>
                <w:szCs w:val="20"/>
                <w:color w:val="auto"/>
              </w:rPr>
            </w:pPr>
            <w:r>
              <w:rPr>
                <w:rFonts w:ascii="Arial" w:cs="Arial" w:eastAsia="Arial" w:hAnsi="Arial"/>
                <w:sz w:val="11"/>
                <w:szCs w:val="11"/>
                <w:b w:val="1"/>
                <w:bCs w:val="1"/>
                <w:color w:val="auto"/>
              </w:rPr>
              <w:t>1.1%</w:t>
            </w:r>
          </w:p>
        </w:tc>
        <w:tc>
          <w:tcPr>
            <w:tcW w:w="122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b w:val="1"/>
                <w:bCs w:val="1"/>
                <w:color w:val="auto"/>
              </w:rPr>
              <w:t>8.4%</w:t>
            </w:r>
          </w:p>
        </w:tc>
        <w:tc>
          <w:tcPr>
            <w:tcW w:w="1240" w:type="dxa"/>
            <w:vAlign w:val="bottom"/>
          </w:tcPr>
          <w:p>
            <w:pPr>
              <w:jc w:val="right"/>
              <w:ind w:right="183"/>
              <w:spacing w:after="0"/>
              <w:rPr>
                <w:sz w:val="20"/>
                <w:szCs w:val="20"/>
                <w:color w:val="auto"/>
              </w:rPr>
            </w:pPr>
            <w:r>
              <w:rPr>
                <w:rFonts w:ascii="Arial" w:cs="Arial" w:eastAsia="Arial" w:hAnsi="Arial"/>
                <w:sz w:val="11"/>
                <w:szCs w:val="11"/>
                <w:b w:val="1"/>
                <w:bCs w:val="1"/>
                <w:color w:val="auto"/>
              </w:rPr>
              <w:t>12,937,972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14,115,131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9.1%</w:t>
            </w:r>
          </w:p>
        </w:tc>
      </w:tr>
      <w:tr>
        <w:trPr>
          <w:trHeight w:val="107"/>
        </w:trPr>
        <w:tc>
          <w:tcPr>
            <w:tcW w:w="3220" w:type="dxa"/>
            <w:vAlign w:val="bottom"/>
            <w:tcBorders>
              <w:left w:val="single" w:sz="8" w:color="auto"/>
              <w:bottom w:val="single" w:sz="8" w:color="auto"/>
              <w:right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r>
      <w:tr>
        <w:trPr>
          <w:trHeight w:val="116"/>
        </w:trPr>
        <w:tc>
          <w:tcPr>
            <w:tcW w:w="322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b w:val="1"/>
                <w:bCs w:val="1"/>
                <w:color w:val="auto"/>
              </w:rPr>
              <w:t>Balances</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r>
      <w:tr>
        <w:trPr>
          <w:trHeight w:val="131"/>
        </w:trPr>
        <w:tc>
          <w:tcPr>
            <w:tcW w:w="3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Average Interest Earning Assets (IEA)</w:t>
            </w: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223,624,217</w:t>
            </w: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231,316,507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237,518,087</w:t>
            </w:r>
          </w:p>
        </w:tc>
        <w:tc>
          <w:tcPr>
            <w:tcW w:w="660" w:type="dxa"/>
            <w:vAlign w:val="bottom"/>
          </w:tcPr>
          <w:p>
            <w:pPr>
              <w:jc w:val="center"/>
              <w:ind w:left="183"/>
              <w:spacing w:after="0"/>
              <w:rPr>
                <w:sz w:val="20"/>
                <w:szCs w:val="20"/>
                <w:color w:val="auto"/>
              </w:rPr>
            </w:pPr>
            <w:r>
              <w:rPr>
                <w:rFonts w:ascii="Arial" w:cs="Arial" w:eastAsia="Arial" w:hAnsi="Arial"/>
                <w:sz w:val="11"/>
                <w:szCs w:val="11"/>
                <w:color w:val="auto"/>
              </w:rPr>
              <w:t>2.7%</w:t>
            </w:r>
          </w:p>
        </w:tc>
        <w:tc>
          <w:tcPr>
            <w:tcW w:w="122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6.2%</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223,318,737</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232,646,024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4.2%</w:t>
            </w:r>
          </w:p>
        </w:tc>
      </w:tr>
      <w:tr>
        <w:trPr>
          <w:trHeight w:val="149"/>
        </w:trPr>
        <w:tc>
          <w:tcPr>
            <w:tcW w:w="32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Average Funding</w:t>
            </w:r>
          </w:p>
        </w:tc>
        <w:tc>
          <w:tcPr>
            <w:tcW w:w="1100" w:type="dxa"/>
            <w:vAlign w:val="bottom"/>
          </w:tcPr>
          <w:p>
            <w:pPr>
              <w:jc w:val="right"/>
              <w:ind w:right="43"/>
              <w:spacing w:after="0"/>
              <w:rPr>
                <w:sz w:val="20"/>
                <w:szCs w:val="20"/>
                <w:color w:val="auto"/>
              </w:rPr>
            </w:pPr>
            <w:r>
              <w:rPr>
                <w:rFonts w:ascii="Arial" w:cs="Arial" w:eastAsia="Arial" w:hAnsi="Arial"/>
                <w:sz w:val="11"/>
                <w:szCs w:val="11"/>
                <w:color w:val="auto"/>
              </w:rPr>
              <w:t>185,182,243</w:t>
            </w:r>
          </w:p>
        </w:tc>
        <w:tc>
          <w:tcPr>
            <w:tcW w:w="1020" w:type="dxa"/>
            <w:vAlign w:val="bottom"/>
          </w:tcPr>
          <w:p>
            <w:pPr>
              <w:jc w:val="right"/>
              <w:ind w:right="43"/>
              <w:spacing w:after="0"/>
              <w:rPr>
                <w:sz w:val="20"/>
                <w:szCs w:val="20"/>
                <w:color w:val="auto"/>
              </w:rPr>
            </w:pPr>
            <w:r>
              <w:rPr>
                <w:rFonts w:ascii="Arial" w:cs="Arial" w:eastAsia="Arial" w:hAnsi="Arial"/>
                <w:sz w:val="11"/>
                <w:szCs w:val="11"/>
                <w:color w:val="auto"/>
              </w:rPr>
              <w:t>190,855,164</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195,200,202</w:t>
            </w:r>
          </w:p>
        </w:tc>
        <w:tc>
          <w:tcPr>
            <w:tcW w:w="660" w:type="dxa"/>
            <w:vAlign w:val="bottom"/>
          </w:tcPr>
          <w:p>
            <w:pPr>
              <w:jc w:val="center"/>
              <w:ind w:left="183"/>
              <w:spacing w:after="0"/>
              <w:rPr>
                <w:sz w:val="20"/>
                <w:szCs w:val="20"/>
                <w:color w:val="auto"/>
              </w:rPr>
            </w:pPr>
            <w:r>
              <w:rPr>
                <w:rFonts w:ascii="Arial" w:cs="Arial" w:eastAsia="Arial" w:hAnsi="Arial"/>
                <w:sz w:val="11"/>
                <w:szCs w:val="11"/>
                <w:color w:val="auto"/>
              </w:rPr>
              <w:t>2.3%</w:t>
            </w:r>
          </w:p>
        </w:tc>
        <w:tc>
          <w:tcPr>
            <w:tcW w:w="122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5.4%</w:t>
            </w:r>
          </w:p>
        </w:tc>
        <w:tc>
          <w:tcPr>
            <w:tcW w:w="1240" w:type="dxa"/>
            <w:vAlign w:val="bottom"/>
          </w:tcPr>
          <w:p>
            <w:pPr>
              <w:jc w:val="right"/>
              <w:ind w:right="183"/>
              <w:spacing w:after="0"/>
              <w:rPr>
                <w:sz w:val="20"/>
                <w:szCs w:val="20"/>
                <w:color w:val="auto"/>
              </w:rPr>
            </w:pPr>
            <w:r>
              <w:rPr>
                <w:rFonts w:ascii="Arial" w:cs="Arial" w:eastAsia="Arial" w:hAnsi="Arial"/>
                <w:sz w:val="11"/>
                <w:szCs w:val="11"/>
                <w:color w:val="auto"/>
              </w:rPr>
              <w:t>185,339,502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191,836,246</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3.5%</w:t>
            </w:r>
          </w:p>
        </w:tc>
      </w:tr>
      <w:tr>
        <w:trPr>
          <w:trHeight w:val="245"/>
        </w:trPr>
        <w:tc>
          <w:tcPr>
            <w:tcW w:w="3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Yields</w:t>
            </w:r>
          </w:p>
        </w:tc>
        <w:tc>
          <w:tcPr>
            <w:tcW w:w="1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r>
      <w:tr>
        <w:trPr>
          <w:trHeight w:val="124"/>
        </w:trPr>
        <w:tc>
          <w:tcPr>
            <w:tcW w:w="3220" w:type="dxa"/>
            <w:vAlign w:val="bottom"/>
            <w:tcBorders>
              <w:left w:val="single" w:sz="8" w:color="auto"/>
              <w:right w:val="single" w:sz="8" w:color="auto"/>
            </w:tcBorders>
          </w:tcPr>
          <w:p>
            <w:pPr>
              <w:ind w:left="180"/>
              <w:spacing w:after="0" w:line="124" w:lineRule="exact"/>
              <w:rPr>
                <w:sz w:val="20"/>
                <w:szCs w:val="20"/>
                <w:color w:val="auto"/>
              </w:rPr>
            </w:pPr>
            <w:r>
              <w:rPr>
                <w:rFonts w:ascii="Arial" w:cs="Arial" w:eastAsia="Arial" w:hAnsi="Arial"/>
                <w:sz w:val="11"/>
                <w:szCs w:val="11"/>
                <w:color w:val="auto"/>
              </w:rPr>
              <w:t>Yield on IEAs</w:t>
            </w:r>
          </w:p>
        </w:tc>
        <w:tc>
          <w:tcPr>
            <w:tcW w:w="1100" w:type="dxa"/>
            <w:vAlign w:val="bottom"/>
          </w:tcPr>
          <w:p>
            <w:pPr>
              <w:jc w:val="center"/>
              <w:ind w:right="63"/>
              <w:spacing w:after="0" w:line="124" w:lineRule="exact"/>
              <w:rPr>
                <w:sz w:val="20"/>
                <w:szCs w:val="20"/>
                <w:color w:val="auto"/>
              </w:rPr>
            </w:pPr>
            <w:r>
              <w:rPr>
                <w:rFonts w:ascii="Arial" w:cs="Arial" w:eastAsia="Arial" w:hAnsi="Arial"/>
                <w:sz w:val="11"/>
                <w:szCs w:val="11"/>
                <w:color w:val="auto"/>
              </w:rPr>
              <w:t>8.71%</w:t>
            </w:r>
          </w:p>
        </w:tc>
        <w:tc>
          <w:tcPr>
            <w:tcW w:w="1020" w:type="dxa"/>
            <w:vAlign w:val="bottom"/>
          </w:tcPr>
          <w:p>
            <w:pPr>
              <w:jc w:val="center"/>
              <w:ind w:right="163"/>
              <w:spacing w:after="0" w:line="124" w:lineRule="exact"/>
              <w:rPr>
                <w:sz w:val="20"/>
                <w:szCs w:val="20"/>
                <w:color w:val="auto"/>
              </w:rPr>
            </w:pPr>
            <w:r>
              <w:rPr>
                <w:rFonts w:ascii="Arial" w:cs="Arial" w:eastAsia="Arial" w:hAnsi="Arial"/>
                <w:sz w:val="11"/>
                <w:szCs w:val="11"/>
                <w:color w:val="auto"/>
              </w:rPr>
              <w:t>8.64%</w:t>
            </w:r>
          </w:p>
        </w:tc>
        <w:tc>
          <w:tcPr>
            <w:tcW w:w="940" w:type="dxa"/>
            <w:vAlign w:val="bottom"/>
            <w:tcBorders>
              <w:right w:val="single" w:sz="8" w:color="auto"/>
            </w:tcBorders>
          </w:tcPr>
          <w:p>
            <w:pPr>
              <w:jc w:val="center"/>
              <w:ind w:right="83"/>
              <w:spacing w:after="0" w:line="124" w:lineRule="exact"/>
              <w:rPr>
                <w:sz w:val="20"/>
                <w:szCs w:val="20"/>
                <w:color w:val="auto"/>
              </w:rPr>
            </w:pPr>
            <w:r>
              <w:rPr>
                <w:rFonts w:ascii="Arial" w:cs="Arial" w:eastAsia="Arial" w:hAnsi="Arial"/>
                <w:sz w:val="11"/>
                <w:szCs w:val="11"/>
                <w:color w:val="auto"/>
              </w:rPr>
              <w:t>8.44%</w:t>
            </w:r>
          </w:p>
        </w:tc>
        <w:tc>
          <w:tcPr>
            <w:tcW w:w="660" w:type="dxa"/>
            <w:vAlign w:val="bottom"/>
          </w:tcPr>
          <w:p>
            <w:pPr>
              <w:jc w:val="center"/>
              <w:ind w:left="183"/>
              <w:spacing w:after="0" w:line="124" w:lineRule="exact"/>
              <w:rPr>
                <w:sz w:val="20"/>
                <w:szCs w:val="20"/>
                <w:color w:val="auto"/>
              </w:rPr>
            </w:pPr>
            <w:r>
              <w:rPr>
                <w:rFonts w:ascii="Arial" w:cs="Arial" w:eastAsia="Arial" w:hAnsi="Arial"/>
                <w:sz w:val="11"/>
                <w:szCs w:val="11"/>
                <w:color w:val="auto"/>
              </w:rPr>
              <w:t>-20 bps</w:t>
            </w:r>
          </w:p>
        </w:tc>
        <w:tc>
          <w:tcPr>
            <w:tcW w:w="1220" w:type="dxa"/>
            <w:vAlign w:val="bottom"/>
            <w:tcBorders>
              <w:right w:val="single" w:sz="8" w:color="auto"/>
            </w:tcBorders>
          </w:tcPr>
          <w:p>
            <w:pPr>
              <w:jc w:val="center"/>
              <w:ind w:left="183"/>
              <w:spacing w:after="0" w:line="124" w:lineRule="exact"/>
              <w:rPr>
                <w:sz w:val="20"/>
                <w:szCs w:val="20"/>
                <w:color w:val="auto"/>
              </w:rPr>
            </w:pPr>
            <w:r>
              <w:rPr>
                <w:rFonts w:ascii="Arial" w:cs="Arial" w:eastAsia="Arial" w:hAnsi="Arial"/>
                <w:sz w:val="11"/>
                <w:szCs w:val="11"/>
                <w:color w:val="auto"/>
              </w:rPr>
              <w:t>-27 bps</w:t>
            </w:r>
          </w:p>
        </w:tc>
        <w:tc>
          <w:tcPr>
            <w:tcW w:w="1240" w:type="dxa"/>
            <w:vAlign w:val="bottom"/>
          </w:tcPr>
          <w:p>
            <w:pPr>
              <w:jc w:val="right"/>
              <w:ind w:right="523"/>
              <w:spacing w:after="0" w:line="124" w:lineRule="exact"/>
              <w:rPr>
                <w:sz w:val="20"/>
                <w:szCs w:val="20"/>
                <w:color w:val="auto"/>
              </w:rPr>
            </w:pPr>
            <w:r>
              <w:rPr>
                <w:rFonts w:ascii="Arial" w:cs="Arial" w:eastAsia="Arial" w:hAnsi="Arial"/>
                <w:sz w:val="11"/>
                <w:szCs w:val="11"/>
                <w:color w:val="auto"/>
              </w:rPr>
              <w:t>8.42%</w:t>
            </w:r>
          </w:p>
        </w:tc>
        <w:tc>
          <w:tcPr>
            <w:tcW w:w="780" w:type="dxa"/>
            <w:vAlign w:val="bottom"/>
            <w:tcBorders>
              <w:right w:val="single" w:sz="8" w:color="auto"/>
            </w:tcBorders>
          </w:tcPr>
          <w:p>
            <w:pPr>
              <w:jc w:val="right"/>
              <w:ind w:right="303"/>
              <w:spacing w:after="0" w:line="124" w:lineRule="exact"/>
              <w:rPr>
                <w:sz w:val="20"/>
                <w:szCs w:val="20"/>
                <w:color w:val="auto"/>
              </w:rPr>
            </w:pPr>
            <w:r>
              <w:rPr>
                <w:rFonts w:ascii="Arial" w:cs="Arial" w:eastAsia="Arial" w:hAnsi="Arial"/>
                <w:sz w:val="11"/>
                <w:szCs w:val="11"/>
                <w:color w:val="auto"/>
              </w:rPr>
              <w:t>8.54%</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12 bps</w:t>
            </w:r>
          </w:p>
        </w:tc>
      </w:tr>
      <w:tr>
        <w:trPr>
          <w:trHeight w:val="131"/>
        </w:trPr>
        <w:tc>
          <w:tcPr>
            <w:tcW w:w="3220" w:type="dxa"/>
            <w:vAlign w:val="bottom"/>
            <w:tcBorders>
              <w:left w:val="single" w:sz="8" w:color="auto"/>
              <w:right w:val="single" w:sz="8" w:color="auto"/>
            </w:tcBorders>
          </w:tcPr>
          <w:p>
            <w:pPr>
              <w:ind w:left="180"/>
              <w:spacing w:after="0" w:line="131" w:lineRule="exact"/>
              <w:rPr>
                <w:sz w:val="20"/>
                <w:szCs w:val="20"/>
                <w:color w:val="auto"/>
              </w:rPr>
            </w:pPr>
            <w:r>
              <w:rPr>
                <w:rFonts w:ascii="Arial" w:cs="Arial" w:eastAsia="Arial" w:hAnsi="Arial"/>
                <w:sz w:val="10"/>
                <w:szCs w:val="10"/>
                <w:color w:val="auto"/>
              </w:rPr>
              <w:t>Cost of Funds</w:t>
            </w:r>
            <w:r>
              <w:rPr>
                <w:rFonts w:ascii="Arial" w:cs="Arial" w:eastAsia="Arial" w:hAnsi="Arial"/>
                <w:sz w:val="15"/>
                <w:szCs w:val="15"/>
                <w:color w:val="auto"/>
                <w:vertAlign w:val="superscript"/>
              </w:rPr>
              <w:t>(1)</w:t>
            </w:r>
          </w:p>
        </w:tc>
        <w:tc>
          <w:tcPr>
            <w:tcW w:w="1100" w:type="dxa"/>
            <w:vAlign w:val="bottom"/>
          </w:tcPr>
          <w:p>
            <w:pPr>
              <w:jc w:val="center"/>
              <w:ind w:right="63"/>
              <w:spacing w:after="0"/>
              <w:rPr>
                <w:sz w:val="20"/>
                <w:szCs w:val="20"/>
                <w:color w:val="auto"/>
              </w:rPr>
            </w:pPr>
            <w:r>
              <w:rPr>
                <w:rFonts w:ascii="Arial" w:cs="Arial" w:eastAsia="Arial" w:hAnsi="Arial"/>
                <w:sz w:val="11"/>
                <w:szCs w:val="11"/>
                <w:color w:val="auto"/>
              </w:rPr>
              <w:t>3.03%</w:t>
            </w:r>
          </w:p>
        </w:tc>
        <w:tc>
          <w:tcPr>
            <w:tcW w:w="1020" w:type="dxa"/>
            <w:vAlign w:val="bottom"/>
          </w:tcPr>
          <w:p>
            <w:pPr>
              <w:jc w:val="center"/>
              <w:ind w:right="163"/>
              <w:spacing w:after="0"/>
              <w:rPr>
                <w:sz w:val="20"/>
                <w:szCs w:val="20"/>
                <w:color w:val="auto"/>
              </w:rPr>
            </w:pPr>
            <w:r>
              <w:rPr>
                <w:rFonts w:ascii="Arial" w:cs="Arial" w:eastAsia="Arial" w:hAnsi="Arial"/>
                <w:sz w:val="11"/>
                <w:szCs w:val="11"/>
                <w:color w:val="auto"/>
              </w:rPr>
              <w:t>2.68%</w:t>
            </w:r>
          </w:p>
        </w:tc>
        <w:tc>
          <w:tcPr>
            <w:tcW w:w="94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color w:val="auto"/>
              </w:rPr>
              <w:t>2.56%</w:t>
            </w:r>
          </w:p>
        </w:tc>
        <w:tc>
          <w:tcPr>
            <w:tcW w:w="660" w:type="dxa"/>
            <w:vAlign w:val="bottom"/>
          </w:tcPr>
          <w:p>
            <w:pPr>
              <w:jc w:val="center"/>
              <w:ind w:left="183"/>
              <w:spacing w:after="0"/>
              <w:rPr>
                <w:sz w:val="20"/>
                <w:szCs w:val="20"/>
                <w:color w:val="auto"/>
              </w:rPr>
            </w:pPr>
            <w:r>
              <w:rPr>
                <w:rFonts w:ascii="Arial" w:cs="Arial" w:eastAsia="Arial" w:hAnsi="Arial"/>
                <w:sz w:val="11"/>
                <w:szCs w:val="11"/>
                <w:color w:val="auto"/>
              </w:rPr>
              <w:t>-12 bps</w:t>
            </w:r>
          </w:p>
        </w:tc>
        <w:tc>
          <w:tcPr>
            <w:tcW w:w="1220" w:type="dxa"/>
            <w:vAlign w:val="bottom"/>
            <w:tcBorders>
              <w:right w:val="single" w:sz="8" w:color="auto"/>
            </w:tcBorders>
          </w:tcPr>
          <w:p>
            <w:pPr>
              <w:jc w:val="center"/>
              <w:ind w:left="183"/>
              <w:spacing w:after="0"/>
              <w:rPr>
                <w:sz w:val="20"/>
                <w:szCs w:val="20"/>
                <w:color w:val="auto"/>
              </w:rPr>
            </w:pPr>
            <w:r>
              <w:rPr>
                <w:rFonts w:ascii="Arial" w:cs="Arial" w:eastAsia="Arial" w:hAnsi="Arial"/>
                <w:sz w:val="11"/>
                <w:szCs w:val="11"/>
                <w:color w:val="auto"/>
              </w:rPr>
              <w:t>-47 bps</w:t>
            </w:r>
          </w:p>
        </w:tc>
        <w:tc>
          <w:tcPr>
            <w:tcW w:w="1240" w:type="dxa"/>
            <w:vAlign w:val="bottom"/>
          </w:tcPr>
          <w:p>
            <w:pPr>
              <w:jc w:val="right"/>
              <w:ind w:right="523"/>
              <w:spacing w:after="0"/>
              <w:rPr>
                <w:sz w:val="20"/>
                <w:szCs w:val="20"/>
                <w:color w:val="auto"/>
              </w:rPr>
            </w:pPr>
            <w:r>
              <w:rPr>
                <w:rFonts w:ascii="Arial" w:cs="Arial" w:eastAsia="Arial" w:hAnsi="Arial"/>
                <w:sz w:val="11"/>
                <w:szCs w:val="11"/>
                <w:color w:val="auto"/>
              </w:rPr>
              <w:t>2.91%</w:t>
            </w:r>
          </w:p>
        </w:tc>
        <w:tc>
          <w:tcPr>
            <w:tcW w:w="780" w:type="dxa"/>
            <w:vAlign w:val="bottom"/>
            <w:tcBorders>
              <w:right w:val="single" w:sz="8" w:color="auto"/>
            </w:tcBorders>
          </w:tcPr>
          <w:p>
            <w:pPr>
              <w:jc w:val="right"/>
              <w:ind w:right="303"/>
              <w:spacing w:after="0"/>
              <w:rPr>
                <w:sz w:val="20"/>
                <w:szCs w:val="20"/>
                <w:color w:val="auto"/>
              </w:rPr>
            </w:pPr>
            <w:r>
              <w:rPr>
                <w:rFonts w:ascii="Arial" w:cs="Arial" w:eastAsia="Arial" w:hAnsi="Arial"/>
                <w:sz w:val="11"/>
                <w:szCs w:val="11"/>
                <w:color w:val="auto"/>
              </w:rPr>
              <w:t>2.74%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-17 bps</w:t>
            </w:r>
          </w:p>
        </w:tc>
      </w:tr>
      <w:tr>
        <w:trPr>
          <w:trHeight w:val="131"/>
        </w:trPr>
        <w:tc>
          <w:tcPr>
            <w:tcW w:w="3220" w:type="dxa"/>
            <w:vAlign w:val="bottom"/>
            <w:tcBorders>
              <w:left w:val="single" w:sz="8" w:color="auto"/>
              <w:right w:val="single" w:sz="8" w:color="auto"/>
            </w:tcBorders>
          </w:tcPr>
          <w:p>
            <w:pPr>
              <w:ind w:left="180"/>
              <w:spacing w:after="0" w:line="131" w:lineRule="exact"/>
              <w:rPr>
                <w:sz w:val="20"/>
                <w:szCs w:val="20"/>
                <w:color w:val="auto"/>
              </w:rPr>
            </w:pPr>
            <w:r>
              <w:rPr>
                <w:rFonts w:ascii="Arial" w:cs="Arial" w:eastAsia="Arial" w:hAnsi="Arial"/>
                <w:sz w:val="10"/>
                <w:szCs w:val="10"/>
                <w:b w:val="1"/>
                <w:bCs w:val="1"/>
                <w:color w:val="auto"/>
              </w:rPr>
              <w:t>Net Interest Margin (NIM)</w:t>
            </w:r>
            <w:r>
              <w:rPr>
                <w:rFonts w:ascii="Arial" w:cs="Arial" w:eastAsia="Arial" w:hAnsi="Arial"/>
                <w:sz w:val="15"/>
                <w:szCs w:val="15"/>
                <w:b w:val="1"/>
                <w:bCs w:val="1"/>
                <w:color w:val="auto"/>
                <w:vertAlign w:val="superscript"/>
              </w:rPr>
              <w:t>(1)</w:t>
            </w:r>
          </w:p>
        </w:tc>
        <w:tc>
          <w:tcPr>
            <w:tcW w:w="1100" w:type="dxa"/>
            <w:vAlign w:val="bottom"/>
          </w:tcPr>
          <w:p>
            <w:pPr>
              <w:jc w:val="center"/>
              <w:ind w:right="63"/>
              <w:spacing w:after="0"/>
              <w:rPr>
                <w:sz w:val="20"/>
                <w:szCs w:val="20"/>
                <w:color w:val="auto"/>
              </w:rPr>
            </w:pPr>
            <w:r>
              <w:rPr>
                <w:rFonts w:ascii="Arial" w:cs="Arial" w:eastAsia="Arial" w:hAnsi="Arial"/>
                <w:sz w:val="11"/>
                <w:szCs w:val="11"/>
                <w:b w:val="1"/>
                <w:bCs w:val="1"/>
                <w:color w:val="auto"/>
              </w:rPr>
              <w:t>6.20%</w:t>
            </w:r>
          </w:p>
        </w:tc>
        <w:tc>
          <w:tcPr>
            <w:tcW w:w="1020" w:type="dxa"/>
            <w:vAlign w:val="bottom"/>
          </w:tcPr>
          <w:p>
            <w:pPr>
              <w:jc w:val="center"/>
              <w:ind w:right="163"/>
              <w:spacing w:after="0"/>
              <w:rPr>
                <w:sz w:val="20"/>
                <w:szCs w:val="20"/>
                <w:color w:val="auto"/>
              </w:rPr>
            </w:pPr>
            <w:r>
              <w:rPr>
                <w:rFonts w:ascii="Arial" w:cs="Arial" w:eastAsia="Arial" w:hAnsi="Arial"/>
                <w:sz w:val="11"/>
                <w:szCs w:val="11"/>
                <w:b w:val="1"/>
                <w:bCs w:val="1"/>
                <w:color w:val="auto"/>
              </w:rPr>
              <w:t>6.43%</w:t>
            </w:r>
          </w:p>
        </w:tc>
        <w:tc>
          <w:tcPr>
            <w:tcW w:w="940" w:type="dxa"/>
            <w:vAlign w:val="bottom"/>
            <w:tcBorders>
              <w:right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6.34%</w:t>
            </w:r>
          </w:p>
        </w:tc>
        <w:tc>
          <w:tcPr>
            <w:tcW w:w="660" w:type="dxa"/>
            <w:vAlign w:val="bottom"/>
          </w:tcPr>
          <w:p>
            <w:pPr>
              <w:jc w:val="center"/>
              <w:ind w:left="203"/>
              <w:spacing w:after="0"/>
              <w:rPr>
                <w:sz w:val="20"/>
                <w:szCs w:val="20"/>
                <w:color w:val="auto"/>
              </w:rPr>
            </w:pPr>
            <w:r>
              <w:rPr>
                <w:rFonts w:ascii="Arial" w:cs="Arial" w:eastAsia="Arial" w:hAnsi="Arial"/>
                <w:sz w:val="11"/>
                <w:szCs w:val="11"/>
                <w:b w:val="1"/>
                <w:bCs w:val="1"/>
                <w:color w:val="auto"/>
                <w:w w:val="98"/>
              </w:rPr>
              <w:t>-9 bps</w:t>
            </w:r>
          </w:p>
        </w:tc>
        <w:tc>
          <w:tcPr>
            <w:tcW w:w="1220" w:type="dxa"/>
            <w:vAlign w:val="bottom"/>
            <w:tcBorders>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14 bps</w:t>
            </w:r>
          </w:p>
        </w:tc>
        <w:tc>
          <w:tcPr>
            <w:tcW w:w="1240" w:type="dxa"/>
            <w:vAlign w:val="bottom"/>
          </w:tcPr>
          <w:p>
            <w:pPr>
              <w:jc w:val="right"/>
              <w:ind w:right="523"/>
              <w:spacing w:after="0"/>
              <w:rPr>
                <w:sz w:val="20"/>
                <w:szCs w:val="20"/>
                <w:color w:val="auto"/>
              </w:rPr>
            </w:pPr>
            <w:r>
              <w:rPr>
                <w:rFonts w:ascii="Arial" w:cs="Arial" w:eastAsia="Arial" w:hAnsi="Arial"/>
                <w:sz w:val="11"/>
                <w:szCs w:val="11"/>
                <w:b w:val="1"/>
                <w:bCs w:val="1"/>
                <w:color w:val="auto"/>
              </w:rPr>
              <w:t>6.00%</w:t>
            </w:r>
          </w:p>
        </w:tc>
        <w:tc>
          <w:tcPr>
            <w:tcW w:w="780" w:type="dxa"/>
            <w:vAlign w:val="bottom"/>
            <w:tcBorders>
              <w:right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6.29%</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29 bps</w:t>
            </w:r>
          </w:p>
        </w:tc>
      </w:tr>
      <w:tr>
        <w:trPr>
          <w:trHeight w:val="146"/>
        </w:trPr>
        <w:tc>
          <w:tcPr>
            <w:tcW w:w="3220" w:type="dxa"/>
            <w:vAlign w:val="bottom"/>
            <w:tcBorders>
              <w:left w:val="single" w:sz="8" w:color="auto"/>
              <w:bottom w:val="single" w:sz="8" w:color="auto"/>
              <w:right w:val="single" w:sz="8" w:color="auto"/>
            </w:tcBorders>
          </w:tcPr>
          <w:p>
            <w:pPr>
              <w:ind w:left="180"/>
              <w:spacing w:after="0" w:line="146" w:lineRule="exact"/>
              <w:rPr>
                <w:sz w:val="20"/>
                <w:szCs w:val="20"/>
                <w:color w:val="auto"/>
              </w:rPr>
            </w:pPr>
            <w:r>
              <w:rPr>
                <w:rFonts w:ascii="Arial" w:cs="Arial" w:eastAsia="Arial" w:hAnsi="Arial"/>
                <w:sz w:val="10"/>
                <w:szCs w:val="10"/>
                <w:b w:val="1"/>
                <w:bCs w:val="1"/>
                <w:color w:val="auto"/>
              </w:rPr>
              <w:t>Risk-Adjusted Net Interest Margin</w:t>
            </w:r>
            <w:r>
              <w:rPr>
                <w:rFonts w:ascii="Arial" w:cs="Arial" w:eastAsia="Arial" w:hAnsi="Arial"/>
                <w:sz w:val="16"/>
                <w:szCs w:val="16"/>
                <w:b w:val="1"/>
                <w:bCs w:val="1"/>
                <w:color w:val="auto"/>
                <w:vertAlign w:val="superscript"/>
              </w:rPr>
              <w:t>(1)</w:t>
            </w: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4.10%</w:t>
            </w:r>
          </w:p>
        </w:tc>
        <w:tc>
          <w:tcPr>
            <w:tcW w:w="102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b w:val="1"/>
                <w:bCs w:val="1"/>
                <w:color w:val="auto"/>
              </w:rPr>
              <w:t>4.93%</w:t>
            </w:r>
          </w:p>
        </w:tc>
        <w:tc>
          <w:tcPr>
            <w:tcW w:w="940" w:type="dxa"/>
            <w:vAlign w:val="bottom"/>
            <w:tcBorders>
              <w:bottom w:val="single" w:sz="8" w:color="auto"/>
              <w:right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5.08%</w:t>
            </w:r>
          </w:p>
        </w:tc>
        <w:tc>
          <w:tcPr>
            <w:tcW w:w="66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15 bps</w:t>
            </w:r>
          </w:p>
        </w:tc>
        <w:tc>
          <w:tcPr>
            <w:tcW w:w="1220" w:type="dxa"/>
            <w:vAlign w:val="bottom"/>
            <w:tcBorders>
              <w:bottom w:val="single" w:sz="8" w:color="auto"/>
              <w:right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98 bps</w:t>
            </w: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4.38%</w:t>
            </w:r>
          </w:p>
        </w:tc>
        <w:tc>
          <w:tcPr>
            <w:tcW w:w="780" w:type="dxa"/>
            <w:vAlign w:val="bottom"/>
            <w:tcBorders>
              <w:bottom w:val="single" w:sz="8" w:color="auto"/>
              <w:right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4.77%</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39 bps</w:t>
            </w:r>
          </w:p>
        </w:tc>
      </w:tr>
      <w:tr>
        <w:trPr>
          <w:trHeight w:val="116"/>
        </w:trPr>
        <w:tc>
          <w:tcPr>
            <w:tcW w:w="3220" w:type="dxa"/>
            <w:vAlign w:val="bottom"/>
            <w:tcBorders>
              <w:left w:val="single" w:sz="8" w:color="auto"/>
              <w:right w:val="single" w:sz="8" w:color="auto"/>
            </w:tcBorders>
          </w:tcPr>
          <w:p>
            <w:pPr>
              <w:ind w:left="180"/>
              <w:spacing w:after="0" w:line="116" w:lineRule="exact"/>
              <w:rPr>
                <w:sz w:val="20"/>
                <w:szCs w:val="20"/>
                <w:color w:val="auto"/>
              </w:rPr>
            </w:pPr>
            <w:r>
              <w:rPr>
                <w:rFonts w:ascii="Arial" w:cs="Arial" w:eastAsia="Arial" w:hAnsi="Arial"/>
                <w:sz w:val="11"/>
                <w:szCs w:val="11"/>
                <w:b w:val="1"/>
                <w:bCs w:val="1"/>
                <w:color w:val="auto"/>
              </w:rPr>
              <w:t>Peru's Reference Rate</w:t>
            </w:r>
          </w:p>
        </w:tc>
        <w:tc>
          <w:tcPr>
            <w:tcW w:w="1100" w:type="dxa"/>
            <w:vAlign w:val="bottom"/>
          </w:tcPr>
          <w:p>
            <w:pPr>
              <w:jc w:val="center"/>
              <w:ind w:right="63"/>
              <w:spacing w:after="0" w:line="116" w:lineRule="exact"/>
              <w:rPr>
                <w:sz w:val="20"/>
                <w:szCs w:val="20"/>
                <w:color w:val="auto"/>
              </w:rPr>
            </w:pPr>
            <w:r>
              <w:rPr>
                <w:rFonts w:ascii="Arial" w:cs="Arial" w:eastAsia="Arial" w:hAnsi="Arial"/>
                <w:sz w:val="11"/>
                <w:szCs w:val="11"/>
                <w:b w:val="1"/>
                <w:bCs w:val="1"/>
                <w:color w:val="auto"/>
              </w:rPr>
              <w:t>6.75%</w:t>
            </w:r>
          </w:p>
        </w:tc>
        <w:tc>
          <w:tcPr>
            <w:tcW w:w="1020" w:type="dxa"/>
            <w:vAlign w:val="bottom"/>
          </w:tcPr>
          <w:p>
            <w:pPr>
              <w:jc w:val="center"/>
              <w:ind w:right="163"/>
              <w:spacing w:after="0" w:line="116" w:lineRule="exact"/>
              <w:rPr>
                <w:sz w:val="20"/>
                <w:szCs w:val="20"/>
                <w:color w:val="auto"/>
              </w:rPr>
            </w:pPr>
            <w:r>
              <w:rPr>
                <w:rFonts w:ascii="Arial" w:cs="Arial" w:eastAsia="Arial" w:hAnsi="Arial"/>
                <w:sz w:val="11"/>
                <w:szCs w:val="11"/>
                <w:b w:val="1"/>
                <w:bCs w:val="1"/>
                <w:color w:val="auto"/>
              </w:rPr>
              <w:t>5.25%</w:t>
            </w:r>
          </w:p>
        </w:tc>
        <w:tc>
          <w:tcPr>
            <w:tcW w:w="940" w:type="dxa"/>
            <w:vAlign w:val="bottom"/>
            <w:tcBorders>
              <w:right w:val="single" w:sz="8" w:color="auto"/>
            </w:tcBorders>
          </w:tcPr>
          <w:p>
            <w:pPr>
              <w:jc w:val="center"/>
              <w:ind w:right="83"/>
              <w:spacing w:after="0" w:line="116" w:lineRule="exact"/>
              <w:rPr>
                <w:sz w:val="20"/>
                <w:szCs w:val="20"/>
                <w:color w:val="auto"/>
              </w:rPr>
            </w:pPr>
            <w:r>
              <w:rPr>
                <w:rFonts w:ascii="Arial" w:cs="Arial" w:eastAsia="Arial" w:hAnsi="Arial"/>
                <w:sz w:val="11"/>
                <w:szCs w:val="11"/>
                <w:b w:val="1"/>
                <w:bCs w:val="1"/>
                <w:color w:val="auto"/>
              </w:rPr>
              <w:t>5.00%</w:t>
            </w:r>
          </w:p>
        </w:tc>
        <w:tc>
          <w:tcPr>
            <w:tcW w:w="660" w:type="dxa"/>
            <w:vAlign w:val="bottom"/>
          </w:tcPr>
          <w:p>
            <w:pPr>
              <w:jc w:val="center"/>
              <w:ind w:left="203"/>
              <w:spacing w:after="0" w:line="116" w:lineRule="exact"/>
              <w:rPr>
                <w:sz w:val="20"/>
                <w:szCs w:val="20"/>
                <w:color w:val="auto"/>
              </w:rPr>
            </w:pPr>
            <w:r>
              <w:rPr>
                <w:rFonts w:ascii="Arial" w:cs="Arial" w:eastAsia="Arial" w:hAnsi="Arial"/>
                <w:sz w:val="11"/>
                <w:szCs w:val="11"/>
                <w:b w:val="1"/>
                <w:bCs w:val="1"/>
                <w:color w:val="auto"/>
              </w:rPr>
              <w:t>-25 bps</w:t>
            </w:r>
          </w:p>
        </w:tc>
        <w:tc>
          <w:tcPr>
            <w:tcW w:w="1220" w:type="dxa"/>
            <w:vAlign w:val="bottom"/>
            <w:tcBorders>
              <w:right w:val="single" w:sz="8" w:color="auto"/>
            </w:tcBorders>
          </w:tcPr>
          <w:p>
            <w:pPr>
              <w:jc w:val="center"/>
              <w:ind w:left="183"/>
              <w:spacing w:after="0" w:line="116" w:lineRule="exact"/>
              <w:rPr>
                <w:sz w:val="20"/>
                <w:szCs w:val="20"/>
                <w:color w:val="auto"/>
              </w:rPr>
            </w:pPr>
            <w:r>
              <w:rPr>
                <w:rFonts w:ascii="Arial" w:cs="Arial" w:eastAsia="Arial" w:hAnsi="Arial"/>
                <w:sz w:val="11"/>
                <w:szCs w:val="11"/>
                <w:b w:val="1"/>
                <w:bCs w:val="1"/>
                <w:color w:val="auto"/>
              </w:rPr>
              <w:t>-175 bps</w:t>
            </w:r>
          </w:p>
        </w:tc>
        <w:tc>
          <w:tcPr>
            <w:tcW w:w="1240" w:type="dxa"/>
            <w:vAlign w:val="bottom"/>
          </w:tcPr>
          <w:p>
            <w:pPr>
              <w:jc w:val="right"/>
              <w:ind w:right="523"/>
              <w:spacing w:after="0" w:line="116" w:lineRule="exact"/>
              <w:rPr>
                <w:sz w:val="20"/>
                <w:szCs w:val="20"/>
                <w:color w:val="auto"/>
              </w:rPr>
            </w:pPr>
            <w:r>
              <w:rPr>
                <w:rFonts w:ascii="Arial" w:cs="Arial" w:eastAsia="Arial" w:hAnsi="Arial"/>
                <w:sz w:val="11"/>
                <w:szCs w:val="11"/>
                <w:b w:val="1"/>
                <w:bCs w:val="1"/>
                <w:color w:val="auto"/>
              </w:rPr>
              <w:t>6.75%</w:t>
            </w:r>
          </w:p>
        </w:tc>
        <w:tc>
          <w:tcPr>
            <w:tcW w:w="780" w:type="dxa"/>
            <w:vAlign w:val="bottom"/>
            <w:tcBorders>
              <w:right w:val="single" w:sz="8" w:color="auto"/>
            </w:tcBorders>
          </w:tcPr>
          <w:p>
            <w:pPr>
              <w:jc w:val="right"/>
              <w:ind w:right="303"/>
              <w:spacing w:after="0" w:line="116" w:lineRule="exact"/>
              <w:rPr>
                <w:sz w:val="20"/>
                <w:szCs w:val="20"/>
                <w:color w:val="auto"/>
              </w:rPr>
            </w:pPr>
            <w:r>
              <w:rPr>
                <w:rFonts w:ascii="Arial" w:cs="Arial" w:eastAsia="Arial" w:hAnsi="Arial"/>
                <w:sz w:val="11"/>
                <w:szCs w:val="11"/>
                <w:b w:val="1"/>
                <w:bCs w:val="1"/>
                <w:color w:val="auto"/>
              </w:rPr>
              <w:t>5.00%</w:t>
            </w:r>
          </w:p>
        </w:tc>
        <w:tc>
          <w:tcPr>
            <w:tcW w:w="106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rPr>
              <w:t>-175 bps</w:t>
            </w:r>
          </w:p>
        </w:tc>
      </w:tr>
      <w:tr>
        <w:trPr>
          <w:trHeight w:val="139"/>
        </w:trPr>
        <w:tc>
          <w:tcPr>
            <w:tcW w:w="322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FED funds rate</w:t>
            </w:r>
          </w:p>
        </w:tc>
        <w:tc>
          <w:tcPr>
            <w:tcW w:w="110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rPr>
              <w:t>5.50%</w:t>
            </w:r>
          </w:p>
        </w:tc>
        <w:tc>
          <w:tcPr>
            <w:tcW w:w="102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b w:val="1"/>
                <w:bCs w:val="1"/>
                <w:color w:val="auto"/>
              </w:rPr>
              <w:t>5.00%</w:t>
            </w:r>
          </w:p>
        </w:tc>
        <w:tc>
          <w:tcPr>
            <w:tcW w:w="940" w:type="dxa"/>
            <w:vAlign w:val="bottom"/>
            <w:tcBorders>
              <w:bottom w:val="single" w:sz="8" w:color="auto"/>
              <w:right w:val="single" w:sz="8" w:color="auto"/>
            </w:tcBorders>
          </w:tcPr>
          <w:p>
            <w:pPr>
              <w:jc w:val="center"/>
              <w:ind w:right="83"/>
              <w:spacing w:after="0"/>
              <w:rPr>
                <w:sz w:val="20"/>
                <w:szCs w:val="20"/>
                <w:color w:val="auto"/>
              </w:rPr>
            </w:pPr>
            <w:r>
              <w:rPr>
                <w:rFonts w:ascii="Arial" w:cs="Arial" w:eastAsia="Arial" w:hAnsi="Arial"/>
                <w:sz w:val="11"/>
                <w:szCs w:val="11"/>
                <w:b w:val="1"/>
                <w:bCs w:val="1"/>
                <w:color w:val="auto"/>
              </w:rPr>
              <w:t>4.50%</w:t>
            </w:r>
          </w:p>
        </w:tc>
        <w:tc>
          <w:tcPr>
            <w:tcW w:w="66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b w:val="1"/>
                <w:bCs w:val="1"/>
                <w:color w:val="auto"/>
              </w:rPr>
              <w:t>-50 bps</w:t>
            </w:r>
          </w:p>
        </w:tc>
        <w:tc>
          <w:tcPr>
            <w:tcW w:w="1220" w:type="dxa"/>
            <w:vAlign w:val="bottom"/>
            <w:tcBorders>
              <w:bottom w:val="single" w:sz="8" w:color="auto"/>
              <w:right w:val="single" w:sz="8" w:color="auto"/>
            </w:tcBorders>
          </w:tcPr>
          <w:p>
            <w:pPr>
              <w:jc w:val="center"/>
              <w:ind w:left="183"/>
              <w:spacing w:after="0"/>
              <w:rPr>
                <w:sz w:val="20"/>
                <w:szCs w:val="20"/>
                <w:color w:val="auto"/>
              </w:rPr>
            </w:pPr>
            <w:r>
              <w:rPr>
                <w:rFonts w:ascii="Arial" w:cs="Arial" w:eastAsia="Arial" w:hAnsi="Arial"/>
                <w:sz w:val="11"/>
                <w:szCs w:val="11"/>
                <w:b w:val="1"/>
                <w:bCs w:val="1"/>
                <w:color w:val="auto"/>
              </w:rPr>
              <w:t>-100 bps</w:t>
            </w: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5.50%</w:t>
            </w:r>
          </w:p>
        </w:tc>
        <w:tc>
          <w:tcPr>
            <w:tcW w:w="780" w:type="dxa"/>
            <w:vAlign w:val="bottom"/>
            <w:tcBorders>
              <w:bottom w:val="single" w:sz="8" w:color="auto"/>
              <w:right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4.50%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-100 bps</w:t>
            </w:r>
          </w:p>
        </w:tc>
      </w:tr>
    </w:tbl>
    <w:p>
      <w:pPr>
        <w:spacing w:after="0"/>
        <w:rPr>
          <w:sz w:val="20"/>
          <w:szCs w:val="20"/>
          <w:color w:val="auto"/>
        </w:rPr>
      </w:pPr>
      <w:r>
        <w:rPr>
          <w:rFonts w:ascii="Arial" w:cs="Arial" w:eastAsia="Arial" w:hAnsi="Arial"/>
          <w:sz w:val="11"/>
          <w:szCs w:val="11"/>
          <w:color w:val="auto"/>
        </w:rPr>
        <w:t>(1) For further detail on the new NIM calculation due to IFRS17, please refer to Annex 12.7</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QoQ, Net Interest Income (INI) rose 1.1% due to a drop in Interest and similar expenses, which was spurred by: i) renewals of liabilities at lower rates after the Fed and BCRP instituted rate cuts, and ii) growth in low-cost deposits, which led to a funding composition with lower rates. Net interest income also rose, albeit to a lesser extent, due to growth in the volume of available funds.</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YoY, NII increased 8.4%. This evolution was mainly attributable to growth in Interest and similar income and secondarily by a reduction in Interest and similar expenses. Interest and similar income were boosted primarily by growth in Interest on deposits with banks, which registered a marked increase in volumes in a context of high liquidity. Interest on loans was a secondary contributor to growth in income, buoyed by fine-tuning of pricing management and a consequent increase in rates on working capital loans in the SME-Pyme segment. Interest and similar expenses dropped over the year, driven, as was the case QoQ, by a drop in market rates and a funding composition that included a higher proportion of low-cost deposits.</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full year (FY), NII rose 9.1% in 4Q24, bolstered by growth in Interest and similar income, which was in turn driven by reconfiguring of the loan portfolio to favor a higher proportion of retail loans. A secondary driver was the increase in interest on securities, which were impacted by the strategy to extend the portfolio’s duration by increasing bond holdings. To a lesser extent, a decrease in Interest and similar expenses, which was driven by the same factors seen YoY, contributed to NII growth.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NIM fell 9 bps QoQ to stand at 6.34%. This evolution was due primarily to a lower yield on IEAs, which dropped due to: i) more significant growth in balances in Cash and equivalents, and low growth in Loans, which led to a less profitable mix; and ii) reference rate cuts at the Fed and BCRP, which led to a downward repricing in rates. Although the funding cost continued to follow a downward</w:t>
      </w:r>
    </w:p>
    <w:p>
      <w:pPr>
        <w:spacing w:after="0" w:line="154" w:lineRule="exact"/>
        <w:rPr>
          <w:sz w:val="20"/>
          <w:szCs w:val="20"/>
          <w:color w:val="auto"/>
        </w:rPr>
      </w:pPr>
    </w:p>
    <w:p>
      <w:pPr>
        <w:ind w:left="480" w:hanging="475"/>
        <w:spacing w:after="0"/>
        <w:tabs>
          <w:tab w:leader="none" w:pos="4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Since the implementation of IFRS 9 in 2018.</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6" w:name="page27"/>
    <w:bookmarkEnd w:id="26"/>
    <w:p>
      <w:pPr>
        <w:jc w:val="both"/>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00"/>
        <w:spacing w:after="0"/>
        <w:rPr>
          <w:sz w:val="20"/>
          <w:szCs w:val="20"/>
          <w:color w:val="auto"/>
        </w:rPr>
      </w:pPr>
      <w:r>
        <w:rPr>
          <w:rFonts w:ascii="Calibri" w:cs="Calibri" w:eastAsia="Calibri" w:hAnsi="Calibri"/>
          <w:sz w:val="21"/>
          <w:szCs w:val="21"/>
          <w:b w:val="1"/>
          <w:bCs w:val="1"/>
          <w:color w:val="FFFFFF"/>
        </w:rPr>
        <w:t>04. Net Interest Income (NII)</w:t>
      </w:r>
    </w:p>
    <w:p>
      <w:pPr>
        <w:spacing w:after="0" w:line="237" w:lineRule="exact"/>
        <w:rPr>
          <w:sz w:val="20"/>
          <w:szCs w:val="20"/>
          <w:color w:val="auto"/>
        </w:rPr>
      </w:pPr>
    </w:p>
    <w:p>
      <w:pPr>
        <w:jc w:val="both"/>
        <w:ind w:right="5840"/>
        <w:spacing w:after="0" w:line="279" w:lineRule="auto"/>
        <w:rPr>
          <w:sz w:val="20"/>
          <w:szCs w:val="20"/>
          <w:color w:val="auto"/>
        </w:rPr>
      </w:pPr>
      <w:r>
        <w:rPr>
          <w:rFonts w:ascii="Arial" w:cs="Arial" w:eastAsia="Arial" w:hAnsi="Arial"/>
          <w:sz w:val="15"/>
          <w:szCs w:val="15"/>
          <w:color w:val="auto"/>
        </w:rPr>
        <w:t>trend, the pace slowed alongside an increase in low-cost deposits’ share of the funding mix. Risk-adjusted NIM increased 15 bps due to improvements in client payment performance, which led provisions and the cost of risk to drop.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-373380</wp:posOffset>
            </wp:positionV>
            <wp:extent cx="2747645" cy="1465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47645" cy="1465580"/>
                    </a:xfrm>
                    <a:prstGeom prst="rect">
                      <a:avLst/>
                    </a:prstGeom>
                    <a:noFill/>
                  </pic:spPr>
                </pic:pic>
              </a:graphicData>
            </a:graphic>
          </wp:anchor>
        </w:drawing>
      </w:r>
    </w:p>
    <w:p>
      <w:pPr>
        <w:spacing w:after="0" w:line="113" w:lineRule="exact"/>
        <w:rPr>
          <w:sz w:val="20"/>
          <w:szCs w:val="20"/>
          <w:color w:val="auto"/>
        </w:rPr>
      </w:pPr>
    </w:p>
    <w:p>
      <w:pPr>
        <w:jc w:val="both"/>
        <w:ind w:right="5840"/>
        <w:spacing w:after="0" w:line="245" w:lineRule="auto"/>
        <w:rPr>
          <w:sz w:val="20"/>
          <w:szCs w:val="20"/>
          <w:color w:val="auto"/>
        </w:rPr>
      </w:pPr>
      <w:r>
        <w:rPr>
          <w:rFonts w:ascii="Arial" w:cs="Arial" w:eastAsia="Arial" w:hAnsi="Arial"/>
          <w:sz w:val="16"/>
          <w:szCs w:val="16"/>
          <w:color w:val="auto"/>
        </w:rPr>
        <w:t>NIM rose 29 bps for the FY. This evolution was primarily attributable to a reduction in the cost of funding and secondarily to a resilient yield on IEAs, which was bolstered by growth in retail loans’ share of total loans. Risk-adjusted NIM increased 39 bps FY, to stand at 4.8%, which represents a record high on the back of improvements in the risk profile of the loan portfolio.</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Margin Dynamics by Currency</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24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Interest Income / IEA</w:t>
            </w:r>
          </w:p>
        </w:tc>
        <w:tc>
          <w:tcPr>
            <w:tcW w:w="540" w:type="dxa"/>
            <w:vAlign w:val="bottom"/>
            <w:tcBorders>
              <w:top w:val="single" w:sz="8" w:color="auto"/>
            </w:tcBorders>
            <w:shd w:val="clear" w:color="auto" w:fill="33CCCC"/>
          </w:tcPr>
          <w:p>
            <w:pPr>
              <w:spacing w:after="0"/>
              <w:rPr>
                <w:sz w:val="12"/>
                <w:szCs w:val="12"/>
                <w:color w:val="auto"/>
              </w:rPr>
            </w:pPr>
          </w:p>
        </w:tc>
        <w:tc>
          <w:tcPr>
            <w:tcW w:w="62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4Q23</w:t>
            </w:r>
          </w:p>
        </w:tc>
        <w:tc>
          <w:tcPr>
            <w:tcW w:w="580" w:type="dxa"/>
            <w:vAlign w:val="bottom"/>
            <w:tcBorders>
              <w:top w:val="single" w:sz="8" w:color="auto"/>
              <w:right w:val="single" w:sz="8" w:color="auto"/>
            </w:tcBorders>
            <w:shd w:val="clear" w:color="auto" w:fill="33CCCC"/>
          </w:tcPr>
          <w:p>
            <w:pPr>
              <w:spacing w:after="0"/>
              <w:rPr>
                <w:sz w:val="12"/>
                <w:szCs w:val="12"/>
                <w:color w:val="auto"/>
              </w:rPr>
            </w:pPr>
          </w:p>
        </w:tc>
        <w:tc>
          <w:tcPr>
            <w:tcW w:w="560" w:type="dxa"/>
            <w:vAlign w:val="bottom"/>
            <w:tcBorders>
              <w:top w:val="single" w:sz="8" w:color="auto"/>
            </w:tcBorders>
            <w:shd w:val="clear" w:color="auto" w:fill="33CCCC"/>
          </w:tcPr>
          <w:p>
            <w:pPr>
              <w:spacing w:after="0"/>
              <w:rPr>
                <w:sz w:val="12"/>
                <w:szCs w:val="12"/>
                <w:color w:val="auto"/>
              </w:rPr>
            </w:pPr>
          </w:p>
        </w:tc>
        <w:tc>
          <w:tcPr>
            <w:tcW w:w="62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3Q24</w:t>
            </w:r>
          </w:p>
        </w:tc>
        <w:tc>
          <w:tcPr>
            <w:tcW w:w="580" w:type="dxa"/>
            <w:vAlign w:val="bottom"/>
            <w:tcBorders>
              <w:top w:val="single" w:sz="8" w:color="auto"/>
              <w:right w:val="single" w:sz="8" w:color="auto"/>
            </w:tcBorders>
            <w:shd w:val="clear" w:color="auto" w:fill="33CCCC"/>
          </w:tcPr>
          <w:p>
            <w:pPr>
              <w:spacing w:after="0"/>
              <w:rPr>
                <w:sz w:val="12"/>
                <w:szCs w:val="12"/>
                <w:color w:val="auto"/>
              </w:rPr>
            </w:pPr>
          </w:p>
        </w:tc>
        <w:tc>
          <w:tcPr>
            <w:tcW w:w="560" w:type="dxa"/>
            <w:vAlign w:val="bottom"/>
            <w:tcBorders>
              <w:top w:val="single" w:sz="8" w:color="auto"/>
            </w:tcBorders>
            <w:shd w:val="clear" w:color="auto" w:fill="33CCCC"/>
          </w:tcPr>
          <w:p>
            <w:pPr>
              <w:spacing w:after="0"/>
              <w:rPr>
                <w:sz w:val="12"/>
                <w:szCs w:val="12"/>
                <w:color w:val="auto"/>
              </w:rPr>
            </w:pPr>
          </w:p>
        </w:tc>
        <w:tc>
          <w:tcPr>
            <w:tcW w:w="62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6"/>
              </w:rPr>
              <w:t>4Q24</w:t>
            </w:r>
          </w:p>
        </w:tc>
        <w:tc>
          <w:tcPr>
            <w:tcW w:w="580" w:type="dxa"/>
            <w:vAlign w:val="bottom"/>
            <w:tcBorders>
              <w:top w:val="single" w:sz="8" w:color="auto"/>
              <w:right w:val="single" w:sz="8" w:color="auto"/>
            </w:tcBorders>
            <w:shd w:val="clear" w:color="auto" w:fill="33CCCC"/>
          </w:tcPr>
          <w:p>
            <w:pPr>
              <w:spacing w:after="0"/>
              <w:rPr>
                <w:sz w:val="12"/>
                <w:szCs w:val="12"/>
                <w:color w:val="auto"/>
              </w:rPr>
            </w:pPr>
          </w:p>
        </w:tc>
      </w:tr>
      <w:tr>
        <w:trPr>
          <w:trHeight w:val="131"/>
        </w:trPr>
        <w:tc>
          <w:tcPr>
            <w:tcW w:w="248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 millions</w:t>
            </w:r>
          </w:p>
        </w:tc>
        <w:tc>
          <w:tcPr>
            <w:tcW w:w="540" w:type="dxa"/>
            <w:vAlign w:val="bottom"/>
            <w:shd w:val="clear" w:color="auto" w:fill="33CCCC"/>
          </w:tcPr>
          <w:p>
            <w:pPr>
              <w:ind w:left="40"/>
              <w:spacing w:after="0"/>
              <w:rPr>
                <w:sz w:val="20"/>
                <w:szCs w:val="20"/>
                <w:color w:val="auto"/>
              </w:rPr>
            </w:pPr>
            <w:r>
              <w:rPr>
                <w:rFonts w:ascii="Arial" w:cs="Arial" w:eastAsia="Arial" w:hAnsi="Arial"/>
                <w:sz w:val="11"/>
                <w:szCs w:val="11"/>
                <w:b w:val="1"/>
                <w:bCs w:val="1"/>
                <w:color w:val="FFFFFF"/>
              </w:rPr>
              <w:t>Average</w:t>
            </w:r>
          </w:p>
        </w:tc>
        <w:tc>
          <w:tcPr>
            <w:tcW w:w="620" w:type="dxa"/>
            <w:vAlign w:val="bottom"/>
            <w:shd w:val="clear" w:color="auto" w:fill="33CCCC"/>
          </w:tcPr>
          <w:p>
            <w:pPr>
              <w:spacing w:after="0"/>
              <w:rPr>
                <w:sz w:val="11"/>
                <w:szCs w:val="11"/>
                <w:color w:val="auto"/>
              </w:rPr>
            </w:pPr>
          </w:p>
        </w:tc>
        <w:tc>
          <w:tcPr>
            <w:tcW w:w="580" w:type="dxa"/>
            <w:vAlign w:val="bottom"/>
            <w:tcBorders>
              <w:right w:val="single" w:sz="8" w:color="auto"/>
            </w:tcBorders>
            <w:shd w:val="clear" w:color="auto" w:fill="33CCCC"/>
          </w:tcPr>
          <w:p>
            <w:pPr>
              <w:spacing w:after="0"/>
              <w:rPr>
                <w:sz w:val="11"/>
                <w:szCs w:val="11"/>
                <w:color w:val="auto"/>
              </w:rPr>
            </w:pPr>
          </w:p>
        </w:tc>
        <w:tc>
          <w:tcPr>
            <w:tcW w:w="560" w:type="dxa"/>
            <w:vAlign w:val="bottom"/>
            <w:shd w:val="clear" w:color="auto" w:fill="33CCCC"/>
          </w:tcPr>
          <w:p>
            <w:pPr>
              <w:jc w:val="center"/>
              <w:spacing w:after="0"/>
              <w:rPr>
                <w:sz w:val="20"/>
                <w:szCs w:val="20"/>
                <w:color w:val="auto"/>
              </w:rPr>
            </w:pPr>
            <w:r>
              <w:rPr>
                <w:rFonts w:ascii="Arial" w:cs="Arial" w:eastAsia="Arial" w:hAnsi="Arial"/>
                <w:sz w:val="11"/>
                <w:szCs w:val="11"/>
                <w:b w:val="1"/>
                <w:bCs w:val="1"/>
                <w:color w:val="FFFFFF"/>
              </w:rPr>
              <w:t>Average</w:t>
            </w:r>
          </w:p>
        </w:tc>
        <w:tc>
          <w:tcPr>
            <w:tcW w:w="620" w:type="dxa"/>
            <w:vAlign w:val="bottom"/>
            <w:shd w:val="clear" w:color="auto" w:fill="33CCCC"/>
          </w:tcPr>
          <w:p>
            <w:pPr>
              <w:spacing w:after="0"/>
              <w:rPr>
                <w:sz w:val="11"/>
                <w:szCs w:val="11"/>
                <w:color w:val="auto"/>
              </w:rPr>
            </w:pPr>
          </w:p>
        </w:tc>
        <w:tc>
          <w:tcPr>
            <w:tcW w:w="580" w:type="dxa"/>
            <w:vAlign w:val="bottom"/>
            <w:tcBorders>
              <w:right w:val="single" w:sz="8" w:color="auto"/>
            </w:tcBorders>
            <w:shd w:val="clear" w:color="auto" w:fill="33CCCC"/>
          </w:tcPr>
          <w:p>
            <w:pPr>
              <w:spacing w:after="0"/>
              <w:rPr>
                <w:sz w:val="11"/>
                <w:szCs w:val="11"/>
                <w:color w:val="auto"/>
              </w:rPr>
            </w:pPr>
          </w:p>
        </w:tc>
        <w:tc>
          <w:tcPr>
            <w:tcW w:w="560" w:type="dxa"/>
            <w:vAlign w:val="bottom"/>
            <w:shd w:val="clear" w:color="auto" w:fill="33CCCC"/>
          </w:tcPr>
          <w:p>
            <w:pPr>
              <w:jc w:val="center"/>
              <w:spacing w:after="0"/>
              <w:rPr>
                <w:sz w:val="20"/>
                <w:szCs w:val="20"/>
                <w:color w:val="auto"/>
              </w:rPr>
            </w:pPr>
            <w:r>
              <w:rPr>
                <w:rFonts w:ascii="Arial" w:cs="Arial" w:eastAsia="Arial" w:hAnsi="Arial"/>
                <w:sz w:val="11"/>
                <w:szCs w:val="11"/>
                <w:b w:val="1"/>
                <w:bCs w:val="1"/>
                <w:color w:val="FFFFFF"/>
              </w:rPr>
              <w:t>Average</w:t>
            </w:r>
          </w:p>
        </w:tc>
        <w:tc>
          <w:tcPr>
            <w:tcW w:w="620" w:type="dxa"/>
            <w:vAlign w:val="bottom"/>
            <w:shd w:val="clear" w:color="auto" w:fill="33CCCC"/>
          </w:tcPr>
          <w:p>
            <w:pPr>
              <w:spacing w:after="0"/>
              <w:rPr>
                <w:sz w:val="11"/>
                <w:szCs w:val="11"/>
                <w:color w:val="auto"/>
              </w:rPr>
            </w:pPr>
          </w:p>
        </w:tc>
        <w:tc>
          <w:tcPr>
            <w:tcW w:w="580" w:type="dxa"/>
            <w:vAlign w:val="bottom"/>
            <w:tcBorders>
              <w:right w:val="single" w:sz="8" w:color="auto"/>
            </w:tcBorders>
            <w:shd w:val="clear" w:color="auto" w:fill="33CCCC"/>
          </w:tcPr>
          <w:p>
            <w:pPr>
              <w:spacing w:after="0"/>
              <w:rPr>
                <w:sz w:val="11"/>
                <w:szCs w:val="11"/>
                <w:color w:val="auto"/>
              </w:rPr>
            </w:pPr>
          </w:p>
        </w:tc>
      </w:tr>
      <w:tr>
        <w:trPr>
          <w:trHeight w:val="144"/>
        </w:trPr>
        <w:tc>
          <w:tcPr>
            <w:tcW w:w="248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540" w:type="dxa"/>
            <w:vAlign w:val="bottom"/>
            <w:tcBorders>
              <w:bottom w:val="single" w:sz="8" w:color="auto"/>
            </w:tcBorders>
            <w:shd w:val="clear" w:color="auto" w:fill="33CCCC"/>
          </w:tcPr>
          <w:p>
            <w:pPr>
              <w:ind w:left="40"/>
              <w:spacing w:after="0"/>
              <w:rPr>
                <w:sz w:val="20"/>
                <w:szCs w:val="20"/>
                <w:color w:val="auto"/>
              </w:rPr>
            </w:pPr>
            <w:r>
              <w:rPr>
                <w:rFonts w:ascii="Arial" w:cs="Arial" w:eastAsia="Arial" w:hAnsi="Arial"/>
                <w:sz w:val="11"/>
                <w:szCs w:val="11"/>
                <w:b w:val="1"/>
                <w:bCs w:val="1"/>
                <w:color w:val="FFFFFF"/>
              </w:rPr>
              <w:t>Balance</w:t>
            </w:r>
          </w:p>
        </w:tc>
        <w:tc>
          <w:tcPr>
            <w:tcW w:w="6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Income</w:t>
            </w:r>
          </w:p>
        </w:tc>
        <w:tc>
          <w:tcPr>
            <w:tcW w:w="58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1"/>
                <w:szCs w:val="11"/>
                <w:b w:val="1"/>
                <w:bCs w:val="1"/>
                <w:color w:val="FFFFFF"/>
              </w:rPr>
              <w:t>Yields</w:t>
            </w:r>
          </w:p>
        </w:tc>
        <w:tc>
          <w:tcPr>
            <w:tcW w:w="5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9"/>
              </w:rPr>
              <w:t>Balance</w:t>
            </w:r>
          </w:p>
        </w:tc>
        <w:tc>
          <w:tcPr>
            <w:tcW w:w="6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Income</w:t>
            </w:r>
          </w:p>
        </w:tc>
        <w:tc>
          <w:tcPr>
            <w:tcW w:w="58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1"/>
                <w:szCs w:val="11"/>
                <w:b w:val="1"/>
                <w:bCs w:val="1"/>
                <w:color w:val="FFFFFF"/>
              </w:rPr>
              <w:t>Yields</w:t>
            </w:r>
          </w:p>
        </w:tc>
        <w:tc>
          <w:tcPr>
            <w:tcW w:w="5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Balance</w:t>
            </w:r>
          </w:p>
        </w:tc>
        <w:tc>
          <w:tcPr>
            <w:tcW w:w="6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8"/>
              </w:rPr>
              <w:t>Income</w:t>
            </w:r>
          </w:p>
        </w:tc>
        <w:tc>
          <w:tcPr>
            <w:tcW w:w="58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1"/>
                <w:szCs w:val="11"/>
                <w:b w:val="1"/>
                <w:bCs w:val="1"/>
                <w:color w:val="FFFFFF"/>
              </w:rPr>
              <w:t>Yields</w:t>
            </w:r>
          </w:p>
        </w:tc>
      </w:tr>
      <w:tr>
        <w:trPr>
          <w:trHeight w:val="116"/>
        </w:trPr>
        <w:tc>
          <w:tcPr>
            <w:tcW w:w="248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Cash and equivalents</w:t>
            </w:r>
          </w:p>
        </w:tc>
        <w:tc>
          <w:tcPr>
            <w:tcW w:w="540" w:type="dxa"/>
            <w:vAlign w:val="bottom"/>
          </w:tcPr>
          <w:p>
            <w:pPr>
              <w:jc w:val="center"/>
              <w:spacing w:after="0" w:line="116" w:lineRule="exact"/>
              <w:rPr>
                <w:sz w:val="20"/>
                <w:szCs w:val="20"/>
                <w:color w:val="auto"/>
              </w:rPr>
            </w:pPr>
            <w:r>
              <w:rPr>
                <w:rFonts w:ascii="Arial" w:cs="Arial" w:eastAsia="Arial" w:hAnsi="Arial"/>
                <w:sz w:val="11"/>
                <w:szCs w:val="11"/>
                <w:color w:val="auto"/>
              </w:rPr>
              <w:t>25,443</w:t>
            </w:r>
          </w:p>
        </w:tc>
        <w:tc>
          <w:tcPr>
            <w:tcW w:w="620" w:type="dxa"/>
            <w:vAlign w:val="bottom"/>
          </w:tcPr>
          <w:p>
            <w:pPr>
              <w:jc w:val="center"/>
              <w:spacing w:after="0" w:line="116" w:lineRule="exact"/>
              <w:rPr>
                <w:sz w:val="20"/>
                <w:szCs w:val="20"/>
                <w:color w:val="auto"/>
              </w:rPr>
            </w:pPr>
            <w:r>
              <w:rPr>
                <w:rFonts w:ascii="Arial" w:cs="Arial" w:eastAsia="Arial" w:hAnsi="Arial"/>
                <w:sz w:val="11"/>
                <w:szCs w:val="11"/>
                <w:color w:val="auto"/>
              </w:rPr>
              <w:t>279</w:t>
            </w:r>
          </w:p>
        </w:tc>
        <w:tc>
          <w:tcPr>
            <w:tcW w:w="580" w:type="dxa"/>
            <w:vAlign w:val="bottom"/>
            <w:tcBorders>
              <w:right w:val="single" w:sz="8" w:color="auto"/>
            </w:tcBorders>
          </w:tcPr>
          <w:p>
            <w:pPr>
              <w:jc w:val="center"/>
              <w:ind w:right="3"/>
              <w:spacing w:after="0" w:line="116" w:lineRule="exact"/>
              <w:rPr>
                <w:sz w:val="20"/>
                <w:szCs w:val="20"/>
                <w:color w:val="auto"/>
              </w:rPr>
            </w:pPr>
            <w:r>
              <w:rPr>
                <w:rFonts w:ascii="Arial" w:cs="Arial" w:eastAsia="Arial" w:hAnsi="Arial"/>
                <w:sz w:val="11"/>
                <w:szCs w:val="11"/>
                <w:color w:val="auto"/>
                <w:w w:val="95"/>
              </w:rPr>
              <w:t>4.4%</w:t>
            </w: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auto"/>
              </w:rPr>
              <w:t>32,083</w:t>
            </w:r>
          </w:p>
        </w:tc>
        <w:tc>
          <w:tcPr>
            <w:tcW w:w="620" w:type="dxa"/>
            <w:vAlign w:val="bottom"/>
          </w:tcPr>
          <w:p>
            <w:pPr>
              <w:jc w:val="center"/>
              <w:spacing w:after="0" w:line="116" w:lineRule="exact"/>
              <w:rPr>
                <w:sz w:val="20"/>
                <w:szCs w:val="20"/>
                <w:color w:val="auto"/>
              </w:rPr>
            </w:pPr>
            <w:r>
              <w:rPr>
                <w:rFonts w:ascii="Arial" w:cs="Arial" w:eastAsia="Arial" w:hAnsi="Arial"/>
                <w:sz w:val="11"/>
                <w:szCs w:val="11"/>
                <w:color w:val="auto"/>
                <w:w w:val="97"/>
              </w:rPr>
              <w:t>365</w:t>
            </w:r>
          </w:p>
        </w:tc>
        <w:tc>
          <w:tcPr>
            <w:tcW w:w="580" w:type="dxa"/>
            <w:vAlign w:val="bottom"/>
            <w:tcBorders>
              <w:right w:val="single" w:sz="8" w:color="auto"/>
            </w:tcBorders>
          </w:tcPr>
          <w:p>
            <w:pPr>
              <w:jc w:val="center"/>
              <w:ind w:right="23"/>
              <w:spacing w:after="0" w:line="116" w:lineRule="exact"/>
              <w:rPr>
                <w:sz w:val="20"/>
                <w:szCs w:val="20"/>
                <w:color w:val="auto"/>
              </w:rPr>
            </w:pPr>
            <w:r>
              <w:rPr>
                <w:rFonts w:ascii="Arial" w:cs="Arial" w:eastAsia="Arial" w:hAnsi="Arial"/>
                <w:sz w:val="11"/>
                <w:szCs w:val="11"/>
                <w:color w:val="auto"/>
              </w:rPr>
              <w:t>4.6%</w:t>
            </w: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auto"/>
              </w:rPr>
              <w:t>38,564</w:t>
            </w:r>
          </w:p>
        </w:tc>
        <w:tc>
          <w:tcPr>
            <w:tcW w:w="620" w:type="dxa"/>
            <w:vAlign w:val="bottom"/>
          </w:tcPr>
          <w:p>
            <w:pPr>
              <w:jc w:val="center"/>
              <w:spacing w:after="0" w:line="116" w:lineRule="exact"/>
              <w:rPr>
                <w:sz w:val="20"/>
                <w:szCs w:val="20"/>
                <w:color w:val="auto"/>
              </w:rPr>
            </w:pPr>
            <w:r>
              <w:rPr>
                <w:rFonts w:ascii="Arial" w:cs="Arial" w:eastAsia="Arial" w:hAnsi="Arial"/>
                <w:sz w:val="11"/>
                <w:szCs w:val="11"/>
                <w:color w:val="auto"/>
                <w:w w:val="97"/>
              </w:rPr>
              <w:t>386</w:t>
            </w:r>
          </w:p>
        </w:tc>
        <w:tc>
          <w:tcPr>
            <w:tcW w:w="5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4.0%</w:t>
            </w:r>
          </w:p>
        </w:tc>
      </w:tr>
      <w:tr>
        <w:trPr>
          <w:trHeight w:val="131"/>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 IEA</w:t>
            </w:r>
          </w:p>
        </w:tc>
        <w:tc>
          <w:tcPr>
            <w:tcW w:w="540" w:type="dxa"/>
            <w:vAlign w:val="bottom"/>
          </w:tcPr>
          <w:p>
            <w:pPr>
              <w:jc w:val="center"/>
              <w:spacing w:after="0"/>
              <w:rPr>
                <w:sz w:val="20"/>
                <w:szCs w:val="20"/>
                <w:color w:val="auto"/>
              </w:rPr>
            </w:pPr>
            <w:r>
              <w:rPr>
                <w:rFonts w:ascii="Arial" w:cs="Arial" w:eastAsia="Arial" w:hAnsi="Arial"/>
                <w:sz w:val="11"/>
                <w:szCs w:val="11"/>
                <w:color w:val="auto"/>
              </w:rPr>
              <w:t>1,462</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28</w:t>
            </w:r>
          </w:p>
        </w:tc>
        <w:tc>
          <w:tcPr>
            <w:tcW w:w="580" w:type="dxa"/>
            <w:vAlign w:val="bottom"/>
            <w:tcBorders>
              <w:right w:val="single" w:sz="8" w:color="auto"/>
            </w:tcBorders>
          </w:tcPr>
          <w:p>
            <w:pPr>
              <w:jc w:val="center"/>
              <w:ind w:right="3"/>
              <w:spacing w:after="0"/>
              <w:rPr>
                <w:sz w:val="20"/>
                <w:szCs w:val="20"/>
                <w:color w:val="auto"/>
              </w:rPr>
            </w:pPr>
            <w:r>
              <w:rPr>
                <w:rFonts w:ascii="Arial" w:cs="Arial" w:eastAsia="Arial" w:hAnsi="Arial"/>
                <w:sz w:val="11"/>
                <w:szCs w:val="11"/>
                <w:color w:val="auto"/>
                <w:w w:val="95"/>
              </w:rPr>
              <w:t>7.7%</w:t>
            </w:r>
          </w:p>
        </w:tc>
        <w:tc>
          <w:tcPr>
            <w:tcW w:w="560" w:type="dxa"/>
            <w:vAlign w:val="bottom"/>
          </w:tcPr>
          <w:p>
            <w:pPr>
              <w:jc w:val="center"/>
              <w:spacing w:after="0"/>
              <w:rPr>
                <w:sz w:val="20"/>
                <w:szCs w:val="20"/>
                <w:color w:val="auto"/>
              </w:rPr>
            </w:pPr>
            <w:r>
              <w:rPr>
                <w:rFonts w:ascii="Arial" w:cs="Arial" w:eastAsia="Arial" w:hAnsi="Arial"/>
                <w:sz w:val="11"/>
                <w:szCs w:val="11"/>
                <w:color w:val="auto"/>
              </w:rPr>
              <w:t>1,598</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26</w:t>
            </w:r>
          </w:p>
        </w:tc>
        <w:tc>
          <w:tcPr>
            <w:tcW w:w="580" w:type="dxa"/>
            <w:vAlign w:val="bottom"/>
            <w:tcBorders>
              <w:right w:val="single" w:sz="8" w:color="auto"/>
            </w:tcBorders>
          </w:tcPr>
          <w:p>
            <w:pPr>
              <w:jc w:val="center"/>
              <w:ind w:right="23"/>
              <w:spacing w:after="0"/>
              <w:rPr>
                <w:sz w:val="20"/>
                <w:szCs w:val="20"/>
                <w:color w:val="auto"/>
              </w:rPr>
            </w:pPr>
            <w:r>
              <w:rPr>
                <w:rFonts w:ascii="Arial" w:cs="Arial" w:eastAsia="Arial" w:hAnsi="Arial"/>
                <w:sz w:val="11"/>
                <w:szCs w:val="11"/>
                <w:color w:val="auto"/>
              </w:rPr>
              <w:t>6.5%</w:t>
            </w:r>
          </w:p>
        </w:tc>
        <w:tc>
          <w:tcPr>
            <w:tcW w:w="560" w:type="dxa"/>
            <w:vAlign w:val="bottom"/>
          </w:tcPr>
          <w:p>
            <w:pPr>
              <w:jc w:val="center"/>
              <w:spacing w:after="0"/>
              <w:rPr>
                <w:sz w:val="20"/>
                <w:szCs w:val="20"/>
                <w:color w:val="auto"/>
              </w:rPr>
            </w:pPr>
            <w:r>
              <w:rPr>
                <w:rFonts w:ascii="Arial" w:cs="Arial" w:eastAsia="Arial" w:hAnsi="Arial"/>
                <w:sz w:val="11"/>
                <w:szCs w:val="11"/>
                <w:color w:val="auto"/>
              </w:rPr>
              <w:t>1,227</w:t>
            </w:r>
          </w:p>
        </w:tc>
        <w:tc>
          <w:tcPr>
            <w:tcW w:w="620" w:type="dxa"/>
            <w:vAlign w:val="bottom"/>
          </w:tcPr>
          <w:p>
            <w:pPr>
              <w:jc w:val="center"/>
              <w:spacing w:after="0"/>
              <w:rPr>
                <w:sz w:val="20"/>
                <w:szCs w:val="20"/>
                <w:color w:val="auto"/>
              </w:rPr>
            </w:pPr>
            <w:r>
              <w:rPr>
                <w:rFonts w:ascii="Arial" w:cs="Arial" w:eastAsia="Arial" w:hAnsi="Arial"/>
                <w:sz w:val="11"/>
                <w:szCs w:val="11"/>
                <w:color w:val="auto"/>
              </w:rPr>
              <w:t>18</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5.9%</w:t>
            </w:r>
          </w:p>
        </w:tc>
      </w:tr>
      <w:tr>
        <w:trPr>
          <w:trHeight w:val="131"/>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Investments</w:t>
            </w:r>
          </w:p>
        </w:tc>
        <w:tc>
          <w:tcPr>
            <w:tcW w:w="540" w:type="dxa"/>
            <w:vAlign w:val="bottom"/>
          </w:tcPr>
          <w:p>
            <w:pPr>
              <w:jc w:val="center"/>
              <w:spacing w:after="0"/>
              <w:rPr>
                <w:sz w:val="20"/>
                <w:szCs w:val="20"/>
                <w:color w:val="auto"/>
              </w:rPr>
            </w:pPr>
            <w:r>
              <w:rPr>
                <w:rFonts w:ascii="Arial" w:cs="Arial" w:eastAsia="Arial" w:hAnsi="Arial"/>
                <w:sz w:val="11"/>
                <w:szCs w:val="11"/>
                <w:color w:val="auto"/>
              </w:rPr>
              <w:t>51,666</w:t>
            </w:r>
          </w:p>
        </w:tc>
        <w:tc>
          <w:tcPr>
            <w:tcW w:w="620" w:type="dxa"/>
            <w:vAlign w:val="bottom"/>
          </w:tcPr>
          <w:p>
            <w:pPr>
              <w:jc w:val="center"/>
              <w:spacing w:after="0"/>
              <w:rPr>
                <w:sz w:val="20"/>
                <w:szCs w:val="20"/>
                <w:color w:val="auto"/>
              </w:rPr>
            </w:pPr>
            <w:r>
              <w:rPr>
                <w:rFonts w:ascii="Arial" w:cs="Arial" w:eastAsia="Arial" w:hAnsi="Arial"/>
                <w:sz w:val="11"/>
                <w:szCs w:val="11"/>
                <w:color w:val="auto"/>
              </w:rPr>
              <w:t>656</w:t>
            </w:r>
          </w:p>
        </w:tc>
        <w:tc>
          <w:tcPr>
            <w:tcW w:w="580" w:type="dxa"/>
            <w:vAlign w:val="bottom"/>
            <w:tcBorders>
              <w:right w:val="single" w:sz="8" w:color="auto"/>
            </w:tcBorders>
          </w:tcPr>
          <w:p>
            <w:pPr>
              <w:jc w:val="center"/>
              <w:ind w:right="3"/>
              <w:spacing w:after="0"/>
              <w:rPr>
                <w:sz w:val="20"/>
                <w:szCs w:val="20"/>
                <w:color w:val="auto"/>
              </w:rPr>
            </w:pPr>
            <w:r>
              <w:rPr>
                <w:rFonts w:ascii="Arial" w:cs="Arial" w:eastAsia="Arial" w:hAnsi="Arial"/>
                <w:sz w:val="11"/>
                <w:szCs w:val="11"/>
                <w:color w:val="auto"/>
                <w:w w:val="95"/>
              </w:rPr>
              <w:t>5.1%</w:t>
            </w:r>
          </w:p>
        </w:tc>
        <w:tc>
          <w:tcPr>
            <w:tcW w:w="560" w:type="dxa"/>
            <w:vAlign w:val="bottom"/>
          </w:tcPr>
          <w:p>
            <w:pPr>
              <w:jc w:val="center"/>
              <w:spacing w:after="0"/>
              <w:rPr>
                <w:sz w:val="20"/>
                <w:szCs w:val="20"/>
                <w:color w:val="auto"/>
              </w:rPr>
            </w:pPr>
            <w:r>
              <w:rPr>
                <w:rFonts w:ascii="Arial" w:cs="Arial" w:eastAsia="Arial" w:hAnsi="Arial"/>
                <w:sz w:val="11"/>
                <w:szCs w:val="11"/>
                <w:color w:val="auto"/>
              </w:rPr>
              <w:t>52,877</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681</w:t>
            </w:r>
          </w:p>
        </w:tc>
        <w:tc>
          <w:tcPr>
            <w:tcW w:w="580" w:type="dxa"/>
            <w:vAlign w:val="bottom"/>
            <w:tcBorders>
              <w:right w:val="single" w:sz="8" w:color="auto"/>
            </w:tcBorders>
          </w:tcPr>
          <w:p>
            <w:pPr>
              <w:jc w:val="center"/>
              <w:ind w:right="23"/>
              <w:spacing w:after="0"/>
              <w:rPr>
                <w:sz w:val="20"/>
                <w:szCs w:val="20"/>
                <w:color w:val="auto"/>
              </w:rPr>
            </w:pPr>
            <w:r>
              <w:rPr>
                <w:rFonts w:ascii="Arial" w:cs="Arial" w:eastAsia="Arial" w:hAnsi="Arial"/>
                <w:sz w:val="11"/>
                <w:szCs w:val="11"/>
                <w:color w:val="auto"/>
              </w:rPr>
              <w:t>5.2%</w:t>
            </w:r>
          </w:p>
        </w:tc>
        <w:tc>
          <w:tcPr>
            <w:tcW w:w="560" w:type="dxa"/>
            <w:vAlign w:val="bottom"/>
          </w:tcPr>
          <w:p>
            <w:pPr>
              <w:jc w:val="center"/>
              <w:spacing w:after="0"/>
              <w:rPr>
                <w:sz w:val="20"/>
                <w:szCs w:val="20"/>
                <w:color w:val="auto"/>
              </w:rPr>
            </w:pPr>
            <w:r>
              <w:rPr>
                <w:rFonts w:ascii="Arial" w:cs="Arial" w:eastAsia="Arial" w:hAnsi="Arial"/>
                <w:sz w:val="11"/>
                <w:szCs w:val="11"/>
                <w:color w:val="auto"/>
              </w:rPr>
              <w:t>53,578</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667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5.0%</w:t>
            </w:r>
          </w:p>
        </w:tc>
      </w:tr>
      <w:tr>
        <w:trPr>
          <w:trHeight w:val="131"/>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Loans</w:t>
            </w:r>
          </w:p>
        </w:tc>
        <w:tc>
          <w:tcPr>
            <w:tcW w:w="540" w:type="dxa"/>
            <w:vAlign w:val="bottom"/>
          </w:tcPr>
          <w:p>
            <w:pPr>
              <w:jc w:val="center"/>
              <w:spacing w:after="0"/>
              <w:rPr>
                <w:sz w:val="20"/>
                <w:szCs w:val="20"/>
                <w:color w:val="auto"/>
              </w:rPr>
            </w:pPr>
            <w:r>
              <w:rPr>
                <w:rFonts w:ascii="Arial" w:cs="Arial" w:eastAsia="Arial" w:hAnsi="Arial"/>
                <w:sz w:val="11"/>
                <w:szCs w:val="11"/>
                <w:color w:val="auto"/>
              </w:rPr>
              <w:t>145,053</w:t>
            </w:r>
          </w:p>
        </w:tc>
        <w:tc>
          <w:tcPr>
            <w:tcW w:w="620" w:type="dxa"/>
            <w:vAlign w:val="bottom"/>
          </w:tcPr>
          <w:p>
            <w:pPr>
              <w:jc w:val="center"/>
              <w:spacing w:after="0"/>
              <w:rPr>
                <w:sz w:val="20"/>
                <w:szCs w:val="20"/>
                <w:color w:val="auto"/>
              </w:rPr>
            </w:pPr>
            <w:r>
              <w:rPr>
                <w:rFonts w:ascii="Arial" w:cs="Arial" w:eastAsia="Arial" w:hAnsi="Arial"/>
                <w:sz w:val="11"/>
                <w:szCs w:val="11"/>
                <w:color w:val="auto"/>
              </w:rPr>
              <w:t>3,908</w:t>
            </w:r>
          </w:p>
        </w:tc>
        <w:tc>
          <w:tcPr>
            <w:tcW w:w="580" w:type="dxa"/>
            <w:vAlign w:val="bottom"/>
            <w:tcBorders>
              <w:right w:val="single" w:sz="8" w:color="auto"/>
            </w:tcBorders>
          </w:tcPr>
          <w:p>
            <w:pPr>
              <w:jc w:val="center"/>
              <w:ind w:right="3"/>
              <w:spacing w:after="0"/>
              <w:rPr>
                <w:sz w:val="20"/>
                <w:szCs w:val="20"/>
                <w:color w:val="auto"/>
              </w:rPr>
            </w:pPr>
            <w:r>
              <w:rPr>
                <w:rFonts w:ascii="Arial" w:cs="Arial" w:eastAsia="Arial" w:hAnsi="Arial"/>
                <w:sz w:val="11"/>
                <w:szCs w:val="11"/>
                <w:color w:val="auto"/>
              </w:rPr>
              <w:t>10.8%</w:t>
            </w:r>
          </w:p>
        </w:tc>
        <w:tc>
          <w:tcPr>
            <w:tcW w:w="560" w:type="dxa"/>
            <w:vAlign w:val="bottom"/>
          </w:tcPr>
          <w:p>
            <w:pPr>
              <w:jc w:val="center"/>
              <w:spacing w:after="0"/>
              <w:rPr>
                <w:sz w:val="20"/>
                <w:szCs w:val="20"/>
                <w:color w:val="auto"/>
              </w:rPr>
            </w:pPr>
            <w:r>
              <w:rPr>
                <w:rFonts w:ascii="Arial" w:cs="Arial" w:eastAsia="Arial" w:hAnsi="Arial"/>
                <w:sz w:val="11"/>
                <w:szCs w:val="11"/>
                <w:color w:val="auto"/>
              </w:rPr>
              <w:t>144,757</w:t>
            </w:r>
          </w:p>
        </w:tc>
        <w:tc>
          <w:tcPr>
            <w:tcW w:w="620" w:type="dxa"/>
            <w:vAlign w:val="bottom"/>
          </w:tcPr>
          <w:p>
            <w:pPr>
              <w:jc w:val="center"/>
              <w:spacing w:after="0"/>
              <w:rPr>
                <w:sz w:val="20"/>
                <w:szCs w:val="20"/>
                <w:color w:val="auto"/>
              </w:rPr>
            </w:pPr>
            <w:r>
              <w:rPr>
                <w:rFonts w:ascii="Arial" w:cs="Arial" w:eastAsia="Arial" w:hAnsi="Arial"/>
                <w:sz w:val="11"/>
                <w:szCs w:val="11"/>
                <w:color w:val="auto"/>
              </w:rPr>
              <w:t>3,924</w:t>
            </w:r>
          </w:p>
        </w:tc>
        <w:tc>
          <w:tcPr>
            <w:tcW w:w="580" w:type="dxa"/>
            <w:vAlign w:val="bottom"/>
            <w:tcBorders>
              <w:right w:val="single" w:sz="8" w:color="auto"/>
            </w:tcBorders>
          </w:tcPr>
          <w:p>
            <w:pPr>
              <w:jc w:val="center"/>
              <w:ind w:right="3"/>
              <w:spacing w:after="0"/>
              <w:rPr>
                <w:sz w:val="20"/>
                <w:szCs w:val="20"/>
                <w:color w:val="auto"/>
              </w:rPr>
            </w:pPr>
            <w:r>
              <w:rPr>
                <w:rFonts w:ascii="Arial" w:cs="Arial" w:eastAsia="Arial" w:hAnsi="Arial"/>
                <w:sz w:val="11"/>
                <w:szCs w:val="11"/>
                <w:color w:val="auto"/>
              </w:rPr>
              <w:t>10.8%</w:t>
            </w:r>
          </w:p>
        </w:tc>
        <w:tc>
          <w:tcPr>
            <w:tcW w:w="560" w:type="dxa"/>
            <w:vAlign w:val="bottom"/>
          </w:tcPr>
          <w:p>
            <w:pPr>
              <w:jc w:val="center"/>
              <w:spacing w:after="0"/>
              <w:rPr>
                <w:sz w:val="20"/>
                <w:szCs w:val="20"/>
                <w:color w:val="auto"/>
              </w:rPr>
            </w:pPr>
            <w:r>
              <w:rPr>
                <w:rFonts w:ascii="Arial" w:cs="Arial" w:eastAsia="Arial" w:hAnsi="Arial"/>
                <w:sz w:val="11"/>
                <w:szCs w:val="11"/>
                <w:color w:val="auto"/>
              </w:rPr>
              <w:t>144,150</w:t>
            </w:r>
          </w:p>
        </w:tc>
        <w:tc>
          <w:tcPr>
            <w:tcW w:w="620" w:type="dxa"/>
            <w:vAlign w:val="bottom"/>
          </w:tcPr>
          <w:p>
            <w:pPr>
              <w:jc w:val="center"/>
              <w:spacing w:after="0"/>
              <w:rPr>
                <w:sz w:val="20"/>
                <w:szCs w:val="20"/>
                <w:color w:val="auto"/>
              </w:rPr>
            </w:pPr>
            <w:r>
              <w:rPr>
                <w:rFonts w:ascii="Arial" w:cs="Arial" w:eastAsia="Arial" w:hAnsi="Arial"/>
                <w:sz w:val="11"/>
                <w:szCs w:val="11"/>
                <w:color w:val="auto"/>
              </w:rPr>
              <w:t>3,940</w:t>
            </w:r>
          </w:p>
        </w:tc>
        <w:tc>
          <w:tcPr>
            <w:tcW w:w="580" w:type="dxa"/>
            <w:vAlign w:val="bottom"/>
            <w:tcBorders>
              <w:right w:val="single" w:sz="8" w:color="auto"/>
            </w:tcBorders>
          </w:tcPr>
          <w:p>
            <w:pPr>
              <w:jc w:val="center"/>
              <w:ind w:right="3"/>
              <w:spacing w:after="0"/>
              <w:rPr>
                <w:sz w:val="20"/>
                <w:szCs w:val="20"/>
                <w:color w:val="auto"/>
              </w:rPr>
            </w:pPr>
            <w:r>
              <w:rPr>
                <w:rFonts w:ascii="Arial" w:cs="Arial" w:eastAsia="Arial" w:hAnsi="Arial"/>
                <w:sz w:val="11"/>
                <w:szCs w:val="11"/>
                <w:color w:val="auto"/>
              </w:rPr>
              <w:t>10.9%</w:t>
            </w:r>
          </w:p>
        </w:tc>
      </w:tr>
      <w:tr>
        <w:trPr>
          <w:trHeight w:val="152"/>
        </w:trPr>
        <w:tc>
          <w:tcPr>
            <w:tcW w:w="2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IEA</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223,624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4,871</w:t>
            </w:r>
          </w:p>
        </w:tc>
        <w:tc>
          <w:tcPr>
            <w:tcW w:w="5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b w:val="1"/>
                <w:bCs w:val="1"/>
                <w:color w:val="auto"/>
                <w:w w:val="95"/>
              </w:rPr>
              <w:t>8.7%</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231,315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4,996</w:t>
            </w:r>
          </w:p>
        </w:tc>
        <w:tc>
          <w:tcPr>
            <w:tcW w:w="580" w:type="dxa"/>
            <w:vAlign w:val="bottom"/>
            <w:tcBorders>
              <w:bottom w:val="single" w:sz="8" w:color="auto"/>
              <w:right w:val="single" w:sz="8" w:color="auto"/>
            </w:tcBorders>
          </w:tcPr>
          <w:p>
            <w:pPr>
              <w:jc w:val="center"/>
              <w:ind w:right="23"/>
              <w:spacing w:after="0"/>
              <w:rPr>
                <w:sz w:val="20"/>
                <w:szCs w:val="20"/>
                <w:color w:val="auto"/>
              </w:rPr>
            </w:pPr>
            <w:r>
              <w:rPr>
                <w:rFonts w:ascii="Arial" w:cs="Arial" w:eastAsia="Arial" w:hAnsi="Arial"/>
                <w:sz w:val="11"/>
                <w:szCs w:val="11"/>
                <w:b w:val="1"/>
                <w:bCs w:val="1"/>
                <w:color w:val="auto"/>
              </w:rPr>
              <w:t>8.6%</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237,519</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5,011</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8.4%</w:t>
            </w:r>
          </w:p>
        </w:tc>
      </w:tr>
      <w:tr>
        <w:trPr>
          <w:trHeight w:val="124"/>
        </w:trPr>
        <w:tc>
          <w:tcPr>
            <w:tcW w:w="24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IEA (LC)</w:t>
            </w:r>
          </w:p>
        </w:tc>
        <w:tc>
          <w:tcPr>
            <w:tcW w:w="5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57.6%</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70.5%</w:t>
            </w:r>
          </w:p>
        </w:tc>
        <w:tc>
          <w:tcPr>
            <w:tcW w:w="580" w:type="dxa"/>
            <w:vAlign w:val="bottom"/>
            <w:tcBorders>
              <w:bottom w:val="single" w:sz="8" w:color="auto"/>
              <w:right w:val="single" w:sz="8" w:color="auto"/>
            </w:tcBorders>
          </w:tcPr>
          <w:p>
            <w:pPr>
              <w:jc w:val="center"/>
              <w:ind w:right="3"/>
              <w:spacing w:after="0" w:line="124" w:lineRule="exact"/>
              <w:rPr>
                <w:sz w:val="20"/>
                <w:szCs w:val="20"/>
                <w:color w:val="auto"/>
              </w:rPr>
            </w:pPr>
            <w:r>
              <w:rPr>
                <w:rFonts w:ascii="Arial" w:cs="Arial" w:eastAsia="Arial" w:hAnsi="Arial"/>
                <w:sz w:val="11"/>
                <w:szCs w:val="11"/>
                <w:color w:val="auto"/>
              </w:rPr>
              <w:t>10.7%</w:t>
            </w:r>
          </w:p>
        </w:tc>
        <w:tc>
          <w:tcPr>
            <w:tcW w:w="5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55.7%</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68.8%</w:t>
            </w:r>
          </w:p>
        </w:tc>
        <w:tc>
          <w:tcPr>
            <w:tcW w:w="580" w:type="dxa"/>
            <w:vAlign w:val="bottom"/>
            <w:tcBorders>
              <w:bottom w:val="single" w:sz="8" w:color="auto"/>
              <w:right w:val="single" w:sz="8" w:color="auto"/>
            </w:tcBorders>
          </w:tcPr>
          <w:p>
            <w:pPr>
              <w:jc w:val="center"/>
              <w:ind w:right="3"/>
              <w:spacing w:after="0" w:line="124" w:lineRule="exact"/>
              <w:rPr>
                <w:sz w:val="20"/>
                <w:szCs w:val="20"/>
                <w:color w:val="auto"/>
              </w:rPr>
            </w:pPr>
            <w:r>
              <w:rPr>
                <w:rFonts w:ascii="Arial" w:cs="Arial" w:eastAsia="Arial" w:hAnsi="Arial"/>
                <w:sz w:val="11"/>
                <w:szCs w:val="11"/>
                <w:color w:val="auto"/>
              </w:rPr>
              <w:t>10.7%</w:t>
            </w:r>
          </w:p>
        </w:tc>
        <w:tc>
          <w:tcPr>
            <w:tcW w:w="5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54.7%</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68.8%</w:t>
            </w:r>
          </w:p>
        </w:tc>
        <w:tc>
          <w:tcPr>
            <w:tcW w:w="580" w:type="dxa"/>
            <w:vAlign w:val="bottom"/>
            <w:tcBorders>
              <w:bottom w:val="single" w:sz="8" w:color="auto"/>
              <w:right w:val="single" w:sz="8" w:color="auto"/>
            </w:tcBorders>
          </w:tcPr>
          <w:p>
            <w:pPr>
              <w:jc w:val="center"/>
              <w:ind w:right="3"/>
              <w:spacing w:after="0" w:line="124" w:lineRule="exact"/>
              <w:rPr>
                <w:sz w:val="20"/>
                <w:szCs w:val="20"/>
                <w:color w:val="auto"/>
              </w:rPr>
            </w:pPr>
            <w:r>
              <w:rPr>
                <w:rFonts w:ascii="Arial" w:cs="Arial" w:eastAsia="Arial" w:hAnsi="Arial"/>
                <w:sz w:val="11"/>
                <w:szCs w:val="11"/>
                <w:color w:val="auto"/>
              </w:rPr>
              <w:t>10.6%</w:t>
            </w:r>
          </w:p>
        </w:tc>
      </w:tr>
      <w:tr>
        <w:trPr>
          <w:trHeight w:val="124"/>
        </w:trPr>
        <w:tc>
          <w:tcPr>
            <w:tcW w:w="24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IEA (FC)</w:t>
            </w:r>
          </w:p>
        </w:tc>
        <w:tc>
          <w:tcPr>
            <w:tcW w:w="5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42.4%</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29.5%</w:t>
            </w:r>
          </w:p>
        </w:tc>
        <w:tc>
          <w:tcPr>
            <w:tcW w:w="580" w:type="dxa"/>
            <w:vAlign w:val="bottom"/>
            <w:tcBorders>
              <w:bottom w:val="single" w:sz="8" w:color="auto"/>
              <w:right w:val="single" w:sz="8" w:color="auto"/>
            </w:tcBorders>
          </w:tcPr>
          <w:p>
            <w:pPr>
              <w:jc w:val="center"/>
              <w:ind w:right="3"/>
              <w:spacing w:after="0" w:line="124" w:lineRule="exact"/>
              <w:rPr>
                <w:sz w:val="20"/>
                <w:szCs w:val="20"/>
                <w:color w:val="auto"/>
              </w:rPr>
            </w:pPr>
            <w:r>
              <w:rPr>
                <w:rFonts w:ascii="Arial" w:cs="Arial" w:eastAsia="Arial" w:hAnsi="Arial"/>
                <w:sz w:val="11"/>
                <w:szCs w:val="11"/>
                <w:color w:val="auto"/>
                <w:w w:val="95"/>
              </w:rPr>
              <w:t>6.1%</w:t>
            </w:r>
          </w:p>
        </w:tc>
        <w:tc>
          <w:tcPr>
            <w:tcW w:w="5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44.3%</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31.2%</w:t>
            </w:r>
          </w:p>
        </w:tc>
        <w:tc>
          <w:tcPr>
            <w:tcW w:w="580" w:type="dxa"/>
            <w:vAlign w:val="bottom"/>
            <w:tcBorders>
              <w:bottom w:val="single" w:sz="8" w:color="auto"/>
              <w:right w:val="single" w:sz="8" w:color="auto"/>
            </w:tcBorders>
          </w:tcPr>
          <w:p>
            <w:pPr>
              <w:jc w:val="center"/>
              <w:ind w:right="23"/>
              <w:spacing w:after="0" w:line="124" w:lineRule="exact"/>
              <w:rPr>
                <w:sz w:val="20"/>
                <w:szCs w:val="20"/>
                <w:color w:val="auto"/>
              </w:rPr>
            </w:pPr>
            <w:r>
              <w:rPr>
                <w:rFonts w:ascii="Arial" w:cs="Arial" w:eastAsia="Arial" w:hAnsi="Arial"/>
                <w:sz w:val="11"/>
                <w:szCs w:val="11"/>
                <w:color w:val="auto"/>
              </w:rPr>
              <w:t>6.1%</w:t>
            </w:r>
          </w:p>
        </w:tc>
        <w:tc>
          <w:tcPr>
            <w:tcW w:w="5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45.3%</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31.2%</w:t>
            </w:r>
          </w:p>
        </w:tc>
        <w:tc>
          <w:tcPr>
            <w:tcW w:w="5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5.8%</w:t>
            </w:r>
          </w:p>
        </w:tc>
      </w:tr>
      <w:tr>
        <w:trPr>
          <w:trHeight w:val="177"/>
        </w:trPr>
        <w:tc>
          <w:tcPr>
            <w:tcW w:w="24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24"/>
        </w:trPr>
        <w:tc>
          <w:tcPr>
            <w:tcW w:w="2480" w:type="dxa"/>
            <w:vAlign w:val="bottom"/>
            <w:tcBorders>
              <w:left w:val="single" w:sz="8" w:color="auto"/>
              <w:right w:val="single" w:sz="8" w:color="auto"/>
            </w:tcBorders>
            <w:shd w:val="clear" w:color="auto" w:fill="33CCCC"/>
          </w:tcPr>
          <w:p>
            <w:pPr>
              <w:ind w:left="20"/>
              <w:spacing w:after="0" w:line="124" w:lineRule="exact"/>
              <w:rPr>
                <w:sz w:val="20"/>
                <w:szCs w:val="20"/>
                <w:color w:val="auto"/>
              </w:rPr>
            </w:pPr>
            <w:r>
              <w:rPr>
                <w:rFonts w:ascii="Arial" w:cs="Arial" w:eastAsia="Arial" w:hAnsi="Arial"/>
                <w:sz w:val="11"/>
                <w:szCs w:val="11"/>
                <w:b w:val="1"/>
                <w:bCs w:val="1"/>
                <w:color w:val="FFFFFF"/>
              </w:rPr>
              <w:t>Interest Expense / Funding</w:t>
            </w:r>
          </w:p>
        </w:tc>
        <w:tc>
          <w:tcPr>
            <w:tcW w:w="540" w:type="dxa"/>
            <w:vAlign w:val="bottom"/>
            <w:shd w:val="clear" w:color="auto" w:fill="33CCCC"/>
          </w:tcPr>
          <w:p>
            <w:pPr>
              <w:spacing w:after="0"/>
              <w:rPr>
                <w:sz w:val="10"/>
                <w:szCs w:val="10"/>
                <w:color w:val="auto"/>
              </w:rPr>
            </w:pPr>
          </w:p>
        </w:tc>
        <w:tc>
          <w:tcPr>
            <w:tcW w:w="620" w:type="dxa"/>
            <w:vAlign w:val="bottom"/>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6"/>
              </w:rPr>
              <w:t>4Q23</w:t>
            </w:r>
          </w:p>
        </w:tc>
        <w:tc>
          <w:tcPr>
            <w:tcW w:w="580" w:type="dxa"/>
            <w:vAlign w:val="bottom"/>
            <w:tcBorders>
              <w:right w:val="single" w:sz="8" w:color="auto"/>
            </w:tcBorders>
            <w:shd w:val="clear" w:color="auto" w:fill="33CCCC"/>
          </w:tcPr>
          <w:p>
            <w:pPr>
              <w:spacing w:after="0"/>
              <w:rPr>
                <w:sz w:val="10"/>
                <w:szCs w:val="10"/>
                <w:color w:val="auto"/>
              </w:rPr>
            </w:pPr>
          </w:p>
        </w:tc>
        <w:tc>
          <w:tcPr>
            <w:tcW w:w="560" w:type="dxa"/>
            <w:vAlign w:val="bottom"/>
            <w:shd w:val="clear" w:color="auto" w:fill="33CCCC"/>
          </w:tcPr>
          <w:p>
            <w:pPr>
              <w:spacing w:after="0"/>
              <w:rPr>
                <w:sz w:val="10"/>
                <w:szCs w:val="10"/>
                <w:color w:val="auto"/>
              </w:rPr>
            </w:pPr>
          </w:p>
        </w:tc>
        <w:tc>
          <w:tcPr>
            <w:tcW w:w="620" w:type="dxa"/>
            <w:vAlign w:val="bottom"/>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rPr>
              <w:t>3Q24</w:t>
            </w:r>
          </w:p>
        </w:tc>
        <w:tc>
          <w:tcPr>
            <w:tcW w:w="580" w:type="dxa"/>
            <w:vAlign w:val="bottom"/>
            <w:tcBorders>
              <w:right w:val="single" w:sz="8" w:color="auto"/>
            </w:tcBorders>
            <w:shd w:val="clear" w:color="auto" w:fill="33CCCC"/>
          </w:tcPr>
          <w:p>
            <w:pPr>
              <w:spacing w:after="0"/>
              <w:rPr>
                <w:sz w:val="10"/>
                <w:szCs w:val="10"/>
                <w:color w:val="auto"/>
              </w:rPr>
            </w:pPr>
          </w:p>
        </w:tc>
        <w:tc>
          <w:tcPr>
            <w:tcW w:w="560" w:type="dxa"/>
            <w:vAlign w:val="bottom"/>
            <w:shd w:val="clear" w:color="auto" w:fill="33CCCC"/>
          </w:tcPr>
          <w:p>
            <w:pPr>
              <w:spacing w:after="0"/>
              <w:rPr>
                <w:sz w:val="10"/>
                <w:szCs w:val="10"/>
                <w:color w:val="auto"/>
              </w:rPr>
            </w:pPr>
          </w:p>
        </w:tc>
        <w:tc>
          <w:tcPr>
            <w:tcW w:w="620" w:type="dxa"/>
            <w:vAlign w:val="bottom"/>
            <w:shd w:val="clear" w:color="auto" w:fill="33CCCC"/>
          </w:tcPr>
          <w:p>
            <w:pPr>
              <w:ind w:left="40"/>
              <w:spacing w:after="0" w:line="124" w:lineRule="exact"/>
              <w:rPr>
                <w:sz w:val="20"/>
                <w:szCs w:val="20"/>
                <w:color w:val="auto"/>
              </w:rPr>
            </w:pPr>
            <w:r>
              <w:rPr>
                <w:rFonts w:ascii="Arial" w:cs="Arial" w:eastAsia="Arial" w:hAnsi="Arial"/>
                <w:sz w:val="11"/>
                <w:szCs w:val="11"/>
                <w:color w:val="FFFFFF"/>
              </w:rPr>
              <w:t>4Q24</w:t>
            </w:r>
          </w:p>
        </w:tc>
        <w:tc>
          <w:tcPr>
            <w:tcW w:w="580" w:type="dxa"/>
            <w:vAlign w:val="bottom"/>
            <w:tcBorders>
              <w:right w:val="single" w:sz="8" w:color="auto"/>
            </w:tcBorders>
            <w:shd w:val="clear" w:color="auto" w:fill="33CCCC"/>
          </w:tcPr>
          <w:p>
            <w:pPr>
              <w:spacing w:after="0"/>
              <w:rPr>
                <w:sz w:val="10"/>
                <w:szCs w:val="10"/>
                <w:color w:val="auto"/>
              </w:rPr>
            </w:pPr>
          </w:p>
        </w:tc>
      </w:tr>
      <w:tr>
        <w:trPr>
          <w:trHeight w:val="131"/>
        </w:trPr>
        <w:tc>
          <w:tcPr>
            <w:tcW w:w="248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 millions</w:t>
            </w:r>
          </w:p>
        </w:tc>
        <w:tc>
          <w:tcPr>
            <w:tcW w:w="540" w:type="dxa"/>
            <w:vAlign w:val="bottom"/>
            <w:shd w:val="clear" w:color="auto" w:fill="33CCCC"/>
          </w:tcPr>
          <w:p>
            <w:pPr>
              <w:ind w:left="60"/>
              <w:spacing w:after="0"/>
              <w:rPr>
                <w:sz w:val="20"/>
                <w:szCs w:val="20"/>
                <w:color w:val="auto"/>
              </w:rPr>
            </w:pPr>
            <w:r>
              <w:rPr>
                <w:rFonts w:ascii="Arial" w:cs="Arial" w:eastAsia="Arial" w:hAnsi="Arial"/>
                <w:sz w:val="11"/>
                <w:szCs w:val="11"/>
                <w:b w:val="1"/>
                <w:bCs w:val="1"/>
                <w:color w:val="FFFFFF"/>
              </w:rPr>
              <w:t>Average</w:t>
            </w:r>
          </w:p>
        </w:tc>
        <w:tc>
          <w:tcPr>
            <w:tcW w:w="620" w:type="dxa"/>
            <w:vAlign w:val="bottom"/>
            <w:shd w:val="clear" w:color="auto" w:fill="33CCCC"/>
          </w:tcPr>
          <w:p>
            <w:pPr>
              <w:spacing w:after="0"/>
              <w:rPr>
                <w:sz w:val="11"/>
                <w:szCs w:val="11"/>
                <w:color w:val="auto"/>
              </w:rPr>
            </w:pPr>
          </w:p>
        </w:tc>
        <w:tc>
          <w:tcPr>
            <w:tcW w:w="580" w:type="dxa"/>
            <w:vAlign w:val="bottom"/>
            <w:tcBorders>
              <w:right w:val="single" w:sz="8" w:color="auto"/>
            </w:tcBorders>
            <w:shd w:val="clear" w:color="auto" w:fill="33CCCC"/>
          </w:tcPr>
          <w:p>
            <w:pPr>
              <w:spacing w:after="0"/>
              <w:rPr>
                <w:sz w:val="11"/>
                <w:szCs w:val="11"/>
                <w:color w:val="auto"/>
              </w:rPr>
            </w:pPr>
          </w:p>
        </w:tc>
        <w:tc>
          <w:tcPr>
            <w:tcW w:w="560" w:type="dxa"/>
            <w:vAlign w:val="bottom"/>
            <w:shd w:val="clear" w:color="auto" w:fill="33CCCC"/>
          </w:tcPr>
          <w:p>
            <w:pPr>
              <w:jc w:val="center"/>
              <w:spacing w:after="0"/>
              <w:rPr>
                <w:sz w:val="20"/>
                <w:szCs w:val="20"/>
                <w:color w:val="auto"/>
              </w:rPr>
            </w:pPr>
            <w:r>
              <w:rPr>
                <w:rFonts w:ascii="Arial" w:cs="Arial" w:eastAsia="Arial" w:hAnsi="Arial"/>
                <w:sz w:val="11"/>
                <w:szCs w:val="11"/>
                <w:b w:val="1"/>
                <w:bCs w:val="1"/>
                <w:color w:val="FFFFFF"/>
              </w:rPr>
              <w:t>Average</w:t>
            </w:r>
          </w:p>
        </w:tc>
        <w:tc>
          <w:tcPr>
            <w:tcW w:w="620" w:type="dxa"/>
            <w:vAlign w:val="bottom"/>
            <w:shd w:val="clear" w:color="auto" w:fill="33CCCC"/>
          </w:tcPr>
          <w:p>
            <w:pPr>
              <w:spacing w:after="0"/>
              <w:rPr>
                <w:sz w:val="11"/>
                <w:szCs w:val="11"/>
                <w:color w:val="auto"/>
              </w:rPr>
            </w:pPr>
          </w:p>
        </w:tc>
        <w:tc>
          <w:tcPr>
            <w:tcW w:w="580" w:type="dxa"/>
            <w:vAlign w:val="bottom"/>
            <w:tcBorders>
              <w:right w:val="single" w:sz="8" w:color="auto"/>
            </w:tcBorders>
            <w:shd w:val="clear" w:color="auto" w:fill="33CCCC"/>
          </w:tcPr>
          <w:p>
            <w:pPr>
              <w:spacing w:after="0"/>
              <w:rPr>
                <w:sz w:val="11"/>
                <w:szCs w:val="11"/>
                <w:color w:val="auto"/>
              </w:rPr>
            </w:pPr>
          </w:p>
        </w:tc>
        <w:tc>
          <w:tcPr>
            <w:tcW w:w="560" w:type="dxa"/>
            <w:vAlign w:val="bottom"/>
            <w:shd w:val="clear" w:color="auto" w:fill="33CCCC"/>
          </w:tcPr>
          <w:p>
            <w:pPr>
              <w:jc w:val="center"/>
              <w:spacing w:after="0"/>
              <w:rPr>
                <w:sz w:val="20"/>
                <w:szCs w:val="20"/>
                <w:color w:val="auto"/>
              </w:rPr>
            </w:pPr>
            <w:r>
              <w:rPr>
                <w:rFonts w:ascii="Arial" w:cs="Arial" w:eastAsia="Arial" w:hAnsi="Arial"/>
                <w:sz w:val="11"/>
                <w:szCs w:val="11"/>
                <w:b w:val="1"/>
                <w:bCs w:val="1"/>
                <w:color w:val="FFFFFF"/>
              </w:rPr>
              <w:t>Average</w:t>
            </w:r>
          </w:p>
        </w:tc>
        <w:tc>
          <w:tcPr>
            <w:tcW w:w="620" w:type="dxa"/>
            <w:vAlign w:val="bottom"/>
            <w:shd w:val="clear" w:color="auto" w:fill="33CCCC"/>
          </w:tcPr>
          <w:p>
            <w:pPr>
              <w:spacing w:after="0"/>
              <w:rPr>
                <w:sz w:val="11"/>
                <w:szCs w:val="11"/>
                <w:color w:val="auto"/>
              </w:rPr>
            </w:pPr>
          </w:p>
        </w:tc>
        <w:tc>
          <w:tcPr>
            <w:tcW w:w="580" w:type="dxa"/>
            <w:vAlign w:val="bottom"/>
            <w:tcBorders>
              <w:right w:val="single" w:sz="8" w:color="auto"/>
            </w:tcBorders>
            <w:shd w:val="clear" w:color="auto" w:fill="33CCCC"/>
          </w:tcPr>
          <w:p>
            <w:pPr>
              <w:spacing w:after="0"/>
              <w:rPr>
                <w:sz w:val="11"/>
                <w:szCs w:val="11"/>
                <w:color w:val="auto"/>
              </w:rPr>
            </w:pPr>
          </w:p>
        </w:tc>
      </w:tr>
      <w:tr>
        <w:trPr>
          <w:trHeight w:val="131"/>
        </w:trPr>
        <w:tc>
          <w:tcPr>
            <w:tcW w:w="248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540" w:type="dxa"/>
            <w:vAlign w:val="bottom"/>
            <w:tcBorders>
              <w:bottom w:val="single" w:sz="8" w:color="auto"/>
            </w:tcBorders>
            <w:shd w:val="clear" w:color="auto" w:fill="33CCCC"/>
          </w:tcPr>
          <w:p>
            <w:pPr>
              <w:ind w:left="60"/>
              <w:spacing w:after="0"/>
              <w:rPr>
                <w:sz w:val="20"/>
                <w:szCs w:val="20"/>
                <w:color w:val="auto"/>
              </w:rPr>
            </w:pPr>
            <w:r>
              <w:rPr>
                <w:rFonts w:ascii="Arial" w:cs="Arial" w:eastAsia="Arial" w:hAnsi="Arial"/>
                <w:sz w:val="11"/>
                <w:szCs w:val="11"/>
                <w:b w:val="1"/>
                <w:bCs w:val="1"/>
                <w:color w:val="FFFFFF"/>
              </w:rPr>
              <w:t>Balance</w:t>
            </w:r>
          </w:p>
        </w:tc>
        <w:tc>
          <w:tcPr>
            <w:tcW w:w="6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Expense</w:t>
            </w:r>
          </w:p>
        </w:tc>
        <w:tc>
          <w:tcPr>
            <w:tcW w:w="58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1"/>
                <w:szCs w:val="11"/>
                <w:b w:val="1"/>
                <w:bCs w:val="1"/>
                <w:color w:val="FFFFFF"/>
              </w:rPr>
              <w:t>Yields</w:t>
            </w:r>
          </w:p>
        </w:tc>
        <w:tc>
          <w:tcPr>
            <w:tcW w:w="5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Balance</w:t>
            </w:r>
          </w:p>
        </w:tc>
        <w:tc>
          <w:tcPr>
            <w:tcW w:w="6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Expense</w:t>
            </w:r>
          </w:p>
        </w:tc>
        <w:tc>
          <w:tcPr>
            <w:tcW w:w="58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1"/>
                <w:szCs w:val="11"/>
                <w:b w:val="1"/>
                <w:bCs w:val="1"/>
                <w:color w:val="FFFFFF"/>
              </w:rPr>
              <w:t>Yields</w:t>
            </w:r>
          </w:p>
        </w:tc>
        <w:tc>
          <w:tcPr>
            <w:tcW w:w="5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Balance</w:t>
            </w:r>
          </w:p>
        </w:tc>
        <w:tc>
          <w:tcPr>
            <w:tcW w:w="6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Expense</w:t>
            </w:r>
          </w:p>
        </w:tc>
        <w:tc>
          <w:tcPr>
            <w:tcW w:w="580" w:type="dxa"/>
            <w:vAlign w:val="bottom"/>
            <w:tcBorders>
              <w:bottom w:val="single" w:sz="8" w:color="auto"/>
              <w:right w:val="single" w:sz="8" w:color="auto"/>
            </w:tcBorders>
            <w:shd w:val="clear" w:color="auto" w:fill="33CCCC"/>
          </w:tcPr>
          <w:p>
            <w:pPr>
              <w:ind w:left="100"/>
              <w:spacing w:after="0"/>
              <w:rPr>
                <w:sz w:val="20"/>
                <w:szCs w:val="20"/>
                <w:color w:val="auto"/>
              </w:rPr>
            </w:pPr>
            <w:r>
              <w:rPr>
                <w:rFonts w:ascii="Arial" w:cs="Arial" w:eastAsia="Arial" w:hAnsi="Arial"/>
                <w:sz w:val="11"/>
                <w:szCs w:val="11"/>
                <w:b w:val="1"/>
                <w:bCs w:val="1"/>
                <w:color w:val="FFFFFF"/>
              </w:rPr>
              <w:t>Yields</w:t>
            </w:r>
          </w:p>
        </w:tc>
      </w:tr>
      <w:tr>
        <w:trPr>
          <w:trHeight w:val="116"/>
        </w:trPr>
        <w:tc>
          <w:tcPr>
            <w:tcW w:w="248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Deposits</w:t>
            </w:r>
          </w:p>
        </w:tc>
        <w:tc>
          <w:tcPr>
            <w:tcW w:w="540" w:type="dxa"/>
            <w:vAlign w:val="bottom"/>
          </w:tcPr>
          <w:p>
            <w:pPr>
              <w:jc w:val="center"/>
              <w:spacing w:after="0" w:line="116" w:lineRule="exact"/>
              <w:rPr>
                <w:sz w:val="20"/>
                <w:szCs w:val="20"/>
                <w:color w:val="auto"/>
              </w:rPr>
            </w:pPr>
            <w:r>
              <w:rPr>
                <w:rFonts w:ascii="Arial" w:cs="Arial" w:eastAsia="Arial" w:hAnsi="Arial"/>
                <w:sz w:val="11"/>
                <w:szCs w:val="11"/>
                <w:color w:val="auto"/>
              </w:rPr>
              <w:t>148,088</w:t>
            </w:r>
          </w:p>
        </w:tc>
        <w:tc>
          <w:tcPr>
            <w:tcW w:w="620" w:type="dxa"/>
            <w:vAlign w:val="bottom"/>
          </w:tcPr>
          <w:p>
            <w:pPr>
              <w:jc w:val="center"/>
              <w:spacing w:after="0" w:line="116" w:lineRule="exact"/>
              <w:rPr>
                <w:sz w:val="20"/>
                <w:szCs w:val="20"/>
                <w:color w:val="auto"/>
              </w:rPr>
            </w:pPr>
            <w:r>
              <w:rPr>
                <w:rFonts w:ascii="Arial" w:cs="Arial" w:eastAsia="Arial" w:hAnsi="Arial"/>
                <w:sz w:val="11"/>
                <w:szCs w:val="11"/>
                <w:color w:val="auto"/>
                <w:w w:val="97"/>
              </w:rPr>
              <w:t>827</w:t>
            </w:r>
          </w:p>
        </w:tc>
        <w:tc>
          <w:tcPr>
            <w:tcW w:w="5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2.2%</w:t>
            </w: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auto"/>
              </w:rPr>
              <w:t>153,203</w:t>
            </w:r>
          </w:p>
        </w:tc>
        <w:tc>
          <w:tcPr>
            <w:tcW w:w="620" w:type="dxa"/>
            <w:vAlign w:val="bottom"/>
          </w:tcPr>
          <w:p>
            <w:pPr>
              <w:jc w:val="center"/>
              <w:spacing w:after="0" w:line="116" w:lineRule="exact"/>
              <w:rPr>
                <w:sz w:val="20"/>
                <w:szCs w:val="20"/>
                <w:color w:val="auto"/>
              </w:rPr>
            </w:pPr>
            <w:r>
              <w:rPr>
                <w:rFonts w:ascii="Arial" w:cs="Arial" w:eastAsia="Arial" w:hAnsi="Arial"/>
                <w:sz w:val="11"/>
                <w:szCs w:val="11"/>
                <w:color w:val="auto"/>
                <w:w w:val="97"/>
              </w:rPr>
              <w:t>678</w:t>
            </w:r>
          </w:p>
        </w:tc>
        <w:tc>
          <w:tcPr>
            <w:tcW w:w="5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1.8%</w:t>
            </w:r>
          </w:p>
        </w:tc>
        <w:tc>
          <w:tcPr>
            <w:tcW w:w="560" w:type="dxa"/>
            <w:vAlign w:val="bottom"/>
          </w:tcPr>
          <w:p>
            <w:pPr>
              <w:jc w:val="center"/>
              <w:spacing w:after="0" w:line="116" w:lineRule="exact"/>
              <w:rPr>
                <w:sz w:val="20"/>
                <w:szCs w:val="20"/>
                <w:color w:val="auto"/>
              </w:rPr>
            </w:pPr>
            <w:r>
              <w:rPr>
                <w:rFonts w:ascii="Arial" w:cs="Arial" w:eastAsia="Arial" w:hAnsi="Arial"/>
                <w:sz w:val="11"/>
                <w:szCs w:val="11"/>
                <w:color w:val="auto"/>
              </w:rPr>
              <w:t>158,139</w:t>
            </w:r>
          </w:p>
        </w:tc>
        <w:tc>
          <w:tcPr>
            <w:tcW w:w="620" w:type="dxa"/>
            <w:vAlign w:val="bottom"/>
          </w:tcPr>
          <w:p>
            <w:pPr>
              <w:jc w:val="center"/>
              <w:spacing w:after="0" w:line="116" w:lineRule="exact"/>
              <w:rPr>
                <w:sz w:val="20"/>
                <w:szCs w:val="20"/>
                <w:color w:val="auto"/>
              </w:rPr>
            </w:pPr>
            <w:r>
              <w:rPr>
                <w:rFonts w:ascii="Arial" w:cs="Arial" w:eastAsia="Arial" w:hAnsi="Arial"/>
                <w:sz w:val="11"/>
                <w:szCs w:val="11"/>
                <w:color w:val="auto"/>
              </w:rPr>
              <w:t>655</w:t>
            </w:r>
          </w:p>
        </w:tc>
        <w:tc>
          <w:tcPr>
            <w:tcW w:w="5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1.7%</w:t>
            </w:r>
          </w:p>
        </w:tc>
      </w:tr>
      <w:tr>
        <w:trPr>
          <w:trHeight w:val="131"/>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BCRP + Due to Banks</w:t>
            </w:r>
          </w:p>
        </w:tc>
        <w:tc>
          <w:tcPr>
            <w:tcW w:w="540" w:type="dxa"/>
            <w:vAlign w:val="bottom"/>
          </w:tcPr>
          <w:p>
            <w:pPr>
              <w:jc w:val="center"/>
              <w:spacing w:after="0"/>
              <w:rPr>
                <w:sz w:val="20"/>
                <w:szCs w:val="20"/>
                <w:color w:val="auto"/>
              </w:rPr>
            </w:pPr>
            <w:r>
              <w:rPr>
                <w:rFonts w:ascii="Arial" w:cs="Arial" w:eastAsia="Arial" w:hAnsi="Arial"/>
                <w:sz w:val="11"/>
                <w:szCs w:val="11"/>
                <w:color w:val="auto"/>
              </w:rPr>
              <w:t>19,925</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297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6.0%</w:t>
            </w:r>
          </w:p>
        </w:tc>
        <w:tc>
          <w:tcPr>
            <w:tcW w:w="560" w:type="dxa"/>
            <w:vAlign w:val="bottom"/>
          </w:tcPr>
          <w:p>
            <w:pPr>
              <w:jc w:val="center"/>
              <w:spacing w:after="0"/>
              <w:rPr>
                <w:sz w:val="20"/>
                <w:szCs w:val="20"/>
                <w:color w:val="auto"/>
              </w:rPr>
            </w:pPr>
            <w:r>
              <w:rPr>
                <w:rFonts w:ascii="Arial" w:cs="Arial" w:eastAsia="Arial" w:hAnsi="Arial"/>
                <w:sz w:val="11"/>
                <w:szCs w:val="11"/>
                <w:color w:val="auto"/>
              </w:rPr>
              <w:t>17,828</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262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5.9%</w:t>
            </w:r>
          </w:p>
        </w:tc>
        <w:tc>
          <w:tcPr>
            <w:tcW w:w="560" w:type="dxa"/>
            <w:vAlign w:val="bottom"/>
          </w:tcPr>
          <w:p>
            <w:pPr>
              <w:jc w:val="center"/>
              <w:spacing w:after="0"/>
              <w:rPr>
                <w:sz w:val="20"/>
                <w:szCs w:val="20"/>
                <w:color w:val="auto"/>
              </w:rPr>
            </w:pPr>
            <w:r>
              <w:rPr>
                <w:rFonts w:ascii="Arial" w:cs="Arial" w:eastAsia="Arial" w:hAnsi="Arial"/>
                <w:sz w:val="11"/>
                <w:szCs w:val="11"/>
                <w:color w:val="auto"/>
              </w:rPr>
              <w:t>17,447</w:t>
            </w:r>
          </w:p>
        </w:tc>
        <w:tc>
          <w:tcPr>
            <w:tcW w:w="620" w:type="dxa"/>
            <w:vAlign w:val="bottom"/>
          </w:tcPr>
          <w:p>
            <w:pPr>
              <w:jc w:val="center"/>
              <w:spacing w:after="0"/>
              <w:rPr>
                <w:sz w:val="20"/>
                <w:szCs w:val="20"/>
                <w:color w:val="auto"/>
              </w:rPr>
            </w:pPr>
            <w:r>
              <w:rPr>
                <w:rFonts w:ascii="Arial" w:cs="Arial" w:eastAsia="Arial" w:hAnsi="Arial"/>
                <w:sz w:val="11"/>
                <w:szCs w:val="11"/>
                <w:color w:val="auto"/>
              </w:rPr>
              <w:t>287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6.6%</w:t>
            </w:r>
          </w:p>
        </w:tc>
      </w:tr>
      <w:tr>
        <w:trPr>
          <w:trHeight w:val="131"/>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Bonds and Notes</w:t>
            </w:r>
          </w:p>
        </w:tc>
        <w:tc>
          <w:tcPr>
            <w:tcW w:w="540" w:type="dxa"/>
            <w:vAlign w:val="bottom"/>
          </w:tcPr>
          <w:p>
            <w:pPr>
              <w:jc w:val="center"/>
              <w:spacing w:after="0"/>
              <w:rPr>
                <w:sz w:val="20"/>
                <w:szCs w:val="20"/>
                <w:color w:val="auto"/>
              </w:rPr>
            </w:pPr>
            <w:r>
              <w:rPr>
                <w:rFonts w:ascii="Arial" w:cs="Arial" w:eastAsia="Arial" w:hAnsi="Arial"/>
                <w:sz w:val="11"/>
                <w:szCs w:val="11"/>
                <w:color w:val="auto"/>
              </w:rPr>
              <w:t>14,755</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153</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4.1%</w:t>
            </w:r>
          </w:p>
        </w:tc>
        <w:tc>
          <w:tcPr>
            <w:tcW w:w="560" w:type="dxa"/>
            <w:vAlign w:val="bottom"/>
          </w:tcPr>
          <w:p>
            <w:pPr>
              <w:jc w:val="center"/>
              <w:spacing w:after="0"/>
              <w:rPr>
                <w:sz w:val="20"/>
                <w:szCs w:val="20"/>
                <w:color w:val="auto"/>
              </w:rPr>
            </w:pPr>
            <w:r>
              <w:rPr>
                <w:rFonts w:ascii="Arial" w:cs="Arial" w:eastAsia="Arial" w:hAnsi="Arial"/>
                <w:sz w:val="11"/>
                <w:szCs w:val="11"/>
                <w:color w:val="auto"/>
              </w:rPr>
              <w:t>17,453</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201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4.6%</w:t>
            </w:r>
          </w:p>
        </w:tc>
        <w:tc>
          <w:tcPr>
            <w:tcW w:w="560" w:type="dxa"/>
            <w:vAlign w:val="bottom"/>
          </w:tcPr>
          <w:p>
            <w:pPr>
              <w:jc w:val="center"/>
              <w:spacing w:after="0"/>
              <w:rPr>
                <w:sz w:val="20"/>
                <w:szCs w:val="20"/>
                <w:color w:val="auto"/>
              </w:rPr>
            </w:pPr>
            <w:r>
              <w:rPr>
                <w:rFonts w:ascii="Arial" w:cs="Arial" w:eastAsia="Arial" w:hAnsi="Arial"/>
                <w:sz w:val="11"/>
                <w:szCs w:val="11"/>
                <w:color w:val="auto"/>
                <w:w w:val="94"/>
              </w:rPr>
              <w:t>17,110</w:t>
            </w:r>
          </w:p>
        </w:tc>
        <w:tc>
          <w:tcPr>
            <w:tcW w:w="620" w:type="dxa"/>
            <w:vAlign w:val="bottom"/>
          </w:tcPr>
          <w:p>
            <w:pPr>
              <w:jc w:val="center"/>
              <w:spacing w:after="0"/>
              <w:rPr>
                <w:sz w:val="20"/>
                <w:szCs w:val="20"/>
                <w:color w:val="auto"/>
              </w:rPr>
            </w:pPr>
            <w:r>
              <w:rPr>
                <w:rFonts w:ascii="Arial" w:cs="Arial" w:eastAsia="Arial" w:hAnsi="Arial"/>
                <w:sz w:val="11"/>
                <w:szCs w:val="11"/>
                <w:color w:val="auto"/>
              </w:rPr>
              <w:t>201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4.7%</w:t>
            </w:r>
          </w:p>
        </w:tc>
      </w:tr>
      <w:tr>
        <w:trPr>
          <w:trHeight w:val="139"/>
        </w:trPr>
        <w:tc>
          <w:tcPr>
            <w:tcW w:w="2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2,415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245</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40.6%</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2,371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264</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44.5%</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2,504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239</w:t>
            </w:r>
          </w:p>
        </w:tc>
        <w:tc>
          <w:tcPr>
            <w:tcW w:w="5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1"/>
                <w:szCs w:val="11"/>
                <w:color w:val="auto"/>
              </w:rPr>
              <w:t>38.2%</w:t>
            </w:r>
          </w:p>
        </w:tc>
      </w:tr>
      <w:tr>
        <w:trPr>
          <w:trHeight w:val="124"/>
        </w:trPr>
        <w:tc>
          <w:tcPr>
            <w:tcW w:w="24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Total Funding</w:t>
            </w:r>
          </w:p>
        </w:tc>
        <w:tc>
          <w:tcPr>
            <w:tcW w:w="5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185,183</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1,522</w:t>
            </w:r>
          </w:p>
        </w:tc>
        <w:tc>
          <w:tcPr>
            <w:tcW w:w="5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3.3%</w:t>
            </w:r>
          </w:p>
        </w:tc>
        <w:tc>
          <w:tcPr>
            <w:tcW w:w="5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190,855</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1,405</w:t>
            </w:r>
          </w:p>
        </w:tc>
        <w:tc>
          <w:tcPr>
            <w:tcW w:w="5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2.9%</w:t>
            </w:r>
          </w:p>
        </w:tc>
        <w:tc>
          <w:tcPr>
            <w:tcW w:w="5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195,200</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1,382</w:t>
            </w:r>
          </w:p>
        </w:tc>
        <w:tc>
          <w:tcPr>
            <w:tcW w:w="5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2.8%</w:t>
            </w:r>
          </w:p>
        </w:tc>
      </w:tr>
      <w:tr>
        <w:trPr>
          <w:trHeight w:val="124"/>
        </w:trPr>
        <w:tc>
          <w:tcPr>
            <w:tcW w:w="248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Funding (LC)</w:t>
            </w:r>
          </w:p>
        </w:tc>
        <w:tc>
          <w:tcPr>
            <w:tcW w:w="5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50.2%</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55.9%</w:t>
            </w:r>
          </w:p>
        </w:tc>
        <w:tc>
          <w:tcPr>
            <w:tcW w:w="5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3.7%</w:t>
            </w:r>
          </w:p>
        </w:tc>
        <w:tc>
          <w:tcPr>
            <w:tcW w:w="5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49.3%</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48.5%</w:t>
            </w:r>
          </w:p>
        </w:tc>
        <w:tc>
          <w:tcPr>
            <w:tcW w:w="5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2.9%</w:t>
            </w:r>
          </w:p>
        </w:tc>
        <w:tc>
          <w:tcPr>
            <w:tcW w:w="5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49.6%</w:t>
            </w:r>
          </w:p>
        </w:tc>
        <w:tc>
          <w:tcPr>
            <w:tcW w:w="62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49.8%</w:t>
            </w:r>
          </w:p>
        </w:tc>
        <w:tc>
          <w:tcPr>
            <w:tcW w:w="5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2.8%</w:t>
            </w:r>
          </w:p>
        </w:tc>
      </w:tr>
      <w:tr>
        <w:trPr>
          <w:trHeight w:val="137"/>
        </w:trPr>
        <w:tc>
          <w:tcPr>
            <w:tcW w:w="2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Funding (FC)</w:t>
            </w:r>
          </w:p>
        </w:tc>
        <w:tc>
          <w:tcPr>
            <w:tcW w:w="540" w:type="dxa"/>
            <w:vAlign w:val="bottom"/>
          </w:tcPr>
          <w:p>
            <w:pPr>
              <w:jc w:val="center"/>
              <w:spacing w:after="0"/>
              <w:rPr>
                <w:sz w:val="20"/>
                <w:szCs w:val="20"/>
                <w:color w:val="auto"/>
              </w:rPr>
            </w:pPr>
            <w:r>
              <w:rPr>
                <w:rFonts w:ascii="Arial" w:cs="Arial" w:eastAsia="Arial" w:hAnsi="Arial"/>
                <w:sz w:val="11"/>
                <w:szCs w:val="11"/>
                <w:color w:val="auto"/>
              </w:rPr>
              <w:t>49.8%</w:t>
            </w:r>
          </w:p>
        </w:tc>
        <w:tc>
          <w:tcPr>
            <w:tcW w:w="620" w:type="dxa"/>
            <w:vAlign w:val="bottom"/>
          </w:tcPr>
          <w:p>
            <w:pPr>
              <w:jc w:val="center"/>
              <w:spacing w:after="0"/>
              <w:rPr>
                <w:sz w:val="20"/>
                <w:szCs w:val="20"/>
                <w:color w:val="auto"/>
              </w:rPr>
            </w:pPr>
            <w:r>
              <w:rPr>
                <w:rFonts w:ascii="Arial" w:cs="Arial" w:eastAsia="Arial" w:hAnsi="Arial"/>
                <w:sz w:val="11"/>
                <w:szCs w:val="11"/>
                <w:color w:val="auto"/>
              </w:rPr>
              <w:t>44.1%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2.9%</w:t>
            </w:r>
          </w:p>
        </w:tc>
        <w:tc>
          <w:tcPr>
            <w:tcW w:w="560" w:type="dxa"/>
            <w:vAlign w:val="bottom"/>
          </w:tcPr>
          <w:p>
            <w:pPr>
              <w:jc w:val="center"/>
              <w:spacing w:after="0"/>
              <w:rPr>
                <w:sz w:val="20"/>
                <w:szCs w:val="20"/>
                <w:color w:val="auto"/>
              </w:rPr>
            </w:pPr>
            <w:r>
              <w:rPr>
                <w:rFonts w:ascii="Arial" w:cs="Arial" w:eastAsia="Arial" w:hAnsi="Arial"/>
                <w:sz w:val="11"/>
                <w:szCs w:val="11"/>
                <w:color w:val="auto"/>
              </w:rPr>
              <w:t>50.7%</w:t>
            </w:r>
          </w:p>
        </w:tc>
        <w:tc>
          <w:tcPr>
            <w:tcW w:w="620" w:type="dxa"/>
            <w:vAlign w:val="bottom"/>
          </w:tcPr>
          <w:p>
            <w:pPr>
              <w:jc w:val="center"/>
              <w:spacing w:after="0"/>
              <w:rPr>
                <w:sz w:val="20"/>
                <w:szCs w:val="20"/>
                <w:color w:val="auto"/>
              </w:rPr>
            </w:pPr>
            <w:r>
              <w:rPr>
                <w:rFonts w:ascii="Arial" w:cs="Arial" w:eastAsia="Arial" w:hAnsi="Arial"/>
                <w:sz w:val="11"/>
                <w:szCs w:val="11"/>
                <w:color w:val="auto"/>
              </w:rPr>
              <w:t>51.5%</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3.0%</w:t>
            </w:r>
          </w:p>
        </w:tc>
        <w:tc>
          <w:tcPr>
            <w:tcW w:w="560" w:type="dxa"/>
            <w:vAlign w:val="bottom"/>
          </w:tcPr>
          <w:p>
            <w:pPr>
              <w:jc w:val="center"/>
              <w:spacing w:after="0"/>
              <w:rPr>
                <w:sz w:val="20"/>
                <w:szCs w:val="20"/>
                <w:color w:val="auto"/>
              </w:rPr>
            </w:pPr>
            <w:r>
              <w:rPr>
                <w:rFonts w:ascii="Arial" w:cs="Arial" w:eastAsia="Arial" w:hAnsi="Arial"/>
                <w:sz w:val="11"/>
                <w:szCs w:val="11"/>
                <w:color w:val="auto"/>
              </w:rPr>
              <w:t>50.4%</w:t>
            </w:r>
          </w:p>
        </w:tc>
        <w:tc>
          <w:tcPr>
            <w:tcW w:w="620" w:type="dxa"/>
            <w:vAlign w:val="bottom"/>
          </w:tcPr>
          <w:p>
            <w:pPr>
              <w:jc w:val="center"/>
              <w:spacing w:after="0"/>
              <w:rPr>
                <w:sz w:val="20"/>
                <w:szCs w:val="20"/>
                <w:color w:val="auto"/>
              </w:rPr>
            </w:pPr>
            <w:r>
              <w:rPr>
                <w:rFonts w:ascii="Arial" w:cs="Arial" w:eastAsia="Arial" w:hAnsi="Arial"/>
                <w:sz w:val="11"/>
                <w:szCs w:val="11"/>
                <w:color w:val="auto"/>
              </w:rPr>
              <w:t>50.2%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4"/>
        </w:trPr>
        <w:tc>
          <w:tcPr>
            <w:tcW w:w="580" w:type="dxa"/>
            <w:vAlign w:val="bottom"/>
            <w:tcBorders>
              <w:top w:val="single" w:sz="8" w:color="auto"/>
              <w:left w:val="single" w:sz="8" w:color="auto"/>
            </w:tcBorders>
            <w:vMerge w:val="restart"/>
            <w:shd w:val="clear" w:color="auto" w:fill="33CCCC"/>
          </w:tcPr>
          <w:p>
            <w:pPr>
              <w:ind w:left="80"/>
              <w:spacing w:after="0"/>
              <w:rPr>
                <w:sz w:val="20"/>
                <w:szCs w:val="20"/>
                <w:color w:val="auto"/>
              </w:rPr>
            </w:pPr>
            <w:r>
              <w:rPr>
                <w:rFonts w:ascii="Arial" w:cs="Arial" w:eastAsia="Arial" w:hAnsi="Arial"/>
                <w:sz w:val="11"/>
                <w:szCs w:val="11"/>
                <w:b w:val="1"/>
                <w:bCs w:val="1"/>
                <w:color w:val="FFFFFF"/>
              </w:rPr>
              <w:t>Average</w:t>
            </w:r>
          </w:p>
        </w:tc>
        <w:tc>
          <w:tcPr>
            <w:tcW w:w="60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Dec 23</w:t>
            </w:r>
          </w:p>
        </w:tc>
        <w:tc>
          <w:tcPr>
            <w:tcW w:w="600" w:type="dxa"/>
            <w:vAlign w:val="bottom"/>
            <w:tcBorders>
              <w:top w:val="single" w:sz="8" w:color="auto"/>
              <w:right w:val="single" w:sz="8" w:color="auto"/>
            </w:tcBorders>
            <w:shd w:val="clear" w:color="auto" w:fill="33CCCC"/>
          </w:tcPr>
          <w:p>
            <w:pPr>
              <w:spacing w:after="0"/>
              <w:rPr>
                <w:sz w:val="12"/>
                <w:szCs w:val="12"/>
                <w:color w:val="auto"/>
              </w:rPr>
            </w:pPr>
          </w:p>
        </w:tc>
        <w:tc>
          <w:tcPr>
            <w:tcW w:w="580" w:type="dxa"/>
            <w:vAlign w:val="bottom"/>
            <w:tcBorders>
              <w:top w:val="single" w:sz="8" w:color="auto"/>
            </w:tcBorders>
            <w:vMerge w:val="restart"/>
            <w:shd w:val="clear" w:color="auto" w:fill="33CCCC"/>
          </w:tcPr>
          <w:p>
            <w:pPr>
              <w:ind w:left="60"/>
              <w:spacing w:after="0"/>
              <w:rPr>
                <w:sz w:val="20"/>
                <w:szCs w:val="20"/>
                <w:color w:val="auto"/>
              </w:rPr>
            </w:pPr>
            <w:r>
              <w:rPr>
                <w:rFonts w:ascii="Arial" w:cs="Arial" w:eastAsia="Arial" w:hAnsi="Arial"/>
                <w:sz w:val="11"/>
                <w:szCs w:val="11"/>
                <w:b w:val="1"/>
                <w:bCs w:val="1"/>
                <w:color w:val="FFFFFF"/>
              </w:rPr>
              <w:t>Average</w:t>
            </w:r>
          </w:p>
        </w:tc>
        <w:tc>
          <w:tcPr>
            <w:tcW w:w="540" w:type="dxa"/>
            <w:vAlign w:val="bottom"/>
            <w:tcBorders>
              <w:top w:val="single" w:sz="8" w:color="auto"/>
            </w:tcBorders>
            <w:shd w:val="clear" w:color="auto" w:fill="33CCCC"/>
          </w:tcPr>
          <w:p>
            <w:pPr>
              <w:ind w:left="120"/>
              <w:spacing w:after="0"/>
              <w:rPr>
                <w:sz w:val="20"/>
                <w:szCs w:val="20"/>
                <w:color w:val="auto"/>
              </w:rPr>
            </w:pPr>
            <w:r>
              <w:rPr>
                <w:rFonts w:ascii="Arial" w:cs="Arial" w:eastAsia="Arial" w:hAnsi="Arial"/>
                <w:sz w:val="11"/>
                <w:szCs w:val="11"/>
                <w:b w:val="1"/>
                <w:bCs w:val="1"/>
                <w:color w:val="FFFFFF"/>
              </w:rPr>
              <w:t>Dec 24</w:t>
            </w:r>
          </w:p>
        </w:tc>
        <w:tc>
          <w:tcPr>
            <w:tcW w:w="400" w:type="dxa"/>
            <w:vAlign w:val="bottom"/>
            <w:tcBorders>
              <w:top w:val="single" w:sz="8" w:color="auto"/>
              <w:right w:val="single" w:sz="8" w:color="auto"/>
            </w:tcBorders>
            <w:shd w:val="clear" w:color="auto" w:fill="33CCC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80" w:type="dxa"/>
            <w:vAlign w:val="bottom"/>
            <w:tcBorders>
              <w:left w:val="single" w:sz="8" w:color="auto"/>
            </w:tcBorders>
            <w:vMerge w:val="continue"/>
            <w:shd w:val="clear" w:color="auto" w:fill="33CCCC"/>
          </w:tcPr>
          <w:p>
            <w:pPr>
              <w:spacing w:after="0"/>
              <w:rPr>
                <w:sz w:val="11"/>
                <w:szCs w:val="11"/>
                <w:color w:val="auto"/>
              </w:rPr>
            </w:pPr>
          </w:p>
        </w:tc>
        <w:tc>
          <w:tcPr>
            <w:tcW w:w="600" w:type="dxa"/>
            <w:vAlign w:val="bottom"/>
            <w:shd w:val="clear" w:color="auto" w:fill="33CCCC"/>
          </w:tcPr>
          <w:p>
            <w:pPr>
              <w:spacing w:after="0"/>
              <w:rPr>
                <w:sz w:val="11"/>
                <w:szCs w:val="11"/>
                <w:color w:val="auto"/>
              </w:rPr>
            </w:pPr>
          </w:p>
        </w:tc>
        <w:tc>
          <w:tcPr>
            <w:tcW w:w="600" w:type="dxa"/>
            <w:vAlign w:val="bottom"/>
            <w:tcBorders>
              <w:right w:val="single" w:sz="8" w:color="auto"/>
            </w:tcBorders>
            <w:shd w:val="clear" w:color="auto" w:fill="33CCCC"/>
          </w:tcPr>
          <w:p>
            <w:pPr>
              <w:spacing w:after="0"/>
              <w:rPr>
                <w:sz w:val="11"/>
                <w:szCs w:val="11"/>
                <w:color w:val="auto"/>
              </w:rPr>
            </w:pPr>
          </w:p>
        </w:tc>
        <w:tc>
          <w:tcPr>
            <w:tcW w:w="580" w:type="dxa"/>
            <w:vAlign w:val="bottom"/>
            <w:vMerge w:val="continue"/>
            <w:shd w:val="clear" w:color="auto" w:fill="33CCCC"/>
          </w:tcPr>
          <w:p>
            <w:pPr>
              <w:spacing w:after="0"/>
              <w:rPr>
                <w:sz w:val="11"/>
                <w:szCs w:val="11"/>
                <w:color w:val="auto"/>
              </w:rPr>
            </w:pPr>
          </w:p>
        </w:tc>
        <w:tc>
          <w:tcPr>
            <w:tcW w:w="540" w:type="dxa"/>
            <w:vAlign w:val="bottom"/>
            <w:shd w:val="clear" w:color="auto" w:fill="33CCCC"/>
          </w:tcPr>
          <w:p>
            <w:pPr>
              <w:spacing w:after="0"/>
              <w:rPr>
                <w:sz w:val="11"/>
                <w:szCs w:val="11"/>
                <w:color w:val="auto"/>
              </w:rPr>
            </w:pPr>
          </w:p>
        </w:tc>
        <w:tc>
          <w:tcPr>
            <w:tcW w:w="400" w:type="dxa"/>
            <w:vAlign w:val="bottom"/>
            <w:tcBorders>
              <w:right w:val="single" w:sz="8" w:color="auto"/>
            </w:tcBorders>
            <w:shd w:val="clear" w:color="auto" w:fill="33CCC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0" w:type="dxa"/>
            <w:vAlign w:val="bottom"/>
            <w:tcBorders>
              <w:left w:val="single" w:sz="8" w:color="auto"/>
              <w:bottom w:val="single" w:sz="8" w:color="auto"/>
            </w:tcBorders>
            <w:shd w:val="clear" w:color="auto" w:fill="33CCCC"/>
          </w:tcPr>
          <w:p>
            <w:pPr>
              <w:ind w:left="80"/>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Income</w:t>
            </w:r>
          </w:p>
        </w:tc>
        <w:tc>
          <w:tcPr>
            <w:tcW w:w="600" w:type="dxa"/>
            <w:vAlign w:val="bottom"/>
            <w:tcBorders>
              <w:bottom w:val="single" w:sz="8" w:color="auto"/>
              <w:right w:val="single" w:sz="8" w:color="auto"/>
            </w:tcBorders>
            <w:shd w:val="clear" w:color="auto" w:fill="33CCCC"/>
          </w:tcPr>
          <w:p>
            <w:pPr>
              <w:ind w:left="120"/>
              <w:spacing w:after="0"/>
              <w:rPr>
                <w:sz w:val="20"/>
                <w:szCs w:val="20"/>
                <w:color w:val="auto"/>
              </w:rPr>
            </w:pPr>
            <w:r>
              <w:rPr>
                <w:rFonts w:ascii="Arial" w:cs="Arial" w:eastAsia="Arial" w:hAnsi="Arial"/>
                <w:sz w:val="11"/>
                <w:szCs w:val="11"/>
                <w:b w:val="1"/>
                <w:bCs w:val="1"/>
                <w:color w:val="FFFFFF"/>
              </w:rPr>
              <w:t>Yields</w:t>
            </w:r>
          </w:p>
        </w:tc>
        <w:tc>
          <w:tcPr>
            <w:tcW w:w="580" w:type="dxa"/>
            <w:vAlign w:val="bottom"/>
            <w:tcBorders>
              <w:bottom w:val="single" w:sz="8" w:color="auto"/>
            </w:tcBorders>
            <w:shd w:val="clear" w:color="auto" w:fill="33CCCC"/>
          </w:tcPr>
          <w:p>
            <w:pPr>
              <w:ind w:left="80"/>
              <w:spacing w:after="0"/>
              <w:rPr>
                <w:sz w:val="20"/>
                <w:szCs w:val="20"/>
                <w:color w:val="auto"/>
              </w:rPr>
            </w:pPr>
            <w:r>
              <w:rPr>
                <w:rFonts w:ascii="Arial" w:cs="Arial" w:eastAsia="Arial" w:hAnsi="Arial"/>
                <w:sz w:val="11"/>
                <w:szCs w:val="11"/>
                <w:b w:val="1"/>
                <w:bCs w:val="1"/>
                <w:color w:val="FFFFFF"/>
              </w:rPr>
              <w:t>Balance</w:t>
            </w:r>
          </w:p>
        </w:tc>
        <w:tc>
          <w:tcPr>
            <w:tcW w:w="540" w:type="dxa"/>
            <w:vAlign w:val="bottom"/>
            <w:tcBorders>
              <w:bottom w:val="single" w:sz="8" w:color="auto"/>
            </w:tcBorders>
            <w:shd w:val="clear" w:color="auto" w:fill="33CCCC"/>
          </w:tcPr>
          <w:p>
            <w:pPr>
              <w:ind w:left="100"/>
              <w:spacing w:after="0"/>
              <w:rPr>
                <w:sz w:val="20"/>
                <w:szCs w:val="20"/>
                <w:color w:val="auto"/>
              </w:rPr>
            </w:pPr>
            <w:r>
              <w:rPr>
                <w:rFonts w:ascii="Arial" w:cs="Arial" w:eastAsia="Arial" w:hAnsi="Arial"/>
                <w:sz w:val="11"/>
                <w:szCs w:val="11"/>
                <w:b w:val="1"/>
                <w:bCs w:val="1"/>
                <w:color w:val="FFFFFF"/>
              </w:rPr>
              <w:t>Income</w:t>
            </w:r>
          </w:p>
        </w:tc>
        <w:tc>
          <w:tcPr>
            <w:tcW w:w="400" w:type="dxa"/>
            <w:vAlign w:val="bottom"/>
            <w:tcBorders>
              <w:bottom w:val="single" w:sz="8" w:color="auto"/>
              <w:right w:val="single" w:sz="8" w:color="auto"/>
            </w:tcBorders>
            <w:shd w:val="clear" w:color="auto" w:fill="33CCCC"/>
          </w:tcPr>
          <w:p>
            <w:pPr>
              <w:jc w:val="right"/>
              <w:spacing w:after="0"/>
              <w:rPr>
                <w:sz w:val="20"/>
                <w:szCs w:val="20"/>
                <w:color w:val="auto"/>
              </w:rPr>
            </w:pPr>
            <w:r>
              <w:rPr>
                <w:rFonts w:ascii="Arial" w:cs="Arial" w:eastAsia="Arial" w:hAnsi="Arial"/>
                <w:sz w:val="11"/>
                <w:szCs w:val="11"/>
                <w:b w:val="1"/>
                <w:bCs w:val="1"/>
                <w:color w:val="FFFFFF"/>
              </w:rPr>
              <w:t>Yields</w:t>
            </w:r>
          </w:p>
        </w:tc>
        <w:tc>
          <w:tcPr>
            <w:tcW w:w="0" w:type="dxa"/>
            <w:vAlign w:val="bottom"/>
          </w:tcPr>
          <w:p>
            <w:pPr>
              <w:spacing w:after="0"/>
              <w:rPr>
                <w:sz w:val="1"/>
                <w:szCs w:val="1"/>
                <w:color w:val="auto"/>
              </w:rPr>
            </w:pPr>
          </w:p>
        </w:tc>
      </w:tr>
      <w:tr>
        <w:trPr>
          <w:trHeight w:val="116"/>
        </w:trPr>
        <w:tc>
          <w:tcPr>
            <w:tcW w:w="580" w:type="dxa"/>
            <w:vAlign w:val="bottom"/>
            <w:tcBorders>
              <w:left w:val="single" w:sz="8" w:color="auto"/>
            </w:tcBorders>
          </w:tcPr>
          <w:p>
            <w:pPr>
              <w:jc w:val="center"/>
              <w:spacing w:after="0" w:line="116" w:lineRule="exact"/>
              <w:rPr>
                <w:sz w:val="20"/>
                <w:szCs w:val="20"/>
                <w:color w:val="auto"/>
              </w:rPr>
            </w:pPr>
            <w:r>
              <w:rPr>
                <w:rFonts w:ascii="Arial" w:cs="Arial" w:eastAsia="Arial" w:hAnsi="Arial"/>
                <w:sz w:val="11"/>
                <w:szCs w:val="11"/>
                <w:color w:val="auto"/>
              </w:rPr>
              <w:t>26,438</w:t>
            </w:r>
          </w:p>
        </w:tc>
        <w:tc>
          <w:tcPr>
            <w:tcW w:w="600" w:type="dxa"/>
            <w:vAlign w:val="bottom"/>
          </w:tcPr>
          <w:p>
            <w:pPr>
              <w:jc w:val="center"/>
              <w:spacing w:after="0" w:line="116" w:lineRule="exact"/>
              <w:rPr>
                <w:sz w:val="20"/>
                <w:szCs w:val="20"/>
                <w:color w:val="auto"/>
              </w:rPr>
            </w:pPr>
            <w:r>
              <w:rPr>
                <w:rFonts w:ascii="Arial" w:cs="Arial" w:eastAsia="Arial" w:hAnsi="Arial"/>
                <w:sz w:val="11"/>
                <w:szCs w:val="11"/>
                <w:color w:val="auto"/>
              </w:rPr>
              <w:t>1,133</w:t>
            </w:r>
          </w:p>
        </w:tc>
        <w:tc>
          <w:tcPr>
            <w:tcW w:w="6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4.3%</w:t>
            </w:r>
          </w:p>
        </w:tc>
        <w:tc>
          <w:tcPr>
            <w:tcW w:w="580" w:type="dxa"/>
            <w:vAlign w:val="bottom"/>
          </w:tcPr>
          <w:p>
            <w:pPr>
              <w:jc w:val="center"/>
              <w:spacing w:after="0" w:line="116" w:lineRule="exact"/>
              <w:rPr>
                <w:sz w:val="20"/>
                <w:szCs w:val="20"/>
                <w:color w:val="auto"/>
              </w:rPr>
            </w:pPr>
            <w:r>
              <w:rPr>
                <w:rFonts w:ascii="Arial" w:cs="Arial" w:eastAsia="Arial" w:hAnsi="Arial"/>
                <w:sz w:val="11"/>
                <w:szCs w:val="11"/>
                <w:color w:val="auto"/>
              </w:rPr>
              <w:t>33,050</w:t>
            </w:r>
          </w:p>
        </w:tc>
        <w:tc>
          <w:tcPr>
            <w:tcW w:w="540" w:type="dxa"/>
            <w:vAlign w:val="bottom"/>
          </w:tcPr>
          <w:p>
            <w:pPr>
              <w:jc w:val="center"/>
              <w:ind w:left="3"/>
              <w:spacing w:after="0" w:line="116" w:lineRule="exact"/>
              <w:rPr>
                <w:sz w:val="20"/>
                <w:szCs w:val="20"/>
                <w:color w:val="auto"/>
              </w:rPr>
            </w:pPr>
            <w:r>
              <w:rPr>
                <w:rFonts w:ascii="Arial" w:cs="Arial" w:eastAsia="Arial" w:hAnsi="Arial"/>
                <w:sz w:val="11"/>
                <w:szCs w:val="11"/>
                <w:color w:val="auto"/>
              </w:rPr>
              <w:t>1,406</w:t>
            </w:r>
          </w:p>
        </w:tc>
        <w:tc>
          <w:tcPr>
            <w:tcW w:w="4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5"/>
              </w:rPr>
              <w:t>4.3%</w:t>
            </w:r>
          </w:p>
        </w:tc>
        <w:tc>
          <w:tcPr>
            <w:tcW w:w="0" w:type="dxa"/>
            <w:vAlign w:val="bottom"/>
          </w:tcPr>
          <w:p>
            <w:pPr>
              <w:spacing w:after="0"/>
              <w:rPr>
                <w:sz w:val="1"/>
                <w:szCs w:val="1"/>
                <w:color w:val="auto"/>
              </w:rPr>
            </w:pPr>
          </w:p>
        </w:tc>
      </w:tr>
      <w:tr>
        <w:trPr>
          <w:trHeight w:val="131"/>
        </w:trPr>
        <w:tc>
          <w:tcPr>
            <w:tcW w:w="58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rPr>
              <w:t>1,257</w:t>
            </w:r>
          </w:p>
        </w:tc>
        <w:tc>
          <w:tcPr>
            <w:tcW w:w="600" w:type="dxa"/>
            <w:vAlign w:val="bottom"/>
          </w:tcPr>
          <w:p>
            <w:pPr>
              <w:jc w:val="center"/>
              <w:spacing w:after="0"/>
              <w:rPr>
                <w:sz w:val="20"/>
                <w:szCs w:val="20"/>
                <w:color w:val="auto"/>
              </w:rPr>
            </w:pPr>
            <w:r>
              <w:rPr>
                <w:rFonts w:ascii="Arial" w:cs="Arial" w:eastAsia="Arial" w:hAnsi="Arial"/>
                <w:sz w:val="11"/>
                <w:szCs w:val="11"/>
                <w:color w:val="auto"/>
                <w:w w:val="97"/>
              </w:rPr>
              <w:t>85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6.8%</w:t>
            </w:r>
          </w:p>
        </w:tc>
        <w:tc>
          <w:tcPr>
            <w:tcW w:w="580" w:type="dxa"/>
            <w:vAlign w:val="bottom"/>
          </w:tcPr>
          <w:p>
            <w:pPr>
              <w:jc w:val="center"/>
              <w:spacing w:after="0"/>
              <w:rPr>
                <w:sz w:val="20"/>
                <w:szCs w:val="20"/>
                <w:color w:val="auto"/>
              </w:rPr>
            </w:pPr>
            <w:r>
              <w:rPr>
                <w:rFonts w:ascii="Arial" w:cs="Arial" w:eastAsia="Arial" w:hAnsi="Arial"/>
                <w:sz w:val="11"/>
                <w:szCs w:val="11"/>
                <w:color w:val="auto"/>
              </w:rPr>
              <w:t>1,222</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100</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8.2%</w:t>
            </w:r>
          </w:p>
        </w:tc>
        <w:tc>
          <w:tcPr>
            <w:tcW w:w="0" w:type="dxa"/>
            <w:vAlign w:val="bottom"/>
          </w:tcPr>
          <w:p>
            <w:pPr>
              <w:spacing w:after="0"/>
              <w:rPr>
                <w:sz w:val="1"/>
                <w:szCs w:val="1"/>
                <w:color w:val="auto"/>
              </w:rPr>
            </w:pPr>
          </w:p>
        </w:tc>
      </w:tr>
      <w:tr>
        <w:trPr>
          <w:trHeight w:val="131"/>
        </w:trPr>
        <w:tc>
          <w:tcPr>
            <w:tcW w:w="58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rPr>
              <w:t>48,823</w:t>
            </w:r>
          </w:p>
        </w:tc>
        <w:tc>
          <w:tcPr>
            <w:tcW w:w="600" w:type="dxa"/>
            <w:vAlign w:val="bottom"/>
          </w:tcPr>
          <w:p>
            <w:pPr>
              <w:jc w:val="center"/>
              <w:spacing w:after="0"/>
              <w:rPr>
                <w:sz w:val="20"/>
                <w:szCs w:val="20"/>
                <w:color w:val="auto"/>
              </w:rPr>
            </w:pPr>
            <w:r>
              <w:rPr>
                <w:rFonts w:ascii="Arial" w:cs="Arial" w:eastAsia="Arial" w:hAnsi="Arial"/>
                <w:sz w:val="11"/>
                <w:szCs w:val="11"/>
                <w:color w:val="auto"/>
              </w:rPr>
              <w:t>2,536</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5.2%</w:t>
            </w:r>
          </w:p>
        </w:tc>
        <w:tc>
          <w:tcPr>
            <w:tcW w:w="580" w:type="dxa"/>
            <w:vAlign w:val="bottom"/>
          </w:tcPr>
          <w:p>
            <w:pPr>
              <w:jc w:val="center"/>
              <w:spacing w:after="0"/>
              <w:rPr>
                <w:sz w:val="20"/>
                <w:szCs w:val="20"/>
                <w:color w:val="auto"/>
              </w:rPr>
            </w:pPr>
            <w:r>
              <w:rPr>
                <w:rFonts w:ascii="Arial" w:cs="Arial" w:eastAsia="Arial" w:hAnsi="Arial"/>
                <w:sz w:val="11"/>
                <w:szCs w:val="11"/>
                <w:color w:val="auto"/>
              </w:rPr>
              <w:t>53,021</w:t>
            </w:r>
          </w:p>
        </w:tc>
        <w:tc>
          <w:tcPr>
            <w:tcW w:w="540" w:type="dxa"/>
            <w:vAlign w:val="bottom"/>
          </w:tcPr>
          <w:p>
            <w:pPr>
              <w:jc w:val="center"/>
              <w:ind w:left="3"/>
              <w:spacing w:after="0"/>
              <w:rPr>
                <w:sz w:val="20"/>
                <w:szCs w:val="20"/>
                <w:color w:val="auto"/>
              </w:rPr>
            </w:pPr>
            <w:r>
              <w:rPr>
                <w:rFonts w:ascii="Arial" w:cs="Arial" w:eastAsia="Arial" w:hAnsi="Arial"/>
                <w:sz w:val="11"/>
                <w:szCs w:val="11"/>
                <w:color w:val="auto"/>
              </w:rPr>
              <w:t>2,710</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5.1%</w:t>
            </w:r>
          </w:p>
        </w:tc>
        <w:tc>
          <w:tcPr>
            <w:tcW w:w="0" w:type="dxa"/>
            <w:vAlign w:val="bottom"/>
          </w:tcPr>
          <w:p>
            <w:pPr>
              <w:spacing w:after="0"/>
              <w:rPr>
                <w:sz w:val="1"/>
                <w:szCs w:val="1"/>
                <w:color w:val="auto"/>
              </w:rPr>
            </w:pPr>
          </w:p>
        </w:tc>
      </w:tr>
      <w:tr>
        <w:trPr>
          <w:trHeight w:val="131"/>
        </w:trPr>
        <w:tc>
          <w:tcPr>
            <w:tcW w:w="58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rPr>
              <w:t>146,801</w:t>
            </w:r>
          </w:p>
        </w:tc>
        <w:tc>
          <w:tcPr>
            <w:tcW w:w="600" w:type="dxa"/>
            <w:vAlign w:val="bottom"/>
          </w:tcPr>
          <w:p>
            <w:pPr>
              <w:jc w:val="center"/>
              <w:spacing w:after="0"/>
              <w:rPr>
                <w:sz w:val="20"/>
                <w:szCs w:val="20"/>
                <w:color w:val="auto"/>
              </w:rPr>
            </w:pPr>
            <w:r>
              <w:rPr>
                <w:rFonts w:ascii="Arial" w:cs="Arial" w:eastAsia="Arial" w:hAnsi="Arial"/>
                <w:sz w:val="11"/>
                <w:szCs w:val="11"/>
                <w:color w:val="auto"/>
              </w:rPr>
              <w:t>15,045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10.2%</w:t>
            </w:r>
          </w:p>
        </w:tc>
        <w:tc>
          <w:tcPr>
            <w:tcW w:w="580" w:type="dxa"/>
            <w:vAlign w:val="bottom"/>
          </w:tcPr>
          <w:p>
            <w:pPr>
              <w:jc w:val="center"/>
              <w:spacing w:after="0"/>
              <w:rPr>
                <w:sz w:val="20"/>
                <w:szCs w:val="20"/>
                <w:color w:val="auto"/>
              </w:rPr>
            </w:pPr>
            <w:r>
              <w:rPr>
                <w:rFonts w:ascii="Arial" w:cs="Arial" w:eastAsia="Arial" w:hAnsi="Arial"/>
                <w:sz w:val="11"/>
                <w:szCs w:val="11"/>
                <w:color w:val="auto"/>
              </w:rPr>
              <w:t>145,354</w:t>
            </w:r>
          </w:p>
        </w:tc>
        <w:tc>
          <w:tcPr>
            <w:tcW w:w="540" w:type="dxa"/>
            <w:vAlign w:val="bottom"/>
          </w:tcPr>
          <w:p>
            <w:pPr>
              <w:jc w:val="center"/>
              <w:spacing w:after="0"/>
              <w:rPr>
                <w:sz w:val="20"/>
                <w:szCs w:val="20"/>
                <w:color w:val="auto"/>
              </w:rPr>
            </w:pPr>
            <w:r>
              <w:rPr>
                <w:rFonts w:ascii="Arial" w:cs="Arial" w:eastAsia="Arial" w:hAnsi="Arial"/>
                <w:sz w:val="11"/>
                <w:szCs w:val="11"/>
                <w:color w:val="auto"/>
              </w:rPr>
              <w:t>15,655</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52"/>
        </w:trPr>
        <w:tc>
          <w:tcPr>
            <w:tcW w:w="5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223,319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18,799</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8.4%</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232,647</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19,871</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8.5%</w:t>
            </w:r>
          </w:p>
        </w:tc>
        <w:tc>
          <w:tcPr>
            <w:tcW w:w="0" w:type="dxa"/>
            <w:vAlign w:val="bottom"/>
          </w:tcPr>
          <w:p>
            <w:pPr>
              <w:spacing w:after="0"/>
              <w:rPr>
                <w:sz w:val="1"/>
                <w:szCs w:val="1"/>
                <w:color w:val="auto"/>
              </w:rPr>
            </w:pPr>
          </w:p>
        </w:tc>
      </w:tr>
      <w:tr>
        <w:trPr>
          <w:trHeight w:val="124"/>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57.4%</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71.1%</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10.4%</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56.2%</w:t>
            </w:r>
          </w:p>
        </w:tc>
        <w:tc>
          <w:tcPr>
            <w:tcW w:w="540" w:type="dxa"/>
            <w:vAlign w:val="bottom"/>
            <w:tcBorders>
              <w:bottom w:val="single" w:sz="8" w:color="auto"/>
            </w:tcBorders>
          </w:tcPr>
          <w:p>
            <w:pPr>
              <w:jc w:val="center"/>
              <w:ind w:left="3"/>
              <w:spacing w:after="0" w:line="124" w:lineRule="exact"/>
              <w:rPr>
                <w:sz w:val="20"/>
                <w:szCs w:val="20"/>
                <w:color w:val="auto"/>
              </w:rPr>
            </w:pPr>
            <w:r>
              <w:rPr>
                <w:rFonts w:ascii="Arial" w:cs="Arial" w:eastAsia="Arial" w:hAnsi="Arial"/>
                <w:sz w:val="11"/>
                <w:szCs w:val="11"/>
                <w:color w:val="auto"/>
              </w:rPr>
              <w:t>69.2%</w:t>
            </w:r>
          </w:p>
        </w:tc>
        <w:tc>
          <w:tcPr>
            <w:tcW w:w="4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24"/>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42.6%</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28.9%</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5.7%</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43.8%</w:t>
            </w:r>
          </w:p>
        </w:tc>
        <w:tc>
          <w:tcPr>
            <w:tcW w:w="540" w:type="dxa"/>
            <w:vAlign w:val="bottom"/>
            <w:tcBorders>
              <w:bottom w:val="single" w:sz="8" w:color="auto"/>
            </w:tcBorders>
          </w:tcPr>
          <w:p>
            <w:pPr>
              <w:jc w:val="center"/>
              <w:ind w:left="3"/>
              <w:spacing w:after="0" w:line="124" w:lineRule="exact"/>
              <w:rPr>
                <w:sz w:val="20"/>
                <w:szCs w:val="20"/>
                <w:color w:val="auto"/>
              </w:rPr>
            </w:pPr>
            <w:r>
              <w:rPr>
                <w:rFonts w:ascii="Arial" w:cs="Arial" w:eastAsia="Arial" w:hAnsi="Arial"/>
                <w:sz w:val="11"/>
                <w:szCs w:val="11"/>
                <w:color w:val="auto"/>
              </w:rPr>
              <w:t>30.8%</w:t>
            </w:r>
          </w:p>
        </w:tc>
        <w:tc>
          <w:tcPr>
            <w:tcW w:w="4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6.0%</w:t>
            </w:r>
          </w:p>
        </w:tc>
        <w:tc>
          <w:tcPr>
            <w:tcW w:w="0" w:type="dxa"/>
            <w:vAlign w:val="bottom"/>
          </w:tcPr>
          <w:p>
            <w:pPr>
              <w:spacing w:after="0"/>
              <w:rPr>
                <w:sz w:val="1"/>
                <w:szCs w:val="1"/>
                <w:color w:val="auto"/>
              </w:rPr>
            </w:pPr>
          </w:p>
        </w:tc>
      </w:tr>
      <w:tr>
        <w:trPr>
          <w:trHeight w:val="177"/>
        </w:trPr>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80" w:type="dxa"/>
            <w:vAlign w:val="bottom"/>
            <w:tcBorders>
              <w:left w:val="single" w:sz="8" w:color="auto"/>
            </w:tcBorders>
            <w:vMerge w:val="restart"/>
            <w:shd w:val="clear" w:color="auto" w:fill="33CCCC"/>
          </w:tcPr>
          <w:p>
            <w:pPr>
              <w:ind w:left="80"/>
              <w:spacing w:after="0"/>
              <w:rPr>
                <w:sz w:val="20"/>
                <w:szCs w:val="20"/>
                <w:color w:val="auto"/>
              </w:rPr>
            </w:pPr>
            <w:r>
              <w:rPr>
                <w:rFonts w:ascii="Arial" w:cs="Arial" w:eastAsia="Arial" w:hAnsi="Arial"/>
                <w:sz w:val="11"/>
                <w:szCs w:val="11"/>
                <w:b w:val="1"/>
                <w:bCs w:val="1"/>
                <w:color w:val="FFFFFF"/>
              </w:rPr>
              <w:t>Average</w:t>
            </w:r>
          </w:p>
        </w:tc>
        <w:tc>
          <w:tcPr>
            <w:tcW w:w="600" w:type="dxa"/>
            <w:vAlign w:val="bottom"/>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rPr>
              <w:t>Dec 23</w:t>
            </w:r>
          </w:p>
        </w:tc>
        <w:tc>
          <w:tcPr>
            <w:tcW w:w="600" w:type="dxa"/>
            <w:vAlign w:val="bottom"/>
            <w:tcBorders>
              <w:right w:val="single" w:sz="8" w:color="auto"/>
            </w:tcBorders>
            <w:shd w:val="clear" w:color="auto" w:fill="33CCCC"/>
          </w:tcPr>
          <w:p>
            <w:pPr>
              <w:spacing w:after="0"/>
              <w:rPr>
                <w:sz w:val="10"/>
                <w:szCs w:val="10"/>
                <w:color w:val="auto"/>
              </w:rPr>
            </w:pPr>
          </w:p>
        </w:tc>
        <w:tc>
          <w:tcPr>
            <w:tcW w:w="580" w:type="dxa"/>
            <w:vAlign w:val="bottom"/>
            <w:vMerge w:val="restart"/>
            <w:shd w:val="clear" w:color="auto" w:fill="33CCCC"/>
          </w:tcPr>
          <w:p>
            <w:pPr>
              <w:ind w:left="60"/>
              <w:spacing w:after="0"/>
              <w:rPr>
                <w:sz w:val="20"/>
                <w:szCs w:val="20"/>
                <w:color w:val="auto"/>
              </w:rPr>
            </w:pPr>
            <w:r>
              <w:rPr>
                <w:rFonts w:ascii="Arial" w:cs="Arial" w:eastAsia="Arial" w:hAnsi="Arial"/>
                <w:sz w:val="11"/>
                <w:szCs w:val="11"/>
                <w:b w:val="1"/>
                <w:bCs w:val="1"/>
                <w:color w:val="FFFFFF"/>
              </w:rPr>
              <w:t>Average</w:t>
            </w:r>
          </w:p>
        </w:tc>
        <w:tc>
          <w:tcPr>
            <w:tcW w:w="540" w:type="dxa"/>
            <w:vAlign w:val="bottom"/>
            <w:shd w:val="clear" w:color="auto" w:fill="33CCCC"/>
          </w:tcPr>
          <w:p>
            <w:pPr>
              <w:ind w:left="120"/>
              <w:spacing w:after="0" w:line="124" w:lineRule="exact"/>
              <w:rPr>
                <w:sz w:val="20"/>
                <w:szCs w:val="20"/>
                <w:color w:val="auto"/>
              </w:rPr>
            </w:pPr>
            <w:r>
              <w:rPr>
                <w:rFonts w:ascii="Arial" w:cs="Arial" w:eastAsia="Arial" w:hAnsi="Arial"/>
                <w:sz w:val="11"/>
                <w:szCs w:val="11"/>
                <w:b w:val="1"/>
                <w:bCs w:val="1"/>
                <w:color w:val="FFFFFF"/>
              </w:rPr>
              <w:t>Dec 24</w:t>
            </w:r>
          </w:p>
        </w:tc>
        <w:tc>
          <w:tcPr>
            <w:tcW w:w="400" w:type="dxa"/>
            <w:vAlign w:val="bottom"/>
            <w:tcBorders>
              <w:right w:val="single" w:sz="8" w:color="auto"/>
            </w:tcBorders>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80" w:type="dxa"/>
            <w:vAlign w:val="bottom"/>
            <w:tcBorders>
              <w:left w:val="single" w:sz="8" w:color="auto"/>
            </w:tcBorders>
            <w:vMerge w:val="continue"/>
            <w:shd w:val="clear" w:color="auto" w:fill="33CCCC"/>
          </w:tcPr>
          <w:p>
            <w:pPr>
              <w:spacing w:after="0"/>
              <w:rPr>
                <w:sz w:val="11"/>
                <w:szCs w:val="11"/>
                <w:color w:val="auto"/>
              </w:rPr>
            </w:pPr>
          </w:p>
        </w:tc>
        <w:tc>
          <w:tcPr>
            <w:tcW w:w="600" w:type="dxa"/>
            <w:vAlign w:val="bottom"/>
            <w:shd w:val="clear" w:color="auto" w:fill="33CCCC"/>
          </w:tcPr>
          <w:p>
            <w:pPr>
              <w:spacing w:after="0"/>
              <w:rPr>
                <w:sz w:val="11"/>
                <w:szCs w:val="11"/>
                <w:color w:val="auto"/>
              </w:rPr>
            </w:pPr>
          </w:p>
        </w:tc>
        <w:tc>
          <w:tcPr>
            <w:tcW w:w="600" w:type="dxa"/>
            <w:vAlign w:val="bottom"/>
            <w:tcBorders>
              <w:right w:val="single" w:sz="8" w:color="auto"/>
            </w:tcBorders>
            <w:shd w:val="clear" w:color="auto" w:fill="33CCCC"/>
          </w:tcPr>
          <w:p>
            <w:pPr>
              <w:spacing w:after="0"/>
              <w:rPr>
                <w:sz w:val="11"/>
                <w:szCs w:val="11"/>
                <w:color w:val="auto"/>
              </w:rPr>
            </w:pPr>
          </w:p>
        </w:tc>
        <w:tc>
          <w:tcPr>
            <w:tcW w:w="580" w:type="dxa"/>
            <w:vAlign w:val="bottom"/>
            <w:vMerge w:val="continue"/>
            <w:shd w:val="clear" w:color="auto" w:fill="33CCCC"/>
          </w:tcPr>
          <w:p>
            <w:pPr>
              <w:spacing w:after="0"/>
              <w:rPr>
                <w:sz w:val="11"/>
                <w:szCs w:val="11"/>
                <w:color w:val="auto"/>
              </w:rPr>
            </w:pPr>
          </w:p>
        </w:tc>
        <w:tc>
          <w:tcPr>
            <w:tcW w:w="540" w:type="dxa"/>
            <w:vAlign w:val="bottom"/>
            <w:shd w:val="clear" w:color="auto" w:fill="33CCCC"/>
          </w:tcPr>
          <w:p>
            <w:pPr>
              <w:spacing w:after="0"/>
              <w:rPr>
                <w:sz w:val="11"/>
                <w:szCs w:val="11"/>
                <w:color w:val="auto"/>
              </w:rPr>
            </w:pPr>
          </w:p>
        </w:tc>
        <w:tc>
          <w:tcPr>
            <w:tcW w:w="400" w:type="dxa"/>
            <w:vAlign w:val="bottom"/>
            <w:tcBorders>
              <w:right w:val="single" w:sz="8" w:color="auto"/>
            </w:tcBorders>
            <w:shd w:val="clear" w:color="auto" w:fill="33CCC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0" w:type="dxa"/>
            <w:vAlign w:val="bottom"/>
            <w:tcBorders>
              <w:left w:val="single" w:sz="8" w:color="auto"/>
              <w:bottom w:val="single" w:sz="8" w:color="auto"/>
            </w:tcBorders>
            <w:shd w:val="clear" w:color="auto" w:fill="33CCCC"/>
          </w:tcPr>
          <w:p>
            <w:pPr>
              <w:ind w:left="80"/>
              <w:spacing w:after="0"/>
              <w:rPr>
                <w:sz w:val="20"/>
                <w:szCs w:val="20"/>
                <w:color w:val="auto"/>
              </w:rPr>
            </w:pPr>
            <w:r>
              <w:rPr>
                <w:rFonts w:ascii="Arial" w:cs="Arial" w:eastAsia="Arial" w:hAnsi="Arial"/>
                <w:sz w:val="11"/>
                <w:szCs w:val="11"/>
                <w:b w:val="1"/>
                <w:bCs w:val="1"/>
                <w:color w:val="FFFFFF"/>
              </w:rPr>
              <w:t>Balance</w:t>
            </w:r>
          </w:p>
        </w:tc>
        <w:tc>
          <w:tcPr>
            <w:tcW w:w="6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Expense</w:t>
            </w:r>
          </w:p>
        </w:tc>
        <w:tc>
          <w:tcPr>
            <w:tcW w:w="600" w:type="dxa"/>
            <w:vAlign w:val="bottom"/>
            <w:tcBorders>
              <w:bottom w:val="single" w:sz="8" w:color="auto"/>
              <w:right w:val="single" w:sz="8" w:color="auto"/>
            </w:tcBorders>
            <w:shd w:val="clear" w:color="auto" w:fill="33CCCC"/>
          </w:tcPr>
          <w:p>
            <w:pPr>
              <w:ind w:left="120"/>
              <w:spacing w:after="0"/>
              <w:rPr>
                <w:sz w:val="20"/>
                <w:szCs w:val="20"/>
                <w:color w:val="auto"/>
              </w:rPr>
            </w:pPr>
            <w:r>
              <w:rPr>
                <w:rFonts w:ascii="Arial" w:cs="Arial" w:eastAsia="Arial" w:hAnsi="Arial"/>
                <w:sz w:val="11"/>
                <w:szCs w:val="11"/>
                <w:b w:val="1"/>
                <w:bCs w:val="1"/>
                <w:color w:val="FFFFFF"/>
              </w:rPr>
              <w:t>Yields</w:t>
            </w:r>
          </w:p>
        </w:tc>
        <w:tc>
          <w:tcPr>
            <w:tcW w:w="580" w:type="dxa"/>
            <w:vAlign w:val="bottom"/>
            <w:tcBorders>
              <w:bottom w:val="single" w:sz="8" w:color="auto"/>
            </w:tcBorders>
            <w:shd w:val="clear" w:color="auto" w:fill="33CCCC"/>
          </w:tcPr>
          <w:p>
            <w:pPr>
              <w:ind w:left="80"/>
              <w:spacing w:after="0"/>
              <w:rPr>
                <w:sz w:val="20"/>
                <w:szCs w:val="20"/>
                <w:color w:val="auto"/>
              </w:rPr>
            </w:pPr>
            <w:r>
              <w:rPr>
                <w:rFonts w:ascii="Arial" w:cs="Arial" w:eastAsia="Arial" w:hAnsi="Arial"/>
                <w:sz w:val="11"/>
                <w:szCs w:val="11"/>
                <w:b w:val="1"/>
                <w:bCs w:val="1"/>
                <w:color w:val="FFFFFF"/>
              </w:rPr>
              <w:t>Balance</w:t>
            </w:r>
          </w:p>
        </w:tc>
        <w:tc>
          <w:tcPr>
            <w:tcW w:w="940" w:type="dxa"/>
            <w:vAlign w:val="bottom"/>
            <w:tcBorders>
              <w:bottom w:val="single" w:sz="8" w:color="auto"/>
              <w:right w:val="single" w:sz="8" w:color="auto"/>
            </w:tcBorders>
            <w:gridSpan w:val="2"/>
            <w:shd w:val="clear" w:color="auto" w:fill="33CCCC"/>
          </w:tcPr>
          <w:p>
            <w:pPr>
              <w:jc w:val="right"/>
              <w:spacing w:after="0"/>
              <w:rPr>
                <w:sz w:val="20"/>
                <w:szCs w:val="20"/>
                <w:color w:val="auto"/>
              </w:rPr>
            </w:pPr>
            <w:r>
              <w:rPr>
                <w:rFonts w:ascii="Arial" w:cs="Arial" w:eastAsia="Arial" w:hAnsi="Arial"/>
                <w:sz w:val="11"/>
                <w:szCs w:val="11"/>
                <w:b w:val="1"/>
                <w:bCs w:val="1"/>
                <w:color w:val="FFFFFF"/>
              </w:rPr>
              <w:t>Expense Yields</w:t>
            </w:r>
          </w:p>
        </w:tc>
        <w:tc>
          <w:tcPr>
            <w:tcW w:w="0" w:type="dxa"/>
            <w:vAlign w:val="bottom"/>
          </w:tcPr>
          <w:p>
            <w:pPr>
              <w:spacing w:after="0"/>
              <w:rPr>
                <w:sz w:val="1"/>
                <w:szCs w:val="1"/>
                <w:color w:val="auto"/>
              </w:rPr>
            </w:pPr>
          </w:p>
        </w:tc>
      </w:tr>
      <w:tr>
        <w:trPr>
          <w:trHeight w:val="116"/>
        </w:trPr>
        <w:tc>
          <w:tcPr>
            <w:tcW w:w="580" w:type="dxa"/>
            <w:vAlign w:val="bottom"/>
            <w:tcBorders>
              <w:left w:val="single" w:sz="8" w:color="auto"/>
            </w:tcBorders>
          </w:tcPr>
          <w:p>
            <w:pPr>
              <w:jc w:val="center"/>
              <w:spacing w:after="0" w:line="116" w:lineRule="exact"/>
              <w:rPr>
                <w:sz w:val="20"/>
                <w:szCs w:val="20"/>
                <w:color w:val="auto"/>
              </w:rPr>
            </w:pPr>
            <w:r>
              <w:rPr>
                <w:rFonts w:ascii="Arial" w:cs="Arial" w:eastAsia="Arial" w:hAnsi="Arial"/>
                <w:sz w:val="11"/>
                <w:szCs w:val="11"/>
                <w:color w:val="auto"/>
              </w:rPr>
              <w:t>147,363</w:t>
            </w:r>
          </w:p>
        </w:tc>
        <w:tc>
          <w:tcPr>
            <w:tcW w:w="600" w:type="dxa"/>
            <w:vAlign w:val="bottom"/>
          </w:tcPr>
          <w:p>
            <w:pPr>
              <w:jc w:val="center"/>
              <w:spacing w:after="0" w:line="116" w:lineRule="exact"/>
              <w:rPr>
                <w:sz w:val="20"/>
                <w:szCs w:val="20"/>
                <w:color w:val="auto"/>
              </w:rPr>
            </w:pPr>
            <w:r>
              <w:rPr>
                <w:rFonts w:ascii="Arial" w:cs="Arial" w:eastAsia="Arial" w:hAnsi="Arial"/>
                <w:sz w:val="11"/>
                <w:szCs w:val="11"/>
                <w:color w:val="auto"/>
              </w:rPr>
              <w:t>3,142</w:t>
            </w:r>
          </w:p>
        </w:tc>
        <w:tc>
          <w:tcPr>
            <w:tcW w:w="6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2.1%</w:t>
            </w:r>
          </w:p>
        </w:tc>
        <w:tc>
          <w:tcPr>
            <w:tcW w:w="580" w:type="dxa"/>
            <w:vAlign w:val="bottom"/>
          </w:tcPr>
          <w:p>
            <w:pPr>
              <w:jc w:val="center"/>
              <w:spacing w:after="0" w:line="116" w:lineRule="exact"/>
              <w:rPr>
                <w:sz w:val="20"/>
                <w:szCs w:val="20"/>
                <w:color w:val="auto"/>
              </w:rPr>
            </w:pPr>
            <w:r>
              <w:rPr>
                <w:rFonts w:ascii="Arial" w:cs="Arial" w:eastAsia="Arial" w:hAnsi="Arial"/>
                <w:sz w:val="11"/>
                <w:szCs w:val="11"/>
                <w:color w:val="auto"/>
              </w:rPr>
              <w:t>154,773</w:t>
            </w:r>
          </w:p>
        </w:tc>
        <w:tc>
          <w:tcPr>
            <w:tcW w:w="540" w:type="dxa"/>
            <w:vAlign w:val="bottom"/>
          </w:tcPr>
          <w:p>
            <w:pPr>
              <w:jc w:val="center"/>
              <w:ind w:left="3"/>
              <w:spacing w:after="0" w:line="116" w:lineRule="exact"/>
              <w:rPr>
                <w:sz w:val="20"/>
                <w:szCs w:val="20"/>
                <w:color w:val="auto"/>
              </w:rPr>
            </w:pPr>
            <w:r>
              <w:rPr>
                <w:rFonts w:ascii="Arial" w:cs="Arial" w:eastAsia="Arial" w:hAnsi="Arial"/>
                <w:sz w:val="11"/>
                <w:szCs w:val="11"/>
                <w:color w:val="auto"/>
              </w:rPr>
              <w:t>2,850</w:t>
            </w:r>
          </w:p>
        </w:tc>
        <w:tc>
          <w:tcPr>
            <w:tcW w:w="4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5"/>
              </w:rPr>
              <w:t>1.8%</w:t>
            </w:r>
          </w:p>
        </w:tc>
        <w:tc>
          <w:tcPr>
            <w:tcW w:w="0" w:type="dxa"/>
            <w:vAlign w:val="bottom"/>
          </w:tcPr>
          <w:p>
            <w:pPr>
              <w:spacing w:after="0"/>
              <w:rPr>
                <w:sz w:val="1"/>
                <w:szCs w:val="1"/>
                <w:color w:val="auto"/>
              </w:rPr>
            </w:pPr>
          </w:p>
        </w:tc>
      </w:tr>
      <w:tr>
        <w:trPr>
          <w:trHeight w:val="131"/>
        </w:trPr>
        <w:tc>
          <w:tcPr>
            <w:tcW w:w="58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rPr>
              <w:t>19,987</w:t>
            </w:r>
          </w:p>
        </w:tc>
        <w:tc>
          <w:tcPr>
            <w:tcW w:w="600" w:type="dxa"/>
            <w:vAlign w:val="bottom"/>
          </w:tcPr>
          <w:p>
            <w:pPr>
              <w:jc w:val="center"/>
              <w:spacing w:after="0"/>
              <w:rPr>
                <w:sz w:val="20"/>
                <w:szCs w:val="20"/>
                <w:color w:val="auto"/>
              </w:rPr>
            </w:pPr>
            <w:r>
              <w:rPr>
                <w:rFonts w:ascii="Arial" w:cs="Arial" w:eastAsia="Arial" w:hAnsi="Arial"/>
                <w:sz w:val="11"/>
                <w:szCs w:val="11"/>
                <w:color w:val="auto"/>
              </w:rPr>
              <w:t>1,159</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5.8%</w:t>
            </w:r>
          </w:p>
        </w:tc>
        <w:tc>
          <w:tcPr>
            <w:tcW w:w="580" w:type="dxa"/>
            <w:vAlign w:val="bottom"/>
          </w:tcPr>
          <w:p>
            <w:pPr>
              <w:jc w:val="center"/>
              <w:spacing w:after="0"/>
              <w:rPr>
                <w:sz w:val="20"/>
                <w:szCs w:val="20"/>
                <w:color w:val="auto"/>
              </w:rPr>
            </w:pPr>
            <w:r>
              <w:rPr>
                <w:rFonts w:ascii="Arial" w:cs="Arial" w:eastAsia="Arial" w:hAnsi="Arial"/>
                <w:sz w:val="11"/>
                <w:szCs w:val="11"/>
                <w:color w:val="auto"/>
              </w:rPr>
              <w:t>18,571</w:t>
            </w:r>
          </w:p>
        </w:tc>
        <w:tc>
          <w:tcPr>
            <w:tcW w:w="540" w:type="dxa"/>
            <w:vAlign w:val="bottom"/>
          </w:tcPr>
          <w:p>
            <w:pPr>
              <w:jc w:val="center"/>
              <w:ind w:left="3"/>
              <w:spacing w:after="0"/>
              <w:rPr>
                <w:sz w:val="20"/>
                <w:szCs w:val="20"/>
                <w:color w:val="auto"/>
              </w:rPr>
            </w:pPr>
            <w:r>
              <w:rPr>
                <w:rFonts w:ascii="Arial" w:cs="Arial" w:eastAsia="Arial" w:hAnsi="Arial"/>
                <w:sz w:val="11"/>
                <w:szCs w:val="11"/>
                <w:color w:val="auto"/>
              </w:rPr>
              <w:t>1,081</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5.8%</w:t>
            </w:r>
          </w:p>
        </w:tc>
        <w:tc>
          <w:tcPr>
            <w:tcW w:w="0" w:type="dxa"/>
            <w:vAlign w:val="bottom"/>
          </w:tcPr>
          <w:p>
            <w:pPr>
              <w:spacing w:after="0"/>
              <w:rPr>
                <w:sz w:val="1"/>
                <w:szCs w:val="1"/>
                <w:color w:val="auto"/>
              </w:rPr>
            </w:pPr>
          </w:p>
        </w:tc>
      </w:tr>
      <w:tr>
        <w:trPr>
          <w:trHeight w:val="131"/>
        </w:trPr>
        <w:tc>
          <w:tcPr>
            <w:tcW w:w="58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rPr>
              <w:t>15,801</w:t>
            </w:r>
          </w:p>
        </w:tc>
        <w:tc>
          <w:tcPr>
            <w:tcW w:w="600" w:type="dxa"/>
            <w:vAlign w:val="bottom"/>
          </w:tcPr>
          <w:p>
            <w:pPr>
              <w:jc w:val="center"/>
              <w:spacing w:after="0"/>
              <w:rPr>
                <w:sz w:val="20"/>
                <w:szCs w:val="20"/>
                <w:color w:val="auto"/>
              </w:rPr>
            </w:pPr>
            <w:r>
              <w:rPr>
                <w:rFonts w:ascii="Arial" w:cs="Arial" w:eastAsia="Arial" w:hAnsi="Arial"/>
                <w:sz w:val="11"/>
                <w:szCs w:val="11"/>
                <w:color w:val="auto"/>
              </w:rPr>
              <w:t>634</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4.0%</w:t>
            </w:r>
          </w:p>
        </w:tc>
        <w:tc>
          <w:tcPr>
            <w:tcW w:w="580" w:type="dxa"/>
            <w:vAlign w:val="bottom"/>
          </w:tcPr>
          <w:p>
            <w:pPr>
              <w:jc w:val="center"/>
              <w:spacing w:after="0"/>
              <w:rPr>
                <w:sz w:val="20"/>
                <w:szCs w:val="20"/>
                <w:color w:val="auto"/>
              </w:rPr>
            </w:pPr>
            <w:r>
              <w:rPr>
                <w:rFonts w:ascii="Arial" w:cs="Arial" w:eastAsia="Arial" w:hAnsi="Arial"/>
                <w:sz w:val="11"/>
                <w:szCs w:val="11"/>
                <w:color w:val="auto"/>
              </w:rPr>
              <w:t>15,931</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800</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5.0%</w:t>
            </w:r>
          </w:p>
        </w:tc>
        <w:tc>
          <w:tcPr>
            <w:tcW w:w="0" w:type="dxa"/>
            <w:vAlign w:val="bottom"/>
          </w:tcPr>
          <w:p>
            <w:pPr>
              <w:spacing w:after="0"/>
              <w:rPr>
                <w:sz w:val="1"/>
                <w:szCs w:val="1"/>
                <w:color w:val="auto"/>
              </w:rPr>
            </w:pPr>
          </w:p>
        </w:tc>
      </w:tr>
      <w:tr>
        <w:trPr>
          <w:trHeight w:val="139"/>
        </w:trPr>
        <w:tc>
          <w:tcPr>
            <w:tcW w:w="5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rPr>
              <w:t>2,188</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926</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42.3%</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2,561</w:t>
            </w:r>
          </w:p>
        </w:tc>
        <w:tc>
          <w:tcPr>
            <w:tcW w:w="54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color w:val="auto"/>
              </w:rPr>
              <w:t>1,023</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24"/>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185,339</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5,861</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3.2%</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191,836</w:t>
            </w:r>
          </w:p>
        </w:tc>
        <w:tc>
          <w:tcPr>
            <w:tcW w:w="540" w:type="dxa"/>
            <w:vAlign w:val="bottom"/>
            <w:tcBorders>
              <w:bottom w:val="single" w:sz="8" w:color="auto"/>
            </w:tcBorders>
          </w:tcPr>
          <w:p>
            <w:pPr>
              <w:jc w:val="center"/>
              <w:ind w:left="3"/>
              <w:spacing w:after="0" w:line="124" w:lineRule="exact"/>
              <w:rPr>
                <w:sz w:val="20"/>
                <w:szCs w:val="20"/>
                <w:color w:val="auto"/>
              </w:rPr>
            </w:pPr>
            <w:r>
              <w:rPr>
                <w:rFonts w:ascii="Arial" w:cs="Arial" w:eastAsia="Arial" w:hAnsi="Arial"/>
                <w:sz w:val="11"/>
                <w:szCs w:val="11"/>
                <w:b w:val="1"/>
                <w:bCs w:val="1"/>
                <w:color w:val="auto"/>
              </w:rPr>
              <w:t>5,754</w:t>
            </w:r>
          </w:p>
        </w:tc>
        <w:tc>
          <w:tcPr>
            <w:tcW w:w="4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3.0%</w:t>
            </w:r>
          </w:p>
        </w:tc>
        <w:tc>
          <w:tcPr>
            <w:tcW w:w="0" w:type="dxa"/>
            <w:vAlign w:val="bottom"/>
          </w:tcPr>
          <w:p>
            <w:pPr>
              <w:spacing w:after="0"/>
              <w:rPr>
                <w:sz w:val="1"/>
                <w:szCs w:val="1"/>
                <w:color w:val="auto"/>
              </w:rPr>
            </w:pPr>
          </w:p>
        </w:tc>
      </w:tr>
      <w:tr>
        <w:trPr>
          <w:trHeight w:val="124"/>
        </w:trPr>
        <w:tc>
          <w:tcPr>
            <w:tcW w:w="580" w:type="dxa"/>
            <w:vAlign w:val="bottom"/>
            <w:tcBorders>
              <w:left w:val="single" w:sz="8" w:color="auto"/>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50.1%</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58.1%</w:t>
            </w:r>
          </w:p>
        </w:tc>
        <w:tc>
          <w:tcPr>
            <w:tcW w:w="6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3.7%</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50.1%</w:t>
            </w:r>
          </w:p>
        </w:tc>
        <w:tc>
          <w:tcPr>
            <w:tcW w:w="540" w:type="dxa"/>
            <w:vAlign w:val="bottom"/>
            <w:tcBorders>
              <w:bottom w:val="single" w:sz="8" w:color="auto"/>
            </w:tcBorders>
          </w:tcPr>
          <w:p>
            <w:pPr>
              <w:jc w:val="center"/>
              <w:ind w:left="3"/>
              <w:spacing w:after="0" w:line="124" w:lineRule="exact"/>
              <w:rPr>
                <w:sz w:val="20"/>
                <w:szCs w:val="20"/>
                <w:color w:val="auto"/>
              </w:rPr>
            </w:pPr>
            <w:r>
              <w:rPr>
                <w:rFonts w:ascii="Arial" w:cs="Arial" w:eastAsia="Arial" w:hAnsi="Arial"/>
                <w:sz w:val="11"/>
                <w:szCs w:val="11"/>
                <w:color w:val="auto"/>
              </w:rPr>
              <w:t>50.5%</w:t>
            </w:r>
          </w:p>
        </w:tc>
        <w:tc>
          <w:tcPr>
            <w:tcW w:w="4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3.0%</w:t>
            </w:r>
          </w:p>
        </w:tc>
        <w:tc>
          <w:tcPr>
            <w:tcW w:w="0" w:type="dxa"/>
            <w:vAlign w:val="bottom"/>
          </w:tcPr>
          <w:p>
            <w:pPr>
              <w:spacing w:after="0"/>
              <w:rPr>
                <w:sz w:val="1"/>
                <w:szCs w:val="1"/>
                <w:color w:val="auto"/>
              </w:rPr>
            </w:pPr>
          </w:p>
        </w:tc>
      </w:tr>
      <w:tr>
        <w:trPr>
          <w:trHeight w:val="137"/>
        </w:trPr>
        <w:tc>
          <w:tcPr>
            <w:tcW w:w="580" w:type="dxa"/>
            <w:vAlign w:val="bottom"/>
            <w:tcBorders>
              <w:left w:val="single" w:sz="8" w:color="auto"/>
            </w:tcBorders>
          </w:tcPr>
          <w:p>
            <w:pPr>
              <w:jc w:val="center"/>
              <w:spacing w:after="0"/>
              <w:rPr>
                <w:sz w:val="20"/>
                <w:szCs w:val="20"/>
                <w:color w:val="auto"/>
              </w:rPr>
            </w:pPr>
            <w:r>
              <w:rPr>
                <w:rFonts w:ascii="Arial" w:cs="Arial" w:eastAsia="Arial" w:hAnsi="Arial"/>
                <w:sz w:val="11"/>
                <w:szCs w:val="11"/>
                <w:color w:val="auto"/>
              </w:rPr>
              <w:t>49.9%</w:t>
            </w:r>
          </w:p>
        </w:tc>
        <w:tc>
          <w:tcPr>
            <w:tcW w:w="600" w:type="dxa"/>
            <w:vAlign w:val="bottom"/>
          </w:tcPr>
          <w:p>
            <w:pPr>
              <w:jc w:val="center"/>
              <w:spacing w:after="0"/>
              <w:rPr>
                <w:sz w:val="20"/>
                <w:szCs w:val="20"/>
                <w:color w:val="auto"/>
              </w:rPr>
            </w:pPr>
            <w:r>
              <w:rPr>
                <w:rFonts w:ascii="Arial" w:cs="Arial" w:eastAsia="Arial" w:hAnsi="Arial"/>
                <w:sz w:val="11"/>
                <w:szCs w:val="11"/>
                <w:color w:val="auto"/>
              </w:rPr>
              <w:t>41.9%</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2.7%</w:t>
            </w:r>
          </w:p>
        </w:tc>
        <w:tc>
          <w:tcPr>
            <w:tcW w:w="580" w:type="dxa"/>
            <w:vAlign w:val="bottom"/>
          </w:tcPr>
          <w:p>
            <w:pPr>
              <w:jc w:val="center"/>
              <w:spacing w:after="0"/>
              <w:rPr>
                <w:sz w:val="20"/>
                <w:szCs w:val="20"/>
                <w:color w:val="auto"/>
              </w:rPr>
            </w:pPr>
            <w:r>
              <w:rPr>
                <w:rFonts w:ascii="Arial" w:cs="Arial" w:eastAsia="Arial" w:hAnsi="Arial"/>
                <w:sz w:val="11"/>
                <w:szCs w:val="11"/>
                <w:color w:val="auto"/>
              </w:rPr>
              <w:t>49.9%</w:t>
            </w:r>
          </w:p>
        </w:tc>
        <w:tc>
          <w:tcPr>
            <w:tcW w:w="540" w:type="dxa"/>
            <w:vAlign w:val="bottom"/>
          </w:tcPr>
          <w:p>
            <w:pPr>
              <w:jc w:val="center"/>
              <w:ind w:left="3"/>
              <w:spacing w:after="0"/>
              <w:rPr>
                <w:sz w:val="20"/>
                <w:szCs w:val="20"/>
                <w:color w:val="auto"/>
              </w:rPr>
            </w:pPr>
            <w:r>
              <w:rPr>
                <w:rFonts w:ascii="Arial" w:cs="Arial" w:eastAsia="Arial" w:hAnsi="Arial"/>
                <w:sz w:val="11"/>
                <w:szCs w:val="11"/>
                <w:color w:val="auto"/>
              </w:rPr>
              <w:t>49.5%</w:t>
            </w:r>
          </w:p>
        </w:tc>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3.0%</w:t>
            </w: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2">
            <w:col w:w="7720" w:space="220"/>
            <w:col w:w="3300"/>
          </w:cols>
          <w:pgMar w:left="320" w:top="279" w:right="339" w:bottom="1440" w:gutter="0" w:footer="0" w:header="0"/>
          <w:type w:val="continuous"/>
        </w:sectPr>
      </w:pPr>
    </w:p>
    <w:tbl>
      <w:tblPr>
        <w:tblLayout w:type="fixed"/>
        <w:tblInd w:w="10" w:type="dxa"/>
        <w:tblCellMar>
          <w:top w:w="0" w:type="dxa"/>
          <w:left w:w="0" w:type="dxa"/>
          <w:bottom w:w="0" w:type="dxa"/>
          <w:right w:w="0" w:type="dxa"/>
        </w:tblCellMar>
      </w:tblPr>
      <w:tr>
        <w:trPr>
          <w:trHeight w:val="144"/>
        </w:trPr>
        <w:tc>
          <w:tcPr>
            <w:tcW w:w="25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NIM</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223,624</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3,349</w:t>
            </w:r>
          </w:p>
        </w:tc>
        <w:tc>
          <w:tcPr>
            <w:tcW w:w="600" w:type="dxa"/>
            <w:vAlign w:val="bottom"/>
            <w:tcBorders>
              <w:top w:val="single" w:sz="8" w:color="auto"/>
              <w:bottom w:val="single" w:sz="8" w:color="auto"/>
              <w:right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6.0%</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231,315</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3,591</w:t>
            </w:r>
          </w:p>
        </w:tc>
        <w:tc>
          <w:tcPr>
            <w:tcW w:w="600" w:type="dxa"/>
            <w:vAlign w:val="bottom"/>
            <w:tcBorders>
              <w:top w:val="single" w:sz="8" w:color="auto"/>
              <w:bottom w:val="single" w:sz="8" w:color="auto"/>
              <w:right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6.2%</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237,519</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3,629</w:t>
            </w:r>
          </w:p>
        </w:tc>
        <w:tc>
          <w:tcPr>
            <w:tcW w:w="600" w:type="dxa"/>
            <w:vAlign w:val="bottom"/>
            <w:tcBorders>
              <w:top w:val="single" w:sz="8" w:color="auto"/>
              <w:bottom w:val="single" w:sz="8" w:color="auto"/>
              <w:right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6.1%</w:t>
            </w:r>
          </w:p>
        </w:tc>
        <w:tc>
          <w:tcPr>
            <w:tcW w:w="220" w:type="dxa"/>
            <w:vAlign w:val="bottom"/>
            <w:tcBorders>
              <w:right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223,319</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12,938</w:t>
            </w:r>
          </w:p>
        </w:tc>
        <w:tc>
          <w:tcPr>
            <w:tcW w:w="580" w:type="dxa"/>
            <w:vAlign w:val="bottom"/>
            <w:tcBorders>
              <w:top w:val="single" w:sz="8" w:color="auto"/>
              <w:bottom w:val="single" w:sz="8" w:color="auto"/>
              <w:right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5.8%</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232,647</w:t>
            </w: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14,117</w:t>
            </w:r>
          </w:p>
        </w:tc>
        <w:tc>
          <w:tcPr>
            <w:tcW w:w="3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6.1%</w:t>
            </w:r>
          </w:p>
        </w:tc>
      </w:tr>
      <w:tr>
        <w:trPr>
          <w:trHeight w:val="124"/>
        </w:trPr>
        <w:tc>
          <w:tcPr>
            <w:tcW w:w="25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NIM (LC)</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57.6%</w:t>
            </w:r>
          </w:p>
        </w:tc>
        <w:tc>
          <w:tcPr>
            <w:tcW w:w="580" w:type="dxa"/>
            <w:vAlign w:val="bottom"/>
            <w:tcBorders>
              <w:bottom w:val="single" w:sz="8" w:color="auto"/>
            </w:tcBorders>
          </w:tcPr>
          <w:p>
            <w:pPr>
              <w:jc w:val="center"/>
              <w:ind w:right="3"/>
              <w:spacing w:after="0" w:line="124" w:lineRule="exact"/>
              <w:rPr>
                <w:sz w:val="20"/>
                <w:szCs w:val="20"/>
                <w:color w:val="auto"/>
              </w:rPr>
            </w:pPr>
            <w:r>
              <w:rPr>
                <w:rFonts w:ascii="Arial" w:cs="Arial" w:eastAsia="Arial" w:hAnsi="Arial"/>
                <w:sz w:val="11"/>
                <w:szCs w:val="11"/>
                <w:color w:val="auto"/>
              </w:rPr>
              <w:t>77.2%</w:t>
            </w:r>
          </w:p>
        </w:tc>
        <w:tc>
          <w:tcPr>
            <w:tcW w:w="600" w:type="dxa"/>
            <w:vAlign w:val="bottom"/>
            <w:tcBorders>
              <w:bottom w:val="single" w:sz="8" w:color="auto"/>
              <w:right w:val="single" w:sz="8" w:color="auto"/>
            </w:tcBorders>
          </w:tcPr>
          <w:p>
            <w:pPr>
              <w:jc w:val="right"/>
              <w:ind w:right="143"/>
              <w:spacing w:after="0" w:line="124" w:lineRule="exact"/>
              <w:rPr>
                <w:sz w:val="20"/>
                <w:szCs w:val="20"/>
                <w:color w:val="auto"/>
              </w:rPr>
            </w:pPr>
            <w:r>
              <w:rPr>
                <w:rFonts w:ascii="Arial" w:cs="Arial" w:eastAsia="Arial" w:hAnsi="Arial"/>
                <w:sz w:val="11"/>
                <w:szCs w:val="11"/>
                <w:color w:val="auto"/>
              </w:rPr>
              <w:t>8.0%</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55.7%</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76.8%</w:t>
            </w:r>
          </w:p>
        </w:tc>
        <w:tc>
          <w:tcPr>
            <w:tcW w:w="600" w:type="dxa"/>
            <w:vAlign w:val="bottom"/>
            <w:tcBorders>
              <w:bottom w:val="single" w:sz="8" w:color="auto"/>
              <w:right w:val="single" w:sz="8" w:color="auto"/>
            </w:tcBorders>
          </w:tcPr>
          <w:p>
            <w:pPr>
              <w:jc w:val="right"/>
              <w:ind w:right="123"/>
              <w:spacing w:after="0" w:line="124" w:lineRule="exact"/>
              <w:rPr>
                <w:sz w:val="20"/>
                <w:szCs w:val="20"/>
                <w:color w:val="auto"/>
              </w:rPr>
            </w:pPr>
            <w:r>
              <w:rPr>
                <w:rFonts w:ascii="Arial" w:cs="Arial" w:eastAsia="Arial" w:hAnsi="Arial"/>
                <w:sz w:val="11"/>
                <w:szCs w:val="11"/>
                <w:color w:val="auto"/>
              </w:rPr>
              <w:t>8.6%</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54.7%</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76.1%</w:t>
            </w:r>
          </w:p>
        </w:tc>
        <w:tc>
          <w:tcPr>
            <w:tcW w:w="600" w:type="dxa"/>
            <w:vAlign w:val="bottom"/>
            <w:tcBorders>
              <w:bottom w:val="single" w:sz="8" w:color="auto"/>
              <w:right w:val="single" w:sz="8" w:color="auto"/>
            </w:tcBorders>
          </w:tcPr>
          <w:p>
            <w:pPr>
              <w:jc w:val="right"/>
              <w:ind w:right="143"/>
              <w:spacing w:after="0" w:line="124" w:lineRule="exact"/>
              <w:rPr>
                <w:sz w:val="20"/>
                <w:szCs w:val="20"/>
                <w:color w:val="auto"/>
              </w:rPr>
            </w:pPr>
            <w:r>
              <w:rPr>
                <w:rFonts w:ascii="Arial" w:cs="Arial" w:eastAsia="Arial" w:hAnsi="Arial"/>
                <w:sz w:val="11"/>
                <w:szCs w:val="11"/>
                <w:color w:val="auto"/>
              </w:rPr>
              <w:t>8.5%</w:t>
            </w:r>
          </w:p>
        </w:tc>
        <w:tc>
          <w:tcPr>
            <w:tcW w:w="220" w:type="dxa"/>
            <w:vAlign w:val="bottom"/>
            <w:tcBorders>
              <w:right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57.4%</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77.0%</w:t>
            </w:r>
          </w:p>
        </w:tc>
        <w:tc>
          <w:tcPr>
            <w:tcW w:w="580" w:type="dxa"/>
            <w:vAlign w:val="bottom"/>
            <w:tcBorders>
              <w:bottom w:val="single" w:sz="8" w:color="auto"/>
              <w:right w:val="single" w:sz="8" w:color="auto"/>
            </w:tcBorders>
          </w:tcPr>
          <w:p>
            <w:pPr>
              <w:jc w:val="right"/>
              <w:ind w:right="123"/>
              <w:spacing w:after="0" w:line="124" w:lineRule="exact"/>
              <w:rPr>
                <w:sz w:val="20"/>
                <w:szCs w:val="20"/>
                <w:color w:val="auto"/>
              </w:rPr>
            </w:pPr>
            <w:r>
              <w:rPr>
                <w:rFonts w:ascii="Arial" w:cs="Arial" w:eastAsia="Arial" w:hAnsi="Arial"/>
                <w:sz w:val="11"/>
                <w:szCs w:val="11"/>
                <w:color w:val="auto"/>
              </w:rPr>
              <w:t>7.8%</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56.2%</w:t>
            </w:r>
          </w:p>
        </w:tc>
        <w:tc>
          <w:tcPr>
            <w:tcW w:w="500" w:type="dxa"/>
            <w:vAlign w:val="bottom"/>
            <w:tcBorders>
              <w:bottom w:val="single" w:sz="8" w:color="auto"/>
            </w:tcBorders>
          </w:tcPr>
          <w:p>
            <w:pPr>
              <w:jc w:val="center"/>
              <w:ind w:left="3"/>
              <w:spacing w:after="0" w:line="124" w:lineRule="exact"/>
              <w:rPr>
                <w:sz w:val="20"/>
                <w:szCs w:val="20"/>
                <w:color w:val="auto"/>
              </w:rPr>
            </w:pPr>
            <w:r>
              <w:rPr>
                <w:rFonts w:ascii="Arial" w:cs="Arial" w:eastAsia="Arial" w:hAnsi="Arial"/>
                <w:sz w:val="11"/>
                <w:szCs w:val="11"/>
                <w:color w:val="auto"/>
              </w:rPr>
              <w:t>76.9%</w:t>
            </w:r>
          </w:p>
        </w:tc>
        <w:tc>
          <w:tcPr>
            <w:tcW w:w="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8.3%</w:t>
            </w:r>
          </w:p>
        </w:tc>
      </w:tr>
      <w:tr>
        <w:trPr>
          <w:trHeight w:val="124"/>
        </w:trPr>
        <w:tc>
          <w:tcPr>
            <w:tcW w:w="2500" w:type="dxa"/>
            <w:vAlign w:val="bottom"/>
            <w:tcBorders>
              <w:left w:val="single" w:sz="8" w:color="auto"/>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NIM (FC)</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42.4%</w:t>
            </w:r>
          </w:p>
        </w:tc>
        <w:tc>
          <w:tcPr>
            <w:tcW w:w="580" w:type="dxa"/>
            <w:vAlign w:val="bottom"/>
            <w:tcBorders>
              <w:bottom w:val="single" w:sz="8" w:color="auto"/>
            </w:tcBorders>
          </w:tcPr>
          <w:p>
            <w:pPr>
              <w:jc w:val="center"/>
              <w:ind w:right="3"/>
              <w:spacing w:after="0" w:line="124" w:lineRule="exact"/>
              <w:rPr>
                <w:sz w:val="20"/>
                <w:szCs w:val="20"/>
                <w:color w:val="auto"/>
              </w:rPr>
            </w:pPr>
            <w:r>
              <w:rPr>
                <w:rFonts w:ascii="Arial" w:cs="Arial" w:eastAsia="Arial" w:hAnsi="Arial"/>
                <w:sz w:val="11"/>
                <w:szCs w:val="11"/>
                <w:color w:val="auto"/>
              </w:rPr>
              <w:t>22.8%</w:t>
            </w:r>
          </w:p>
        </w:tc>
        <w:tc>
          <w:tcPr>
            <w:tcW w:w="600" w:type="dxa"/>
            <w:vAlign w:val="bottom"/>
            <w:tcBorders>
              <w:bottom w:val="single" w:sz="8" w:color="auto"/>
              <w:right w:val="single" w:sz="8" w:color="auto"/>
            </w:tcBorders>
          </w:tcPr>
          <w:p>
            <w:pPr>
              <w:jc w:val="right"/>
              <w:ind w:right="143"/>
              <w:spacing w:after="0" w:line="124" w:lineRule="exact"/>
              <w:rPr>
                <w:sz w:val="20"/>
                <w:szCs w:val="20"/>
                <w:color w:val="auto"/>
              </w:rPr>
            </w:pPr>
            <w:r>
              <w:rPr>
                <w:rFonts w:ascii="Arial" w:cs="Arial" w:eastAsia="Arial" w:hAnsi="Arial"/>
                <w:sz w:val="11"/>
                <w:szCs w:val="11"/>
                <w:color w:val="auto"/>
              </w:rPr>
              <w:t>3.2%</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44.3%</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23.2%</w:t>
            </w:r>
          </w:p>
        </w:tc>
        <w:tc>
          <w:tcPr>
            <w:tcW w:w="600" w:type="dxa"/>
            <w:vAlign w:val="bottom"/>
            <w:tcBorders>
              <w:bottom w:val="single" w:sz="8" w:color="auto"/>
              <w:right w:val="single" w:sz="8" w:color="auto"/>
            </w:tcBorders>
          </w:tcPr>
          <w:p>
            <w:pPr>
              <w:jc w:val="right"/>
              <w:ind w:right="123"/>
              <w:spacing w:after="0" w:line="124" w:lineRule="exact"/>
              <w:rPr>
                <w:sz w:val="20"/>
                <w:szCs w:val="20"/>
                <w:color w:val="auto"/>
              </w:rPr>
            </w:pPr>
            <w:r>
              <w:rPr>
                <w:rFonts w:ascii="Arial" w:cs="Arial" w:eastAsia="Arial" w:hAnsi="Arial"/>
                <w:sz w:val="11"/>
                <w:szCs w:val="11"/>
                <w:color w:val="auto"/>
              </w:rPr>
              <w:t>3.3%</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45.3%</w:t>
            </w: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23.9%</w:t>
            </w:r>
          </w:p>
        </w:tc>
        <w:tc>
          <w:tcPr>
            <w:tcW w:w="600" w:type="dxa"/>
            <w:vAlign w:val="bottom"/>
            <w:tcBorders>
              <w:bottom w:val="single" w:sz="8" w:color="auto"/>
              <w:right w:val="single" w:sz="8" w:color="auto"/>
            </w:tcBorders>
          </w:tcPr>
          <w:p>
            <w:pPr>
              <w:jc w:val="right"/>
              <w:ind w:right="143"/>
              <w:spacing w:after="0" w:line="124" w:lineRule="exact"/>
              <w:rPr>
                <w:sz w:val="20"/>
                <w:szCs w:val="20"/>
                <w:color w:val="auto"/>
              </w:rPr>
            </w:pPr>
            <w:r>
              <w:rPr>
                <w:rFonts w:ascii="Arial" w:cs="Arial" w:eastAsia="Arial" w:hAnsi="Arial"/>
                <w:sz w:val="11"/>
                <w:szCs w:val="11"/>
                <w:color w:val="auto"/>
              </w:rPr>
              <w:t>3.2%</w:t>
            </w:r>
          </w:p>
        </w:tc>
        <w:tc>
          <w:tcPr>
            <w:tcW w:w="220" w:type="dxa"/>
            <w:vAlign w:val="bottom"/>
            <w:tcBorders>
              <w:right w:val="single" w:sz="8" w:color="auto"/>
            </w:tcBorders>
          </w:tcPr>
          <w:p>
            <w:pPr>
              <w:spacing w:after="0"/>
              <w:rPr>
                <w:sz w:val="10"/>
                <w:szCs w:val="10"/>
                <w:color w:val="auto"/>
              </w:rPr>
            </w:pPr>
          </w:p>
        </w:tc>
        <w:tc>
          <w:tcPr>
            <w:tcW w:w="5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42.6%</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23.0%</w:t>
            </w:r>
          </w:p>
        </w:tc>
        <w:tc>
          <w:tcPr>
            <w:tcW w:w="580" w:type="dxa"/>
            <w:vAlign w:val="bottom"/>
            <w:tcBorders>
              <w:bottom w:val="single" w:sz="8" w:color="auto"/>
              <w:right w:val="single" w:sz="8" w:color="auto"/>
            </w:tcBorders>
          </w:tcPr>
          <w:p>
            <w:pPr>
              <w:jc w:val="right"/>
              <w:ind w:right="123"/>
              <w:spacing w:after="0" w:line="124" w:lineRule="exact"/>
              <w:rPr>
                <w:sz w:val="20"/>
                <w:szCs w:val="20"/>
                <w:color w:val="auto"/>
              </w:rPr>
            </w:pPr>
            <w:r>
              <w:rPr>
                <w:rFonts w:ascii="Arial" w:cs="Arial" w:eastAsia="Arial" w:hAnsi="Arial"/>
                <w:sz w:val="11"/>
                <w:szCs w:val="11"/>
                <w:color w:val="auto"/>
              </w:rPr>
              <w:t>3.1%</w:t>
            </w:r>
          </w:p>
        </w:tc>
        <w:tc>
          <w:tcPr>
            <w:tcW w:w="60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43.8%</w:t>
            </w:r>
          </w:p>
        </w:tc>
        <w:tc>
          <w:tcPr>
            <w:tcW w:w="500" w:type="dxa"/>
            <w:vAlign w:val="bottom"/>
            <w:tcBorders>
              <w:bottom w:val="single" w:sz="8" w:color="auto"/>
            </w:tcBorders>
          </w:tcPr>
          <w:p>
            <w:pPr>
              <w:jc w:val="center"/>
              <w:ind w:left="3"/>
              <w:spacing w:after="0" w:line="124" w:lineRule="exact"/>
              <w:rPr>
                <w:sz w:val="20"/>
                <w:szCs w:val="20"/>
                <w:color w:val="auto"/>
              </w:rPr>
            </w:pPr>
            <w:r>
              <w:rPr>
                <w:rFonts w:ascii="Arial" w:cs="Arial" w:eastAsia="Arial" w:hAnsi="Arial"/>
                <w:sz w:val="11"/>
                <w:szCs w:val="11"/>
                <w:color w:val="auto"/>
              </w:rPr>
              <w:t>23.1%</w:t>
            </w:r>
          </w:p>
        </w:tc>
        <w:tc>
          <w:tcPr>
            <w:tcW w:w="340" w:type="dxa"/>
            <w:vAlign w:val="bottom"/>
            <w:tcBorders>
              <w:bottom w:val="single" w:sz="8" w:color="auto"/>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3.2%</w:t>
            </w:r>
          </w:p>
        </w:tc>
      </w:tr>
    </w:tbl>
    <w:p>
      <w:pPr>
        <w:spacing w:after="0"/>
        <w:rPr>
          <w:sz w:val="20"/>
          <w:szCs w:val="20"/>
          <w:color w:val="auto"/>
        </w:rPr>
      </w:pPr>
      <w:r>
        <w:rPr>
          <w:rFonts w:ascii="Arial" w:cs="Arial" w:eastAsia="Arial" w:hAnsi="Arial"/>
          <w:sz w:val="11"/>
          <w:szCs w:val="11"/>
          <w:color w:val="auto"/>
        </w:rPr>
        <w:t>(1) Unlike the NIM figure calculated according to the formula in Appendix 12.7, the NIM presented in this table includes “Financial Expense associated with the insurance and reinsurance activity, net”.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QoQ Analysis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QoQ, </w:t>
      </w:r>
      <w:r>
        <w:rPr>
          <w:rFonts w:ascii="Arial" w:cs="Arial" w:eastAsia="Arial" w:hAnsi="Arial"/>
          <w:sz w:val="16"/>
          <w:szCs w:val="16"/>
          <w:b w:val="1"/>
          <w:bCs w:val="1"/>
          <w:color w:val="auto"/>
        </w:rPr>
        <w:t>Net Interest Income (NII)</w:t>
      </w:r>
      <w:r>
        <w:rPr>
          <w:rFonts w:ascii="Arial" w:cs="Arial" w:eastAsia="Arial" w:hAnsi="Arial"/>
          <w:sz w:val="16"/>
          <w:szCs w:val="16"/>
          <w:color w:val="auto"/>
        </w:rPr>
        <w:t xml:space="preserve"> rose 1.1%, driven mainly by higher NII in FC, while NII in LC increased only marginally. IEAs in LC represent 54.7% of total IEAs and account for 68.8% of interest income generated in 4Q24.</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Currency Dynamics (LC)</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LC </w:t>
      </w:r>
      <w:r>
        <w:rPr>
          <w:rFonts w:ascii="Arial" w:cs="Arial" w:eastAsia="Arial" w:hAnsi="Arial"/>
          <w:sz w:val="16"/>
          <w:szCs w:val="16"/>
          <w:color w:val="auto"/>
        </w:rPr>
        <w:t>rose 0.1%. This evolution was fueled by growth in interest income, which rose primarily through an uptick in disbursements for Small Businesses at</w:t>
      </w:r>
      <w:r>
        <w:rPr>
          <w:rFonts w:ascii="Arial" w:cs="Arial" w:eastAsia="Arial" w:hAnsi="Arial"/>
          <w:sz w:val="16"/>
          <w:szCs w:val="16"/>
          <w:b w:val="1"/>
          <w:bCs w:val="1"/>
          <w:color w:val="auto"/>
        </w:rPr>
        <w:t xml:space="preserve"> </w:t>
      </w:r>
      <w:r>
        <w:rPr>
          <w:rFonts w:ascii="Arial" w:cs="Arial" w:eastAsia="Arial" w:hAnsi="Arial"/>
          <w:sz w:val="16"/>
          <w:szCs w:val="16"/>
          <w:color w:val="auto"/>
        </w:rPr>
        <w:t>BCP via SME-Pyme working capital loans, which registered increasing interest rates. Growth in income was partially offset by higher interest expenses, which were impacted by an increase in funding with BCRP and banks, mainly through the repo balance with BCRP.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Dynamics (FC)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in FC </w:t>
      </w:r>
      <w:r>
        <w:rPr>
          <w:rFonts w:ascii="Arial" w:cs="Arial" w:eastAsia="Arial" w:hAnsi="Arial"/>
          <w:sz w:val="16"/>
          <w:szCs w:val="16"/>
          <w:color w:val="auto"/>
        </w:rPr>
        <w:t>increased 4.3% QoQ, driven by the following dynamics: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Interest expenses fell 4.0% QoQ. This evolution was fueled by a decrease in market rates (which reflects rates cuts from the Fed) which led to a downward repricing, particularly for time deposits and BCRP + due to banks. In this scenario, the funding cost in FC dropped from 3.0% to stand at 2.8% QoQ. Income was a minor contributor to growth in NII given that the increase in interest on available funds, which was attributable to a positive volume effect, was offset by a drop in interest on loans.</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27" w:name="page28"/>
    <w:bookmarkEnd w:id="27"/>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00"/>
        <w:spacing w:after="0"/>
        <w:rPr>
          <w:sz w:val="20"/>
          <w:szCs w:val="20"/>
          <w:color w:val="auto"/>
        </w:rPr>
      </w:pPr>
      <w:r>
        <w:rPr>
          <w:rFonts w:ascii="Calibri" w:cs="Calibri" w:eastAsia="Calibri" w:hAnsi="Calibri"/>
          <w:sz w:val="21"/>
          <w:szCs w:val="21"/>
          <w:b w:val="1"/>
          <w:bCs w:val="1"/>
          <w:color w:val="FFFFFF"/>
        </w:rPr>
        <w:t>04. Net Interest Income (NII)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YoY Analysis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YoY, </w:t>
      </w:r>
      <w:r>
        <w:rPr>
          <w:rFonts w:ascii="Arial" w:cs="Arial" w:eastAsia="Arial" w:hAnsi="Arial"/>
          <w:sz w:val="16"/>
          <w:szCs w:val="16"/>
          <w:b w:val="1"/>
          <w:bCs w:val="1"/>
          <w:color w:val="auto"/>
        </w:rPr>
        <w:t>NII</w:t>
      </w:r>
      <w:r>
        <w:rPr>
          <w:rFonts w:ascii="Arial" w:cs="Arial" w:eastAsia="Arial" w:hAnsi="Arial"/>
          <w:sz w:val="16"/>
          <w:szCs w:val="16"/>
          <w:color w:val="auto"/>
        </w:rPr>
        <w:t xml:space="preserve"> rose 8.4%, driven by NII in both LC and FC: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Currency Dynamics (LC)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LC </w:t>
      </w:r>
      <w:r>
        <w:rPr>
          <w:rFonts w:ascii="Arial" w:cs="Arial" w:eastAsia="Arial" w:hAnsi="Arial"/>
          <w:sz w:val="16"/>
          <w:szCs w:val="16"/>
          <w:color w:val="auto"/>
        </w:rPr>
        <w:t>rose 6.8% YoY due to the following dynamics: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Interest expenses dropped 19.2%, driven mainly by deposits. The average deposit balance rose, but associated interest expenses dropped, which reflected: i) downward repricing of rates, which were impacted by reference rate cuts at BCRP, and ii) growth in low- cost deposits’ share of total deposits. In this context, the cost of funding in LC dropped 82 bps YoY.</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Interest income remained relatively stable (+0.4% YoY), given that growth in the loan volume was concentrated in wholesale segments, which yield lower interest rates. In this context, the yield on IEAs dropped 6 bps to 10.6%.</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Dynamics (FC)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FC </w:t>
      </w:r>
      <w:r>
        <w:rPr>
          <w:rFonts w:ascii="Arial" w:cs="Arial" w:eastAsia="Arial" w:hAnsi="Arial"/>
          <w:sz w:val="16"/>
          <w:szCs w:val="16"/>
          <w:color w:val="auto"/>
        </w:rPr>
        <w:t>rose 13.7% YoY due to the following dynamics: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Average IEA in FC rose 13.4% YoY, driven by growth in the volume of available funds, which was capitalized mainly through overnight deposits in BCRP. The positive volume effect led interest income to rise 8.9%. Nevertheless, less profitable assets predominated in the IEA mix, which led the yield on IEAs to drop 24 bps and stand at 5.8%.</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Funding, in turn, increased 6.6% YoY, driven mainly by debt issuances at BCP this year and secondarily by growth in the deposit balance. Interest expenses rose 3.4%, fueled primarily by an issuance effect. Notwithstanding, the downward trend in the Fed’s reference rate offset this effect, as interest expenses fell alongside lower rates on deposits. The combination of the aforementioned dynamics led the funding cost to drop 9 bps.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FY Analysis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 the end of 2024, </w:t>
      </w:r>
      <w:r>
        <w:rPr>
          <w:rFonts w:ascii="Arial" w:cs="Arial" w:eastAsia="Arial" w:hAnsi="Arial"/>
          <w:sz w:val="16"/>
          <w:szCs w:val="16"/>
          <w:b w:val="1"/>
          <w:bCs w:val="1"/>
          <w:color w:val="auto"/>
        </w:rPr>
        <w:t>NII</w:t>
      </w:r>
      <w:r>
        <w:rPr>
          <w:rFonts w:ascii="Arial" w:cs="Arial" w:eastAsia="Arial" w:hAnsi="Arial"/>
          <w:sz w:val="16"/>
          <w:szCs w:val="16"/>
          <w:color w:val="auto"/>
        </w:rPr>
        <w:t xml:space="preserve"> rose 9.1%, driven by NII in both LC and FC.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Currency Dynamics (FC)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LC </w:t>
      </w:r>
      <w:r>
        <w:rPr>
          <w:rFonts w:ascii="Arial" w:cs="Arial" w:eastAsia="Arial" w:hAnsi="Arial"/>
          <w:sz w:val="16"/>
          <w:szCs w:val="16"/>
          <w:color w:val="auto"/>
        </w:rPr>
        <w:t>increased 9.0% due to the following dynamics: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Interest expenses dropped 14.7% over the course of 2024, driven by the same dynamics mentioned in the YoY analysis and by a decrease in interest on deposits, which fell from 3.7% to 3.0%. Interest income reported a marginal contribution to growth in NII in LC, which was fueled by the factors in play YoY and by growth in interest on Investments due to our strategy to extend the portfolio’s duration through sovereign bond holdings.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Dynamics (FC)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NII </w:t>
      </w:r>
      <w:r>
        <w:rPr>
          <w:rFonts w:ascii="Arial" w:cs="Arial" w:eastAsia="Arial" w:hAnsi="Arial"/>
          <w:sz w:val="16"/>
          <w:szCs w:val="16"/>
          <w:color w:val="auto"/>
        </w:rPr>
        <w:t>in</w:t>
      </w:r>
      <w:r>
        <w:rPr>
          <w:rFonts w:ascii="Arial" w:cs="Arial" w:eastAsia="Arial" w:hAnsi="Arial"/>
          <w:sz w:val="16"/>
          <w:szCs w:val="16"/>
          <w:b w:val="1"/>
          <w:bCs w:val="1"/>
          <w:color w:val="auto"/>
        </w:rPr>
        <w:t xml:space="preserve"> FC </w:t>
      </w:r>
      <w:r>
        <w:rPr>
          <w:rFonts w:ascii="Arial" w:cs="Arial" w:eastAsia="Arial" w:hAnsi="Arial"/>
          <w:sz w:val="16"/>
          <w:szCs w:val="16"/>
          <w:color w:val="auto"/>
        </w:rPr>
        <w:t>increased 9.6% due to the following dynamics: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NII in FC rose 12.5% in 2024. This evolution was primarily attributable to growth in Interest on loans, driven mainly by pricing improvements and reflected in the rise in the implicit interest rate. A positive volume effect, fueled by growth in the wholesale loan balance, was the second most important contributor to the FY increase in NII. The third player in NII’s evolution in terms of impact was the uptick in interest on Cash and equivalents, where volumes rose, albeit to a lesser extent than loans.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Interest expenses, which played only a minor role in FY growth in NII, fell in 2024 due to a decrease in Interest on deposits. This decline was driven by the same factors indicated in the YoY analysis.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8" w:name="page29"/>
    <w:bookmarkEnd w:id="28"/>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05 </w:t>
      </w:r>
      <w:r>
        <w:rPr>
          <w:rFonts w:ascii="Arial" w:cs="Arial" w:eastAsia="Arial" w:hAnsi="Arial"/>
          <w:sz w:val="31"/>
          <w:szCs w:val="31"/>
          <w:color w:val="E93BAB"/>
        </w:rPr>
        <w:t>Portfolio Quality and Provisions</w:t>
      </w:r>
    </w:p>
    <w:p>
      <w:pPr>
        <w:spacing w:after="0" w:line="209" w:lineRule="exact"/>
        <w:rPr>
          <w:sz w:val="20"/>
          <w:szCs w:val="20"/>
          <w:color w:val="auto"/>
        </w:rPr>
      </w:pPr>
    </w:p>
    <w:p>
      <w:pPr>
        <w:jc w:val="both"/>
        <w:ind w:left="580" w:right="540"/>
        <w:spacing w:after="0" w:line="250" w:lineRule="auto"/>
        <w:rPr>
          <w:sz w:val="20"/>
          <w:szCs w:val="20"/>
          <w:color w:val="auto"/>
        </w:rPr>
      </w:pPr>
      <w:r>
        <w:rPr>
          <w:rFonts w:ascii="Arial" w:cs="Arial" w:eastAsia="Arial" w:hAnsi="Arial"/>
          <w:sz w:val="17"/>
          <w:szCs w:val="17"/>
          <w:color w:val="FFFFFF"/>
        </w:rPr>
        <w:t>This quarter, NPLs continued to drop after reaching a turning point in 3Q24, particularly in the segments most impacted by the recent credit cycle: the Individuals and the SME-Pyme portfolio at BCP Stand-alone, and the loan portfolio at Mibanco. This is the result of successful risk management measures at BCP and Mibanco. At BCP, portfolio quality metrics improved due to risk management measures such as adjusting credit guidelines in high-risk segments, shoring up credit processes and calibrating specific models to better predict losses; while at Mibanco, portfolio quality metrics improved due to the positive impact of stricter origination policies, improvements in debt collection management and the debt relief facilities rolled out as of 2Q24.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-764540</wp:posOffset>
            </wp:positionV>
            <wp:extent cx="6561455" cy="17570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61455" cy="1757045"/>
                    </a:xfrm>
                    <a:prstGeom prst="rect">
                      <a:avLst/>
                    </a:prstGeom>
                    <a:noFill/>
                  </pic:spPr>
                </pic:pic>
              </a:graphicData>
            </a:graphic>
          </wp:anchor>
        </w:drawing>
      </w:r>
    </w:p>
    <w:p>
      <w:pPr>
        <w:spacing w:after="0" w:line="148" w:lineRule="exact"/>
        <w:rPr>
          <w:sz w:val="20"/>
          <w:szCs w:val="20"/>
          <w:color w:val="auto"/>
        </w:rPr>
      </w:pPr>
    </w:p>
    <w:p>
      <w:pPr>
        <w:jc w:val="both"/>
        <w:ind w:left="580" w:right="540"/>
        <w:spacing w:after="0" w:line="248" w:lineRule="auto"/>
        <w:rPr>
          <w:sz w:val="20"/>
          <w:szCs w:val="20"/>
          <w:color w:val="auto"/>
        </w:rPr>
      </w:pPr>
      <w:r>
        <w:rPr>
          <w:rFonts w:ascii="Arial" w:cs="Arial" w:eastAsia="Arial" w:hAnsi="Arial"/>
          <w:sz w:val="17"/>
          <w:szCs w:val="17"/>
          <w:color w:val="FFFFFF"/>
        </w:rPr>
        <w:t>QoQ, the decline in the NPL portfolio at BCP was fueled primarily by a reduction in overdue loans in Small Businesses and debt cancellations in Wholesale. At Mibanco, the reduction in NPLs was attributable to a drop in overdue loans. As a result, the NPL ratio dropped 60 bps and 63 pbs QoQ and YoY, respectively, to stand at 5.3%. On the other hand, provisions fell this quarter, mainly on the back of BCP, which reported an improvement in payment performance in SME-Pyme and Mortgage, followed by the same dynamic at Mibanco. This evolution was partially offset by an increase in provisions for Consumer and Credit Cards, due to risk model calibrations. Despite higher provisions, the underlying risk improved for both segments. In this context, the cost of risk dropped 34 bps and 118 bps QoQ and YoY, respectively, to stand at 2.1%.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5.1 Portfolio Quality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Quality of Total Loans (in quarter-end balances)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4"/>
                <w:szCs w:val="14"/>
                <w:b w:val="1"/>
                <w:bCs w:val="1"/>
                <w:color w:val="FFFFFF"/>
              </w:rPr>
              <w:t>Loan Portfolio quality and Delinquency ratios</w:t>
            </w:r>
          </w:p>
        </w:tc>
        <w:tc>
          <w:tcPr>
            <w:tcW w:w="1500" w:type="dxa"/>
            <w:vAlign w:val="bottom"/>
            <w:tcBorders>
              <w:top w:val="single" w:sz="8" w:color="auto"/>
            </w:tcBorders>
            <w:shd w:val="clear" w:color="auto" w:fill="33CCCC"/>
          </w:tcPr>
          <w:p>
            <w:pPr>
              <w:spacing w:after="0"/>
              <w:rPr>
                <w:sz w:val="14"/>
                <w:szCs w:val="14"/>
                <w:color w:val="auto"/>
              </w:rPr>
            </w:pPr>
          </w:p>
        </w:tc>
        <w:tc>
          <w:tcPr>
            <w:tcW w:w="154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4"/>
                <w:szCs w:val="14"/>
                <w:b w:val="1"/>
                <w:bCs w:val="1"/>
                <w:color w:val="FFFFFF"/>
              </w:rPr>
              <w:t>As of</w:t>
            </w:r>
          </w:p>
        </w:tc>
        <w:tc>
          <w:tcPr>
            <w:tcW w:w="1580" w:type="dxa"/>
            <w:vAlign w:val="bottom"/>
            <w:tcBorders>
              <w:top w:val="single" w:sz="8" w:color="auto"/>
              <w:right w:val="single" w:sz="8" w:color="auto"/>
            </w:tcBorders>
            <w:shd w:val="clear" w:color="auto" w:fill="33CCCC"/>
          </w:tcPr>
          <w:p>
            <w:pPr>
              <w:spacing w:after="0"/>
              <w:rPr>
                <w:sz w:val="14"/>
                <w:szCs w:val="14"/>
                <w:color w:val="auto"/>
              </w:rPr>
            </w:pPr>
          </w:p>
        </w:tc>
        <w:tc>
          <w:tcPr>
            <w:tcW w:w="920" w:type="dxa"/>
            <w:vAlign w:val="bottom"/>
            <w:tcBorders>
              <w:top w:val="single" w:sz="8" w:color="auto"/>
            </w:tcBorders>
            <w:shd w:val="clear" w:color="auto" w:fill="33CCCC"/>
          </w:tcPr>
          <w:p>
            <w:pPr>
              <w:spacing w:after="0"/>
              <w:rPr>
                <w:sz w:val="14"/>
                <w:szCs w:val="14"/>
                <w:color w:val="auto"/>
              </w:rPr>
            </w:pPr>
          </w:p>
        </w:tc>
        <w:tc>
          <w:tcPr>
            <w:tcW w:w="170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4"/>
                <w:szCs w:val="14"/>
                <w:b w:val="1"/>
                <w:bCs w:val="1"/>
                <w:color w:val="FFFFFF"/>
              </w:rPr>
              <w:t>% change</w:t>
            </w:r>
          </w:p>
        </w:tc>
      </w:tr>
      <w:tr>
        <w:trPr>
          <w:trHeight w:val="157"/>
        </w:trPr>
        <w:tc>
          <w:tcPr>
            <w:tcW w:w="4000" w:type="dxa"/>
            <w:vAlign w:val="bottom"/>
            <w:tcBorders>
              <w:left w:val="single" w:sz="8" w:color="auto"/>
              <w:bottom w:val="single" w:sz="8" w:color="auto"/>
              <w:right w:val="single" w:sz="8" w:color="auto"/>
            </w:tcBorders>
            <w:shd w:val="clear" w:color="auto" w:fill="33CCCC"/>
          </w:tcPr>
          <w:p>
            <w:pPr>
              <w:ind w:left="20"/>
              <w:spacing w:after="0" w:line="157" w:lineRule="exact"/>
              <w:rPr>
                <w:sz w:val="20"/>
                <w:szCs w:val="20"/>
                <w:color w:val="auto"/>
              </w:rPr>
            </w:pPr>
            <w:r>
              <w:rPr>
                <w:rFonts w:ascii="Arial" w:cs="Arial" w:eastAsia="Arial" w:hAnsi="Arial"/>
                <w:sz w:val="14"/>
                <w:szCs w:val="14"/>
                <w:b w:val="1"/>
                <w:bCs w:val="1"/>
                <w:color w:val="FFFFFF"/>
              </w:rPr>
              <w:t>S/000</w:t>
            </w:r>
          </w:p>
        </w:tc>
        <w:tc>
          <w:tcPr>
            <w:tcW w:w="1500" w:type="dxa"/>
            <w:vAlign w:val="bottom"/>
            <w:tcBorders>
              <w:bottom w:val="single" w:sz="8" w:color="auto"/>
            </w:tcBorders>
            <w:shd w:val="clear" w:color="auto" w:fill="33CCCC"/>
          </w:tcPr>
          <w:p>
            <w:pPr>
              <w:ind w:left="520"/>
              <w:spacing w:after="0" w:line="157" w:lineRule="exact"/>
              <w:rPr>
                <w:sz w:val="20"/>
                <w:szCs w:val="20"/>
                <w:color w:val="auto"/>
              </w:rPr>
            </w:pPr>
            <w:r>
              <w:rPr>
                <w:rFonts w:ascii="Arial" w:cs="Arial" w:eastAsia="Arial" w:hAnsi="Arial"/>
                <w:sz w:val="14"/>
                <w:szCs w:val="14"/>
                <w:b w:val="1"/>
                <w:bCs w:val="1"/>
                <w:color w:val="FFFFFF"/>
              </w:rPr>
              <w:t>Dec 23</w:t>
            </w:r>
          </w:p>
        </w:tc>
        <w:tc>
          <w:tcPr>
            <w:tcW w:w="1540" w:type="dxa"/>
            <w:vAlign w:val="bottom"/>
            <w:tcBorders>
              <w:bottom w:val="single" w:sz="8" w:color="auto"/>
            </w:tcBorders>
            <w:shd w:val="clear" w:color="auto" w:fill="33CCCC"/>
          </w:tcPr>
          <w:p>
            <w:pPr>
              <w:jc w:val="center"/>
              <w:spacing w:after="0" w:line="157" w:lineRule="exact"/>
              <w:rPr>
                <w:sz w:val="20"/>
                <w:szCs w:val="20"/>
                <w:color w:val="auto"/>
              </w:rPr>
            </w:pPr>
            <w:r>
              <w:rPr>
                <w:rFonts w:ascii="Arial" w:cs="Arial" w:eastAsia="Arial" w:hAnsi="Arial"/>
                <w:sz w:val="14"/>
                <w:szCs w:val="14"/>
                <w:b w:val="1"/>
                <w:bCs w:val="1"/>
                <w:color w:val="FFFFFF"/>
                <w:w w:val="97"/>
              </w:rPr>
              <w:t>Sep 24</w:t>
            </w:r>
          </w:p>
        </w:tc>
        <w:tc>
          <w:tcPr>
            <w:tcW w:w="1580" w:type="dxa"/>
            <w:vAlign w:val="bottom"/>
            <w:tcBorders>
              <w:bottom w:val="single" w:sz="8" w:color="auto"/>
              <w:right w:val="single" w:sz="8" w:color="auto"/>
            </w:tcBorders>
            <w:shd w:val="clear" w:color="auto" w:fill="33CCCC"/>
          </w:tcPr>
          <w:p>
            <w:pPr>
              <w:ind w:left="540"/>
              <w:spacing w:after="0" w:line="157" w:lineRule="exact"/>
              <w:rPr>
                <w:sz w:val="20"/>
                <w:szCs w:val="20"/>
                <w:color w:val="auto"/>
              </w:rPr>
            </w:pPr>
            <w:r>
              <w:rPr>
                <w:rFonts w:ascii="Arial" w:cs="Arial" w:eastAsia="Arial" w:hAnsi="Arial"/>
                <w:sz w:val="14"/>
                <w:szCs w:val="14"/>
                <w:b w:val="1"/>
                <w:bCs w:val="1"/>
                <w:color w:val="FFFFFF"/>
              </w:rPr>
              <w:t>Dec 24</w:t>
            </w:r>
          </w:p>
        </w:tc>
        <w:tc>
          <w:tcPr>
            <w:tcW w:w="920" w:type="dxa"/>
            <w:vAlign w:val="bottom"/>
            <w:tcBorders>
              <w:bottom w:val="single" w:sz="8" w:color="auto"/>
            </w:tcBorders>
            <w:shd w:val="clear" w:color="auto" w:fill="33CCCC"/>
          </w:tcPr>
          <w:p>
            <w:pPr>
              <w:jc w:val="center"/>
              <w:ind w:left="270"/>
              <w:spacing w:after="0" w:line="157" w:lineRule="exact"/>
              <w:rPr>
                <w:sz w:val="20"/>
                <w:szCs w:val="20"/>
                <w:color w:val="auto"/>
              </w:rPr>
            </w:pPr>
            <w:r>
              <w:rPr>
                <w:rFonts w:ascii="Arial" w:cs="Arial" w:eastAsia="Arial" w:hAnsi="Arial"/>
                <w:sz w:val="14"/>
                <w:szCs w:val="14"/>
                <w:b w:val="1"/>
                <w:bCs w:val="1"/>
                <w:color w:val="FFFFFF"/>
                <w:w w:val="98"/>
              </w:rPr>
              <w:t>QoQ</w:t>
            </w:r>
          </w:p>
        </w:tc>
        <w:tc>
          <w:tcPr>
            <w:tcW w:w="1700" w:type="dxa"/>
            <w:vAlign w:val="bottom"/>
            <w:tcBorders>
              <w:bottom w:val="single" w:sz="8" w:color="auto"/>
              <w:right w:val="single" w:sz="8" w:color="auto"/>
            </w:tcBorders>
            <w:shd w:val="clear" w:color="auto" w:fill="33CCCC"/>
          </w:tcPr>
          <w:p>
            <w:pPr>
              <w:jc w:val="center"/>
              <w:ind w:left="290"/>
              <w:spacing w:after="0" w:line="157" w:lineRule="exact"/>
              <w:rPr>
                <w:sz w:val="20"/>
                <w:szCs w:val="20"/>
                <w:color w:val="auto"/>
              </w:rPr>
            </w:pPr>
            <w:r>
              <w:rPr>
                <w:rFonts w:ascii="Arial" w:cs="Arial" w:eastAsia="Arial" w:hAnsi="Arial"/>
                <w:sz w:val="14"/>
                <w:szCs w:val="14"/>
                <w:b w:val="1"/>
                <w:bCs w:val="1"/>
                <w:color w:val="FFFFFF"/>
                <w:w w:val="95"/>
              </w:rPr>
              <w:t>YoY</w:t>
            </w:r>
          </w:p>
        </w:tc>
      </w:tr>
      <w:tr>
        <w:trPr>
          <w:trHeight w:val="150"/>
        </w:trPr>
        <w:tc>
          <w:tcPr>
            <w:tcW w:w="400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rPr>
              <w:t>Total loans (Quarter-end balance)</w:t>
            </w:r>
          </w:p>
        </w:tc>
        <w:tc>
          <w:tcPr>
            <w:tcW w:w="1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7"/>
              </w:rPr>
              <w:t>144,976,051</w:t>
            </w:r>
          </w:p>
        </w:tc>
        <w:tc>
          <w:tcPr>
            <w:tcW w:w="15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7"/>
              </w:rPr>
              <w:t>142,568,785</w:t>
            </w:r>
          </w:p>
        </w:tc>
        <w:tc>
          <w:tcPr>
            <w:tcW w:w="158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145,732,273</w:t>
            </w:r>
          </w:p>
        </w:tc>
        <w:tc>
          <w:tcPr>
            <w:tcW w:w="920" w:type="dxa"/>
            <w:vAlign w:val="bottom"/>
            <w:tcBorders>
              <w:bottom w:val="single" w:sz="8" w:color="auto"/>
            </w:tcBorders>
          </w:tcPr>
          <w:p>
            <w:pPr>
              <w:jc w:val="center"/>
              <w:ind w:left="290"/>
              <w:spacing w:after="0" w:line="151" w:lineRule="exact"/>
              <w:rPr>
                <w:sz w:val="20"/>
                <w:szCs w:val="20"/>
                <w:color w:val="auto"/>
              </w:rPr>
            </w:pPr>
            <w:r>
              <w:rPr>
                <w:rFonts w:ascii="Arial" w:cs="Arial" w:eastAsia="Arial" w:hAnsi="Arial"/>
                <w:sz w:val="14"/>
                <w:szCs w:val="14"/>
                <w:b w:val="1"/>
                <w:bCs w:val="1"/>
                <w:color w:val="auto"/>
              </w:rPr>
              <w:t>2.2%</w:t>
            </w:r>
          </w:p>
        </w:tc>
        <w:tc>
          <w:tcPr>
            <w:tcW w:w="1700" w:type="dxa"/>
            <w:vAlign w:val="bottom"/>
            <w:tcBorders>
              <w:bottom w:val="single" w:sz="8" w:color="auto"/>
              <w:right w:val="single" w:sz="8" w:color="auto"/>
            </w:tcBorders>
          </w:tcPr>
          <w:p>
            <w:pPr>
              <w:jc w:val="center"/>
              <w:ind w:left="270"/>
              <w:spacing w:after="0" w:line="151" w:lineRule="exact"/>
              <w:rPr>
                <w:sz w:val="20"/>
                <w:szCs w:val="20"/>
                <w:color w:val="auto"/>
              </w:rPr>
            </w:pPr>
            <w:r>
              <w:rPr>
                <w:rFonts w:ascii="Arial" w:cs="Arial" w:eastAsia="Arial" w:hAnsi="Arial"/>
                <w:sz w:val="14"/>
                <w:szCs w:val="14"/>
                <w:b w:val="1"/>
                <w:bCs w:val="1"/>
                <w:color w:val="auto"/>
              </w:rPr>
              <w:t>0.5%</w:t>
            </w:r>
          </w:p>
        </w:tc>
      </w:tr>
      <w:tr>
        <w:trPr>
          <w:trHeight w:val="150"/>
        </w:trPr>
        <w:tc>
          <w:tcPr>
            <w:tcW w:w="400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Write-offs</w:t>
            </w:r>
          </w:p>
        </w:tc>
        <w:tc>
          <w:tcPr>
            <w:tcW w:w="1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color w:val="auto"/>
              </w:rPr>
              <w:t>879,401</w:t>
            </w:r>
          </w:p>
        </w:tc>
        <w:tc>
          <w:tcPr>
            <w:tcW w:w="15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color w:val="auto"/>
              </w:rPr>
              <w:t>923,946</w:t>
            </w:r>
          </w:p>
        </w:tc>
        <w:tc>
          <w:tcPr>
            <w:tcW w:w="158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8"/>
              </w:rPr>
              <w:t>896,714</w:t>
            </w:r>
          </w:p>
        </w:tc>
        <w:tc>
          <w:tcPr>
            <w:tcW w:w="920" w:type="dxa"/>
            <w:vAlign w:val="bottom"/>
            <w:tcBorders>
              <w:bottom w:val="single" w:sz="8" w:color="auto"/>
            </w:tcBorders>
          </w:tcPr>
          <w:p>
            <w:pPr>
              <w:jc w:val="center"/>
              <w:ind w:left="290"/>
              <w:spacing w:after="0" w:line="151" w:lineRule="exact"/>
              <w:rPr>
                <w:sz w:val="20"/>
                <w:szCs w:val="20"/>
                <w:color w:val="auto"/>
              </w:rPr>
            </w:pPr>
            <w:r>
              <w:rPr>
                <w:rFonts w:ascii="Arial" w:cs="Arial" w:eastAsia="Arial" w:hAnsi="Arial"/>
                <w:sz w:val="14"/>
                <w:szCs w:val="14"/>
                <w:color w:val="auto"/>
                <w:w w:val="98"/>
              </w:rPr>
              <w:t>-2.9%</w:t>
            </w:r>
          </w:p>
        </w:tc>
        <w:tc>
          <w:tcPr>
            <w:tcW w:w="1700" w:type="dxa"/>
            <w:vAlign w:val="bottom"/>
            <w:tcBorders>
              <w:bottom w:val="single" w:sz="8" w:color="auto"/>
              <w:right w:val="single" w:sz="8" w:color="auto"/>
            </w:tcBorders>
          </w:tcPr>
          <w:p>
            <w:pPr>
              <w:jc w:val="center"/>
              <w:ind w:left="270"/>
              <w:spacing w:after="0" w:line="151" w:lineRule="exact"/>
              <w:rPr>
                <w:sz w:val="20"/>
                <w:szCs w:val="20"/>
                <w:color w:val="auto"/>
              </w:rPr>
            </w:pPr>
            <w:r>
              <w:rPr>
                <w:rFonts w:ascii="Arial" w:cs="Arial" w:eastAsia="Arial" w:hAnsi="Arial"/>
                <w:sz w:val="14"/>
                <w:szCs w:val="14"/>
                <w:color w:val="auto"/>
              </w:rPr>
              <w:t>2.0%</w:t>
            </w:r>
          </w:p>
        </w:tc>
      </w:tr>
      <w:tr>
        <w:trPr>
          <w:trHeight w:val="141"/>
        </w:trPr>
        <w:tc>
          <w:tcPr>
            <w:tcW w:w="400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4"/>
                <w:szCs w:val="14"/>
                <w:color w:val="auto"/>
              </w:rPr>
              <w:t>Internal overdue loans (IOLs)</w:t>
            </w:r>
          </w:p>
        </w:tc>
        <w:tc>
          <w:tcPr>
            <w:tcW w:w="1500" w:type="dxa"/>
            <w:vAlign w:val="bottom"/>
          </w:tcPr>
          <w:p>
            <w:pPr>
              <w:jc w:val="center"/>
              <w:spacing w:after="0" w:line="141" w:lineRule="exact"/>
              <w:rPr>
                <w:sz w:val="20"/>
                <w:szCs w:val="20"/>
                <w:color w:val="auto"/>
              </w:rPr>
            </w:pPr>
            <w:r>
              <w:rPr>
                <w:rFonts w:ascii="Arial" w:cs="Arial" w:eastAsia="Arial" w:hAnsi="Arial"/>
                <w:sz w:val="14"/>
                <w:szCs w:val="14"/>
                <w:color w:val="auto"/>
                <w:w w:val="99"/>
              </w:rPr>
              <w:t>6,126,487</w:t>
            </w:r>
          </w:p>
        </w:tc>
        <w:tc>
          <w:tcPr>
            <w:tcW w:w="1540" w:type="dxa"/>
            <w:vAlign w:val="bottom"/>
          </w:tcPr>
          <w:p>
            <w:pPr>
              <w:jc w:val="center"/>
              <w:spacing w:after="0" w:line="141" w:lineRule="exact"/>
              <w:rPr>
                <w:sz w:val="20"/>
                <w:szCs w:val="20"/>
                <w:color w:val="auto"/>
              </w:rPr>
            </w:pPr>
            <w:r>
              <w:rPr>
                <w:rFonts w:ascii="Arial" w:cs="Arial" w:eastAsia="Arial" w:hAnsi="Arial"/>
                <w:sz w:val="14"/>
                <w:szCs w:val="14"/>
                <w:color w:val="auto"/>
              </w:rPr>
              <w:t>6,026,341</w:t>
            </w:r>
          </w:p>
        </w:tc>
        <w:tc>
          <w:tcPr>
            <w:tcW w:w="1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5,423,212</w:t>
            </w:r>
          </w:p>
        </w:tc>
        <w:tc>
          <w:tcPr>
            <w:tcW w:w="920" w:type="dxa"/>
            <w:vAlign w:val="bottom"/>
          </w:tcPr>
          <w:p>
            <w:pPr>
              <w:jc w:val="center"/>
              <w:ind w:left="290"/>
              <w:spacing w:after="0" w:line="141" w:lineRule="exact"/>
              <w:rPr>
                <w:sz w:val="20"/>
                <w:szCs w:val="20"/>
                <w:color w:val="auto"/>
              </w:rPr>
            </w:pPr>
            <w:r>
              <w:rPr>
                <w:rFonts w:ascii="Arial" w:cs="Arial" w:eastAsia="Arial" w:hAnsi="Arial"/>
                <w:sz w:val="14"/>
                <w:szCs w:val="14"/>
                <w:color w:val="auto"/>
                <w:w w:val="99"/>
              </w:rPr>
              <w:t>-10.0%</w:t>
            </w:r>
          </w:p>
        </w:tc>
        <w:tc>
          <w:tcPr>
            <w:tcW w:w="1700" w:type="dxa"/>
            <w:vAlign w:val="bottom"/>
            <w:tcBorders>
              <w:right w:val="single" w:sz="8" w:color="auto"/>
            </w:tcBorders>
          </w:tcPr>
          <w:p>
            <w:pPr>
              <w:jc w:val="center"/>
              <w:ind w:left="290"/>
              <w:spacing w:after="0" w:line="141" w:lineRule="exact"/>
              <w:rPr>
                <w:sz w:val="20"/>
                <w:szCs w:val="20"/>
                <w:color w:val="auto"/>
              </w:rPr>
            </w:pPr>
            <w:r>
              <w:rPr>
                <w:rFonts w:ascii="Arial" w:cs="Arial" w:eastAsia="Arial" w:hAnsi="Arial"/>
                <w:sz w:val="14"/>
                <w:szCs w:val="14"/>
                <w:color w:val="auto"/>
                <w:w w:val="94"/>
              </w:rPr>
              <w:t>-11.5%</w:t>
            </w:r>
          </w:p>
        </w:tc>
      </w:tr>
      <w:tr>
        <w:trPr>
          <w:trHeight w:val="157"/>
        </w:trPr>
        <w:tc>
          <w:tcPr>
            <w:tcW w:w="400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Internal overdue loans over 90-days</w:t>
            </w:r>
          </w:p>
        </w:tc>
        <w:tc>
          <w:tcPr>
            <w:tcW w:w="1500" w:type="dxa"/>
            <w:vAlign w:val="bottom"/>
          </w:tcPr>
          <w:p>
            <w:pPr>
              <w:jc w:val="center"/>
              <w:spacing w:after="0" w:line="157" w:lineRule="exact"/>
              <w:rPr>
                <w:sz w:val="20"/>
                <w:szCs w:val="20"/>
                <w:color w:val="auto"/>
              </w:rPr>
            </w:pPr>
            <w:r>
              <w:rPr>
                <w:rFonts w:ascii="Arial" w:cs="Arial" w:eastAsia="Arial" w:hAnsi="Arial"/>
                <w:sz w:val="14"/>
                <w:szCs w:val="14"/>
                <w:color w:val="auto"/>
                <w:w w:val="99"/>
              </w:rPr>
              <w:t>4,673,564</w:t>
            </w:r>
          </w:p>
        </w:tc>
        <w:tc>
          <w:tcPr>
            <w:tcW w:w="1540" w:type="dxa"/>
            <w:vAlign w:val="bottom"/>
          </w:tcPr>
          <w:p>
            <w:pPr>
              <w:jc w:val="center"/>
              <w:spacing w:after="0" w:line="157" w:lineRule="exact"/>
              <w:rPr>
                <w:sz w:val="20"/>
                <w:szCs w:val="20"/>
                <w:color w:val="auto"/>
              </w:rPr>
            </w:pPr>
            <w:r>
              <w:rPr>
                <w:rFonts w:ascii="Arial" w:cs="Arial" w:eastAsia="Arial" w:hAnsi="Arial"/>
                <w:sz w:val="14"/>
                <w:szCs w:val="14"/>
                <w:color w:val="auto"/>
              </w:rPr>
              <w:t>4,851,591</w:t>
            </w:r>
          </w:p>
        </w:tc>
        <w:tc>
          <w:tcPr>
            <w:tcW w:w="15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4,383,795</w:t>
            </w:r>
          </w:p>
        </w:tc>
        <w:tc>
          <w:tcPr>
            <w:tcW w:w="920" w:type="dxa"/>
            <w:vAlign w:val="bottom"/>
          </w:tcPr>
          <w:p>
            <w:pPr>
              <w:jc w:val="center"/>
              <w:ind w:left="290"/>
              <w:spacing w:after="0" w:line="157" w:lineRule="exact"/>
              <w:rPr>
                <w:sz w:val="20"/>
                <w:szCs w:val="20"/>
                <w:color w:val="auto"/>
              </w:rPr>
            </w:pPr>
            <w:r>
              <w:rPr>
                <w:rFonts w:ascii="Arial" w:cs="Arial" w:eastAsia="Arial" w:hAnsi="Arial"/>
                <w:sz w:val="14"/>
                <w:szCs w:val="14"/>
                <w:color w:val="auto"/>
                <w:w w:val="98"/>
              </w:rPr>
              <w:t>-9.6%</w:t>
            </w:r>
          </w:p>
        </w:tc>
        <w:tc>
          <w:tcPr>
            <w:tcW w:w="1700" w:type="dxa"/>
            <w:vAlign w:val="bottom"/>
            <w:tcBorders>
              <w:right w:val="single" w:sz="8" w:color="auto"/>
            </w:tcBorders>
          </w:tcPr>
          <w:p>
            <w:pPr>
              <w:jc w:val="center"/>
              <w:ind w:left="290"/>
              <w:spacing w:after="0" w:line="157" w:lineRule="exact"/>
              <w:rPr>
                <w:sz w:val="20"/>
                <w:szCs w:val="20"/>
                <w:color w:val="auto"/>
              </w:rPr>
            </w:pPr>
            <w:r>
              <w:rPr>
                <w:rFonts w:ascii="Arial" w:cs="Arial" w:eastAsia="Arial" w:hAnsi="Arial"/>
                <w:sz w:val="14"/>
                <w:szCs w:val="14"/>
                <w:color w:val="auto"/>
              </w:rPr>
              <w:t>-6.2%</w:t>
            </w:r>
          </w:p>
        </w:tc>
      </w:tr>
      <w:tr>
        <w:trPr>
          <w:trHeight w:val="157"/>
        </w:trPr>
        <w:tc>
          <w:tcPr>
            <w:tcW w:w="400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Refinanced loans</w:t>
            </w:r>
          </w:p>
        </w:tc>
        <w:tc>
          <w:tcPr>
            <w:tcW w:w="1500" w:type="dxa"/>
            <w:vAlign w:val="bottom"/>
          </w:tcPr>
          <w:p>
            <w:pPr>
              <w:jc w:val="center"/>
              <w:spacing w:after="0" w:line="157" w:lineRule="exact"/>
              <w:rPr>
                <w:sz w:val="20"/>
                <w:szCs w:val="20"/>
                <w:color w:val="auto"/>
              </w:rPr>
            </w:pPr>
            <w:r>
              <w:rPr>
                <w:rFonts w:ascii="Arial" w:cs="Arial" w:eastAsia="Arial" w:hAnsi="Arial"/>
                <w:sz w:val="14"/>
                <w:szCs w:val="14"/>
                <w:color w:val="auto"/>
                <w:w w:val="99"/>
              </w:rPr>
              <w:t>2,406,058</w:t>
            </w:r>
          </w:p>
        </w:tc>
        <w:tc>
          <w:tcPr>
            <w:tcW w:w="1540" w:type="dxa"/>
            <w:vAlign w:val="bottom"/>
          </w:tcPr>
          <w:p>
            <w:pPr>
              <w:jc w:val="center"/>
              <w:spacing w:after="0" w:line="157" w:lineRule="exact"/>
              <w:rPr>
                <w:sz w:val="20"/>
                <w:szCs w:val="20"/>
                <w:color w:val="auto"/>
              </w:rPr>
            </w:pPr>
            <w:r>
              <w:rPr>
                <w:rFonts w:ascii="Arial" w:cs="Arial" w:eastAsia="Arial" w:hAnsi="Arial"/>
                <w:sz w:val="14"/>
                <w:szCs w:val="14"/>
                <w:color w:val="auto"/>
              </w:rPr>
              <w:t>2,333,814</w:t>
            </w:r>
          </w:p>
        </w:tc>
        <w:tc>
          <w:tcPr>
            <w:tcW w:w="15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2,239,445</w:t>
            </w:r>
          </w:p>
        </w:tc>
        <w:tc>
          <w:tcPr>
            <w:tcW w:w="920" w:type="dxa"/>
            <w:vAlign w:val="bottom"/>
          </w:tcPr>
          <w:p>
            <w:pPr>
              <w:jc w:val="center"/>
              <w:ind w:left="290"/>
              <w:spacing w:after="0" w:line="157" w:lineRule="exact"/>
              <w:rPr>
                <w:sz w:val="20"/>
                <w:szCs w:val="20"/>
                <w:color w:val="auto"/>
              </w:rPr>
            </w:pPr>
            <w:r>
              <w:rPr>
                <w:rFonts w:ascii="Arial" w:cs="Arial" w:eastAsia="Arial" w:hAnsi="Arial"/>
                <w:sz w:val="14"/>
                <w:szCs w:val="14"/>
                <w:color w:val="auto"/>
                <w:w w:val="98"/>
              </w:rPr>
              <w:t>-4.0%</w:t>
            </w:r>
          </w:p>
        </w:tc>
        <w:tc>
          <w:tcPr>
            <w:tcW w:w="1700" w:type="dxa"/>
            <w:vAlign w:val="bottom"/>
            <w:tcBorders>
              <w:right w:val="single" w:sz="8" w:color="auto"/>
            </w:tcBorders>
          </w:tcPr>
          <w:p>
            <w:pPr>
              <w:jc w:val="center"/>
              <w:ind w:left="290"/>
              <w:spacing w:after="0" w:line="157" w:lineRule="exact"/>
              <w:rPr>
                <w:sz w:val="20"/>
                <w:szCs w:val="20"/>
                <w:color w:val="auto"/>
              </w:rPr>
            </w:pPr>
            <w:r>
              <w:rPr>
                <w:rFonts w:ascii="Arial" w:cs="Arial" w:eastAsia="Arial" w:hAnsi="Arial"/>
                <w:sz w:val="14"/>
                <w:szCs w:val="14"/>
                <w:color w:val="auto"/>
              </w:rPr>
              <w:t>-6.9%</w:t>
            </w:r>
          </w:p>
        </w:tc>
      </w:tr>
      <w:tr>
        <w:trPr>
          <w:trHeight w:val="167"/>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Non-performing loans (NPLs)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8,532,545</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8,360,155</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7,662,657</w:t>
            </w:r>
          </w:p>
        </w:tc>
        <w:tc>
          <w:tcPr>
            <w:tcW w:w="920" w:type="dxa"/>
            <w:vAlign w:val="bottom"/>
            <w:tcBorders>
              <w:bottom w:val="single" w:sz="8" w:color="auto"/>
            </w:tcBorders>
          </w:tcPr>
          <w:p>
            <w:pPr>
              <w:jc w:val="center"/>
              <w:ind w:left="290"/>
              <w:spacing w:after="0"/>
              <w:rPr>
                <w:sz w:val="20"/>
                <w:szCs w:val="20"/>
                <w:color w:val="auto"/>
              </w:rPr>
            </w:pPr>
            <w:r>
              <w:rPr>
                <w:rFonts w:ascii="Arial" w:cs="Arial" w:eastAsia="Arial" w:hAnsi="Arial"/>
                <w:sz w:val="14"/>
                <w:szCs w:val="14"/>
                <w:color w:val="auto"/>
                <w:w w:val="98"/>
              </w:rPr>
              <w:t>-8.3%</w:t>
            </w:r>
          </w:p>
        </w:tc>
        <w:tc>
          <w:tcPr>
            <w:tcW w:w="1700" w:type="dxa"/>
            <w:vAlign w:val="bottom"/>
            <w:tcBorders>
              <w:bottom w:val="single" w:sz="8" w:color="auto"/>
              <w:right w:val="single" w:sz="8" w:color="auto"/>
            </w:tcBorders>
          </w:tcPr>
          <w:p>
            <w:pPr>
              <w:jc w:val="center"/>
              <w:ind w:left="270"/>
              <w:spacing w:after="0"/>
              <w:rPr>
                <w:sz w:val="20"/>
                <w:szCs w:val="20"/>
                <w:color w:val="auto"/>
              </w:rPr>
            </w:pPr>
            <w:r>
              <w:rPr>
                <w:rFonts w:ascii="Arial" w:cs="Arial" w:eastAsia="Arial" w:hAnsi="Arial"/>
                <w:sz w:val="14"/>
                <w:szCs w:val="14"/>
                <w:color w:val="auto"/>
                <w:w w:val="99"/>
              </w:rPr>
              <w:t>-10.2%</w:t>
            </w:r>
          </w:p>
        </w:tc>
      </w:tr>
      <w:tr>
        <w:trPr>
          <w:trHeight w:val="141"/>
        </w:trPr>
        <w:tc>
          <w:tcPr>
            <w:tcW w:w="400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4"/>
                <w:szCs w:val="14"/>
                <w:b w:val="1"/>
                <w:bCs w:val="1"/>
                <w:color w:val="auto"/>
              </w:rPr>
              <w:t>IOL ratio</w:t>
            </w:r>
          </w:p>
        </w:tc>
        <w:tc>
          <w:tcPr>
            <w:tcW w:w="15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4.2%</w:t>
            </w:r>
          </w:p>
        </w:tc>
        <w:tc>
          <w:tcPr>
            <w:tcW w:w="15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4.2%</w:t>
            </w:r>
          </w:p>
        </w:tc>
        <w:tc>
          <w:tcPr>
            <w:tcW w:w="15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3.7%</w:t>
            </w:r>
          </w:p>
        </w:tc>
        <w:tc>
          <w:tcPr>
            <w:tcW w:w="920" w:type="dxa"/>
            <w:vAlign w:val="bottom"/>
          </w:tcPr>
          <w:p>
            <w:pPr>
              <w:jc w:val="center"/>
              <w:ind w:left="290"/>
              <w:spacing w:after="0" w:line="141" w:lineRule="exact"/>
              <w:rPr>
                <w:sz w:val="20"/>
                <w:szCs w:val="20"/>
                <w:color w:val="auto"/>
              </w:rPr>
            </w:pPr>
            <w:r>
              <w:rPr>
                <w:rFonts w:ascii="Arial" w:cs="Arial" w:eastAsia="Arial" w:hAnsi="Arial"/>
                <w:sz w:val="14"/>
                <w:szCs w:val="14"/>
                <w:b w:val="1"/>
                <w:bCs w:val="1"/>
                <w:color w:val="auto"/>
                <w:w w:val="97"/>
              </w:rPr>
              <w:t>-51 bps</w:t>
            </w:r>
          </w:p>
        </w:tc>
        <w:tc>
          <w:tcPr>
            <w:tcW w:w="1700" w:type="dxa"/>
            <w:vAlign w:val="bottom"/>
            <w:tcBorders>
              <w:right w:val="single" w:sz="8" w:color="auto"/>
            </w:tcBorders>
          </w:tcPr>
          <w:p>
            <w:pPr>
              <w:jc w:val="center"/>
              <w:ind w:left="290"/>
              <w:spacing w:after="0" w:line="141" w:lineRule="exact"/>
              <w:rPr>
                <w:sz w:val="20"/>
                <w:szCs w:val="20"/>
                <w:color w:val="auto"/>
              </w:rPr>
            </w:pPr>
            <w:r>
              <w:rPr>
                <w:rFonts w:ascii="Arial" w:cs="Arial" w:eastAsia="Arial" w:hAnsi="Arial"/>
                <w:sz w:val="14"/>
                <w:szCs w:val="14"/>
                <w:b w:val="1"/>
                <w:bCs w:val="1"/>
                <w:color w:val="auto"/>
              </w:rPr>
              <w:t>-51 bps</w:t>
            </w:r>
          </w:p>
        </w:tc>
      </w:tr>
      <w:tr>
        <w:trPr>
          <w:trHeight w:val="157"/>
        </w:trPr>
        <w:tc>
          <w:tcPr>
            <w:tcW w:w="400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4"/>
                <w:szCs w:val="14"/>
                <w:b w:val="1"/>
                <w:bCs w:val="1"/>
                <w:color w:val="auto"/>
              </w:rPr>
              <w:t>IOL over 90-days ratio</w:t>
            </w:r>
          </w:p>
        </w:tc>
        <w:tc>
          <w:tcPr>
            <w:tcW w:w="15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3.2%</w:t>
            </w:r>
          </w:p>
        </w:tc>
        <w:tc>
          <w:tcPr>
            <w:tcW w:w="15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3.4%</w:t>
            </w:r>
          </w:p>
        </w:tc>
        <w:tc>
          <w:tcPr>
            <w:tcW w:w="15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rPr>
              <w:t>3.0%</w:t>
            </w:r>
          </w:p>
        </w:tc>
        <w:tc>
          <w:tcPr>
            <w:tcW w:w="920" w:type="dxa"/>
            <w:vAlign w:val="bottom"/>
          </w:tcPr>
          <w:p>
            <w:pPr>
              <w:jc w:val="center"/>
              <w:ind w:left="290"/>
              <w:spacing w:after="0" w:line="157" w:lineRule="exact"/>
              <w:rPr>
                <w:sz w:val="20"/>
                <w:szCs w:val="20"/>
                <w:color w:val="auto"/>
              </w:rPr>
            </w:pPr>
            <w:r>
              <w:rPr>
                <w:rFonts w:ascii="Arial" w:cs="Arial" w:eastAsia="Arial" w:hAnsi="Arial"/>
                <w:sz w:val="14"/>
                <w:szCs w:val="14"/>
                <w:b w:val="1"/>
                <w:bCs w:val="1"/>
                <w:color w:val="auto"/>
                <w:w w:val="97"/>
              </w:rPr>
              <w:t>-39 bps</w:t>
            </w:r>
          </w:p>
        </w:tc>
        <w:tc>
          <w:tcPr>
            <w:tcW w:w="1700" w:type="dxa"/>
            <w:vAlign w:val="bottom"/>
            <w:tcBorders>
              <w:right w:val="single" w:sz="8" w:color="auto"/>
            </w:tcBorders>
          </w:tcPr>
          <w:p>
            <w:pPr>
              <w:jc w:val="center"/>
              <w:ind w:left="290"/>
              <w:spacing w:after="0" w:line="157" w:lineRule="exact"/>
              <w:rPr>
                <w:sz w:val="20"/>
                <w:szCs w:val="20"/>
                <w:color w:val="auto"/>
              </w:rPr>
            </w:pPr>
            <w:r>
              <w:rPr>
                <w:rFonts w:ascii="Arial" w:cs="Arial" w:eastAsia="Arial" w:hAnsi="Arial"/>
                <w:sz w:val="14"/>
                <w:szCs w:val="14"/>
                <w:b w:val="1"/>
                <w:bCs w:val="1"/>
                <w:color w:val="auto"/>
              </w:rPr>
              <w:t>-19 bps</w:t>
            </w:r>
          </w:p>
        </w:tc>
      </w:tr>
      <w:tr>
        <w:trPr>
          <w:trHeight w:val="167"/>
        </w:trPr>
        <w:tc>
          <w:tcPr>
            <w:tcW w:w="4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NPL ratio</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5.9%</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5.9%</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5.3%</w:t>
            </w:r>
          </w:p>
        </w:tc>
        <w:tc>
          <w:tcPr>
            <w:tcW w:w="920" w:type="dxa"/>
            <w:vAlign w:val="bottom"/>
            <w:tcBorders>
              <w:bottom w:val="single" w:sz="8" w:color="auto"/>
            </w:tcBorders>
          </w:tcPr>
          <w:p>
            <w:pPr>
              <w:jc w:val="center"/>
              <w:ind w:left="290"/>
              <w:spacing w:after="0"/>
              <w:rPr>
                <w:sz w:val="20"/>
                <w:szCs w:val="20"/>
                <w:color w:val="auto"/>
              </w:rPr>
            </w:pPr>
            <w:r>
              <w:rPr>
                <w:rFonts w:ascii="Arial" w:cs="Arial" w:eastAsia="Arial" w:hAnsi="Arial"/>
                <w:sz w:val="14"/>
                <w:szCs w:val="14"/>
                <w:b w:val="1"/>
                <w:bCs w:val="1"/>
                <w:color w:val="auto"/>
                <w:w w:val="97"/>
              </w:rPr>
              <w:t>-60 bps</w:t>
            </w:r>
          </w:p>
        </w:tc>
        <w:tc>
          <w:tcPr>
            <w:tcW w:w="1700" w:type="dxa"/>
            <w:vAlign w:val="bottom"/>
            <w:tcBorders>
              <w:bottom w:val="single" w:sz="8" w:color="auto"/>
              <w:right w:val="single" w:sz="8" w:color="auto"/>
            </w:tcBorders>
          </w:tcPr>
          <w:p>
            <w:pPr>
              <w:jc w:val="center"/>
              <w:ind w:left="290"/>
              <w:spacing w:after="0"/>
              <w:rPr>
                <w:sz w:val="20"/>
                <w:szCs w:val="20"/>
                <w:color w:val="auto"/>
              </w:rPr>
            </w:pPr>
            <w:r>
              <w:rPr>
                <w:rFonts w:ascii="Arial" w:cs="Arial" w:eastAsia="Arial" w:hAnsi="Arial"/>
                <w:sz w:val="14"/>
                <w:szCs w:val="14"/>
                <w:b w:val="1"/>
                <w:bCs w:val="1"/>
                <w:color w:val="auto"/>
              </w:rPr>
              <w:t>-63 bps</w:t>
            </w:r>
          </w:p>
        </w:tc>
      </w:tr>
    </w:tbl>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NPLs dropped 8.3%, driven primarily by</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and secondarily by</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Charge-offs, which remain at high levels, declined 2.9% mainly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newer and healthier vintages increased their weight within the loan portfolio at </w:t>
      </w:r>
      <w:r>
        <w:rPr>
          <w:rFonts w:ascii="Arial" w:cs="Arial" w:eastAsia="Arial" w:hAnsi="Arial"/>
          <w:sz w:val="16"/>
          <w:szCs w:val="16"/>
          <w:b w:val="1"/>
          <w:bCs w:val="1"/>
          <w:color w:val="auto"/>
        </w:rPr>
        <w:t>Mibanco</w:t>
      </w:r>
      <w:r>
        <w:rPr>
          <w:rFonts w:ascii="Arial" w:cs="Arial" w:eastAsia="Arial" w:hAnsi="Arial"/>
          <w:sz w:val="16"/>
          <w:szCs w:val="16"/>
          <w:color w:val="auto"/>
        </w:rPr>
        <w:t>.</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b w:val="1"/>
          <w:bCs w:val="1"/>
          <w:color w:val="auto"/>
        </w:rPr>
        <w:t>BCP Stand-alone,</w:t>
      </w:r>
      <w:r>
        <w:rPr>
          <w:rFonts w:ascii="Arial" w:cs="Arial" w:eastAsia="Arial" w:hAnsi="Arial"/>
          <w:sz w:val="16"/>
          <w:szCs w:val="16"/>
          <w:color w:val="auto"/>
        </w:rPr>
        <w:t xml:space="preserve"> portfolio quality metrics have improved due to risk management measures such as adjusting credit guidelines in high-risk segments, shoring up credit processes and calibrating specific models to better predict losses. </w:t>
      </w:r>
      <w:r>
        <w:rPr>
          <w:rFonts w:ascii="Arial" w:cs="Arial" w:eastAsia="Arial" w:hAnsi="Arial"/>
          <w:sz w:val="16"/>
          <w:szCs w:val="16"/>
          <w:b w:val="1"/>
          <w:bCs w:val="1"/>
          <w:color w:val="auto"/>
        </w:rPr>
        <w:t>QoQ,</w:t>
      </w:r>
      <w:r>
        <w:rPr>
          <w:rFonts w:ascii="Arial" w:cs="Arial" w:eastAsia="Arial" w:hAnsi="Arial"/>
          <w:sz w:val="16"/>
          <w:szCs w:val="16"/>
          <w:color w:val="auto"/>
        </w:rPr>
        <w:t xml:space="preserve"> the reduction in NPLs was mainly attributable to (i)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where overdue loans dropped mainly via the lower-risk, mid-sized ticket segment (&gt; s/ 150 thousand); (ii) </w:t>
      </w:r>
      <w:r>
        <w:rPr>
          <w:rFonts w:ascii="Arial" w:cs="Arial" w:eastAsia="Arial" w:hAnsi="Arial"/>
          <w:sz w:val="16"/>
          <w:szCs w:val="16"/>
          <w:b w:val="1"/>
          <w:bCs w:val="1"/>
          <w:color w:val="auto"/>
        </w:rPr>
        <w:t>Wholesale</w:t>
      </w:r>
      <w:r>
        <w:rPr>
          <w:rFonts w:ascii="Arial" w:cs="Arial" w:eastAsia="Arial" w:hAnsi="Arial"/>
          <w:sz w:val="16"/>
          <w:szCs w:val="16"/>
          <w:color w:val="auto"/>
        </w:rPr>
        <w:t xml:space="preserve">, on the back of debt cancellation by a refinanced client in the hotel and restaurant sector; (iii) </w:t>
      </w:r>
      <w:r>
        <w:rPr>
          <w:rFonts w:ascii="Arial" w:cs="Arial" w:eastAsia="Arial" w:hAnsi="Arial"/>
          <w:sz w:val="16"/>
          <w:szCs w:val="16"/>
          <w:b w:val="1"/>
          <w:bCs w:val="1"/>
          <w:color w:val="auto"/>
        </w:rPr>
        <w:t>SME- business</w:t>
      </w:r>
      <w:r>
        <w:rPr>
          <w:rFonts w:ascii="Arial" w:cs="Arial" w:eastAsia="Arial" w:hAnsi="Arial"/>
          <w:sz w:val="16"/>
          <w:szCs w:val="16"/>
          <w:color w:val="auto"/>
        </w:rPr>
        <w:t xml:space="preserve">, which reported a drop in overdue loans after improvements in debt collection management led to extraordinary recoveries; and (iv) </w:t>
      </w:r>
      <w:r>
        <w:rPr>
          <w:rFonts w:ascii="Arial" w:cs="Arial" w:eastAsia="Arial" w:hAnsi="Arial"/>
          <w:sz w:val="16"/>
          <w:szCs w:val="16"/>
          <w:b w:val="1"/>
          <w:bCs w:val="1"/>
          <w:color w:val="auto"/>
        </w:rPr>
        <w:t>Consumer</w:t>
      </w:r>
      <w:r>
        <w:rPr>
          <w:rFonts w:ascii="Arial" w:cs="Arial" w:eastAsia="Arial" w:hAnsi="Arial"/>
          <w:sz w:val="16"/>
          <w:szCs w:val="16"/>
          <w:color w:val="auto"/>
        </w:rPr>
        <w:t xml:space="preserve"> and </w:t>
      </w:r>
      <w:r>
        <w:rPr>
          <w:rFonts w:ascii="Arial" w:cs="Arial" w:eastAsia="Arial" w:hAnsi="Arial"/>
          <w:sz w:val="16"/>
          <w:szCs w:val="16"/>
          <w:b w:val="1"/>
          <w:bCs w:val="1"/>
          <w:color w:val="auto"/>
        </w:rPr>
        <w:t>Credit Cards,</w:t>
      </w:r>
      <w:r>
        <w:rPr>
          <w:rFonts w:ascii="Arial" w:cs="Arial" w:eastAsia="Arial" w:hAnsi="Arial"/>
          <w:sz w:val="16"/>
          <w:szCs w:val="16"/>
          <w:color w:val="auto"/>
        </w:rPr>
        <w:t xml:space="preserve"> due to a) an extraordinary charge-off, b) debt cancellations, given that the impact generated the liquidity surplus associated with pension fund withdrawals has yet to dissipate, and c) improvements in debt collection management. At </w:t>
      </w:r>
      <w:r>
        <w:rPr>
          <w:rFonts w:ascii="Arial" w:cs="Arial" w:eastAsia="Arial" w:hAnsi="Arial"/>
          <w:sz w:val="16"/>
          <w:szCs w:val="16"/>
          <w:b w:val="1"/>
          <w:bCs w:val="1"/>
          <w:color w:val="auto"/>
        </w:rPr>
        <w:t>Mibanco</w:t>
      </w:r>
      <w:r>
        <w:rPr>
          <w:rFonts w:ascii="Arial" w:cs="Arial" w:eastAsia="Arial" w:hAnsi="Arial"/>
          <w:sz w:val="16"/>
          <w:szCs w:val="16"/>
          <w:color w:val="auto"/>
        </w:rPr>
        <w:t>, the reduction in NPLs was driven by a drop in overdue loans, which was mainly attributable to stricter origination policies; improvements in debt collection management; and the debt relief facilities rolled out as of 2Q24.</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NPLs decreased 10.2%, driven primarily by</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and secondarily by</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The uptick in charge-offs (+2.0%) was driven mainly by</w:t>
      </w:r>
      <w:r>
        <w:rPr>
          <w:rFonts w:ascii="Arial" w:cs="Arial" w:eastAsia="Arial" w:hAnsi="Arial"/>
          <w:sz w:val="16"/>
          <w:szCs w:val="16"/>
          <w:b w:val="1"/>
          <w:bCs w:val="1"/>
          <w:color w:val="auto"/>
        </w:rPr>
        <w:t xml:space="preserve"> SME-Pyme </w:t>
      </w:r>
      <w:r>
        <w:rPr>
          <w:rFonts w:ascii="Arial" w:cs="Arial" w:eastAsia="Arial" w:hAnsi="Arial"/>
          <w:sz w:val="16"/>
          <w:szCs w:val="16"/>
          <w:color w:val="auto"/>
        </w:rPr>
        <w:t>due to an extraordinary write-off in 4Q24.</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b w:val="1"/>
          <w:bCs w:val="1"/>
          <w:color w:val="auto"/>
        </w:rPr>
        <w:t>BCP Stand-alone YoY,</w:t>
      </w:r>
      <w:r>
        <w:rPr>
          <w:rFonts w:ascii="Arial" w:cs="Arial" w:eastAsia="Arial" w:hAnsi="Arial"/>
          <w:sz w:val="16"/>
          <w:szCs w:val="16"/>
          <w:color w:val="auto"/>
        </w:rPr>
        <w:t xml:space="preserve"> the reduction in NPLs was driven by the following segments: (i)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via an increase in honoring processes for Reactiva loans and due to the same dynamics seen </w:t>
      </w:r>
      <w:r>
        <w:rPr>
          <w:rFonts w:ascii="Arial" w:cs="Arial" w:eastAsia="Arial" w:hAnsi="Arial"/>
          <w:sz w:val="16"/>
          <w:szCs w:val="16"/>
          <w:b w:val="1"/>
          <w:bCs w:val="1"/>
          <w:color w:val="auto"/>
        </w:rPr>
        <w:t>QoQ</w:t>
      </w:r>
      <w:r>
        <w:rPr>
          <w:rFonts w:ascii="Arial" w:cs="Arial" w:eastAsia="Arial" w:hAnsi="Arial"/>
          <w:sz w:val="16"/>
          <w:szCs w:val="16"/>
          <w:color w:val="auto"/>
        </w:rPr>
        <w:t xml:space="preserve">; (ii) </w:t>
      </w:r>
      <w:r>
        <w:rPr>
          <w:rFonts w:ascii="Arial" w:cs="Arial" w:eastAsia="Arial" w:hAnsi="Arial"/>
          <w:sz w:val="16"/>
          <w:szCs w:val="16"/>
          <w:b w:val="1"/>
          <w:bCs w:val="1"/>
          <w:color w:val="auto"/>
        </w:rPr>
        <w:t>Wholesale,</w:t>
      </w:r>
      <w:r>
        <w:rPr>
          <w:rFonts w:ascii="Arial" w:cs="Arial" w:eastAsia="Arial" w:hAnsi="Arial"/>
          <w:sz w:val="16"/>
          <w:szCs w:val="16"/>
          <w:color w:val="auto"/>
        </w:rPr>
        <w:t xml:space="preserve"> where the decrease was fueled mainly by the debt cancellation of a refinanced client in the real estate sector ; and (iii) </w:t>
      </w:r>
      <w:r>
        <w:rPr>
          <w:rFonts w:ascii="Arial" w:cs="Arial" w:eastAsia="Arial" w:hAnsi="Arial"/>
          <w:sz w:val="16"/>
          <w:szCs w:val="16"/>
          <w:b w:val="1"/>
          <w:bCs w:val="1"/>
          <w:color w:val="auto"/>
        </w:rPr>
        <w:t>SME-Business</w:t>
      </w:r>
      <w:r>
        <w:rPr>
          <w:rFonts w:ascii="Arial" w:cs="Arial" w:eastAsia="Arial" w:hAnsi="Arial"/>
          <w:sz w:val="16"/>
          <w:szCs w:val="16"/>
          <w:color w:val="auto"/>
        </w:rPr>
        <w:t xml:space="preserve">, which was impacted by the same drivers seen in the </w:t>
      </w:r>
      <w:r>
        <w:rPr>
          <w:rFonts w:ascii="Arial" w:cs="Arial" w:eastAsia="Arial" w:hAnsi="Arial"/>
          <w:sz w:val="16"/>
          <w:szCs w:val="16"/>
          <w:b w:val="1"/>
          <w:bCs w:val="1"/>
          <w:color w:val="auto"/>
        </w:rPr>
        <w:t>QoQ</w:t>
      </w:r>
      <w:r>
        <w:rPr>
          <w:rFonts w:ascii="Arial" w:cs="Arial" w:eastAsia="Arial" w:hAnsi="Arial"/>
          <w:sz w:val="16"/>
          <w:szCs w:val="16"/>
          <w:color w:val="auto"/>
        </w:rPr>
        <w:t xml:space="preserve"> evolution.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the drop in NPLs was driven by the same dynamics seen </w:t>
      </w:r>
      <w:r>
        <w:rPr>
          <w:rFonts w:ascii="Arial" w:cs="Arial" w:eastAsia="Arial" w:hAnsi="Arial"/>
          <w:sz w:val="16"/>
          <w:szCs w:val="16"/>
          <w:b w:val="1"/>
          <w:bCs w:val="1"/>
          <w:color w:val="auto"/>
        </w:rPr>
        <w:t>QoQ</w:t>
      </w:r>
      <w:r>
        <w:rPr>
          <w:rFonts w:ascii="Arial" w:cs="Arial" w:eastAsia="Arial" w:hAnsi="Arial"/>
          <w:sz w:val="16"/>
          <w:szCs w:val="16"/>
          <w:color w:val="auto"/>
        </w:rPr>
        <w:t>.</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9" w:name="page30"/>
    <w:bookmarkEnd w:id="29"/>
    <w:p>
      <w:pPr>
        <w:jc w:val="both"/>
        <w:ind w:left="2680"/>
        <w:spacing w:after="0"/>
        <w:tabs>
          <w:tab w:leader="none" w:pos="2960" w:val="left"/>
        </w:tabs>
        <w:rPr>
          <w:sz w:val="20"/>
          <w:szCs w:val="20"/>
          <w:color w:val="auto"/>
        </w:rPr>
      </w:pPr>
      <w:r>
        <w:rPr>
          <w:rFonts w:ascii="Calibri" w:cs="Calibri" w:eastAsia="Calibri" w:hAnsi="Calibri"/>
          <w:sz w:val="19"/>
          <w:szCs w:val="19"/>
          <w:color w:val="A6A6A6"/>
        </w:rPr>
        <w:t>|</w:t>
      </w:r>
      <w:r>
        <w:rPr>
          <w:sz w:val="20"/>
          <w:szCs w:val="20"/>
          <w:color w:val="auto"/>
        </w:rPr>
        <w:tab/>
      </w:r>
      <w:r>
        <w:rPr>
          <w:rFonts w:ascii="Calibri" w:cs="Calibri" w:eastAsia="Calibri" w:hAnsi="Calibri"/>
          <w:sz w:val="16"/>
          <w:szCs w:val="16"/>
          <w:color w:val="FFFFFF"/>
        </w:rPr>
        <w:t>Earnings Release 4Q / 2024</w:t>
      </w:r>
    </w:p>
    <w:p>
      <w:pPr>
        <w:spacing w:after="0" w:line="316" w:lineRule="exact"/>
        <w:rPr>
          <w:sz w:val="20"/>
          <w:szCs w:val="20"/>
          <w:color w:val="auto"/>
        </w:rPr>
      </w:pPr>
    </w:p>
    <w:p>
      <w:pPr>
        <w:ind w:left="100"/>
        <w:spacing w:after="0"/>
        <w:rPr>
          <w:sz w:val="20"/>
          <w:szCs w:val="20"/>
          <w:color w:val="auto"/>
        </w:rPr>
      </w:pPr>
      <w:r>
        <w:rPr>
          <w:rFonts w:ascii="Calibri" w:cs="Calibri" w:eastAsia="Calibri" w:hAnsi="Calibri"/>
          <w:sz w:val="21"/>
          <w:szCs w:val="21"/>
          <w:b w:val="1"/>
          <w:bCs w:val="1"/>
          <w:color w:val="FFFFFF"/>
        </w:rPr>
        <w:t>05. Portolio Quality and Provisions</w:t>
      </w:r>
    </w:p>
    <w:p>
      <w:pPr>
        <w:spacing w:after="0" w:line="231"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NPL Ratio for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129540</wp:posOffset>
            </wp:positionV>
            <wp:extent cx="3330575" cy="17322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30575" cy="1732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820"/>
        <w:spacing w:after="0"/>
        <w:rPr>
          <w:sz w:val="20"/>
          <w:szCs w:val="20"/>
          <w:color w:val="auto"/>
        </w:rPr>
      </w:pPr>
      <w:r>
        <w:rPr>
          <w:rFonts w:ascii="Calibri" w:cs="Calibri" w:eastAsia="Calibri" w:hAnsi="Calibri"/>
          <w:sz w:val="16"/>
          <w:szCs w:val="16"/>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-240030</wp:posOffset>
            </wp:positionV>
            <wp:extent cx="7136130" cy="649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64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Credicorp’s NPL Ratio dropped 60 bps </w:t>
      </w:r>
      <w:r>
        <w:rPr>
          <w:rFonts w:ascii="Arial" w:cs="Arial" w:eastAsia="Arial" w:hAnsi="Arial"/>
          <w:sz w:val="16"/>
          <w:szCs w:val="16"/>
          <w:b w:val="1"/>
          <w:bCs w:val="1"/>
          <w:color w:val="auto"/>
        </w:rPr>
        <w:t>QoQ</w:t>
      </w:r>
      <w:r>
        <w:rPr>
          <w:rFonts w:ascii="Arial" w:cs="Arial" w:eastAsia="Arial" w:hAnsi="Arial"/>
          <w:sz w:val="16"/>
          <w:szCs w:val="16"/>
          <w:color w:val="auto"/>
        </w:rPr>
        <w:t xml:space="preserve"> to stand at 5.3%. This reduction was mainly driven by the same factors that impacted the evolution of the NPL portfolio </w:t>
      </w:r>
      <w:r>
        <w:rPr>
          <w:rFonts w:ascii="Arial" w:cs="Arial" w:eastAsia="Arial" w:hAnsi="Arial"/>
          <w:sz w:val="16"/>
          <w:szCs w:val="16"/>
          <w:b w:val="1"/>
          <w:bCs w:val="1"/>
          <w:color w:val="auto"/>
        </w:rPr>
        <w:t>QoQ</w:t>
      </w:r>
      <w:r>
        <w:rPr>
          <w:rFonts w:ascii="Arial" w:cs="Arial" w:eastAsia="Arial" w:hAnsi="Arial"/>
          <w:sz w:val="16"/>
          <w:szCs w:val="16"/>
          <w:color w:val="auto"/>
        </w:rPr>
        <w:t xml:space="preserve"> and secondarily by loan growth.</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If we analyze the QoQ evolution of the NPL portfolio by Subsidiary, we see:</w:t>
      </w:r>
    </w:p>
    <w:p>
      <w:pPr>
        <w:spacing w:after="0" w:line="120" w:lineRule="exact"/>
        <w:rPr>
          <w:sz w:val="20"/>
          <w:szCs w:val="20"/>
          <w:color w:val="auto"/>
        </w:rPr>
      </w:pPr>
    </w:p>
    <w:p>
      <w:pPr>
        <w:jc w:val="both"/>
        <w:ind w:firstLine="9"/>
        <w:spacing w:after="0" w:line="250" w:lineRule="auto"/>
        <w:tabs>
          <w:tab w:leader="none" w:pos="99"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BCP Stand-alone, </w:t>
      </w:r>
      <w:r>
        <w:rPr>
          <w:rFonts w:ascii="Arial" w:cs="Arial" w:eastAsia="Arial" w:hAnsi="Arial"/>
          <w:sz w:val="16"/>
          <w:szCs w:val="16"/>
          <w:color w:val="auto"/>
        </w:rPr>
        <w:t>where the NPL Ratio fell 69 bps. In all segments, except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w:t>
      </w:r>
      <w:r>
        <w:rPr>
          <w:rFonts w:ascii="Arial" w:cs="Arial" w:eastAsia="Arial" w:hAnsi="Arial"/>
          <w:sz w:val="16"/>
          <w:szCs w:val="16"/>
          <w:b w:val="1"/>
          <w:bCs w:val="1"/>
          <w:color w:val="auto"/>
        </w:rPr>
        <w:t>Consumer</w:t>
      </w:r>
      <w:r>
        <w:rPr>
          <w:rFonts w:ascii="Arial" w:cs="Arial" w:eastAsia="Arial" w:hAnsi="Arial"/>
          <w:sz w:val="16"/>
          <w:szCs w:val="16"/>
          <w:color w:val="auto"/>
        </w:rPr>
        <w:t>, the reduction in the NPL ratio was mainly attributable to a drop in NPL volumes. In Consumer, the decline in the ratio was fueled primarily by loan growth and secondarily by a reduction in NPL volumes.</w:t>
      </w:r>
    </w:p>
    <w:p>
      <w:pPr>
        <w:spacing w:after="0" w:line="200" w:lineRule="exact"/>
        <w:rPr>
          <w:sz w:val="20"/>
          <w:szCs w:val="20"/>
          <w:color w:val="auto"/>
        </w:rPr>
      </w:pPr>
    </w:p>
    <w:p>
      <w:pPr>
        <w:sectPr>
          <w:pgSz w:w="11900" w:h="16838" w:orient="portrait"/>
          <w:cols w:equalWidth="0" w:num="2">
            <w:col w:w="5120" w:space="720"/>
            <w:col w:w="540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hanging="400"/>
        <w:spacing w:after="0"/>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Mibanco</w:t>
      </w:r>
      <w:r>
        <w:rPr>
          <w:rFonts w:ascii="Arial" w:cs="Arial" w:eastAsia="Arial" w:hAnsi="Arial"/>
          <w:sz w:val="17"/>
          <w:szCs w:val="17"/>
          <w:color w:val="auto"/>
        </w:rPr>
        <w:t>, where the NPL ratio fell 41 bps, mainly on the back of a reduction in NPL volumes.</w:t>
      </w:r>
    </w:p>
    <w:p>
      <w:pPr>
        <w:spacing w:after="0" w:line="175"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7"/>
          <w:szCs w:val="17"/>
          <w:b w:val="1"/>
          <w:bCs w:val="1"/>
          <w:color w:val="auto"/>
        </w:rPr>
        <w:t xml:space="preserve">NPL Ratio for Total Loans at BCP </w:t>
      </w:r>
      <w:r>
        <w:rPr>
          <w:rFonts w:ascii="Arial" w:cs="Arial" w:eastAsia="Arial" w:hAnsi="Arial"/>
          <w:sz w:val="29"/>
          <w:szCs w:val="29"/>
          <w:b w:val="1"/>
          <w:bCs w:val="1"/>
          <w:color w:val="auto"/>
          <w:vertAlign w:val="superscript"/>
        </w:rPr>
        <w:t>(1)</w:t>
      </w:r>
    </w:p>
    <w:p>
      <w:pPr>
        <w:spacing w:after="0" w:line="64" w:lineRule="exact"/>
        <w:rPr>
          <w:sz w:val="20"/>
          <w:szCs w:val="20"/>
          <w:color w:val="auto"/>
        </w:rPr>
      </w:pPr>
    </w:p>
    <w:p>
      <w:pPr>
        <w:ind w:left="5840" w:right="100"/>
        <w:spacing w:after="0" w:line="253" w:lineRule="auto"/>
        <w:rPr>
          <w:sz w:val="20"/>
          <w:szCs w:val="20"/>
          <w:color w:val="auto"/>
        </w:rPr>
      </w:pPr>
      <w:r>
        <w:rPr>
          <w:rFonts w:ascii="Arial" w:cs="Arial" w:eastAsia="Arial" w:hAnsi="Arial"/>
          <w:sz w:val="16"/>
          <w:szCs w:val="16"/>
          <w:color w:val="auto"/>
        </w:rPr>
        <w:t xml:space="preserve">The NPL Ratio at Credicorp fell 63 bps </w:t>
      </w:r>
      <w:r>
        <w:rPr>
          <w:rFonts w:ascii="Arial" w:cs="Arial" w:eastAsia="Arial" w:hAnsi="Arial"/>
          <w:sz w:val="16"/>
          <w:szCs w:val="16"/>
          <w:b w:val="1"/>
          <w:bCs w:val="1"/>
          <w:color w:val="auto"/>
        </w:rPr>
        <w:t>YoY</w:t>
      </w:r>
      <w:r>
        <w:rPr>
          <w:rFonts w:ascii="Arial" w:cs="Arial" w:eastAsia="Arial" w:hAnsi="Arial"/>
          <w:sz w:val="16"/>
          <w:szCs w:val="16"/>
          <w:color w:val="auto"/>
        </w:rPr>
        <w:t xml:space="preserve"> to stand at 5.3%. This reduction was primarily driven by the dynamics of the NPL portfolio </w:t>
      </w:r>
      <w:r>
        <w:rPr>
          <w:rFonts w:ascii="Arial" w:cs="Arial" w:eastAsia="Arial" w:hAnsi="Arial"/>
          <w:sz w:val="16"/>
          <w:szCs w:val="16"/>
          <w:b w:val="1"/>
          <w:bCs w:val="1"/>
          <w:color w:val="auto"/>
        </w:rPr>
        <w:t>YoY</w:t>
      </w:r>
      <w:r>
        <w:rPr>
          <w:rFonts w:ascii="Arial" w:cs="Arial" w:eastAsia="Arial" w:hAnsi="Arial"/>
          <w:sz w:val="16"/>
          <w:szCs w:val="16"/>
          <w:color w:val="auto"/>
        </w:rPr>
        <w:t>, and secondarily by slight growth in the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-361950</wp:posOffset>
            </wp:positionV>
            <wp:extent cx="3330575" cy="20148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30575" cy="2014855"/>
                    </a:xfrm>
                    <a:prstGeom prst="rect">
                      <a:avLst/>
                    </a:prstGeom>
                    <a:noFill/>
                  </pic:spPr>
                </pic:pic>
              </a:graphicData>
            </a:graphic>
          </wp:anchor>
        </w:drawing>
      </w:r>
    </w:p>
    <w:p>
      <w:pPr>
        <w:spacing w:after="0" w:line="129"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If we analyze the YoY evolution of the NPL Ratio by Subsidiary, we see:</w:t>
      </w:r>
    </w:p>
    <w:p>
      <w:pPr>
        <w:spacing w:after="0" w:line="195" w:lineRule="exact"/>
        <w:rPr>
          <w:sz w:val="20"/>
          <w:szCs w:val="20"/>
          <w:color w:val="auto"/>
        </w:rPr>
      </w:pPr>
    </w:p>
    <w:p>
      <w:pPr>
        <w:ind w:left="5840" w:right="360"/>
        <w:spacing w:after="0" w:line="316" w:lineRule="auto"/>
        <w:rPr>
          <w:sz w:val="20"/>
          <w:szCs w:val="20"/>
          <w:color w:val="auto"/>
        </w:rPr>
      </w:pPr>
      <w:r>
        <w:rPr>
          <w:rFonts w:ascii="Arial" w:cs="Arial" w:eastAsia="Arial" w:hAnsi="Arial"/>
          <w:sz w:val="15"/>
          <w:szCs w:val="15"/>
          <w:b w:val="1"/>
          <w:bCs w:val="1"/>
          <w:color w:val="auto"/>
        </w:rPr>
        <w:t xml:space="preserve">• BCP Stand-alone, </w:t>
      </w:r>
      <w:r>
        <w:rPr>
          <w:rFonts w:ascii="Arial" w:cs="Arial" w:eastAsia="Arial" w:hAnsi="Arial"/>
          <w:sz w:val="15"/>
          <w:szCs w:val="15"/>
          <w:color w:val="auto"/>
        </w:rPr>
        <w:t>where the NPL Ratio dropped 82 bps, driven by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same segments responsible for the </w:t>
      </w:r>
      <w:r>
        <w:rPr>
          <w:rFonts w:ascii="Arial" w:cs="Arial" w:eastAsia="Arial" w:hAnsi="Arial"/>
          <w:sz w:val="15"/>
          <w:szCs w:val="15"/>
          <w:b w:val="1"/>
          <w:bCs w:val="1"/>
          <w:color w:val="auto"/>
        </w:rPr>
        <w:t>QoQ</w:t>
      </w:r>
      <w:r>
        <w:rPr>
          <w:rFonts w:ascii="Arial" w:cs="Arial" w:eastAsia="Arial" w:hAnsi="Arial"/>
          <w:sz w:val="15"/>
          <w:szCs w:val="15"/>
          <w:color w:val="auto"/>
        </w:rPr>
        <w:t xml:space="preserve"> evolution, barring </w:t>
      </w:r>
      <w:r>
        <w:rPr>
          <w:rFonts w:ascii="Arial" w:cs="Arial" w:eastAsia="Arial" w:hAnsi="Arial"/>
          <w:sz w:val="15"/>
          <w:szCs w:val="15"/>
          <w:b w:val="1"/>
          <w:bCs w:val="1"/>
          <w:color w:val="auto"/>
        </w:rPr>
        <w:t>Mortgage</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20" w:right="300" w:hanging="400"/>
        <w:spacing w:after="0" w:line="286" w:lineRule="auto"/>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Mibanco</w:t>
      </w:r>
      <w:r>
        <w:rPr>
          <w:rFonts w:ascii="Arial" w:cs="Arial" w:eastAsia="Arial" w:hAnsi="Arial"/>
          <w:sz w:val="17"/>
          <w:szCs w:val="17"/>
          <w:color w:val="auto"/>
        </w:rPr>
        <w:t>, where the NPL Ratio rose 38 bps due to a contraction in the loan portfolio, which was partially offset by a decrease in NPL</w:t>
      </w:r>
      <w:r>
        <w:rPr>
          <w:rFonts w:ascii="Arial" w:cs="Arial" w:eastAsia="Arial" w:hAnsi="Arial"/>
          <w:sz w:val="17"/>
          <w:szCs w:val="17"/>
          <w:b w:val="1"/>
          <w:bCs w:val="1"/>
          <w:color w:val="auto"/>
        </w:rPr>
        <w:t xml:space="preserve"> </w:t>
      </w:r>
      <w:r>
        <w:rPr>
          <w:rFonts w:ascii="Arial" w:cs="Arial" w:eastAsia="Arial" w:hAnsi="Arial"/>
          <w:sz w:val="17"/>
          <w:szCs w:val="17"/>
          <w:color w:val="auto"/>
        </w:rPr>
        <w:t>volumes.</w:t>
      </w:r>
    </w:p>
    <w:p>
      <w:pPr>
        <w:spacing w:after="0" w:line="111"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7"/>
          <w:szCs w:val="17"/>
          <w:b w:val="1"/>
          <w:bCs w:val="1"/>
          <w:color w:val="auto"/>
        </w:rPr>
        <w:t>Provisions and Cost of Risk of the Total Portfolio</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29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Loan Portfolio Provisions</w:t>
            </w:r>
          </w:p>
        </w:tc>
        <w:tc>
          <w:tcPr>
            <w:tcW w:w="960" w:type="dxa"/>
            <w:vAlign w:val="bottom"/>
            <w:tcBorders>
              <w:top w:val="single" w:sz="8" w:color="auto"/>
            </w:tcBorders>
            <w:shd w:val="clear" w:color="auto" w:fill="33CCCC"/>
          </w:tcPr>
          <w:p>
            <w:pPr>
              <w:spacing w:after="0"/>
              <w:rPr>
                <w:sz w:val="12"/>
                <w:szCs w:val="12"/>
                <w:color w:val="auto"/>
              </w:rPr>
            </w:pPr>
          </w:p>
        </w:tc>
        <w:tc>
          <w:tcPr>
            <w:tcW w:w="1000" w:type="dxa"/>
            <w:vAlign w:val="bottom"/>
            <w:tcBorders>
              <w:top w:val="single" w:sz="8" w:color="auto"/>
            </w:tcBorders>
            <w:shd w:val="clear" w:color="auto" w:fill="33CCCC"/>
          </w:tcPr>
          <w:p>
            <w:pPr>
              <w:ind w:left="260"/>
              <w:spacing w:after="0"/>
              <w:rPr>
                <w:sz w:val="20"/>
                <w:szCs w:val="20"/>
                <w:color w:val="auto"/>
              </w:rPr>
            </w:pPr>
            <w:r>
              <w:rPr>
                <w:rFonts w:ascii="Arial" w:cs="Arial" w:eastAsia="Arial" w:hAnsi="Arial"/>
                <w:sz w:val="11"/>
                <w:szCs w:val="11"/>
                <w:b w:val="1"/>
                <w:bCs w:val="1"/>
                <w:color w:val="FFFFFF"/>
              </w:rPr>
              <w:t>Quarter</w:t>
            </w:r>
          </w:p>
        </w:tc>
        <w:tc>
          <w:tcPr>
            <w:tcW w:w="1080" w:type="dxa"/>
            <w:vAlign w:val="bottom"/>
            <w:tcBorders>
              <w:top w:val="single" w:sz="8" w:color="auto"/>
              <w:right w:val="single" w:sz="8" w:color="auto"/>
            </w:tcBorders>
            <w:shd w:val="clear" w:color="auto" w:fill="33CCCC"/>
          </w:tcPr>
          <w:p>
            <w:pPr>
              <w:spacing w:after="0"/>
              <w:rPr>
                <w:sz w:val="12"/>
                <w:szCs w:val="12"/>
                <w:color w:val="auto"/>
              </w:rPr>
            </w:pPr>
          </w:p>
        </w:tc>
        <w:tc>
          <w:tcPr>
            <w:tcW w:w="1720" w:type="dxa"/>
            <w:vAlign w:val="bottom"/>
            <w:tcBorders>
              <w:top w:val="single" w:sz="8" w:color="auto"/>
              <w:right w:val="single" w:sz="8" w:color="auto"/>
            </w:tcBorders>
            <w:gridSpan w:val="2"/>
            <w:shd w:val="clear" w:color="auto" w:fill="33CCCC"/>
          </w:tcPr>
          <w:p>
            <w:pPr>
              <w:ind w:left="580"/>
              <w:spacing w:after="0"/>
              <w:rPr>
                <w:sz w:val="20"/>
                <w:szCs w:val="20"/>
                <w:color w:val="auto"/>
              </w:rPr>
            </w:pPr>
            <w:r>
              <w:rPr>
                <w:rFonts w:ascii="Arial" w:cs="Arial" w:eastAsia="Arial" w:hAnsi="Arial"/>
                <w:sz w:val="11"/>
                <w:szCs w:val="11"/>
                <w:b w:val="1"/>
                <w:bCs w:val="1"/>
                <w:color w:val="FFFFFF"/>
              </w:rPr>
              <w:t>% change</w:t>
            </w:r>
          </w:p>
        </w:tc>
        <w:tc>
          <w:tcPr>
            <w:tcW w:w="820" w:type="dxa"/>
            <w:vAlign w:val="bottom"/>
            <w:tcBorders>
              <w:top w:val="single" w:sz="8" w:color="auto"/>
            </w:tcBorders>
            <w:shd w:val="clear" w:color="auto" w:fill="33CCCC"/>
          </w:tcPr>
          <w:p>
            <w:pPr>
              <w:spacing w:after="0"/>
              <w:rPr>
                <w:sz w:val="12"/>
                <w:szCs w:val="12"/>
                <w:color w:val="auto"/>
              </w:rPr>
            </w:pPr>
          </w:p>
        </w:tc>
        <w:tc>
          <w:tcPr>
            <w:tcW w:w="118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Up to</w:t>
            </w:r>
          </w:p>
        </w:tc>
        <w:tc>
          <w:tcPr>
            <w:tcW w:w="15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 change</w:t>
            </w:r>
          </w:p>
        </w:tc>
      </w:tr>
      <w:tr>
        <w:trPr>
          <w:trHeight w:val="131"/>
        </w:trPr>
        <w:tc>
          <w:tcPr>
            <w:tcW w:w="298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S/000</w:t>
            </w:r>
          </w:p>
        </w:tc>
        <w:tc>
          <w:tcPr>
            <w:tcW w:w="9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4Q23</w:t>
            </w:r>
          </w:p>
        </w:tc>
        <w:tc>
          <w:tcPr>
            <w:tcW w:w="1000" w:type="dxa"/>
            <w:vAlign w:val="bottom"/>
            <w:tcBorders>
              <w:bottom w:val="single" w:sz="8" w:color="auto"/>
            </w:tcBorders>
            <w:shd w:val="clear" w:color="auto" w:fill="33CCCC"/>
          </w:tcPr>
          <w:p>
            <w:pPr>
              <w:jc w:val="center"/>
              <w:ind w:right="3"/>
              <w:spacing w:after="0"/>
              <w:rPr>
                <w:sz w:val="20"/>
                <w:szCs w:val="20"/>
                <w:color w:val="auto"/>
              </w:rPr>
            </w:pPr>
            <w:r>
              <w:rPr>
                <w:rFonts w:ascii="Arial" w:cs="Arial" w:eastAsia="Arial" w:hAnsi="Arial"/>
                <w:sz w:val="11"/>
                <w:szCs w:val="11"/>
                <w:b w:val="1"/>
                <w:bCs w:val="1"/>
                <w:color w:val="FFFFFF"/>
                <w:w w:val="96"/>
              </w:rPr>
              <w:t>3Q24</w:t>
            </w:r>
          </w:p>
        </w:tc>
        <w:tc>
          <w:tcPr>
            <w:tcW w:w="10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4Q24</w:t>
            </w:r>
          </w:p>
        </w:tc>
        <w:tc>
          <w:tcPr>
            <w:tcW w:w="8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QoQ</w:t>
            </w:r>
          </w:p>
        </w:tc>
        <w:tc>
          <w:tcPr>
            <w:tcW w:w="8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YoY</w:t>
            </w:r>
          </w:p>
        </w:tc>
        <w:tc>
          <w:tcPr>
            <w:tcW w:w="820" w:type="dxa"/>
            <w:vAlign w:val="bottom"/>
            <w:tcBorders>
              <w:bottom w:val="single" w:sz="8" w:color="auto"/>
            </w:tcBorders>
            <w:shd w:val="clear" w:color="auto" w:fill="33CCCC"/>
          </w:tcPr>
          <w:p>
            <w:pPr>
              <w:ind w:left="320"/>
              <w:spacing w:after="0"/>
              <w:rPr>
                <w:sz w:val="20"/>
                <w:szCs w:val="20"/>
                <w:color w:val="auto"/>
              </w:rPr>
            </w:pPr>
            <w:r>
              <w:rPr>
                <w:rFonts w:ascii="Arial" w:cs="Arial" w:eastAsia="Arial" w:hAnsi="Arial"/>
                <w:sz w:val="11"/>
                <w:szCs w:val="11"/>
                <w:b w:val="1"/>
                <w:bCs w:val="1"/>
                <w:color w:val="FFFFFF"/>
              </w:rPr>
              <w:t>Dec 23</w:t>
            </w:r>
          </w:p>
        </w:tc>
        <w:tc>
          <w:tcPr>
            <w:tcW w:w="1180" w:type="dxa"/>
            <w:vAlign w:val="bottom"/>
            <w:tcBorders>
              <w:bottom w:val="single" w:sz="8" w:color="auto"/>
              <w:right w:val="single" w:sz="8" w:color="auto"/>
            </w:tcBorders>
            <w:shd w:val="clear" w:color="auto" w:fill="33CCCC"/>
          </w:tcPr>
          <w:p>
            <w:pPr>
              <w:ind w:left="480"/>
              <w:spacing w:after="0"/>
              <w:rPr>
                <w:sz w:val="20"/>
                <w:szCs w:val="20"/>
                <w:color w:val="auto"/>
              </w:rPr>
            </w:pPr>
            <w:r>
              <w:rPr>
                <w:rFonts w:ascii="Arial" w:cs="Arial" w:eastAsia="Arial" w:hAnsi="Arial"/>
                <w:sz w:val="11"/>
                <w:szCs w:val="11"/>
                <w:b w:val="1"/>
                <w:bCs w:val="1"/>
                <w:color w:val="FFFFFF"/>
              </w:rPr>
              <w:t>Dec 24</w:t>
            </w:r>
          </w:p>
        </w:tc>
        <w:tc>
          <w:tcPr>
            <w:tcW w:w="15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Dec 24 / Dec 23</w:t>
            </w:r>
          </w:p>
        </w:tc>
      </w:tr>
      <w:tr>
        <w:trPr>
          <w:trHeight w:val="116"/>
        </w:trPr>
        <w:tc>
          <w:tcPr>
            <w:tcW w:w="298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Gross provision for credit losses on loan portfolio</w:t>
            </w:r>
          </w:p>
        </w:tc>
        <w:tc>
          <w:tcPr>
            <w:tcW w:w="960" w:type="dxa"/>
            <w:vAlign w:val="bottom"/>
          </w:tcPr>
          <w:p>
            <w:pPr>
              <w:jc w:val="center"/>
              <w:spacing w:after="0" w:line="116" w:lineRule="exact"/>
              <w:rPr>
                <w:sz w:val="20"/>
                <w:szCs w:val="20"/>
                <w:color w:val="auto"/>
              </w:rPr>
            </w:pPr>
            <w:r>
              <w:rPr>
                <w:rFonts w:ascii="Arial" w:cs="Arial" w:eastAsia="Arial" w:hAnsi="Arial"/>
                <w:sz w:val="11"/>
                <w:szCs w:val="11"/>
                <w:color w:val="auto"/>
              </w:rPr>
              <w:t>(1,260,163)</w:t>
            </w:r>
          </w:p>
        </w:tc>
        <w:tc>
          <w:tcPr>
            <w:tcW w:w="1000" w:type="dxa"/>
            <w:vAlign w:val="bottom"/>
          </w:tcPr>
          <w:p>
            <w:pPr>
              <w:jc w:val="center"/>
              <w:ind w:right="3"/>
              <w:spacing w:after="0" w:line="116" w:lineRule="exact"/>
              <w:rPr>
                <w:sz w:val="20"/>
                <w:szCs w:val="20"/>
                <w:color w:val="auto"/>
              </w:rPr>
            </w:pPr>
            <w:r>
              <w:rPr>
                <w:rFonts w:ascii="Arial" w:cs="Arial" w:eastAsia="Arial" w:hAnsi="Arial"/>
                <w:sz w:val="11"/>
                <w:szCs w:val="11"/>
                <w:color w:val="auto"/>
              </w:rPr>
              <w:t>(981,870)</w:t>
            </w:r>
          </w:p>
        </w:tc>
        <w:tc>
          <w:tcPr>
            <w:tcW w:w="10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(857,694)</w:t>
            </w:r>
          </w:p>
        </w:tc>
        <w:tc>
          <w:tcPr>
            <w:tcW w:w="840" w:type="dxa"/>
            <w:vAlign w:val="bottom"/>
          </w:tcPr>
          <w:p>
            <w:pPr>
              <w:jc w:val="center"/>
              <w:spacing w:after="0" w:line="116" w:lineRule="exact"/>
              <w:rPr>
                <w:sz w:val="20"/>
                <w:szCs w:val="20"/>
                <w:color w:val="auto"/>
              </w:rPr>
            </w:pPr>
            <w:r>
              <w:rPr>
                <w:rFonts w:ascii="Arial" w:cs="Arial" w:eastAsia="Arial" w:hAnsi="Arial"/>
                <w:sz w:val="11"/>
                <w:szCs w:val="11"/>
                <w:color w:val="auto"/>
              </w:rPr>
              <w:t>-12.6%</w:t>
            </w:r>
          </w:p>
        </w:tc>
        <w:tc>
          <w:tcPr>
            <w:tcW w:w="8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-31.9%</w:t>
            </w:r>
          </w:p>
        </w:tc>
        <w:tc>
          <w:tcPr>
            <w:tcW w:w="820" w:type="dxa"/>
            <w:vAlign w:val="bottom"/>
          </w:tcPr>
          <w:p>
            <w:pPr>
              <w:jc w:val="center"/>
              <w:ind w:left="123"/>
              <w:spacing w:after="0" w:line="116" w:lineRule="exact"/>
              <w:rPr>
                <w:sz w:val="20"/>
                <w:szCs w:val="20"/>
                <w:color w:val="auto"/>
              </w:rPr>
            </w:pPr>
            <w:r>
              <w:rPr>
                <w:rFonts w:ascii="Arial" w:cs="Arial" w:eastAsia="Arial" w:hAnsi="Arial"/>
                <w:sz w:val="11"/>
                <w:szCs w:val="11"/>
                <w:color w:val="auto"/>
              </w:rPr>
              <w:t>(3,957,143)</w:t>
            </w:r>
          </w:p>
        </w:tc>
        <w:tc>
          <w:tcPr>
            <w:tcW w:w="1180" w:type="dxa"/>
            <w:vAlign w:val="bottom"/>
            <w:tcBorders>
              <w:right w:val="single" w:sz="8" w:color="auto"/>
            </w:tcBorders>
          </w:tcPr>
          <w:p>
            <w:pPr>
              <w:jc w:val="center"/>
              <w:ind w:left="103"/>
              <w:spacing w:after="0" w:line="116" w:lineRule="exact"/>
              <w:rPr>
                <w:sz w:val="20"/>
                <w:szCs w:val="20"/>
                <w:color w:val="auto"/>
              </w:rPr>
            </w:pPr>
            <w:r>
              <w:rPr>
                <w:rFonts w:ascii="Arial" w:cs="Arial" w:eastAsia="Arial" w:hAnsi="Arial"/>
                <w:sz w:val="11"/>
                <w:szCs w:val="11"/>
                <w:color w:val="auto"/>
              </w:rPr>
              <w:t>(3,943,301)</w:t>
            </w:r>
          </w:p>
        </w:tc>
        <w:tc>
          <w:tcPr>
            <w:tcW w:w="15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rPr>
              <w:t>-0.3%</w:t>
            </w:r>
          </w:p>
        </w:tc>
      </w:tr>
      <w:tr>
        <w:trPr>
          <w:trHeight w:val="131"/>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Recoveries of written-off loans</w:t>
            </w:r>
          </w:p>
        </w:tc>
        <w:tc>
          <w:tcPr>
            <w:tcW w:w="960" w:type="dxa"/>
            <w:vAlign w:val="bottom"/>
          </w:tcPr>
          <w:p>
            <w:pPr>
              <w:jc w:val="center"/>
              <w:spacing w:after="0"/>
              <w:rPr>
                <w:sz w:val="20"/>
                <w:szCs w:val="20"/>
                <w:color w:val="auto"/>
              </w:rPr>
            </w:pPr>
            <w:r>
              <w:rPr>
                <w:rFonts w:ascii="Arial" w:cs="Arial" w:eastAsia="Arial" w:hAnsi="Arial"/>
                <w:sz w:val="11"/>
                <w:szCs w:val="11"/>
                <w:color w:val="auto"/>
              </w:rPr>
              <w:t>86,709</w:t>
            </w:r>
          </w:p>
        </w:tc>
        <w:tc>
          <w:tcPr>
            <w:tcW w:w="1000" w:type="dxa"/>
            <w:vAlign w:val="bottom"/>
          </w:tcPr>
          <w:p>
            <w:pPr>
              <w:jc w:val="center"/>
              <w:spacing w:after="0"/>
              <w:rPr>
                <w:sz w:val="20"/>
                <w:szCs w:val="20"/>
                <w:color w:val="auto"/>
              </w:rPr>
            </w:pPr>
            <w:r>
              <w:rPr>
                <w:rFonts w:ascii="Arial" w:cs="Arial" w:eastAsia="Arial" w:hAnsi="Arial"/>
                <w:sz w:val="11"/>
                <w:szCs w:val="11"/>
                <w:color w:val="auto"/>
              </w:rPr>
              <w:t>113,789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114,398</w:t>
            </w:r>
          </w:p>
        </w:tc>
        <w:tc>
          <w:tcPr>
            <w:tcW w:w="840" w:type="dxa"/>
            <w:vAlign w:val="bottom"/>
          </w:tcPr>
          <w:p>
            <w:pPr>
              <w:jc w:val="center"/>
              <w:spacing w:after="0"/>
              <w:rPr>
                <w:sz w:val="20"/>
                <w:szCs w:val="20"/>
                <w:color w:val="auto"/>
              </w:rPr>
            </w:pPr>
            <w:r>
              <w:rPr>
                <w:rFonts w:ascii="Arial" w:cs="Arial" w:eastAsia="Arial" w:hAnsi="Arial"/>
                <w:sz w:val="11"/>
                <w:szCs w:val="11"/>
                <w:color w:val="auto"/>
              </w:rPr>
              <w:t>0.5%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31.9%</w:t>
            </w:r>
          </w:p>
        </w:tc>
        <w:tc>
          <w:tcPr>
            <w:tcW w:w="820" w:type="dxa"/>
            <w:vAlign w:val="bottom"/>
          </w:tcPr>
          <w:p>
            <w:pPr>
              <w:jc w:val="center"/>
              <w:ind w:left="123"/>
              <w:spacing w:after="0"/>
              <w:rPr>
                <w:sz w:val="20"/>
                <w:szCs w:val="20"/>
                <w:color w:val="auto"/>
              </w:rPr>
            </w:pPr>
            <w:r>
              <w:rPr>
                <w:rFonts w:ascii="Arial" w:cs="Arial" w:eastAsia="Arial" w:hAnsi="Arial"/>
                <w:sz w:val="11"/>
                <w:szCs w:val="11"/>
                <w:color w:val="auto"/>
              </w:rPr>
              <w:t>334,798</w:t>
            </w:r>
          </w:p>
        </w:tc>
        <w:tc>
          <w:tcPr>
            <w:tcW w:w="1180" w:type="dxa"/>
            <w:vAlign w:val="bottom"/>
            <w:tcBorders>
              <w:right w:val="single" w:sz="8" w:color="auto"/>
            </w:tcBorders>
          </w:tcPr>
          <w:p>
            <w:pPr>
              <w:jc w:val="center"/>
              <w:ind w:left="103"/>
              <w:spacing w:after="0"/>
              <w:rPr>
                <w:sz w:val="20"/>
                <w:szCs w:val="20"/>
                <w:color w:val="auto"/>
              </w:rPr>
            </w:pPr>
            <w:r>
              <w:rPr>
                <w:rFonts w:ascii="Arial" w:cs="Arial" w:eastAsia="Arial" w:hAnsi="Arial"/>
                <w:sz w:val="11"/>
                <w:szCs w:val="11"/>
                <w:color w:val="auto"/>
              </w:rPr>
              <w:t>423,854</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26.6%</w:t>
            </w:r>
          </w:p>
        </w:tc>
      </w:tr>
      <w:tr>
        <w:trPr>
          <w:trHeight w:val="131"/>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Provision for credit losses on loan portfolio, net of</w:t>
            </w: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rPr>
              <w:t>(1,173,454)</w:t>
            </w:r>
          </w:p>
        </w:tc>
        <w:tc>
          <w:tcPr>
            <w:tcW w:w="1000" w:type="dxa"/>
            <w:vAlign w:val="bottom"/>
          </w:tcPr>
          <w:p>
            <w:pPr>
              <w:jc w:val="center"/>
              <w:ind w:right="3"/>
              <w:spacing w:after="0"/>
              <w:rPr>
                <w:sz w:val="20"/>
                <w:szCs w:val="20"/>
                <w:color w:val="auto"/>
              </w:rPr>
            </w:pPr>
            <w:r>
              <w:rPr>
                <w:rFonts w:ascii="Arial" w:cs="Arial" w:eastAsia="Arial" w:hAnsi="Arial"/>
                <w:sz w:val="11"/>
                <w:szCs w:val="11"/>
                <w:b w:val="1"/>
                <w:bCs w:val="1"/>
                <w:color w:val="auto"/>
              </w:rPr>
              <w:t>(868,081)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(743,296)</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-14.4%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-36.7%</w:t>
            </w:r>
          </w:p>
        </w:tc>
        <w:tc>
          <w:tcPr>
            <w:tcW w:w="820" w:type="dxa"/>
            <w:vAlign w:val="bottom"/>
          </w:tcPr>
          <w:p>
            <w:pPr>
              <w:jc w:val="center"/>
              <w:ind w:left="123"/>
              <w:spacing w:after="0"/>
              <w:rPr>
                <w:sz w:val="20"/>
                <w:szCs w:val="20"/>
                <w:color w:val="auto"/>
              </w:rPr>
            </w:pPr>
            <w:r>
              <w:rPr>
                <w:rFonts w:ascii="Arial" w:cs="Arial" w:eastAsia="Arial" w:hAnsi="Arial"/>
                <w:sz w:val="11"/>
                <w:szCs w:val="11"/>
                <w:b w:val="1"/>
                <w:bCs w:val="1"/>
                <w:color w:val="auto"/>
              </w:rPr>
              <w:t>(3,622,345)</w:t>
            </w:r>
          </w:p>
        </w:tc>
        <w:tc>
          <w:tcPr>
            <w:tcW w:w="1180" w:type="dxa"/>
            <w:vAlign w:val="bottom"/>
            <w:tcBorders>
              <w:right w:val="single" w:sz="8" w:color="auto"/>
            </w:tcBorders>
          </w:tcPr>
          <w:p>
            <w:pPr>
              <w:jc w:val="center"/>
              <w:ind w:left="103"/>
              <w:spacing w:after="0"/>
              <w:rPr>
                <w:sz w:val="20"/>
                <w:szCs w:val="20"/>
                <w:color w:val="auto"/>
              </w:rPr>
            </w:pPr>
            <w:r>
              <w:rPr>
                <w:rFonts w:ascii="Arial" w:cs="Arial" w:eastAsia="Arial" w:hAnsi="Arial"/>
                <w:sz w:val="11"/>
                <w:szCs w:val="11"/>
                <w:b w:val="1"/>
                <w:bCs w:val="1"/>
                <w:color w:val="auto"/>
              </w:rPr>
              <w:t>(3,519,447)</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-2.8%</w:t>
            </w:r>
          </w:p>
        </w:tc>
      </w:tr>
      <w:tr>
        <w:trPr>
          <w:trHeight w:val="139"/>
        </w:trPr>
        <w:tc>
          <w:tcPr>
            <w:tcW w:w="2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recoveries</w:t>
            </w:r>
          </w:p>
        </w:tc>
        <w:tc>
          <w:tcPr>
            <w:tcW w:w="9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r>
      <w:tr>
        <w:trPr>
          <w:trHeight w:val="124"/>
        </w:trPr>
        <w:tc>
          <w:tcPr>
            <w:tcW w:w="2980" w:type="dxa"/>
            <w:vAlign w:val="bottom"/>
            <w:tcBorders>
              <w:left w:val="single" w:sz="8" w:color="auto"/>
              <w:bottom w:val="single" w:sz="8" w:color="auto"/>
              <w:right w:val="single" w:sz="8" w:color="auto"/>
            </w:tcBorders>
          </w:tcPr>
          <w:p>
            <w:pPr>
              <w:ind w:left="20"/>
              <w:spacing w:after="0" w:line="125" w:lineRule="exact"/>
              <w:rPr>
                <w:sz w:val="20"/>
                <w:szCs w:val="20"/>
                <w:color w:val="auto"/>
              </w:rPr>
            </w:pPr>
            <w:r>
              <w:rPr>
                <w:rFonts w:ascii="Arial" w:cs="Arial" w:eastAsia="Arial" w:hAnsi="Arial"/>
                <w:sz w:val="9"/>
                <w:szCs w:val="9"/>
                <w:color w:val="auto"/>
              </w:rPr>
              <w:t xml:space="preserve">Cost of risk </w:t>
            </w:r>
            <w:r>
              <w:rPr>
                <w:rFonts w:ascii="Arial" w:cs="Arial" w:eastAsia="Arial" w:hAnsi="Arial"/>
                <w:sz w:val="14"/>
                <w:szCs w:val="14"/>
                <w:color w:val="auto"/>
                <w:vertAlign w:val="superscript"/>
              </w:rPr>
              <w:t>(1)</w:t>
            </w:r>
          </w:p>
        </w:tc>
        <w:tc>
          <w:tcPr>
            <w:tcW w:w="9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3.2%</w:t>
            </w:r>
          </w:p>
        </w:tc>
        <w:tc>
          <w:tcPr>
            <w:tcW w:w="1000" w:type="dxa"/>
            <w:vAlign w:val="bottom"/>
            <w:tcBorders>
              <w:bottom w:val="single" w:sz="8" w:color="auto"/>
            </w:tcBorders>
          </w:tcPr>
          <w:p>
            <w:pPr>
              <w:jc w:val="center"/>
              <w:ind w:right="3"/>
              <w:spacing w:after="0" w:line="124" w:lineRule="exact"/>
              <w:rPr>
                <w:sz w:val="20"/>
                <w:szCs w:val="20"/>
                <w:color w:val="auto"/>
              </w:rPr>
            </w:pPr>
            <w:r>
              <w:rPr>
                <w:rFonts w:ascii="Arial" w:cs="Arial" w:eastAsia="Arial" w:hAnsi="Arial"/>
                <w:sz w:val="11"/>
                <w:szCs w:val="11"/>
                <w:color w:val="auto"/>
              </w:rPr>
              <w:t>2.4%</w:t>
            </w:r>
          </w:p>
        </w:tc>
        <w:tc>
          <w:tcPr>
            <w:tcW w:w="10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2.1%</w:t>
            </w:r>
          </w:p>
        </w:tc>
        <w:tc>
          <w:tcPr>
            <w:tcW w:w="84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rPr>
              <w:t>-34 bps</w:t>
            </w:r>
          </w:p>
        </w:tc>
        <w:tc>
          <w:tcPr>
            <w:tcW w:w="88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-118 bps</w:t>
            </w:r>
          </w:p>
        </w:tc>
        <w:tc>
          <w:tcPr>
            <w:tcW w:w="820" w:type="dxa"/>
            <w:vAlign w:val="bottom"/>
            <w:tcBorders>
              <w:bottom w:val="single" w:sz="8" w:color="auto"/>
            </w:tcBorders>
          </w:tcPr>
          <w:p>
            <w:pPr>
              <w:jc w:val="center"/>
              <w:ind w:left="123"/>
              <w:spacing w:after="0" w:line="124" w:lineRule="exact"/>
              <w:rPr>
                <w:sz w:val="20"/>
                <w:szCs w:val="20"/>
                <w:color w:val="auto"/>
              </w:rPr>
            </w:pPr>
            <w:r>
              <w:rPr>
                <w:rFonts w:ascii="Arial" w:cs="Arial" w:eastAsia="Arial" w:hAnsi="Arial"/>
                <w:sz w:val="11"/>
                <w:szCs w:val="11"/>
                <w:color w:val="auto"/>
                <w:w w:val="95"/>
              </w:rPr>
              <w:t>2.5%</w:t>
            </w:r>
          </w:p>
        </w:tc>
        <w:tc>
          <w:tcPr>
            <w:tcW w:w="1180" w:type="dxa"/>
            <w:vAlign w:val="bottom"/>
            <w:tcBorders>
              <w:bottom w:val="single" w:sz="8" w:color="auto"/>
              <w:right w:val="single" w:sz="8" w:color="auto"/>
            </w:tcBorders>
          </w:tcPr>
          <w:p>
            <w:pPr>
              <w:jc w:val="center"/>
              <w:ind w:left="103"/>
              <w:spacing w:after="0" w:line="124" w:lineRule="exact"/>
              <w:rPr>
                <w:sz w:val="20"/>
                <w:szCs w:val="20"/>
                <w:color w:val="auto"/>
              </w:rPr>
            </w:pPr>
            <w:r>
              <w:rPr>
                <w:rFonts w:ascii="Arial" w:cs="Arial" w:eastAsia="Arial" w:hAnsi="Arial"/>
                <w:sz w:val="11"/>
                <w:szCs w:val="11"/>
                <w:color w:val="auto"/>
              </w:rPr>
              <w:t>2.4%</w:t>
            </w:r>
          </w:p>
        </w:tc>
        <w:tc>
          <w:tcPr>
            <w:tcW w:w="1500" w:type="dxa"/>
            <w:vAlign w:val="bottom"/>
            <w:tcBorders>
              <w:bottom w:val="single" w:sz="8" w:color="auto"/>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 bps</w:t>
            </w:r>
          </w:p>
        </w:tc>
      </w:tr>
    </w:tbl>
    <w:p>
      <w:pPr>
        <w:spacing w:after="0"/>
        <w:tabs>
          <w:tab w:leader="none" w:pos="220" w:val="left"/>
        </w:tabs>
        <w:rPr>
          <w:sz w:val="20"/>
          <w:szCs w:val="20"/>
          <w:color w:val="auto"/>
        </w:rPr>
      </w:pPr>
      <w:r>
        <w:rPr>
          <w:rFonts w:ascii="Arial" w:cs="Arial" w:eastAsia="Arial" w:hAnsi="Arial"/>
          <w:sz w:val="11"/>
          <w:szCs w:val="11"/>
          <w:color w:val="auto"/>
        </w:rPr>
        <w:t>(1)</w:t>
        <w:tab/>
        <w:t>Provisions for credit losses on loan portfolio, net of annualized recoveries / Average Total Loans. It includes provisions set aside for “El Niño” Phenomenon in 4Q23 and reversed in 1Q24.</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provisions dropped 14.4%, driven mainly by</w:t>
      </w:r>
      <w:r>
        <w:rPr>
          <w:rFonts w:ascii="Arial" w:cs="Arial" w:eastAsia="Arial" w:hAnsi="Arial"/>
          <w:sz w:val="16"/>
          <w:szCs w:val="16"/>
          <w:b w:val="1"/>
          <w:bCs w:val="1"/>
          <w:color w:val="auto"/>
        </w:rPr>
        <w:t xml:space="preserve"> BCP Stand-alone </w:t>
      </w:r>
      <w:r>
        <w:rPr>
          <w:rFonts w:ascii="Arial" w:cs="Arial" w:eastAsia="Arial" w:hAnsi="Arial"/>
          <w:sz w:val="16"/>
          <w:szCs w:val="16"/>
          <w:color w:val="auto"/>
        </w:rPr>
        <w:t>and</w:t>
      </w:r>
      <w:r>
        <w:rPr>
          <w:rFonts w:ascii="Arial" w:cs="Arial" w:eastAsia="Arial" w:hAnsi="Arial"/>
          <w:sz w:val="16"/>
          <w:szCs w:val="16"/>
          <w:b w:val="1"/>
          <w:bCs w:val="1"/>
          <w:color w:val="auto"/>
        </w:rPr>
        <w:t xml:space="preserve"> Mibanco. </w:t>
      </w:r>
      <w:r>
        <w:rPr>
          <w:rFonts w:ascii="Arial" w:cs="Arial" w:eastAsia="Arial" w:hAnsi="Arial"/>
          <w:sz w:val="16"/>
          <w:szCs w:val="16"/>
          <w:color w:val="auto"/>
        </w:rPr>
        <w:t>At</w:t>
      </w:r>
      <w:r>
        <w:rPr>
          <w:rFonts w:ascii="Arial" w:cs="Arial" w:eastAsia="Arial" w:hAnsi="Arial"/>
          <w:sz w:val="16"/>
          <w:szCs w:val="16"/>
          <w:b w:val="1"/>
          <w:bCs w:val="1"/>
          <w:color w:val="auto"/>
        </w:rPr>
        <w:t xml:space="preserve"> BCP Stand-alone</w:t>
      </w:r>
      <w:r>
        <w:rPr>
          <w:rFonts w:ascii="Arial" w:cs="Arial" w:eastAsia="Arial" w:hAnsi="Arial"/>
          <w:sz w:val="16"/>
          <w:szCs w:val="16"/>
          <w:color w:val="auto"/>
        </w:rPr>
        <w:t>, the reduction in provisions was primarily fueled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improvement in payment performance in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and </w:t>
      </w:r>
      <w:r>
        <w:rPr>
          <w:rFonts w:ascii="Arial" w:cs="Arial" w:eastAsia="Arial" w:hAnsi="Arial"/>
          <w:sz w:val="16"/>
          <w:szCs w:val="16"/>
          <w:b w:val="1"/>
          <w:bCs w:val="1"/>
          <w:color w:val="auto"/>
        </w:rPr>
        <w:t>Mortgage</w:t>
      </w:r>
      <w:r>
        <w:rPr>
          <w:rFonts w:ascii="Arial" w:cs="Arial" w:eastAsia="Arial" w:hAnsi="Arial"/>
          <w:sz w:val="16"/>
          <w:szCs w:val="16"/>
          <w:color w:val="auto"/>
        </w:rPr>
        <w:t xml:space="preserve">. In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provisions fell primarily on the back of an improvement in payment performance, as lower-risk vintages increased their participation in the total loan portfolio, and secondarily due to calibrations in our risk models. In </w:t>
      </w:r>
      <w:r>
        <w:rPr>
          <w:rFonts w:ascii="Arial" w:cs="Arial" w:eastAsia="Arial" w:hAnsi="Arial"/>
          <w:sz w:val="16"/>
          <w:szCs w:val="16"/>
          <w:b w:val="1"/>
          <w:bCs w:val="1"/>
          <w:color w:val="auto"/>
        </w:rPr>
        <w:t>Mortgage</w:t>
      </w:r>
      <w:r>
        <w:rPr>
          <w:rFonts w:ascii="Arial" w:cs="Arial" w:eastAsia="Arial" w:hAnsi="Arial"/>
          <w:sz w:val="16"/>
          <w:szCs w:val="16"/>
          <w:color w:val="auto"/>
        </w:rPr>
        <w:t xml:space="preserve">, provisions dropped, which was mainly attributable to parameter updates in our risk models, and secondarily to a strengthening in payment capacity in Individuals. The aforementioned reductions were partially offset by an increase in provisions for </w:t>
      </w:r>
      <w:r>
        <w:rPr>
          <w:rFonts w:ascii="Arial" w:cs="Arial" w:eastAsia="Arial" w:hAnsi="Arial"/>
          <w:sz w:val="16"/>
          <w:szCs w:val="16"/>
          <w:b w:val="1"/>
          <w:bCs w:val="1"/>
          <w:color w:val="auto"/>
        </w:rPr>
        <w:t>Consumer</w:t>
      </w:r>
      <w:r>
        <w:rPr>
          <w:rFonts w:ascii="Arial" w:cs="Arial" w:eastAsia="Arial" w:hAnsi="Arial"/>
          <w:sz w:val="16"/>
          <w:szCs w:val="16"/>
          <w:color w:val="auto"/>
        </w:rPr>
        <w:t xml:space="preserve"> and </w:t>
      </w:r>
      <w:r>
        <w:rPr>
          <w:rFonts w:ascii="Arial" w:cs="Arial" w:eastAsia="Arial" w:hAnsi="Arial"/>
          <w:sz w:val="16"/>
          <w:szCs w:val="16"/>
          <w:b w:val="1"/>
          <w:bCs w:val="1"/>
          <w:color w:val="auto"/>
        </w:rPr>
        <w:t>Credit Cards</w:t>
      </w:r>
      <w:r>
        <w:rPr>
          <w:rFonts w:ascii="Arial" w:cs="Arial" w:eastAsia="Arial" w:hAnsi="Arial"/>
          <w:sz w:val="16"/>
          <w:szCs w:val="16"/>
          <w:color w:val="auto"/>
        </w:rPr>
        <w:t xml:space="preserve">, which was attributable to risk models calibrations. Despite higher provisions, both segments reported improvements in payment performance due to: i) an increase in the share of lower-risk vintages within total loan portfolio, ii) a significant increase in debt relief facilities, and iii) a lag in the dissipation of the impact of the surplus liquidity generated by pension fund withdrawals in 3Q24. At </w:t>
      </w:r>
      <w:r>
        <w:rPr>
          <w:rFonts w:ascii="Arial" w:cs="Arial" w:eastAsia="Arial" w:hAnsi="Arial"/>
          <w:sz w:val="16"/>
          <w:szCs w:val="16"/>
          <w:b w:val="1"/>
          <w:bCs w:val="1"/>
          <w:color w:val="auto"/>
        </w:rPr>
        <w:t>Mibanco</w:t>
      </w:r>
      <w:r>
        <w:rPr>
          <w:rFonts w:ascii="Arial" w:cs="Arial" w:eastAsia="Arial" w:hAnsi="Arial"/>
          <w:sz w:val="16"/>
          <w:szCs w:val="16"/>
          <w:color w:val="auto"/>
        </w:rPr>
        <w:t>, the drop in provisions was driven by an improvement in payment performance, mainly due to stricter origination policies; an uptick in debt relief facilities; and better</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0" w:name="page31"/>
    <w:bookmarkEnd w:id="30"/>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00"/>
        <w:spacing w:after="0"/>
        <w:rPr>
          <w:sz w:val="20"/>
          <w:szCs w:val="20"/>
          <w:color w:val="auto"/>
        </w:rPr>
      </w:pPr>
      <w:r>
        <w:rPr>
          <w:rFonts w:ascii="Calibri" w:cs="Calibri" w:eastAsia="Calibri" w:hAnsi="Calibri"/>
          <w:sz w:val="21"/>
          <w:szCs w:val="21"/>
          <w:b w:val="1"/>
          <w:bCs w:val="1"/>
          <w:color w:val="FFFFFF"/>
        </w:rPr>
        <w:t>05. Portolio Quality and Provisions</w:t>
      </w:r>
    </w:p>
    <w:p>
      <w:pPr>
        <w:spacing w:after="0" w:line="229" w:lineRule="exact"/>
        <w:rPr>
          <w:sz w:val="20"/>
          <w:szCs w:val="20"/>
          <w:color w:val="auto"/>
        </w:rPr>
      </w:pPr>
    </w:p>
    <w:p>
      <w:pPr>
        <w:spacing w:after="0" w:line="242" w:lineRule="auto"/>
        <w:rPr>
          <w:sz w:val="20"/>
          <w:szCs w:val="20"/>
          <w:color w:val="auto"/>
        </w:rPr>
      </w:pPr>
      <w:r>
        <w:rPr>
          <w:rFonts w:ascii="Calibri" w:cs="Calibri" w:eastAsia="Calibri" w:hAnsi="Calibri"/>
          <w:sz w:val="17"/>
          <w:szCs w:val="17"/>
          <w:color w:val="auto"/>
        </w:rPr>
        <w:t xml:space="preserve">debt collecton management, where changes were frst rolled out in 2Q24 and contnue to reap benefts. In this context, the CofR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dropped 34 bps </w:t>
      </w:r>
      <w:r>
        <w:rPr>
          <w:rFonts w:ascii="Calibri" w:cs="Calibri" w:eastAsia="Calibri" w:hAnsi="Calibri"/>
          <w:sz w:val="17"/>
          <w:szCs w:val="17"/>
          <w:b w:val="1"/>
          <w:bCs w:val="1"/>
          <w:color w:val="auto"/>
        </w:rPr>
        <w:t xml:space="preserve">QoQ </w:t>
      </w:r>
      <w:r>
        <w:rPr>
          <w:rFonts w:ascii="Calibri" w:cs="Calibri" w:eastAsia="Calibri" w:hAnsi="Calibri"/>
          <w:sz w:val="17"/>
          <w:szCs w:val="17"/>
          <w:color w:val="auto"/>
        </w:rPr>
        <w:t>to stand at 2.1%.</w:t>
      </w:r>
    </w:p>
    <w:p>
      <w:pPr>
        <w:ind w:left="7160"/>
        <w:spacing w:after="0" w:line="230" w:lineRule="auto"/>
        <w:rPr>
          <w:sz w:val="20"/>
          <w:szCs w:val="20"/>
          <w:color w:val="auto"/>
        </w:rPr>
      </w:pPr>
      <w:r>
        <w:rPr>
          <w:rFonts w:ascii="Calibri" w:cs="Calibri" w:eastAsia="Calibri" w:hAnsi="Calibri"/>
          <w:sz w:val="17"/>
          <w:szCs w:val="17"/>
          <w:b w:val="1"/>
          <w:bCs w:val="1"/>
          <w:color w:val="auto"/>
        </w:rPr>
        <w:t xml:space="preserve">Cost of Risk by Subsidiary </w:t>
      </w:r>
      <w:r>
        <w:rPr>
          <w:rFonts w:ascii="Calibri" w:cs="Calibri" w:eastAsia="Calibri" w:hAnsi="Calibri"/>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-67310</wp:posOffset>
            </wp:positionV>
            <wp:extent cx="2914650" cy="19900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14650" cy="1990090"/>
                    </a:xfrm>
                    <a:prstGeom prst="rect">
                      <a:avLst/>
                    </a:prstGeom>
                    <a:noFill/>
                  </pic:spPr>
                </pic:pic>
              </a:graphicData>
            </a:graphic>
          </wp:anchor>
        </w:drawing>
      </w:r>
    </w:p>
    <w:p>
      <w:pPr>
        <w:spacing w:after="0" w:line="363" w:lineRule="exact"/>
        <w:rPr>
          <w:sz w:val="20"/>
          <w:szCs w:val="20"/>
          <w:color w:val="auto"/>
        </w:rPr>
      </w:pPr>
    </w:p>
    <w:p>
      <w:pPr>
        <w:jc w:val="both"/>
        <w:ind w:right="5960"/>
        <w:spacing w:after="0" w:line="244" w:lineRule="auto"/>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if we isolate the efect of provisions set aside for the “El Niño”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Phenomenon in 4Q23, provisions dropped 19.2%, driven by </w:t>
      </w:r>
      <w:r>
        <w:rPr>
          <w:rFonts w:ascii="Calibri" w:cs="Calibri" w:eastAsia="Calibri" w:hAnsi="Calibri"/>
          <w:sz w:val="17"/>
          <w:szCs w:val="17"/>
          <w:b w:val="1"/>
          <w:bCs w:val="1"/>
          <w:color w:val="auto"/>
        </w:rPr>
        <w:t xml:space="preserve">BCP Stand-alone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At</w:t>
      </w:r>
      <w:r>
        <w:rPr>
          <w:rFonts w:ascii="Calibri" w:cs="Calibri" w:eastAsia="Calibri" w:hAnsi="Calibri"/>
          <w:sz w:val="17"/>
          <w:szCs w:val="17"/>
          <w:b w:val="1"/>
          <w:bCs w:val="1"/>
          <w:color w:val="auto"/>
        </w:rPr>
        <w:t xml:space="preserve"> BCP Stand-alone</w:t>
      </w:r>
      <w:r>
        <w:rPr>
          <w:rFonts w:ascii="Calibri" w:cs="Calibri" w:eastAsia="Calibri" w:hAnsi="Calibri"/>
          <w:sz w:val="17"/>
          <w:szCs w:val="17"/>
          <w:color w:val="auto"/>
        </w:rPr>
        <w:t>, the decrease in provisions was led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mainly by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Consumer</w:t>
      </w:r>
      <w:r>
        <w:rPr>
          <w:rFonts w:ascii="Calibri" w:cs="Calibri" w:eastAsia="Calibri" w:hAnsi="Calibri"/>
          <w:sz w:val="17"/>
          <w:szCs w:val="17"/>
          <w:color w:val="auto"/>
        </w:rPr>
        <w:t xml:space="preserve">, which experienced an improvement in payment performance via the same dynamics seen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and through a reducton in refnancing. This evoluton was partally ofset by </w:t>
      </w:r>
      <w:r>
        <w:rPr>
          <w:rFonts w:ascii="Calibri" w:cs="Calibri" w:eastAsia="Calibri" w:hAnsi="Calibri"/>
          <w:sz w:val="17"/>
          <w:szCs w:val="17"/>
          <w:b w:val="1"/>
          <w:bCs w:val="1"/>
          <w:color w:val="auto"/>
        </w:rPr>
        <w:t>Wholesale</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Banking</w:t>
      </w:r>
      <w:r>
        <w:rPr>
          <w:rFonts w:ascii="Calibri" w:cs="Calibri" w:eastAsia="Calibri" w:hAnsi="Calibri"/>
          <w:sz w:val="17"/>
          <w:szCs w:val="17"/>
          <w:color w:val="auto"/>
        </w:rPr>
        <w:t>, which reported an increase in deterioraton, associated in large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part with two corporate clients.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the reducton was primarily atributable to the same drivers seen </w:t>
      </w:r>
      <w:r>
        <w:rPr>
          <w:rFonts w:ascii="Calibri" w:cs="Calibri" w:eastAsia="Calibri" w:hAnsi="Calibri"/>
          <w:sz w:val="17"/>
          <w:szCs w:val="17"/>
          <w:b w:val="1"/>
          <w:bCs w:val="1"/>
          <w:color w:val="auto"/>
        </w:rPr>
        <w:t>QoQ</w:t>
      </w:r>
      <w:r>
        <w:rPr>
          <w:rFonts w:ascii="Times New Roman" w:cs="Times New Roman" w:eastAsia="Times New Roman" w:hAnsi="Times New Roman"/>
          <w:sz w:val="17"/>
          <w:szCs w:val="17"/>
          <w:color w:val="auto"/>
        </w:rPr>
        <w:t>.</w:t>
      </w:r>
      <w:r>
        <w:rPr>
          <w:rFonts w:ascii="Calibri" w:cs="Calibri" w:eastAsia="Calibri" w:hAnsi="Calibri"/>
          <w:sz w:val="17"/>
          <w:szCs w:val="17"/>
          <w:color w:val="auto"/>
        </w:rPr>
        <w:t xml:space="preserve"> In this context, the CofR at </w:t>
      </w:r>
      <w:r>
        <w:rPr>
          <w:rFonts w:ascii="Calibri" w:cs="Calibri" w:eastAsia="Calibri" w:hAnsi="Calibri"/>
          <w:sz w:val="17"/>
          <w:szCs w:val="17"/>
          <w:b w:val="1"/>
          <w:bCs w:val="1"/>
          <w:color w:val="auto"/>
        </w:rPr>
        <w:t xml:space="preserve">Credicorp </w:t>
      </w:r>
      <w:r>
        <w:rPr>
          <w:rFonts w:ascii="Calibri" w:cs="Calibri" w:eastAsia="Calibri" w:hAnsi="Calibri"/>
          <w:sz w:val="17"/>
          <w:szCs w:val="17"/>
          <w:color w:val="auto"/>
        </w:rPr>
        <w:t>fell 48 bps</w:t>
      </w:r>
      <w:r>
        <w:rPr>
          <w:rFonts w:ascii="Calibri" w:cs="Calibri" w:eastAsia="Calibri" w:hAnsi="Calibri"/>
          <w:sz w:val="17"/>
          <w:szCs w:val="17"/>
          <w:b w:val="1"/>
          <w:bCs w:val="1"/>
          <w:color w:val="auto"/>
        </w:rPr>
        <w:t xml:space="preserve"> YoY </w:t>
      </w:r>
      <w:r>
        <w:rPr>
          <w:rFonts w:ascii="Calibri" w:cs="Calibri" w:eastAsia="Calibri" w:hAnsi="Calibri"/>
          <w:sz w:val="17"/>
          <w:szCs w:val="17"/>
          <w:color w:val="auto"/>
        </w:rPr>
        <w:t>to stand at 2.1%.</w:t>
      </w:r>
    </w:p>
    <w:p>
      <w:pPr>
        <w:spacing w:after="0" w:line="200" w:lineRule="exact"/>
        <w:rPr>
          <w:sz w:val="20"/>
          <w:szCs w:val="20"/>
          <w:color w:val="auto"/>
        </w:rPr>
      </w:pPr>
    </w:p>
    <w:p>
      <w:pPr>
        <w:spacing w:after="0" w:line="313" w:lineRule="exact"/>
        <w:rPr>
          <w:sz w:val="20"/>
          <w:szCs w:val="20"/>
          <w:color w:val="auto"/>
        </w:rPr>
      </w:pPr>
    </w:p>
    <w:p>
      <w:pPr>
        <w:jc w:val="both"/>
        <w:ind w:right="460"/>
        <w:spacing w:after="0" w:line="242" w:lineRule="auto"/>
        <w:rPr>
          <w:sz w:val="20"/>
          <w:szCs w:val="20"/>
          <w:color w:val="auto"/>
        </w:rPr>
      </w:pPr>
      <w:r>
        <w:rPr>
          <w:rFonts w:ascii="Calibri" w:cs="Calibri" w:eastAsia="Calibri" w:hAnsi="Calibri"/>
          <w:sz w:val="17"/>
          <w:szCs w:val="17"/>
          <w:b w:val="1"/>
          <w:bCs w:val="1"/>
          <w:color w:val="auto"/>
        </w:rPr>
        <w:t>On a Full-Year basis</w:t>
      </w:r>
      <w:r>
        <w:rPr>
          <w:rFonts w:ascii="Calibri" w:cs="Calibri" w:eastAsia="Calibri" w:hAnsi="Calibri"/>
          <w:sz w:val="17"/>
          <w:szCs w:val="17"/>
          <w:color w:val="auto"/>
        </w:rPr>
        <w:t>, if we isolate the efect of provisions set aside for the El Niño Phenomenon in 4Q23 and reversed in 1Q24, provisions rose12.0%, mainly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This growth was driven mainly by </w:t>
      </w:r>
      <w:r>
        <w:rPr>
          <w:rFonts w:ascii="Calibri" w:cs="Calibri" w:eastAsia="Calibri" w:hAnsi="Calibri"/>
          <w:sz w:val="17"/>
          <w:szCs w:val="17"/>
          <w:b w:val="1"/>
          <w:bCs w:val="1"/>
          <w:color w:val="auto"/>
        </w:rPr>
        <w:t>Credit Cards</w:t>
      </w:r>
      <w:r>
        <w:rPr>
          <w:rFonts w:ascii="Calibri" w:cs="Calibri" w:eastAsia="Calibri" w:hAnsi="Calibri"/>
          <w:sz w:val="17"/>
          <w:szCs w:val="17"/>
          <w:color w:val="auto"/>
        </w:rPr>
        <w:t xml:space="preserve">, which reported a deterioraton in payment performance that accentuated in the frst semester of 2024, and by </w:t>
      </w:r>
      <w:r>
        <w:rPr>
          <w:rFonts w:ascii="Calibri" w:cs="Calibri" w:eastAsia="Calibri" w:hAnsi="Calibri"/>
          <w:sz w:val="17"/>
          <w:szCs w:val="17"/>
          <w:b w:val="1"/>
          <w:bCs w:val="1"/>
          <w:color w:val="auto"/>
        </w:rPr>
        <w:t>Wholesale</w:t>
      </w:r>
      <w:r>
        <w:rPr>
          <w:rFonts w:ascii="Calibri" w:cs="Calibri" w:eastAsia="Calibri" w:hAnsi="Calibri"/>
          <w:sz w:val="17"/>
          <w:szCs w:val="17"/>
          <w:color w:val="auto"/>
        </w:rPr>
        <w:t xml:space="preserve">, which was impacted by a base efect generated by high reversal levels in 2023. In this context, the CofR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rose 30 bps </w:t>
      </w:r>
      <w:r>
        <w:rPr>
          <w:rFonts w:ascii="Calibri" w:cs="Calibri" w:eastAsia="Calibri" w:hAnsi="Calibri"/>
          <w:sz w:val="17"/>
          <w:szCs w:val="17"/>
          <w:b w:val="1"/>
          <w:bCs w:val="1"/>
          <w:color w:val="auto"/>
        </w:rPr>
        <w:t>FY</w:t>
      </w:r>
      <w:r>
        <w:rPr>
          <w:rFonts w:ascii="Calibri" w:cs="Calibri" w:eastAsia="Calibri" w:hAnsi="Calibri"/>
          <w:sz w:val="17"/>
          <w:szCs w:val="17"/>
          <w:color w:val="auto"/>
        </w:rPr>
        <w:t xml:space="preserve"> to stand at 2.6%.</w:t>
      </w:r>
    </w:p>
    <w:p>
      <w:pPr>
        <w:spacing w:after="0" w:line="185" w:lineRule="exact"/>
        <w:rPr>
          <w:sz w:val="20"/>
          <w:szCs w:val="20"/>
          <w:color w:val="auto"/>
        </w:rPr>
      </w:pPr>
    </w:p>
    <w:p>
      <w:pPr>
        <w:ind w:left="1700"/>
        <w:spacing w:after="0"/>
        <w:tabs>
          <w:tab w:leader="none" w:pos="6760" w:val="left"/>
        </w:tabs>
        <w:rPr>
          <w:sz w:val="20"/>
          <w:szCs w:val="20"/>
          <w:color w:val="auto"/>
        </w:rPr>
      </w:pPr>
      <w:r>
        <w:rPr>
          <w:rFonts w:ascii="Calibri" w:cs="Calibri" w:eastAsia="Calibri" w:hAnsi="Calibri"/>
          <w:sz w:val="17"/>
          <w:szCs w:val="17"/>
          <w:b w:val="1"/>
          <w:bCs w:val="1"/>
          <w:color w:val="auto"/>
        </w:rPr>
        <w:t>QoQ Cost of Risk Evoluton</w:t>
      </w:r>
      <w:r>
        <w:rPr>
          <w:sz w:val="20"/>
          <w:szCs w:val="20"/>
          <w:color w:val="auto"/>
        </w:rPr>
        <w:tab/>
      </w:r>
      <w:r>
        <w:rPr>
          <w:rFonts w:ascii="Calibri" w:cs="Calibri" w:eastAsia="Calibri" w:hAnsi="Calibri"/>
          <w:sz w:val="17"/>
          <w:szCs w:val="17"/>
          <w:b w:val="1"/>
          <w:bCs w:val="1"/>
          <w:color w:val="auto"/>
        </w:rPr>
        <w:t>YoY Underlying Cost of Risk Evoluton*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15240</wp:posOffset>
            </wp:positionV>
            <wp:extent cx="6195060" cy="10991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95060" cy="109918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20"/>
        <w:spacing w:after="0"/>
        <w:rPr>
          <w:sz w:val="20"/>
          <w:szCs w:val="20"/>
          <w:color w:val="auto"/>
        </w:rPr>
      </w:pPr>
      <w:r>
        <w:rPr>
          <w:rFonts w:ascii="Calibri" w:cs="Calibri" w:eastAsia="Calibri" w:hAnsi="Calibri"/>
          <w:sz w:val="11"/>
          <w:szCs w:val="11"/>
          <w:color w:val="auto"/>
        </w:rPr>
        <w:t>(1) Others include BCP Bolivia, Mibanco Colombia, ASB and eliminatons.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0" w:hanging="154"/>
        <w:spacing w:after="0"/>
        <w:tabs>
          <w:tab w:leader="none" w:pos="160" w:val="left"/>
        </w:tabs>
        <w:numPr>
          <w:ilvl w:val="0"/>
          <w:numId w:val="26"/>
        </w:numPr>
        <w:rPr>
          <w:rFonts w:ascii="Calibri" w:cs="Calibri" w:eastAsia="Calibri" w:hAnsi="Calibri"/>
          <w:sz w:val="11"/>
          <w:szCs w:val="11"/>
          <w:color w:val="auto"/>
        </w:rPr>
      </w:pPr>
      <w:r>
        <w:rPr>
          <w:rFonts w:ascii="Calibri" w:cs="Calibri" w:eastAsia="Calibri" w:hAnsi="Calibri"/>
          <w:sz w:val="11"/>
          <w:szCs w:val="11"/>
          <w:color w:val="auto"/>
        </w:rPr>
        <w:t>It excludes provisions set aside for “El Niño” Phenomenon in 4Q23.</w:t>
      </w:r>
    </w:p>
    <w:p>
      <w:pPr>
        <w:spacing w:after="0" w:line="234" w:lineRule="auto"/>
        <w:rPr>
          <w:rFonts w:ascii="Calibri" w:cs="Calibri" w:eastAsia="Calibri" w:hAnsi="Calibri"/>
          <w:sz w:val="11"/>
          <w:szCs w:val="11"/>
          <w:color w:val="auto"/>
        </w:rPr>
      </w:pPr>
      <w:r>
        <w:rPr>
          <w:rFonts w:ascii="Calibri" w:cs="Calibri" w:eastAsia="Calibri" w:hAnsi="Calibri"/>
          <w:sz w:val="11"/>
          <w:szCs w:val="11"/>
          <w:color w:val="auto"/>
        </w:rPr>
        <w:t>(1) Others include BCP Bolivia, Mibanco Colombia, ASB and eliminatons.</w:t>
      </w:r>
    </w:p>
    <w:p>
      <w:pPr>
        <w:spacing w:after="0" w:line="238" w:lineRule="exact"/>
        <w:rPr>
          <w:sz w:val="20"/>
          <w:szCs w:val="20"/>
          <w:color w:val="auto"/>
        </w:rPr>
      </w:pPr>
    </w:p>
    <w:p>
      <w:pPr>
        <w:sectPr>
          <w:pgSz w:w="11900" w:h="16838" w:orient="portrait"/>
          <w:cols w:equalWidth="0" w:num="2">
            <w:col w:w="5560" w:space="720"/>
            <w:col w:w="4960"/>
          </w:cols>
          <w:pgMar w:left="320" w:top="279" w:right="339" w:bottom="1440" w:gutter="0" w:footer="0" w:header="0"/>
          <w:type w:val="continuous"/>
        </w:sectPr>
      </w:pPr>
    </w:p>
    <w:p>
      <w:pPr>
        <w:spacing w:after="0" w:line="119" w:lineRule="exact"/>
        <w:rPr>
          <w:sz w:val="20"/>
          <w:szCs w:val="20"/>
          <w:color w:val="auto"/>
        </w:rPr>
      </w:pPr>
    </w:p>
    <w:p>
      <w:pPr>
        <w:ind w:left="3980"/>
        <w:spacing w:after="0"/>
        <w:rPr>
          <w:sz w:val="20"/>
          <w:szCs w:val="20"/>
          <w:color w:val="auto"/>
        </w:rPr>
      </w:pPr>
      <w:r>
        <w:rPr>
          <w:rFonts w:ascii="Calibri" w:cs="Calibri" w:eastAsia="Calibri" w:hAnsi="Calibri"/>
          <w:sz w:val="17"/>
          <w:szCs w:val="17"/>
          <w:b w:val="1"/>
          <w:bCs w:val="1"/>
          <w:color w:val="auto"/>
        </w:rPr>
        <w:t>FY Underlying Cost of Risk Evoluton*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15240</wp:posOffset>
            </wp:positionV>
            <wp:extent cx="2747645" cy="10661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7645" cy="106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40" w:hanging="157"/>
        <w:spacing w:after="0"/>
        <w:tabs>
          <w:tab w:leader="none" w:pos="5040" w:val="left"/>
        </w:tabs>
        <w:numPr>
          <w:ilvl w:val="0"/>
          <w:numId w:val="27"/>
        </w:numPr>
        <w:rPr>
          <w:rFonts w:ascii="Calibri" w:cs="Calibri" w:eastAsia="Calibri" w:hAnsi="Calibri"/>
          <w:sz w:val="11"/>
          <w:szCs w:val="11"/>
          <w:color w:val="auto"/>
        </w:rPr>
      </w:pPr>
      <w:r>
        <w:rPr>
          <w:rFonts w:ascii="Calibri" w:cs="Calibri" w:eastAsia="Calibri" w:hAnsi="Calibri"/>
          <w:sz w:val="11"/>
          <w:szCs w:val="11"/>
          <w:color w:val="auto"/>
        </w:rPr>
        <w:t>It excludes provisions set aside for “El Niño” Phenomenon in 4Q23 and reversed in 1Q24.</w:t>
      </w:r>
    </w:p>
    <w:p>
      <w:pPr>
        <w:ind w:left="4880"/>
        <w:spacing w:after="0" w:line="234" w:lineRule="auto"/>
        <w:rPr>
          <w:rFonts w:ascii="Calibri" w:cs="Calibri" w:eastAsia="Calibri" w:hAnsi="Calibri"/>
          <w:sz w:val="11"/>
          <w:szCs w:val="11"/>
          <w:color w:val="auto"/>
        </w:rPr>
      </w:pPr>
      <w:r>
        <w:rPr>
          <w:rFonts w:ascii="Calibri" w:cs="Calibri" w:eastAsia="Calibri" w:hAnsi="Calibri"/>
          <w:sz w:val="11"/>
          <w:szCs w:val="11"/>
          <w:color w:val="auto"/>
        </w:rPr>
        <w:t>(1) Others include BCP Bolivia, Mibanco Colombia, ASB and eliminatons.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Coverage Rato of NPLs (in Quarter-end balances)</w:t>
      </w:r>
    </w:p>
    <w:p>
      <w:pPr>
        <w:spacing w:after="0" w:line="4" w:lineRule="exact"/>
        <w:rPr>
          <w:sz w:val="20"/>
          <w:szCs w:val="20"/>
          <w:color w:val="auto"/>
        </w:rPr>
      </w:pPr>
    </w:p>
    <w:tbl>
      <w:tblPr>
        <w:tblLayout w:type="fixed"/>
        <w:tblInd w:w="470" w:type="dxa"/>
        <w:tblCellMar>
          <w:top w:w="0" w:type="dxa"/>
          <w:left w:w="0" w:type="dxa"/>
          <w:bottom w:w="0" w:type="dxa"/>
          <w:right w:w="0" w:type="dxa"/>
        </w:tblCellMar>
      </w:tblPr>
      <w:tr>
        <w:trPr>
          <w:trHeight w:val="180"/>
        </w:trPr>
        <w:tc>
          <w:tcPr>
            <w:tcW w:w="41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Loan Portolio Quality and Delinquency Ratos</w:t>
            </w:r>
          </w:p>
        </w:tc>
        <w:tc>
          <w:tcPr>
            <w:tcW w:w="124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FFFFFF"/>
                <w:w w:val="95"/>
              </w:rPr>
              <w:t>As of</w:t>
            </w:r>
          </w:p>
        </w:tc>
        <w:tc>
          <w:tcPr>
            <w:tcW w:w="1220" w:type="dxa"/>
            <w:vAlign w:val="bottom"/>
            <w:tcBorders>
              <w:top w:val="single" w:sz="8" w:color="auto"/>
              <w:right w:val="single" w:sz="8" w:color="auto"/>
            </w:tcBorders>
            <w:shd w:val="clear" w:color="auto" w:fill="33CCCC"/>
          </w:tcPr>
          <w:p>
            <w:pPr>
              <w:spacing w:after="0"/>
              <w:rPr>
                <w:sz w:val="15"/>
                <w:szCs w:val="15"/>
                <w:color w:val="auto"/>
              </w:rPr>
            </w:pPr>
          </w:p>
        </w:tc>
        <w:tc>
          <w:tcPr>
            <w:tcW w:w="1240" w:type="dxa"/>
            <w:vAlign w:val="bottom"/>
            <w:tcBorders>
              <w:top w:val="single" w:sz="8" w:color="auto"/>
              <w:right w:val="single" w:sz="8" w:color="auto"/>
            </w:tcBorders>
            <w:shd w:val="clear" w:color="auto" w:fill="33CCCC"/>
          </w:tcPr>
          <w:p>
            <w:pPr>
              <w:spacing w:after="0"/>
              <w:rPr>
                <w:sz w:val="15"/>
                <w:szCs w:val="15"/>
                <w:color w:val="auto"/>
              </w:rPr>
            </w:pPr>
          </w:p>
        </w:tc>
        <w:tc>
          <w:tcPr>
            <w:tcW w:w="124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4"/>
                <w:szCs w:val="14"/>
                <w:b w:val="1"/>
                <w:bCs w:val="1"/>
                <w:color w:val="FFFFFF"/>
                <w:w w:val="98"/>
              </w:rPr>
              <w:t>% change</w:t>
            </w:r>
          </w:p>
        </w:tc>
        <w:tc>
          <w:tcPr>
            <w:tcW w:w="1220" w:type="dxa"/>
            <w:vAlign w:val="bottom"/>
            <w:tcBorders>
              <w:top w:val="single" w:sz="8" w:color="auto"/>
              <w:right w:val="single" w:sz="8" w:color="auto"/>
            </w:tcBorders>
            <w:shd w:val="clear" w:color="auto" w:fill="33CCCC"/>
          </w:tcPr>
          <w:p>
            <w:pPr>
              <w:spacing w:after="0"/>
              <w:rPr>
                <w:sz w:val="15"/>
                <w:szCs w:val="15"/>
                <w:color w:val="auto"/>
              </w:rPr>
            </w:pPr>
          </w:p>
        </w:tc>
      </w:tr>
      <w:tr>
        <w:trPr>
          <w:trHeight w:val="170"/>
        </w:trPr>
        <w:tc>
          <w:tcPr>
            <w:tcW w:w="4180" w:type="dxa"/>
            <w:vAlign w:val="bottom"/>
            <w:tcBorders>
              <w:left w:val="single" w:sz="8" w:color="auto"/>
              <w:bottom w:val="single" w:sz="8" w:color="auto"/>
              <w:right w:val="single" w:sz="8" w:color="auto"/>
            </w:tcBorders>
            <w:shd w:val="clear" w:color="auto" w:fill="33CCCC"/>
          </w:tcPr>
          <w:p>
            <w:pPr>
              <w:ind w:left="20"/>
              <w:spacing w:after="0" w:line="167" w:lineRule="exact"/>
              <w:rPr>
                <w:sz w:val="20"/>
                <w:szCs w:val="20"/>
                <w:color w:val="auto"/>
              </w:rPr>
            </w:pPr>
            <w:r>
              <w:rPr>
                <w:rFonts w:ascii="Calibri" w:cs="Calibri" w:eastAsia="Calibri" w:hAnsi="Calibri"/>
                <w:sz w:val="14"/>
                <w:szCs w:val="14"/>
                <w:b w:val="1"/>
                <w:bCs w:val="1"/>
                <w:color w:val="FFFFFF"/>
              </w:rPr>
              <w:t>S/000</w:t>
            </w:r>
          </w:p>
        </w:tc>
        <w:tc>
          <w:tcPr>
            <w:tcW w:w="1240" w:type="dxa"/>
            <w:vAlign w:val="bottom"/>
            <w:tcBorders>
              <w:bottom w:val="single" w:sz="8" w:color="auto"/>
              <w:right w:val="single" w:sz="8" w:color="auto"/>
            </w:tcBorders>
            <w:shd w:val="clear" w:color="auto" w:fill="33CCCC"/>
          </w:tcPr>
          <w:p>
            <w:pPr>
              <w:jc w:val="center"/>
              <w:spacing w:after="0" w:line="167" w:lineRule="exact"/>
              <w:rPr>
                <w:sz w:val="20"/>
                <w:szCs w:val="20"/>
                <w:color w:val="auto"/>
              </w:rPr>
            </w:pPr>
            <w:r>
              <w:rPr>
                <w:rFonts w:ascii="Calibri" w:cs="Calibri" w:eastAsia="Calibri" w:hAnsi="Calibri"/>
                <w:sz w:val="14"/>
                <w:szCs w:val="14"/>
                <w:b w:val="1"/>
                <w:bCs w:val="1"/>
                <w:color w:val="FFFFFF"/>
              </w:rPr>
              <w:t>Dec 23</w:t>
            </w:r>
          </w:p>
        </w:tc>
        <w:tc>
          <w:tcPr>
            <w:tcW w:w="1220" w:type="dxa"/>
            <w:vAlign w:val="bottom"/>
            <w:tcBorders>
              <w:bottom w:val="single" w:sz="8" w:color="auto"/>
              <w:right w:val="single" w:sz="8" w:color="auto"/>
            </w:tcBorders>
            <w:shd w:val="clear" w:color="auto" w:fill="33CCCC"/>
          </w:tcPr>
          <w:p>
            <w:pPr>
              <w:ind w:left="400"/>
              <w:spacing w:after="0" w:line="167" w:lineRule="exact"/>
              <w:rPr>
                <w:sz w:val="20"/>
                <w:szCs w:val="20"/>
                <w:color w:val="auto"/>
              </w:rPr>
            </w:pPr>
            <w:r>
              <w:rPr>
                <w:rFonts w:ascii="Calibri" w:cs="Calibri" w:eastAsia="Calibri" w:hAnsi="Calibri"/>
                <w:sz w:val="14"/>
                <w:szCs w:val="14"/>
                <w:b w:val="1"/>
                <w:bCs w:val="1"/>
                <w:color w:val="FFFFFF"/>
              </w:rPr>
              <w:t>Sep 24</w:t>
            </w:r>
          </w:p>
        </w:tc>
        <w:tc>
          <w:tcPr>
            <w:tcW w:w="1240" w:type="dxa"/>
            <w:vAlign w:val="bottom"/>
            <w:tcBorders>
              <w:bottom w:val="single" w:sz="8" w:color="auto"/>
              <w:right w:val="single" w:sz="8" w:color="auto"/>
            </w:tcBorders>
            <w:shd w:val="clear" w:color="auto" w:fill="33CCCC"/>
          </w:tcPr>
          <w:p>
            <w:pPr>
              <w:ind w:left="400"/>
              <w:spacing w:after="0" w:line="167" w:lineRule="exact"/>
              <w:rPr>
                <w:sz w:val="20"/>
                <w:szCs w:val="20"/>
                <w:color w:val="auto"/>
              </w:rPr>
            </w:pPr>
            <w:r>
              <w:rPr>
                <w:rFonts w:ascii="Calibri" w:cs="Calibri" w:eastAsia="Calibri" w:hAnsi="Calibri"/>
                <w:sz w:val="14"/>
                <w:szCs w:val="14"/>
                <w:b w:val="1"/>
                <w:bCs w:val="1"/>
                <w:color w:val="FFFFFF"/>
              </w:rPr>
              <w:t>Dec 24</w:t>
            </w:r>
          </w:p>
        </w:tc>
        <w:tc>
          <w:tcPr>
            <w:tcW w:w="1240" w:type="dxa"/>
            <w:vAlign w:val="bottom"/>
            <w:tcBorders>
              <w:bottom w:val="single" w:sz="8" w:color="auto"/>
              <w:right w:val="single" w:sz="8" w:color="auto"/>
            </w:tcBorders>
            <w:shd w:val="clear" w:color="auto" w:fill="33CCCC"/>
          </w:tcPr>
          <w:p>
            <w:pPr>
              <w:jc w:val="center"/>
              <w:spacing w:after="0" w:line="167" w:lineRule="exact"/>
              <w:rPr>
                <w:sz w:val="20"/>
                <w:szCs w:val="20"/>
                <w:color w:val="auto"/>
              </w:rPr>
            </w:pPr>
            <w:r>
              <w:rPr>
                <w:rFonts w:ascii="Calibri" w:cs="Calibri" w:eastAsia="Calibri" w:hAnsi="Calibri"/>
                <w:sz w:val="14"/>
                <w:szCs w:val="14"/>
                <w:b w:val="1"/>
                <w:bCs w:val="1"/>
                <w:color w:val="FFFFFF"/>
                <w:w w:val="97"/>
              </w:rPr>
              <w:t>QoQ</w:t>
            </w:r>
          </w:p>
        </w:tc>
        <w:tc>
          <w:tcPr>
            <w:tcW w:w="1220" w:type="dxa"/>
            <w:vAlign w:val="bottom"/>
            <w:tcBorders>
              <w:bottom w:val="single" w:sz="8" w:color="auto"/>
              <w:right w:val="single" w:sz="8" w:color="auto"/>
            </w:tcBorders>
            <w:shd w:val="clear" w:color="auto" w:fill="33CCCC"/>
          </w:tcPr>
          <w:p>
            <w:pPr>
              <w:jc w:val="center"/>
              <w:spacing w:after="0" w:line="167" w:lineRule="exact"/>
              <w:rPr>
                <w:sz w:val="20"/>
                <w:szCs w:val="20"/>
                <w:color w:val="auto"/>
              </w:rPr>
            </w:pPr>
            <w:r>
              <w:rPr>
                <w:rFonts w:ascii="Calibri" w:cs="Calibri" w:eastAsia="Calibri" w:hAnsi="Calibri"/>
                <w:sz w:val="14"/>
                <w:szCs w:val="14"/>
                <w:b w:val="1"/>
                <w:bCs w:val="1"/>
                <w:color w:val="FFFFFF"/>
                <w:w w:val="99"/>
              </w:rPr>
              <w:t>YoY</w:t>
            </w:r>
          </w:p>
        </w:tc>
      </w:tr>
      <w:tr>
        <w:trPr>
          <w:trHeight w:val="165"/>
        </w:trPr>
        <w:tc>
          <w:tcPr>
            <w:tcW w:w="4180" w:type="dxa"/>
            <w:vAlign w:val="bottom"/>
            <w:tcBorders>
              <w:left w:val="single" w:sz="8" w:color="auto"/>
              <w:bottom w:val="single" w:sz="8" w:color="auto"/>
              <w:right w:val="single" w:sz="8" w:color="auto"/>
            </w:tcBorders>
          </w:tcPr>
          <w:p>
            <w:pPr>
              <w:ind w:left="20"/>
              <w:spacing w:after="0" w:line="166" w:lineRule="exact"/>
              <w:rPr>
                <w:sz w:val="20"/>
                <w:szCs w:val="20"/>
                <w:color w:val="auto"/>
              </w:rPr>
            </w:pPr>
            <w:r>
              <w:rPr>
                <w:rFonts w:ascii="Calibri" w:cs="Calibri" w:eastAsia="Calibri" w:hAnsi="Calibri"/>
                <w:sz w:val="14"/>
                <w:szCs w:val="14"/>
                <w:color w:val="auto"/>
              </w:rPr>
              <w:t>Total loans (Quarter-end balance)</w:t>
            </w:r>
          </w:p>
        </w:tc>
        <w:tc>
          <w:tcPr>
            <w:tcW w:w="124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rPr>
              <w:t>144,976,051</w:t>
            </w:r>
          </w:p>
        </w:tc>
        <w:tc>
          <w:tcPr>
            <w:tcW w:w="122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w w:val="98"/>
              </w:rPr>
              <w:t>142,568,785</w:t>
            </w:r>
          </w:p>
        </w:tc>
        <w:tc>
          <w:tcPr>
            <w:tcW w:w="124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b w:val="1"/>
                <w:bCs w:val="1"/>
                <w:color w:val="auto"/>
              </w:rPr>
              <w:t>145,732,273</w:t>
            </w:r>
          </w:p>
        </w:tc>
        <w:tc>
          <w:tcPr>
            <w:tcW w:w="124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2.2%</w:t>
            </w:r>
          </w:p>
        </w:tc>
        <w:tc>
          <w:tcPr>
            <w:tcW w:w="1220" w:type="dxa"/>
            <w:vAlign w:val="bottom"/>
            <w:tcBorders>
              <w:bottom w:val="single" w:sz="8" w:color="auto"/>
              <w:right w:val="single" w:sz="8" w:color="auto"/>
            </w:tcBorders>
          </w:tcPr>
          <w:p>
            <w:pPr>
              <w:jc w:val="center"/>
              <w:spacing w:after="0" w:line="166" w:lineRule="exact"/>
              <w:rPr>
                <w:sz w:val="20"/>
                <w:szCs w:val="20"/>
                <w:color w:val="auto"/>
              </w:rPr>
            </w:pPr>
            <w:r>
              <w:rPr>
                <w:rFonts w:ascii="Calibri" w:cs="Calibri" w:eastAsia="Calibri" w:hAnsi="Calibri"/>
                <w:sz w:val="14"/>
                <w:szCs w:val="14"/>
                <w:color w:val="auto"/>
              </w:rPr>
              <w:t>0.5%</w:t>
            </w:r>
          </w:p>
        </w:tc>
      </w:tr>
      <w:tr>
        <w:trPr>
          <w:trHeight w:val="164"/>
        </w:trPr>
        <w:tc>
          <w:tcPr>
            <w:tcW w:w="418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Allowance for loan losses</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8,277,916</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8,250,023</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7,994,977</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-3.1%</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-3.4%</w:t>
            </w:r>
          </w:p>
        </w:tc>
      </w:tr>
      <w:tr>
        <w:trPr>
          <w:trHeight w:val="164"/>
        </w:trPr>
        <w:tc>
          <w:tcPr>
            <w:tcW w:w="418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Non-performing loans (NPLs)</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8,532,545</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rPr>
              <w:t>8,360,155</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8"/>
              </w:rPr>
              <w:t>7,662,657</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9"/>
              </w:rPr>
              <w:t>-8.3%</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color w:val="auto"/>
                <w:w w:val="97"/>
              </w:rPr>
              <w:t>-10.2%</w:t>
            </w:r>
          </w:p>
        </w:tc>
      </w:tr>
      <w:tr>
        <w:trPr>
          <w:trHeight w:val="164"/>
        </w:trPr>
        <w:tc>
          <w:tcPr>
            <w:tcW w:w="418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Allowance for loan losses over Total loans</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9"/>
              </w:rPr>
              <w:t>5.7%</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rPr>
              <w:t>5.8%</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9"/>
              </w:rPr>
              <w:t>5.5%</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9"/>
              </w:rPr>
              <w:t>-30 pbs</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9"/>
              </w:rPr>
              <w:t>-22 pbs</w:t>
            </w:r>
          </w:p>
        </w:tc>
      </w:tr>
      <w:tr>
        <w:trPr>
          <w:trHeight w:val="164"/>
        </w:trPr>
        <w:tc>
          <w:tcPr>
            <w:tcW w:w="4180" w:type="dxa"/>
            <w:vAlign w:val="bottom"/>
            <w:tcBorders>
              <w:left w:val="single" w:sz="8" w:color="auto"/>
              <w:bottom w:val="single" w:sz="8" w:color="auto"/>
              <w:right w:val="single" w:sz="8" w:color="auto"/>
            </w:tcBorders>
          </w:tcPr>
          <w:p>
            <w:pPr>
              <w:ind w:left="20"/>
              <w:spacing w:after="0" w:line="164" w:lineRule="exact"/>
              <w:rPr>
                <w:sz w:val="20"/>
                <w:szCs w:val="20"/>
                <w:color w:val="auto"/>
              </w:rPr>
            </w:pPr>
            <w:r>
              <w:rPr>
                <w:rFonts w:ascii="Calibri" w:cs="Calibri" w:eastAsia="Calibri" w:hAnsi="Calibri"/>
                <w:sz w:val="14"/>
                <w:szCs w:val="14"/>
                <w:b w:val="1"/>
                <w:bCs w:val="1"/>
                <w:color w:val="auto"/>
              </w:rPr>
              <w:t>Coverage rato of NPLs</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rPr>
              <w:t>97.0%</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6"/>
              </w:rPr>
              <w:t>98.7%</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9"/>
              </w:rPr>
              <w:t>104.3%</w:t>
            </w:r>
          </w:p>
        </w:tc>
        <w:tc>
          <w:tcPr>
            <w:tcW w:w="124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w w:val="97"/>
              </w:rPr>
              <w:t>566 pbs</w:t>
            </w:r>
          </w:p>
        </w:tc>
        <w:tc>
          <w:tcPr>
            <w:tcW w:w="1220" w:type="dxa"/>
            <w:vAlign w:val="bottom"/>
            <w:tcBorders>
              <w:bottom w:val="single" w:sz="8" w:color="auto"/>
              <w:right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rPr>
              <w:t>732 pbs</w:t>
            </w:r>
          </w:p>
        </w:tc>
      </w:tr>
    </w:tbl>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1" w:name="page32"/>
    <w:bookmarkEnd w:id="31"/>
    <w:p>
      <w:pPr>
        <w:jc w:val="both"/>
        <w:ind w:left="2680"/>
        <w:spacing w:after="0"/>
        <w:tabs>
          <w:tab w:leader="none" w:pos="2960" w:val="left"/>
        </w:tabs>
        <w:rPr>
          <w:sz w:val="20"/>
          <w:szCs w:val="20"/>
          <w:color w:val="auto"/>
        </w:rPr>
      </w:pPr>
      <w:r>
        <w:rPr>
          <w:rFonts w:ascii="Calibri" w:cs="Calibri" w:eastAsia="Calibri" w:hAnsi="Calibri"/>
          <w:sz w:val="19"/>
          <w:szCs w:val="19"/>
          <w:color w:val="A6A6A6"/>
        </w:rPr>
        <w:t>|</w:t>
      </w:r>
      <w:r>
        <w:rPr>
          <w:sz w:val="20"/>
          <w:szCs w:val="20"/>
          <w:color w:val="auto"/>
        </w:rPr>
        <w:tab/>
      </w:r>
      <w:r>
        <w:rPr>
          <w:rFonts w:ascii="Calibri" w:cs="Calibri" w:eastAsia="Calibri" w:hAnsi="Calibri"/>
          <w:sz w:val="16"/>
          <w:szCs w:val="16"/>
          <w:color w:val="FFFFFF"/>
        </w:rPr>
        <w:t>Earnings Release 4Q / 2024</w:t>
      </w:r>
    </w:p>
    <w:p>
      <w:pPr>
        <w:spacing w:after="0" w:line="343" w:lineRule="exact"/>
        <w:rPr>
          <w:sz w:val="20"/>
          <w:szCs w:val="20"/>
          <w:color w:val="auto"/>
        </w:rPr>
      </w:pPr>
    </w:p>
    <w:p>
      <w:pPr>
        <w:ind w:left="100"/>
        <w:spacing w:after="0"/>
        <w:rPr>
          <w:sz w:val="20"/>
          <w:szCs w:val="20"/>
          <w:color w:val="auto"/>
        </w:rPr>
      </w:pPr>
      <w:r>
        <w:rPr>
          <w:rFonts w:ascii="Calibri" w:cs="Calibri" w:eastAsia="Calibri" w:hAnsi="Calibri"/>
          <w:sz w:val="21"/>
          <w:szCs w:val="21"/>
          <w:b w:val="1"/>
          <w:bCs w:val="1"/>
          <w:color w:val="FFFFFF"/>
        </w:rPr>
        <w:t>05. Portolio Quality and Provisions</w:t>
      </w:r>
    </w:p>
    <w:p>
      <w:pPr>
        <w:spacing w:after="0" w:line="268" w:lineRule="exact"/>
        <w:rPr>
          <w:sz w:val="20"/>
          <w:szCs w:val="20"/>
          <w:color w:val="auto"/>
        </w:rPr>
      </w:pPr>
    </w:p>
    <w:p>
      <w:pPr>
        <w:jc w:val="center"/>
        <w:ind w:left="480"/>
        <w:spacing w:after="0"/>
        <w:rPr>
          <w:sz w:val="20"/>
          <w:szCs w:val="20"/>
          <w:color w:val="auto"/>
        </w:rPr>
      </w:pPr>
      <w:r>
        <w:rPr>
          <w:rFonts w:ascii="Calibri" w:cs="Calibri" w:eastAsia="Calibri" w:hAnsi="Calibri"/>
          <w:sz w:val="17"/>
          <w:szCs w:val="17"/>
          <w:b w:val="1"/>
          <w:bCs w:val="1"/>
          <w:color w:val="auto"/>
        </w:rPr>
        <w:t>Allowance for loan losses</w:t>
      </w:r>
    </w:p>
    <w:p>
      <w:pPr>
        <w:spacing w:after="0" w:line="2" w:lineRule="exact"/>
        <w:rPr>
          <w:sz w:val="20"/>
          <w:szCs w:val="20"/>
          <w:color w:val="auto"/>
        </w:rPr>
      </w:pPr>
    </w:p>
    <w:p>
      <w:pPr>
        <w:jc w:val="center"/>
        <w:ind w:left="480"/>
        <w:spacing w:after="0"/>
        <w:rPr>
          <w:sz w:val="20"/>
          <w:szCs w:val="20"/>
          <w:color w:val="auto"/>
        </w:rPr>
      </w:pPr>
      <w:r>
        <w:rPr>
          <w:rFonts w:ascii="Calibri" w:cs="Calibri" w:eastAsia="Calibri" w:hAnsi="Calibri"/>
          <w:sz w:val="17"/>
          <w:szCs w:val="17"/>
          <w:color w:val="auto"/>
        </w:rPr>
        <w:t>(in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15240</wp:posOffset>
            </wp:positionV>
            <wp:extent cx="2498090" cy="15989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98090" cy="159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1"/>
          <w:szCs w:val="11"/>
          <w:color w:val="auto"/>
        </w:rPr>
        <w:t>(1) Others include Mibanco Colombia, ASB and eliminatons.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140"/>
        <w:spacing w:after="0"/>
        <w:rPr>
          <w:sz w:val="20"/>
          <w:szCs w:val="20"/>
          <w:color w:val="auto"/>
        </w:rPr>
      </w:pPr>
      <w:r>
        <w:rPr>
          <w:rFonts w:ascii="Calibri" w:cs="Calibri" w:eastAsia="Calibri" w:hAnsi="Calibri"/>
          <w:sz w:val="16"/>
          <w:szCs w:val="16"/>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-256540</wp:posOffset>
            </wp:positionV>
            <wp:extent cx="7136130" cy="6826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6130" cy="682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40"/>
        <w:spacing w:after="0" w:line="268" w:lineRule="auto"/>
        <w:rPr>
          <w:sz w:val="20"/>
          <w:szCs w:val="20"/>
          <w:color w:val="auto"/>
        </w:rPr>
      </w:pPr>
      <w:r>
        <w:rPr>
          <w:rFonts w:ascii="Calibri" w:cs="Calibri" w:eastAsia="Calibri" w:hAnsi="Calibri"/>
          <w:sz w:val="17"/>
          <w:szCs w:val="17"/>
          <w:b w:val="1"/>
          <w:bCs w:val="1"/>
          <w:color w:val="auto"/>
        </w:rPr>
        <w:t xml:space="preserve">QoQ, </w:t>
      </w:r>
      <w:r>
        <w:rPr>
          <w:rFonts w:ascii="Calibri" w:cs="Calibri" w:eastAsia="Calibri" w:hAnsi="Calibri"/>
          <w:sz w:val="17"/>
          <w:szCs w:val="17"/>
          <w:color w:val="auto"/>
        </w:rPr>
        <w:t>the allowance for loan losses dropped 3.1%, fueled primarily by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evoluton of </w:t>
      </w:r>
      <w:r>
        <w:rPr>
          <w:rFonts w:ascii="Calibri" w:cs="Calibri" w:eastAsia="Calibri" w:hAnsi="Calibri"/>
          <w:sz w:val="17"/>
          <w:szCs w:val="17"/>
          <w:b w:val="1"/>
          <w:bCs w:val="1"/>
          <w:color w:val="auto"/>
        </w:rPr>
        <w:t>SME-Pyme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Mortgage</w:t>
      </w:r>
      <w:r>
        <w:rPr>
          <w:rFonts w:ascii="Calibri" w:cs="Calibri" w:eastAsia="Calibri" w:hAnsi="Calibri"/>
          <w:sz w:val="17"/>
          <w:szCs w:val="17"/>
          <w:color w:val="auto"/>
        </w:rPr>
        <w:t xml:space="preserve"> at </w:t>
      </w:r>
      <w:r>
        <w:rPr>
          <w:rFonts w:ascii="Calibri" w:cs="Calibri" w:eastAsia="Calibri" w:hAnsi="Calibri"/>
          <w:sz w:val="17"/>
          <w:szCs w:val="17"/>
          <w:b w:val="1"/>
          <w:bCs w:val="1"/>
          <w:color w:val="auto"/>
        </w:rPr>
        <w:t>BCP Stand-alone</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right="460"/>
        <w:spacing w:after="0" w:line="255" w:lineRule="auto"/>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the allowance for loan losses fell 3.4%, driven mainly by decreases in</w:t>
      </w:r>
      <w:r>
        <w:rPr>
          <w:rFonts w:ascii="Calibri" w:cs="Calibri" w:eastAsia="Calibri" w:hAnsi="Calibri"/>
          <w:sz w:val="17"/>
          <w:szCs w:val="17"/>
          <w:b w:val="1"/>
          <w:bCs w:val="1"/>
          <w:color w:val="auto"/>
        </w:rPr>
        <w:t xml:space="preserve"> Small Businesses </w:t>
      </w:r>
      <w:r>
        <w:rPr>
          <w:rFonts w:ascii="Calibri" w:cs="Calibri" w:eastAsia="Calibri" w:hAnsi="Calibri"/>
          <w:sz w:val="17"/>
          <w:szCs w:val="17"/>
          <w:color w:val="auto"/>
        </w:rPr>
        <w:t>and</w:t>
      </w:r>
      <w:r>
        <w:rPr>
          <w:rFonts w:ascii="Calibri" w:cs="Calibri" w:eastAsia="Calibri" w:hAnsi="Calibri"/>
          <w:sz w:val="17"/>
          <w:szCs w:val="17"/>
          <w:b w:val="1"/>
          <w:bCs w:val="1"/>
          <w:color w:val="auto"/>
        </w:rPr>
        <w:t xml:space="preserve"> Consumer </w:t>
      </w:r>
      <w:r>
        <w:rPr>
          <w:rFonts w:ascii="Calibri" w:cs="Calibri" w:eastAsia="Calibri" w:hAnsi="Calibri"/>
          <w:sz w:val="17"/>
          <w:szCs w:val="17"/>
          <w:color w:val="auto"/>
        </w:rPr>
        <w:t>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and secondarily by 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reducton at </w:t>
      </w:r>
      <w:r>
        <w:rPr>
          <w:rFonts w:ascii="Calibri" w:cs="Calibri" w:eastAsia="Calibri" w:hAnsi="Calibri"/>
          <w:sz w:val="17"/>
          <w:szCs w:val="17"/>
          <w:b w:val="1"/>
          <w:bCs w:val="1"/>
          <w:color w:val="auto"/>
        </w:rPr>
        <w:t>Mibanco</w:t>
      </w:r>
      <w:r>
        <w:rPr>
          <w:rFonts w:ascii="Times New Roman" w:cs="Times New Roman" w:eastAsia="Times New Roman" w:hAnsi="Times New Roman"/>
          <w:sz w:val="17"/>
          <w:szCs w:val="17"/>
          <w:color w:val="auto"/>
        </w:rPr>
        <w:t>.</w:t>
      </w:r>
    </w:p>
    <w:p>
      <w:pPr>
        <w:spacing w:after="0" w:line="1763" w:lineRule="exact"/>
        <w:rPr>
          <w:sz w:val="20"/>
          <w:szCs w:val="20"/>
          <w:color w:val="auto"/>
        </w:rPr>
      </w:pPr>
    </w:p>
    <w:p>
      <w:pPr>
        <w:sectPr>
          <w:pgSz w:w="11900" w:h="16838" w:orient="portrait"/>
          <w:cols w:equalWidth="0" w:num="2">
            <w:col w:w="4800" w:space="720"/>
            <w:col w:w="5720"/>
          </w:cols>
          <w:pgMar w:left="320" w:top="305" w:right="339" w:bottom="1440" w:gutter="0" w:footer="0" w:header="0"/>
        </w:sectPr>
      </w:pPr>
    </w:p>
    <w:p>
      <w:pPr>
        <w:spacing w:after="0" w:line="1" w:lineRule="exact"/>
        <w:rPr>
          <w:sz w:val="20"/>
          <w:szCs w:val="20"/>
          <w:color w:val="auto"/>
        </w:rPr>
      </w:pPr>
    </w:p>
    <w:p>
      <w:pPr>
        <w:ind w:left="1960"/>
        <w:spacing w:after="0"/>
        <w:rPr>
          <w:sz w:val="20"/>
          <w:szCs w:val="20"/>
          <w:color w:val="auto"/>
        </w:rPr>
      </w:pPr>
      <w:r>
        <w:rPr>
          <w:rFonts w:ascii="Calibri" w:cs="Calibri" w:eastAsia="Calibri" w:hAnsi="Calibri"/>
          <w:sz w:val="17"/>
          <w:szCs w:val="17"/>
          <w:b w:val="1"/>
          <w:bCs w:val="1"/>
          <w:color w:val="auto"/>
        </w:rPr>
        <w:t>NPL Coverage Rato</w:t>
      </w:r>
    </w:p>
    <w:p>
      <w:pPr>
        <w:spacing w:after="0" w:line="3" w:lineRule="exact"/>
        <w:rPr>
          <w:sz w:val="20"/>
          <w:szCs w:val="20"/>
          <w:color w:val="auto"/>
        </w:rPr>
      </w:pPr>
    </w:p>
    <w:p>
      <w:pPr>
        <w:ind w:left="5520" w:right="760"/>
        <w:spacing w:after="0" w:line="242" w:lineRule="auto"/>
        <w:rPr>
          <w:sz w:val="20"/>
          <w:szCs w:val="20"/>
          <w:color w:val="auto"/>
        </w:rPr>
      </w:pPr>
      <w:r>
        <w:rPr>
          <w:rFonts w:ascii="Calibri" w:cs="Calibri" w:eastAsia="Calibri" w:hAnsi="Calibri"/>
          <w:sz w:val="17"/>
          <w:szCs w:val="17"/>
          <w:color w:val="auto"/>
        </w:rPr>
        <w:t>The total NPL Coverage Rato at Credicorp reached 104.3% at the end of 4Q24. If we exclude the volume of NPLs in the Government Program portolio (GP), the rato stood at 107.4%.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-384810</wp:posOffset>
            </wp:positionV>
            <wp:extent cx="2498090" cy="2339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98090" cy="2339975"/>
                    </a:xfrm>
                    <a:prstGeom prst="rect">
                      <a:avLst/>
                    </a:prstGeom>
                    <a:noFill/>
                  </pic:spPr>
                </pic:pic>
              </a:graphicData>
            </a:graphic>
          </wp:anchor>
        </w:drawing>
      </w:r>
    </w:p>
    <w:p>
      <w:pPr>
        <w:spacing w:after="0" w:line="191" w:lineRule="exact"/>
        <w:rPr>
          <w:sz w:val="20"/>
          <w:szCs w:val="20"/>
          <w:color w:val="auto"/>
        </w:rPr>
      </w:pPr>
    </w:p>
    <w:p>
      <w:pPr>
        <w:ind w:left="5520"/>
        <w:spacing w:after="0"/>
        <w:rPr>
          <w:sz w:val="20"/>
          <w:szCs w:val="20"/>
          <w:color w:val="auto"/>
        </w:rPr>
      </w:pPr>
      <w:r>
        <w:rPr>
          <w:rFonts w:ascii="Calibri" w:cs="Calibri" w:eastAsia="Calibri" w:hAnsi="Calibri"/>
          <w:sz w:val="17"/>
          <w:szCs w:val="17"/>
          <w:b w:val="1"/>
          <w:bCs w:val="1"/>
          <w:color w:val="auto"/>
        </w:rPr>
        <w:t>QoQ</w:t>
      </w:r>
    </w:p>
    <w:p>
      <w:pPr>
        <w:spacing w:after="0" w:line="3" w:lineRule="exact"/>
        <w:rPr>
          <w:sz w:val="20"/>
          <w:szCs w:val="20"/>
          <w:color w:val="auto"/>
        </w:rPr>
      </w:pPr>
    </w:p>
    <w:p>
      <w:pPr>
        <w:ind w:left="5520" w:right="560"/>
        <w:spacing w:after="0" w:line="247" w:lineRule="auto"/>
        <w:rPr>
          <w:sz w:val="20"/>
          <w:szCs w:val="20"/>
          <w:color w:val="auto"/>
        </w:rPr>
      </w:pPr>
      <w:r>
        <w:rPr>
          <w:rFonts w:ascii="Calibri" w:cs="Calibri" w:eastAsia="Calibri" w:hAnsi="Calibri"/>
          <w:sz w:val="17"/>
          <w:szCs w:val="17"/>
          <w:color w:val="auto"/>
        </w:rPr>
        <w:t xml:space="preserve">Credicorp’s NPL Total Coverage Rato rose 566 bps, fueled by the evoluton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Mibanco</w:t>
      </w:r>
      <w:r>
        <w:rPr>
          <w:rFonts w:ascii="Times New Roman" w:cs="Times New Roman" w:eastAsia="Times New Roman" w:hAnsi="Times New Roman"/>
          <w:sz w:val="17"/>
          <w:szCs w:val="17"/>
          <w:color w:val="auto"/>
        </w:rPr>
        <w:t>.</w:t>
      </w:r>
      <w:r>
        <w:rPr>
          <w:rFonts w:ascii="Calibri" w:cs="Calibri" w:eastAsia="Calibri" w:hAnsi="Calibri"/>
          <w:sz w:val="17"/>
          <w:szCs w:val="17"/>
          <w:color w:val="auto"/>
        </w:rPr>
        <w:t xml:space="preserve"> Next, we will analyze this evoluton by isolatng the efect of NPLs from the Government Loan portolio, which are covered by broad guarantees and are being satsfactorily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48" w:lineRule="auto"/>
        <w:rPr>
          <w:sz w:val="20"/>
          <w:szCs w:val="20"/>
          <w:color w:val="auto"/>
        </w:rPr>
      </w:pPr>
      <w:r>
        <w:rPr>
          <w:rFonts w:ascii="Calibri" w:cs="Calibri" w:eastAsia="Calibri" w:hAnsi="Calibri"/>
          <w:sz w:val="17"/>
          <w:szCs w:val="17"/>
          <w:b w:val="1"/>
          <w:bCs w:val="1"/>
          <w:color w:val="auto"/>
        </w:rPr>
        <w:t>QoQ</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NPL Coverage Rato at</w:t>
      </w:r>
      <w:r>
        <w:rPr>
          <w:rFonts w:ascii="Calibri" w:cs="Calibri" w:eastAsia="Calibri" w:hAnsi="Calibri"/>
          <w:sz w:val="17"/>
          <w:szCs w:val="17"/>
          <w:b w:val="1"/>
          <w:bCs w:val="1"/>
          <w:color w:val="auto"/>
        </w:rPr>
        <w:t xml:space="preserve"> BCP Stand-alone</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excluding Government Programs, rose 622 bps to stand at 106.9%. This evoluton was driven mainly by a</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decrease in NPL volumes in the </w:t>
      </w:r>
      <w:r>
        <w:rPr>
          <w:rFonts w:ascii="Calibri" w:cs="Calibri" w:eastAsia="Calibri" w:hAnsi="Calibri"/>
          <w:sz w:val="17"/>
          <w:szCs w:val="17"/>
          <w:b w:val="1"/>
          <w:bCs w:val="1"/>
          <w:color w:val="auto"/>
        </w:rPr>
        <w:t>Small Businesses</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Wholesale</w:t>
      </w:r>
      <w:r>
        <w:rPr>
          <w:rFonts w:ascii="Calibri" w:cs="Calibri" w:eastAsia="Calibri" w:hAnsi="Calibri"/>
          <w:sz w:val="17"/>
          <w:szCs w:val="17"/>
          <w:color w:val="auto"/>
        </w:rPr>
        <w:t xml:space="preserve"> portolios. The NPL Coverage Rato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excluding Government Programs, increased 128 bps to stand at 102.8%. This evoluton was driven by a decrease in NPL volumes, as described in the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dynamics.</w:t>
      </w:r>
    </w:p>
    <w:p>
      <w:pPr>
        <w:spacing w:after="0" w:line="20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YoY</w:t>
      </w:r>
    </w:p>
    <w:p>
      <w:pPr>
        <w:spacing w:after="0" w:line="5"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 xml:space="preserve">The NPL Coverage Rato at </w:t>
      </w:r>
      <w:r>
        <w:rPr>
          <w:rFonts w:ascii="Calibri" w:cs="Calibri" w:eastAsia="Calibri" w:hAnsi="Calibri"/>
          <w:sz w:val="17"/>
          <w:szCs w:val="17"/>
          <w:b w:val="1"/>
          <w:bCs w:val="1"/>
          <w:color w:val="auto"/>
        </w:rPr>
        <w:t>Credicorp</w:t>
      </w:r>
      <w:r>
        <w:rPr>
          <w:rFonts w:ascii="Calibri" w:cs="Calibri" w:eastAsia="Calibri" w:hAnsi="Calibri"/>
          <w:sz w:val="17"/>
          <w:szCs w:val="17"/>
          <w:color w:val="auto"/>
        </w:rPr>
        <w:t xml:space="preserve"> increased 732 bps </w:t>
      </w:r>
      <w:r>
        <w:rPr>
          <w:rFonts w:ascii="Calibri" w:cs="Calibri" w:eastAsia="Calibri" w:hAnsi="Calibri"/>
          <w:sz w:val="17"/>
          <w:szCs w:val="17"/>
          <w:b w:val="1"/>
          <w:bCs w:val="1"/>
          <w:color w:val="auto"/>
        </w:rPr>
        <w:t>YoY</w:t>
      </w:r>
      <w:r>
        <w:rPr>
          <w:rFonts w:ascii="Times New Roman" w:cs="Times New Roman" w:eastAsia="Times New Roman" w:hAnsi="Times New Roman"/>
          <w:sz w:val="17"/>
          <w:szCs w:val="17"/>
          <w:color w:val="auto"/>
        </w:rPr>
        <w:t>,</w:t>
      </w:r>
      <w:r>
        <w:rPr>
          <w:rFonts w:ascii="Calibri" w:cs="Calibri" w:eastAsia="Calibri" w:hAnsi="Calibri"/>
          <w:sz w:val="17"/>
          <w:szCs w:val="17"/>
          <w:color w:val="auto"/>
        </w:rPr>
        <w:t xml:space="preserve"> driven mainly by the evoluton at </w:t>
      </w:r>
      <w:r>
        <w:rPr>
          <w:rFonts w:ascii="Calibri" w:cs="Calibri" w:eastAsia="Calibri" w:hAnsi="Calibri"/>
          <w:sz w:val="17"/>
          <w:szCs w:val="17"/>
          <w:b w:val="1"/>
          <w:bCs w:val="1"/>
          <w:color w:val="auto"/>
        </w:rPr>
        <w:t>BCP Stand-alone</w:t>
      </w:r>
      <w:r>
        <w:rPr>
          <w:rFonts w:ascii="Times New Roman" w:cs="Times New Roman" w:eastAsia="Times New Roman" w:hAnsi="Times New Roman"/>
          <w:sz w:val="17"/>
          <w:szCs w:val="17"/>
          <w:color w:val="auto"/>
        </w:rPr>
        <w:t>.</w:t>
      </w:r>
      <w:r>
        <w:rPr>
          <w:rFonts w:ascii="Calibri" w:cs="Calibri" w:eastAsia="Calibri" w:hAnsi="Calibri"/>
          <w:sz w:val="17"/>
          <w:szCs w:val="17"/>
          <w:color w:val="auto"/>
        </w:rPr>
        <w:t xml:space="preserve"> Next, we will analyze this evoluton by isolatng the efect of NPL volumes associated with Government Programs.</w:t>
      </w:r>
    </w:p>
    <w:p>
      <w:pPr>
        <w:spacing w:after="0" w:line="201"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b w:val="1"/>
          <w:bCs w:val="1"/>
          <w:color w:val="auto"/>
        </w:rPr>
        <w:t>YoY</w:t>
      </w:r>
      <w:r>
        <w:rPr>
          <w:rFonts w:ascii="Calibri" w:cs="Calibri" w:eastAsia="Calibri" w:hAnsi="Calibri"/>
          <w:sz w:val="17"/>
          <w:szCs w:val="17"/>
          <w:color w:val="auto"/>
        </w:rPr>
        <w:t>, the NPL Coverage Rato at</w:t>
      </w:r>
      <w:r>
        <w:rPr>
          <w:rFonts w:ascii="Calibri" w:cs="Calibri" w:eastAsia="Calibri" w:hAnsi="Calibri"/>
          <w:sz w:val="17"/>
          <w:szCs w:val="17"/>
          <w:b w:val="1"/>
          <w:bCs w:val="1"/>
          <w:color w:val="auto"/>
        </w:rPr>
        <w:t xml:space="preserve"> BCP Stand-alone</w:t>
      </w:r>
      <w:r>
        <w:rPr>
          <w:rFonts w:ascii="Calibri" w:cs="Calibri" w:eastAsia="Calibri" w:hAnsi="Calibri"/>
          <w:sz w:val="17"/>
          <w:szCs w:val="17"/>
          <w:color w:val="auto"/>
        </w:rPr>
        <w:t>, excluding Government Programs, rose 705 bps, driven primarily by a decrease in NPL volumes as described in the</w:t>
      </w:r>
      <w:r>
        <w:rPr>
          <w:rFonts w:ascii="Calibri" w:cs="Calibri" w:eastAsia="Calibri" w:hAnsi="Calibri"/>
          <w:sz w:val="17"/>
          <w:szCs w:val="17"/>
          <w:b w:val="1"/>
          <w:bCs w:val="1"/>
          <w:color w:val="auto"/>
        </w:rPr>
        <w:t xml:space="preserve"> QoQ </w:t>
      </w:r>
      <w:r>
        <w:rPr>
          <w:rFonts w:ascii="Calibri" w:cs="Calibri" w:eastAsia="Calibri" w:hAnsi="Calibri"/>
          <w:sz w:val="17"/>
          <w:szCs w:val="17"/>
          <w:color w:val="auto"/>
        </w:rPr>
        <w:t>analysis. The NPL Coverage Rato at</w:t>
      </w:r>
      <w:r>
        <w:rPr>
          <w:rFonts w:ascii="Calibri" w:cs="Calibri" w:eastAsia="Calibri" w:hAnsi="Calibri"/>
          <w:sz w:val="17"/>
          <w:szCs w:val="17"/>
          <w:b w:val="1"/>
          <w:bCs w:val="1"/>
          <w:color w:val="auto"/>
        </w:rPr>
        <w:t xml:space="preserve"> Mibanco</w:t>
      </w:r>
      <w:r>
        <w:rPr>
          <w:rFonts w:ascii="Calibri" w:cs="Calibri" w:eastAsia="Calibri" w:hAnsi="Calibri"/>
          <w:sz w:val="17"/>
          <w:szCs w:val="17"/>
          <w:color w:val="auto"/>
        </w:rPr>
        <w:t>, excluding Government Programs, fell 413 bps</w:t>
      </w:r>
      <w:r>
        <w:rPr>
          <w:rFonts w:ascii="Calibri" w:cs="Calibri" w:eastAsia="Calibri" w:hAnsi="Calibri"/>
          <w:sz w:val="17"/>
          <w:szCs w:val="17"/>
          <w:b w:val="1"/>
          <w:bCs w:val="1"/>
          <w:color w:val="auto"/>
        </w:rPr>
        <w:t xml:space="preserve"> YoY </w:t>
      </w:r>
      <w:r>
        <w:rPr>
          <w:rFonts w:ascii="Calibri" w:cs="Calibri" w:eastAsia="Calibri" w:hAnsi="Calibri"/>
          <w:sz w:val="17"/>
          <w:szCs w:val="17"/>
          <w:color w:val="auto"/>
        </w:rPr>
        <w:t>due to a reducton in the allowance for loan losses.</w:t>
      </w:r>
    </w:p>
    <w:p>
      <w:pPr>
        <w:spacing w:after="0" w:line="36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32" w:name="page33"/>
    <w:bookmarkEnd w:id="32"/>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color w:val="FFFFFF"/>
        </w:rPr>
        <w:t>06. Other Income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06 </w:t>
      </w:r>
      <w:r>
        <w:rPr>
          <w:rFonts w:ascii="Arial" w:cs="Arial" w:eastAsia="Arial" w:hAnsi="Arial"/>
          <w:sz w:val="31"/>
          <w:szCs w:val="31"/>
          <w:color w:val="E93BAB"/>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26670</wp:posOffset>
            </wp:positionV>
            <wp:extent cx="6561455" cy="1673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61455" cy="1673860"/>
                    </a:xfrm>
                    <a:prstGeom prst="rect">
                      <a:avLst/>
                    </a:prstGeom>
                    <a:noFill/>
                  </pic:spPr>
                </pic:pic>
              </a:graphicData>
            </a:graphic>
          </wp:anchor>
        </w:drawing>
      </w:r>
    </w:p>
    <w:p>
      <w:pPr>
        <w:spacing w:after="0" w:line="93" w:lineRule="exact"/>
        <w:rPr>
          <w:sz w:val="20"/>
          <w:szCs w:val="20"/>
          <w:color w:val="auto"/>
        </w:rPr>
      </w:pPr>
    </w:p>
    <w:p>
      <w:pPr>
        <w:ind w:left="580"/>
        <w:spacing w:after="0"/>
        <w:rPr>
          <w:sz w:val="20"/>
          <w:szCs w:val="20"/>
          <w:color w:val="auto"/>
        </w:rPr>
      </w:pPr>
      <w:r>
        <w:rPr>
          <w:rFonts w:ascii="Calibri" w:cs="Calibri" w:eastAsia="Calibri" w:hAnsi="Calibri"/>
          <w:sz w:val="17"/>
          <w:szCs w:val="17"/>
          <w:color w:val="FFFFFF"/>
        </w:rPr>
        <w:t>As explained in recent quarters, we exclude BCP Bolivia results to analyze the evoluton of Other Income.</w:t>
      </w:r>
    </w:p>
    <w:p>
      <w:pPr>
        <w:spacing w:after="0" w:line="134" w:lineRule="exact"/>
        <w:rPr>
          <w:sz w:val="20"/>
          <w:szCs w:val="20"/>
          <w:color w:val="auto"/>
        </w:rPr>
      </w:pPr>
    </w:p>
    <w:p>
      <w:pPr>
        <w:jc w:val="both"/>
        <w:ind w:left="580" w:right="560"/>
        <w:spacing w:after="0" w:line="242" w:lineRule="auto"/>
        <w:rPr>
          <w:sz w:val="20"/>
          <w:szCs w:val="20"/>
          <w:color w:val="auto"/>
        </w:rPr>
      </w:pPr>
      <w:r>
        <w:rPr>
          <w:rFonts w:ascii="Calibri" w:cs="Calibri" w:eastAsia="Calibri" w:hAnsi="Calibri"/>
          <w:sz w:val="17"/>
          <w:szCs w:val="17"/>
          <w:color w:val="FFFFFF"/>
        </w:rPr>
        <w:t>QoQ, growth of 0.6% in Other Core Income was driven by the Gain on FX transactons, mainly at BCP Stand-alone. This growth was ofset by a drop in fee income from Credicorp Capital. Other Non-core Income decreased 7.9% due to (i) a deterioraton in an investment in Pacifco’s portolio, and (ii) a drop in the gain on securites at Credicorp Capital.</w:t>
      </w:r>
    </w:p>
    <w:p>
      <w:pPr>
        <w:spacing w:after="0" w:line="107" w:lineRule="exact"/>
        <w:rPr>
          <w:sz w:val="20"/>
          <w:szCs w:val="20"/>
          <w:color w:val="auto"/>
        </w:rPr>
      </w:pPr>
    </w:p>
    <w:p>
      <w:pPr>
        <w:jc w:val="both"/>
        <w:ind w:left="580" w:right="540"/>
        <w:spacing w:after="0" w:line="242" w:lineRule="auto"/>
        <w:rPr>
          <w:sz w:val="20"/>
          <w:szCs w:val="20"/>
          <w:color w:val="auto"/>
        </w:rPr>
      </w:pPr>
      <w:r>
        <w:rPr>
          <w:rFonts w:ascii="Calibri" w:cs="Calibri" w:eastAsia="Calibri" w:hAnsi="Calibri"/>
          <w:sz w:val="17"/>
          <w:szCs w:val="17"/>
          <w:color w:val="FFFFFF"/>
        </w:rPr>
        <w:t>YoY, Other Core Income rose 17.1%, driven primarily by BCP Stand-alone via (i) growth in fee income due to an uptck in transactons via Yape and Debit/Credit Cards, and (ii) an increase in FX transactons, driven by higher wholesale client’s volumes and by improvements in pricing strategies. Other Non-core income fell 23.1%, due to the same factors seen QoQ.</w:t>
      </w:r>
    </w:p>
    <w:p>
      <w:pPr>
        <w:spacing w:after="0" w:line="107" w:lineRule="exact"/>
        <w:rPr>
          <w:sz w:val="20"/>
          <w:szCs w:val="20"/>
          <w:color w:val="auto"/>
        </w:rPr>
      </w:pPr>
    </w:p>
    <w:p>
      <w:pPr>
        <w:jc w:val="both"/>
        <w:ind w:left="580" w:right="560"/>
        <w:spacing w:after="0" w:line="242" w:lineRule="auto"/>
        <w:rPr>
          <w:sz w:val="20"/>
          <w:szCs w:val="20"/>
          <w:color w:val="auto"/>
        </w:rPr>
      </w:pPr>
      <w:r>
        <w:rPr>
          <w:rFonts w:ascii="Calibri" w:cs="Calibri" w:eastAsia="Calibri" w:hAnsi="Calibri"/>
          <w:sz w:val="17"/>
          <w:szCs w:val="17"/>
          <w:color w:val="FFFFFF"/>
        </w:rPr>
        <w:t>FY, Other Core income rose 15.2%, driven by good results for fee income and FX transactons at BCP Stand-alone and, to a lesser extent, at Credicorp Capital. This evoluton refects growth in transactons as the economy picks up. Other Non-core income dropped 0.9% due to a drop in the gain on securites and losses from exchange diferences.</w:t>
      </w:r>
    </w:p>
    <w:p>
      <w:pPr>
        <w:spacing w:after="0" w:line="3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6.1. Other Core Income</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24"/>
        </w:trPr>
        <w:tc>
          <w:tcPr>
            <w:tcW w:w="3300" w:type="dxa"/>
            <w:vAlign w:val="bottom"/>
            <w:tcBorders>
              <w:top w:val="single" w:sz="8" w:color="auto"/>
              <w:left w:val="single" w:sz="8" w:color="auto"/>
              <w:right w:val="single" w:sz="8" w:color="auto"/>
            </w:tcBorders>
            <w:shd w:val="clear" w:color="auto" w:fill="33CCCC"/>
          </w:tcPr>
          <w:p>
            <w:pPr>
              <w:ind w:left="20"/>
              <w:spacing w:after="0" w:line="125" w:lineRule="exact"/>
              <w:rPr>
                <w:sz w:val="20"/>
                <w:szCs w:val="20"/>
                <w:color w:val="auto"/>
              </w:rPr>
            </w:pPr>
            <w:r>
              <w:rPr>
                <w:rFonts w:ascii="Calibri" w:cs="Calibri" w:eastAsia="Calibri" w:hAnsi="Calibri"/>
                <w:sz w:val="11"/>
                <w:szCs w:val="11"/>
                <w:b w:val="1"/>
                <w:bCs w:val="1"/>
                <w:color w:val="FFFFFF"/>
              </w:rPr>
              <w:t>Other Core Income</w:t>
            </w:r>
          </w:p>
        </w:tc>
        <w:tc>
          <w:tcPr>
            <w:tcW w:w="900" w:type="dxa"/>
            <w:vAlign w:val="bottom"/>
            <w:tcBorders>
              <w:top w:val="single" w:sz="8" w:color="auto"/>
              <w:right w:val="single" w:sz="8" w:color="auto"/>
            </w:tcBorders>
            <w:shd w:val="clear" w:color="auto" w:fill="33CCCC"/>
          </w:tcPr>
          <w:p>
            <w:pPr>
              <w:ind w:left="240"/>
              <w:spacing w:after="0" w:line="125" w:lineRule="exact"/>
              <w:rPr>
                <w:sz w:val="20"/>
                <w:szCs w:val="20"/>
                <w:color w:val="auto"/>
              </w:rPr>
            </w:pPr>
            <w:r>
              <w:rPr>
                <w:rFonts w:ascii="Calibri" w:cs="Calibri" w:eastAsia="Calibri" w:hAnsi="Calibri"/>
                <w:sz w:val="11"/>
                <w:szCs w:val="11"/>
                <w:b w:val="1"/>
                <w:bCs w:val="1"/>
                <w:color w:val="FFFFFF"/>
              </w:rPr>
              <w:t>Quarter</w:t>
            </w:r>
          </w:p>
        </w:tc>
        <w:tc>
          <w:tcPr>
            <w:tcW w:w="900" w:type="dxa"/>
            <w:vAlign w:val="bottom"/>
            <w:tcBorders>
              <w:top w:val="single" w:sz="8" w:color="auto"/>
              <w:right w:val="single" w:sz="8" w:color="auto"/>
            </w:tcBorders>
            <w:shd w:val="clear" w:color="auto" w:fill="33CCCC"/>
          </w:tcPr>
          <w:p>
            <w:pPr>
              <w:spacing w:after="0"/>
              <w:rPr>
                <w:sz w:val="10"/>
                <w:szCs w:val="10"/>
                <w:color w:val="auto"/>
              </w:rPr>
            </w:pPr>
          </w:p>
        </w:tc>
        <w:tc>
          <w:tcPr>
            <w:tcW w:w="900" w:type="dxa"/>
            <w:vAlign w:val="bottom"/>
            <w:tcBorders>
              <w:top w:val="single" w:sz="8" w:color="auto"/>
              <w:right w:val="single" w:sz="8" w:color="auto"/>
            </w:tcBorders>
            <w:shd w:val="clear" w:color="auto" w:fill="33CCCC"/>
          </w:tcPr>
          <w:p>
            <w:pPr>
              <w:spacing w:after="0"/>
              <w:rPr>
                <w:sz w:val="10"/>
                <w:szCs w:val="10"/>
                <w:color w:val="auto"/>
              </w:rPr>
            </w:pPr>
          </w:p>
        </w:tc>
        <w:tc>
          <w:tcPr>
            <w:tcW w:w="940" w:type="dxa"/>
            <w:vAlign w:val="bottom"/>
            <w:tcBorders>
              <w:top w:val="single" w:sz="8" w:color="auto"/>
              <w:right w:val="single" w:sz="8" w:color="auto"/>
            </w:tcBorders>
            <w:shd w:val="clear" w:color="auto" w:fill="33CCCC"/>
          </w:tcPr>
          <w:p>
            <w:pPr>
              <w:jc w:val="center"/>
              <w:spacing w:after="0" w:line="125" w:lineRule="exact"/>
              <w:rPr>
                <w:sz w:val="20"/>
                <w:szCs w:val="20"/>
                <w:color w:val="auto"/>
              </w:rPr>
            </w:pPr>
            <w:r>
              <w:rPr>
                <w:rFonts w:ascii="Calibri" w:cs="Calibri" w:eastAsia="Calibri" w:hAnsi="Calibri"/>
                <w:sz w:val="11"/>
                <w:szCs w:val="11"/>
                <w:b w:val="1"/>
                <w:bCs w:val="1"/>
                <w:color w:val="FFFFFF"/>
              </w:rPr>
              <w:t>% Change</w:t>
            </w:r>
          </w:p>
        </w:tc>
        <w:tc>
          <w:tcPr>
            <w:tcW w:w="960" w:type="dxa"/>
            <w:vAlign w:val="bottom"/>
            <w:tcBorders>
              <w:top w:val="single" w:sz="8" w:color="auto"/>
              <w:right w:val="single" w:sz="8" w:color="auto"/>
            </w:tcBorders>
            <w:shd w:val="clear" w:color="auto" w:fill="33CCCC"/>
          </w:tcPr>
          <w:p>
            <w:pPr>
              <w:spacing w:after="0"/>
              <w:rPr>
                <w:sz w:val="10"/>
                <w:szCs w:val="10"/>
                <w:color w:val="auto"/>
              </w:rPr>
            </w:pPr>
          </w:p>
        </w:tc>
        <w:tc>
          <w:tcPr>
            <w:tcW w:w="920" w:type="dxa"/>
            <w:vAlign w:val="bottom"/>
            <w:tcBorders>
              <w:top w:val="single" w:sz="8" w:color="auto"/>
              <w:right w:val="single" w:sz="8" w:color="auto"/>
            </w:tcBorders>
            <w:shd w:val="clear" w:color="auto" w:fill="33CCCC"/>
          </w:tcPr>
          <w:p>
            <w:pPr>
              <w:jc w:val="center"/>
              <w:spacing w:after="0" w:line="125" w:lineRule="exact"/>
              <w:rPr>
                <w:sz w:val="20"/>
                <w:szCs w:val="20"/>
                <w:color w:val="auto"/>
              </w:rPr>
            </w:pPr>
            <w:r>
              <w:rPr>
                <w:rFonts w:ascii="Calibri" w:cs="Calibri" w:eastAsia="Calibri" w:hAnsi="Calibri"/>
                <w:sz w:val="11"/>
                <w:szCs w:val="11"/>
                <w:b w:val="1"/>
                <w:bCs w:val="1"/>
                <w:color w:val="FFFFFF"/>
              </w:rPr>
              <w:t>Up to</w:t>
            </w:r>
          </w:p>
        </w:tc>
        <w:tc>
          <w:tcPr>
            <w:tcW w:w="940" w:type="dxa"/>
            <w:vAlign w:val="bottom"/>
            <w:tcBorders>
              <w:top w:val="single" w:sz="8" w:color="auto"/>
              <w:right w:val="single" w:sz="8" w:color="auto"/>
            </w:tcBorders>
            <w:shd w:val="clear" w:color="auto" w:fill="33CCCC"/>
          </w:tcPr>
          <w:p>
            <w:pPr>
              <w:spacing w:after="0"/>
              <w:rPr>
                <w:sz w:val="10"/>
                <w:szCs w:val="10"/>
                <w:color w:val="auto"/>
              </w:rPr>
            </w:pPr>
          </w:p>
        </w:tc>
        <w:tc>
          <w:tcPr>
            <w:tcW w:w="1480" w:type="dxa"/>
            <w:vAlign w:val="bottom"/>
            <w:tcBorders>
              <w:top w:val="single" w:sz="8" w:color="auto"/>
              <w:right w:val="single" w:sz="8" w:color="auto"/>
            </w:tcBorders>
            <w:shd w:val="clear" w:color="auto" w:fill="33CCCC"/>
          </w:tcPr>
          <w:p>
            <w:pPr>
              <w:jc w:val="center"/>
              <w:spacing w:after="0" w:line="125" w:lineRule="exact"/>
              <w:rPr>
                <w:sz w:val="20"/>
                <w:szCs w:val="20"/>
                <w:color w:val="auto"/>
              </w:rPr>
            </w:pPr>
            <w:r>
              <w:rPr>
                <w:rFonts w:ascii="Calibri" w:cs="Calibri" w:eastAsia="Calibri" w:hAnsi="Calibri"/>
                <w:sz w:val="11"/>
                <w:szCs w:val="11"/>
                <w:b w:val="1"/>
                <w:bCs w:val="1"/>
                <w:color w:val="FFFFFF"/>
              </w:rPr>
              <w:t>% Change</w:t>
            </w:r>
          </w:p>
        </w:tc>
      </w:tr>
      <w:tr>
        <w:trPr>
          <w:trHeight w:val="131"/>
        </w:trPr>
        <w:tc>
          <w:tcPr>
            <w:tcW w:w="3300" w:type="dxa"/>
            <w:vAlign w:val="bottom"/>
            <w:tcBorders>
              <w:left w:val="single" w:sz="8" w:color="auto"/>
              <w:bottom w:val="single" w:sz="8" w:color="auto"/>
              <w:right w:val="single" w:sz="8" w:color="auto"/>
            </w:tcBorders>
            <w:shd w:val="clear" w:color="auto" w:fill="33CCCC"/>
          </w:tcPr>
          <w:p>
            <w:pPr>
              <w:ind w:left="20"/>
              <w:spacing w:after="0" w:line="131" w:lineRule="exact"/>
              <w:rPr>
                <w:sz w:val="20"/>
                <w:szCs w:val="20"/>
                <w:color w:val="auto"/>
              </w:rPr>
            </w:pPr>
            <w:r>
              <w:rPr>
                <w:rFonts w:ascii="Calibri" w:cs="Calibri" w:eastAsia="Calibri" w:hAnsi="Calibri"/>
                <w:sz w:val="11"/>
                <w:szCs w:val="11"/>
                <w:b w:val="1"/>
                <w:bCs w:val="1"/>
                <w:color w:val="FFFFFF"/>
              </w:rPr>
              <w:t>S/000</w:t>
            </w:r>
          </w:p>
        </w:tc>
        <w:tc>
          <w:tcPr>
            <w:tcW w:w="90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4Q23</w:t>
            </w:r>
          </w:p>
        </w:tc>
        <w:tc>
          <w:tcPr>
            <w:tcW w:w="90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3Q24</w:t>
            </w:r>
          </w:p>
        </w:tc>
        <w:tc>
          <w:tcPr>
            <w:tcW w:w="90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w w:val="98"/>
              </w:rPr>
              <w:t>4Q24</w:t>
            </w:r>
          </w:p>
        </w:tc>
        <w:tc>
          <w:tcPr>
            <w:tcW w:w="94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QoQ</w:t>
            </w:r>
          </w:p>
        </w:tc>
        <w:tc>
          <w:tcPr>
            <w:tcW w:w="960" w:type="dxa"/>
            <w:vAlign w:val="bottom"/>
            <w:tcBorders>
              <w:bottom w:val="single" w:sz="8" w:color="auto"/>
              <w:right w:val="single" w:sz="8" w:color="auto"/>
            </w:tcBorders>
            <w:shd w:val="clear" w:color="auto" w:fill="33CCCC"/>
          </w:tcPr>
          <w:p>
            <w:pPr>
              <w:ind w:left="380"/>
              <w:spacing w:after="0" w:line="131" w:lineRule="exact"/>
              <w:rPr>
                <w:sz w:val="20"/>
                <w:szCs w:val="20"/>
                <w:color w:val="auto"/>
              </w:rPr>
            </w:pPr>
            <w:r>
              <w:rPr>
                <w:rFonts w:ascii="Calibri" w:cs="Calibri" w:eastAsia="Calibri" w:hAnsi="Calibri"/>
                <w:sz w:val="11"/>
                <w:szCs w:val="11"/>
                <w:b w:val="1"/>
                <w:bCs w:val="1"/>
                <w:color w:val="FFFFFF"/>
              </w:rPr>
              <w:t>YoY</w:t>
            </w:r>
          </w:p>
        </w:tc>
        <w:tc>
          <w:tcPr>
            <w:tcW w:w="92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23</w:t>
            </w:r>
          </w:p>
        </w:tc>
        <w:tc>
          <w:tcPr>
            <w:tcW w:w="940" w:type="dxa"/>
            <w:vAlign w:val="bottom"/>
            <w:tcBorders>
              <w:bottom w:val="single" w:sz="8" w:color="auto"/>
              <w:right w:val="single" w:sz="8" w:color="auto"/>
            </w:tcBorders>
            <w:shd w:val="clear" w:color="auto" w:fill="33CCCC"/>
          </w:tcPr>
          <w:p>
            <w:pPr>
              <w:ind w:left="300"/>
              <w:spacing w:after="0" w:line="131" w:lineRule="exact"/>
              <w:rPr>
                <w:sz w:val="20"/>
                <w:szCs w:val="20"/>
                <w:color w:val="auto"/>
              </w:rPr>
            </w:pPr>
            <w:r>
              <w:rPr>
                <w:rFonts w:ascii="Calibri" w:cs="Calibri" w:eastAsia="Calibri" w:hAnsi="Calibri"/>
                <w:sz w:val="11"/>
                <w:szCs w:val="11"/>
                <w:b w:val="1"/>
                <w:bCs w:val="1"/>
                <w:color w:val="FFFFFF"/>
              </w:rPr>
              <w:t>Dec 24</w:t>
            </w:r>
          </w:p>
        </w:tc>
        <w:tc>
          <w:tcPr>
            <w:tcW w:w="14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24 / Dec 23</w:t>
            </w:r>
          </w:p>
        </w:tc>
      </w:tr>
      <w:tr>
        <w:trPr>
          <w:trHeight w:val="109"/>
        </w:trPr>
        <w:tc>
          <w:tcPr>
            <w:tcW w:w="3300" w:type="dxa"/>
            <w:vAlign w:val="bottom"/>
            <w:tcBorders>
              <w:left w:val="single" w:sz="8" w:color="auto"/>
              <w:right w:val="single" w:sz="8" w:color="auto"/>
            </w:tcBorders>
          </w:tcPr>
          <w:p>
            <w:pPr>
              <w:ind w:left="20"/>
              <w:spacing w:after="0" w:line="109" w:lineRule="exact"/>
              <w:rPr>
                <w:sz w:val="20"/>
                <w:szCs w:val="20"/>
                <w:color w:val="auto"/>
              </w:rPr>
            </w:pPr>
            <w:r>
              <w:rPr>
                <w:rFonts w:ascii="Calibri" w:cs="Calibri" w:eastAsia="Calibri" w:hAnsi="Calibri"/>
                <w:sz w:val="11"/>
                <w:szCs w:val="11"/>
                <w:color w:val="auto"/>
              </w:rPr>
              <w:t>Fee income</w:t>
            </w:r>
          </w:p>
        </w:tc>
        <w:tc>
          <w:tcPr>
            <w:tcW w:w="90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986,173</w:t>
            </w:r>
          </w:p>
        </w:tc>
        <w:tc>
          <w:tcPr>
            <w:tcW w:w="90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1,108,314</w:t>
            </w:r>
          </w:p>
        </w:tc>
        <w:tc>
          <w:tcPr>
            <w:tcW w:w="90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1,103,548</w:t>
            </w:r>
          </w:p>
        </w:tc>
        <w:tc>
          <w:tcPr>
            <w:tcW w:w="94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-0.4%</w:t>
            </w:r>
          </w:p>
        </w:tc>
        <w:tc>
          <w:tcPr>
            <w:tcW w:w="9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11.9%</w:t>
            </w:r>
          </w:p>
        </w:tc>
        <w:tc>
          <w:tcPr>
            <w:tcW w:w="92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3,804,459</w:t>
            </w:r>
          </w:p>
        </w:tc>
        <w:tc>
          <w:tcPr>
            <w:tcW w:w="94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4,423,193</w:t>
            </w:r>
          </w:p>
        </w:tc>
        <w:tc>
          <w:tcPr>
            <w:tcW w:w="14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16.3%</w:t>
            </w:r>
          </w:p>
        </w:tc>
      </w:tr>
      <w:tr>
        <w:trPr>
          <w:trHeight w:val="141"/>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gain on foreign exchange transactons</w:t>
            </w:r>
          </w:p>
        </w:tc>
        <w:tc>
          <w:tcPr>
            <w:tcW w:w="9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218,047</w:t>
            </w:r>
          </w:p>
        </w:tc>
        <w:tc>
          <w:tcPr>
            <w:tcW w:w="9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172,998</w:t>
            </w:r>
          </w:p>
        </w:tc>
        <w:tc>
          <w:tcPr>
            <w:tcW w:w="9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9"/>
              </w:rPr>
              <w:t>223,913</w:t>
            </w:r>
          </w:p>
        </w:tc>
        <w:tc>
          <w:tcPr>
            <w:tcW w:w="9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29.4%</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2.7%</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886,126</w:t>
            </w:r>
          </w:p>
        </w:tc>
        <w:tc>
          <w:tcPr>
            <w:tcW w:w="9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781,076</w:t>
            </w:r>
          </w:p>
        </w:tc>
        <w:tc>
          <w:tcPr>
            <w:tcW w:w="14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w w:val="97"/>
              </w:rPr>
              <w:t>-11.9%</w:t>
            </w:r>
          </w:p>
        </w:tc>
      </w:tr>
      <w:tr>
        <w:trPr>
          <w:trHeight w:val="130"/>
        </w:trPr>
        <w:tc>
          <w:tcPr>
            <w:tcW w:w="3300" w:type="dxa"/>
            <w:vAlign w:val="bottom"/>
            <w:tcBorders>
              <w:left w:val="single" w:sz="8" w:color="auto"/>
              <w:bottom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Total other income Core</w:t>
            </w:r>
          </w:p>
        </w:tc>
        <w:tc>
          <w:tcPr>
            <w:tcW w:w="90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1,204,220</w:t>
            </w:r>
          </w:p>
        </w:tc>
        <w:tc>
          <w:tcPr>
            <w:tcW w:w="90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1,281,312</w:t>
            </w:r>
          </w:p>
        </w:tc>
        <w:tc>
          <w:tcPr>
            <w:tcW w:w="90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1,327,461</w:t>
            </w:r>
          </w:p>
        </w:tc>
        <w:tc>
          <w:tcPr>
            <w:tcW w:w="94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3.6%</w:t>
            </w:r>
          </w:p>
        </w:tc>
        <w:tc>
          <w:tcPr>
            <w:tcW w:w="96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10.2%</w:t>
            </w:r>
          </w:p>
        </w:tc>
        <w:tc>
          <w:tcPr>
            <w:tcW w:w="92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4,690,585</w:t>
            </w:r>
          </w:p>
        </w:tc>
        <w:tc>
          <w:tcPr>
            <w:tcW w:w="94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5,204,269</w:t>
            </w:r>
          </w:p>
        </w:tc>
        <w:tc>
          <w:tcPr>
            <w:tcW w:w="148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11.0%</w:t>
            </w:r>
          </w:p>
        </w:tc>
      </w:tr>
    </w:tbl>
    <w:p>
      <w:pPr>
        <w:spacing w:after="0" w:line="163"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It is important to note that Other Core Income contnued to be afected by our operaton in BCP Bolivia, which since 2023 has evolved and adapted its non-interest income structure for foreign transfers to ofset the losses reported for FX transactons. The analysis below will exclude BCP Bolivia to focus on Other Core Income evoluton:</w:t>
      </w:r>
    </w:p>
    <w:p>
      <w:pPr>
        <w:spacing w:after="0" w:line="185" w:lineRule="exact"/>
        <w:rPr>
          <w:sz w:val="20"/>
          <w:szCs w:val="20"/>
          <w:color w:val="auto"/>
        </w:rPr>
      </w:pPr>
    </w:p>
    <w:p>
      <w:pPr>
        <w:ind w:left="720" w:hanging="243"/>
        <w:spacing w:after="0" w:line="268" w:lineRule="auto"/>
        <w:tabs>
          <w:tab w:leader="none" w:pos="720" w:val="left"/>
        </w:tabs>
        <w:numPr>
          <w:ilvl w:val="0"/>
          <w:numId w:val="28"/>
        </w:numPr>
        <w:rPr>
          <w:rFonts w:ascii="Arial" w:cs="Arial" w:eastAsia="Arial" w:hAnsi="Arial"/>
          <w:sz w:val="17"/>
          <w:szCs w:val="17"/>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 growth of 0.6% was driven by</w:t>
      </w:r>
      <w:r>
        <w:rPr>
          <w:rFonts w:ascii="Calibri" w:cs="Calibri" w:eastAsia="Calibri" w:hAnsi="Calibri"/>
          <w:sz w:val="17"/>
          <w:szCs w:val="17"/>
          <w:b w:val="1"/>
          <w:bCs w:val="1"/>
          <w:color w:val="auto"/>
        </w:rPr>
        <w:t xml:space="preserve"> Net Gain on Foreign Exchange Transactons </w:t>
      </w:r>
      <w:r>
        <w:rPr>
          <w:rFonts w:ascii="Calibri" w:cs="Calibri" w:eastAsia="Calibri" w:hAnsi="Calibri"/>
          <w:sz w:val="17"/>
          <w:szCs w:val="17"/>
          <w:color w:val="auto"/>
        </w:rPr>
        <w:t>(+3.4%)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via an uptck in the volume of transactons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executed by corporate clients. The aforementoned was partally ofset by a slight decline in </w:t>
      </w:r>
      <w:r>
        <w:rPr>
          <w:rFonts w:ascii="Calibri" w:cs="Calibri" w:eastAsia="Calibri" w:hAnsi="Calibri"/>
          <w:sz w:val="17"/>
          <w:szCs w:val="17"/>
          <w:b w:val="1"/>
          <w:bCs w:val="1"/>
          <w:color w:val="auto"/>
        </w:rPr>
        <w:t>Fee Income</w:t>
      </w:r>
      <w:r>
        <w:rPr>
          <w:rFonts w:ascii="Calibri" w:cs="Calibri" w:eastAsia="Calibri" w:hAnsi="Calibri"/>
          <w:sz w:val="17"/>
          <w:szCs w:val="17"/>
          <w:color w:val="auto"/>
        </w:rPr>
        <w:t xml:space="preserve"> at </w:t>
      </w:r>
      <w:r>
        <w:rPr>
          <w:rFonts w:ascii="Calibri" w:cs="Calibri" w:eastAsia="Calibri" w:hAnsi="Calibri"/>
          <w:sz w:val="17"/>
          <w:szCs w:val="17"/>
          <w:b w:val="1"/>
          <w:bCs w:val="1"/>
          <w:color w:val="auto"/>
        </w:rPr>
        <w:t>Credicorp Capital</w:t>
      </w:r>
      <w:r>
        <w:rPr>
          <w:rFonts w:ascii="Times New Roman" w:cs="Times New Roman" w:eastAsia="Times New Roman" w:hAnsi="Times New Roman"/>
          <w:sz w:val="17"/>
          <w:szCs w:val="17"/>
          <w:color w:val="auto"/>
        </w:rPr>
        <w:t>.</w:t>
      </w:r>
    </w:p>
    <w:p>
      <w:pPr>
        <w:spacing w:after="0" w:line="152" w:lineRule="exact"/>
        <w:rPr>
          <w:rFonts w:ascii="Arial" w:cs="Arial" w:eastAsia="Arial" w:hAnsi="Arial"/>
          <w:sz w:val="17"/>
          <w:szCs w:val="17"/>
          <w:color w:val="auto"/>
        </w:rPr>
      </w:pPr>
    </w:p>
    <w:p>
      <w:pPr>
        <w:ind w:left="720" w:hanging="243"/>
        <w:spacing w:after="0" w:line="242" w:lineRule="auto"/>
        <w:tabs>
          <w:tab w:leader="none" w:pos="720" w:val="left"/>
        </w:tabs>
        <w:numPr>
          <w:ilvl w:val="0"/>
          <w:numId w:val="28"/>
        </w:numPr>
        <w:rPr>
          <w:rFonts w:ascii="Arial" w:cs="Arial" w:eastAsia="Arial" w:hAnsi="Arial"/>
          <w:sz w:val="17"/>
          <w:szCs w:val="17"/>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expansion of 17.1% was driven by an increase in</w:t>
      </w:r>
      <w:r>
        <w:rPr>
          <w:rFonts w:ascii="Calibri" w:cs="Calibri" w:eastAsia="Calibri" w:hAnsi="Calibri"/>
          <w:sz w:val="17"/>
          <w:szCs w:val="17"/>
          <w:b w:val="1"/>
          <w:bCs w:val="1"/>
          <w:color w:val="auto"/>
        </w:rPr>
        <w:t xml:space="preserve"> Fee Income </w:t>
      </w:r>
      <w:r>
        <w:rPr>
          <w:rFonts w:ascii="Calibri" w:cs="Calibri" w:eastAsia="Calibri" w:hAnsi="Calibri"/>
          <w:sz w:val="17"/>
          <w:szCs w:val="17"/>
          <w:color w:val="auto"/>
        </w:rPr>
        <w:t>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and to the</w:t>
      </w:r>
      <w:r>
        <w:rPr>
          <w:rFonts w:ascii="Calibri" w:cs="Calibri" w:eastAsia="Calibri" w:hAnsi="Calibri"/>
          <w:sz w:val="17"/>
          <w:szCs w:val="17"/>
          <w:b w:val="1"/>
          <w:bCs w:val="1"/>
          <w:color w:val="auto"/>
        </w:rPr>
        <w:t xml:space="preserve"> Net Gain on Foreign Exchange Transactons </w:t>
      </w:r>
      <w:r>
        <w:rPr>
          <w:rFonts w:ascii="Calibri" w:cs="Calibri" w:eastAsia="Calibri" w:hAnsi="Calibri"/>
          <w:sz w:val="17"/>
          <w:szCs w:val="17"/>
          <w:color w:val="auto"/>
        </w:rPr>
        <w:t>(+14.7%)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which was fueled by growth in transactons among wholesale and retail clients and by improvements in pricing strategies.</w:t>
      </w:r>
    </w:p>
    <w:p>
      <w:pPr>
        <w:spacing w:after="0" w:line="187" w:lineRule="exact"/>
        <w:rPr>
          <w:rFonts w:ascii="Arial" w:cs="Arial" w:eastAsia="Arial" w:hAnsi="Arial"/>
          <w:sz w:val="17"/>
          <w:szCs w:val="17"/>
          <w:color w:val="auto"/>
        </w:rPr>
      </w:pPr>
    </w:p>
    <w:p>
      <w:pPr>
        <w:ind w:left="720" w:hanging="243"/>
        <w:spacing w:after="0" w:line="254" w:lineRule="auto"/>
        <w:tabs>
          <w:tab w:leader="none" w:pos="720" w:val="left"/>
        </w:tabs>
        <w:numPr>
          <w:ilvl w:val="0"/>
          <w:numId w:val="28"/>
        </w:numPr>
        <w:rPr>
          <w:rFonts w:ascii="Arial" w:cs="Arial" w:eastAsia="Arial" w:hAnsi="Arial"/>
          <w:sz w:val="17"/>
          <w:szCs w:val="17"/>
          <w:color w:val="auto"/>
        </w:rPr>
      </w:pPr>
      <w:r>
        <w:rPr>
          <w:rFonts w:ascii="Calibri" w:cs="Calibri" w:eastAsia="Calibri" w:hAnsi="Calibri"/>
          <w:sz w:val="17"/>
          <w:szCs w:val="17"/>
          <w:b w:val="1"/>
          <w:bCs w:val="1"/>
          <w:color w:val="auto"/>
        </w:rPr>
        <w:t>FY</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uptck of 15.2% was fueled by growth in</w:t>
      </w:r>
      <w:r>
        <w:rPr>
          <w:rFonts w:ascii="Calibri" w:cs="Calibri" w:eastAsia="Calibri" w:hAnsi="Calibri"/>
          <w:sz w:val="17"/>
          <w:szCs w:val="17"/>
          <w:b w:val="1"/>
          <w:bCs w:val="1"/>
          <w:color w:val="auto"/>
        </w:rPr>
        <w:t xml:space="preserve"> Fee Income</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mainly at</w:t>
      </w:r>
      <w:r>
        <w:rPr>
          <w:rFonts w:ascii="Calibri" w:cs="Calibri" w:eastAsia="Calibri" w:hAnsi="Calibri"/>
          <w:sz w:val="17"/>
          <w:szCs w:val="17"/>
          <w:b w:val="1"/>
          <w:bCs w:val="1"/>
          <w:color w:val="auto"/>
        </w:rPr>
        <w:t xml:space="preserve"> BCP Stand-alone</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and, to a lesser extent, at</w:t>
      </w:r>
      <w:r>
        <w:rPr>
          <w:rFonts w:ascii="Calibri" w:cs="Calibri" w:eastAsia="Calibri" w:hAnsi="Calibri"/>
          <w:sz w:val="17"/>
          <w:szCs w:val="17"/>
          <w:b w:val="1"/>
          <w:bCs w:val="1"/>
          <w:color w:val="auto"/>
        </w:rPr>
        <w:t xml:space="preserve"> Credicorp Capital</w:t>
      </w:r>
      <w:r>
        <w:rPr>
          <w:rFonts w:ascii="Calibri" w:cs="Calibri" w:eastAsia="Calibri" w:hAnsi="Calibri"/>
          <w:sz w:val="17"/>
          <w:szCs w:val="17"/>
          <w:color w:val="auto"/>
        </w:rPr>
        <w:t>. The rise in the</w:t>
      </w:r>
      <w:r>
        <w:rPr>
          <w:rFonts w:ascii="Calibri" w:cs="Calibri" w:eastAsia="Calibri" w:hAnsi="Calibri"/>
          <w:sz w:val="17"/>
          <w:szCs w:val="17"/>
          <w:b w:val="1"/>
          <w:bCs w:val="1"/>
          <w:color w:val="auto"/>
        </w:rPr>
        <w:t xml:space="preserve"> Net Gain on Foreign Exchange Transactons </w:t>
      </w:r>
      <w:r>
        <w:rPr>
          <w:rFonts w:ascii="Calibri" w:cs="Calibri" w:eastAsia="Calibri" w:hAnsi="Calibri"/>
          <w:sz w:val="17"/>
          <w:szCs w:val="17"/>
          <w:color w:val="auto"/>
        </w:rPr>
        <w:t>(+16.6%) 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was driven by the same factors QoQ and YoY.</w:t>
      </w:r>
    </w:p>
    <w:p>
      <w:pPr>
        <w:spacing w:after="0" w:line="17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Fee Income by Subsidiary</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1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b w:val="1"/>
                <w:bCs w:val="1"/>
                <w:color w:val="FFFFFF"/>
              </w:rPr>
              <w:t>Net Fee Income by Subsidiary</w:t>
            </w:r>
          </w:p>
        </w:tc>
        <w:tc>
          <w:tcPr>
            <w:tcW w:w="900" w:type="dxa"/>
            <w:vAlign w:val="bottom"/>
            <w:tcBorders>
              <w:top w:val="single" w:sz="8" w:color="auto"/>
            </w:tcBorders>
            <w:shd w:val="clear" w:color="auto" w:fill="33CCCC"/>
          </w:tcPr>
          <w:p>
            <w:pPr>
              <w:ind w:left="260"/>
              <w:spacing w:after="0"/>
              <w:rPr>
                <w:sz w:val="20"/>
                <w:szCs w:val="20"/>
                <w:color w:val="auto"/>
              </w:rPr>
            </w:pPr>
            <w:r>
              <w:rPr>
                <w:rFonts w:ascii="Calibri" w:cs="Calibri" w:eastAsia="Calibri" w:hAnsi="Calibri"/>
                <w:sz w:val="11"/>
                <w:szCs w:val="11"/>
                <w:b w:val="1"/>
                <w:bCs w:val="1"/>
                <w:color w:val="FFFFFF"/>
              </w:rPr>
              <w:t>Quarter</w:t>
            </w:r>
          </w:p>
        </w:tc>
        <w:tc>
          <w:tcPr>
            <w:tcW w:w="960" w:type="dxa"/>
            <w:vAlign w:val="bottom"/>
            <w:tcBorders>
              <w:top w:val="single" w:sz="8" w:color="auto"/>
            </w:tcBorders>
            <w:shd w:val="clear" w:color="auto" w:fill="33CCCC"/>
          </w:tcPr>
          <w:p>
            <w:pPr>
              <w:spacing w:after="0"/>
              <w:rPr>
                <w:sz w:val="12"/>
                <w:szCs w:val="12"/>
                <w:color w:val="auto"/>
              </w:rPr>
            </w:pP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 Change</w:t>
            </w:r>
          </w:p>
        </w:tc>
        <w:tc>
          <w:tcPr>
            <w:tcW w:w="940" w:type="dxa"/>
            <w:vAlign w:val="bottom"/>
            <w:tcBorders>
              <w:top w:val="single" w:sz="8" w:color="auto"/>
              <w:right w:val="single" w:sz="8" w:color="auto"/>
            </w:tcBorders>
            <w:shd w:val="clear" w:color="auto" w:fill="33CCCC"/>
          </w:tcPr>
          <w:p>
            <w:pPr>
              <w:spacing w:after="0"/>
              <w:rPr>
                <w:sz w:val="12"/>
                <w:szCs w:val="12"/>
                <w:color w:val="auto"/>
              </w:rPr>
            </w:pPr>
          </w:p>
        </w:tc>
        <w:tc>
          <w:tcPr>
            <w:tcW w:w="92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Up to</w:t>
            </w:r>
          </w:p>
        </w:tc>
        <w:tc>
          <w:tcPr>
            <w:tcW w:w="960" w:type="dxa"/>
            <w:vAlign w:val="bottom"/>
            <w:tcBorders>
              <w:top w:val="single" w:sz="8" w:color="auto"/>
              <w:right w:val="single" w:sz="8" w:color="auto"/>
            </w:tcBorders>
            <w:shd w:val="clear" w:color="auto" w:fill="33CCCC"/>
          </w:tcPr>
          <w:p>
            <w:pPr>
              <w:spacing w:after="0"/>
              <w:rPr>
                <w:sz w:val="12"/>
                <w:szCs w:val="12"/>
                <w:color w:val="auto"/>
              </w:rPr>
            </w:pPr>
          </w:p>
        </w:tc>
        <w:tc>
          <w:tcPr>
            <w:tcW w:w="14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 Change</w:t>
            </w:r>
          </w:p>
        </w:tc>
      </w:tr>
      <w:tr>
        <w:trPr>
          <w:trHeight w:val="131"/>
        </w:trPr>
        <w:tc>
          <w:tcPr>
            <w:tcW w:w="3180" w:type="dxa"/>
            <w:vAlign w:val="bottom"/>
            <w:tcBorders>
              <w:left w:val="single" w:sz="8" w:color="auto"/>
              <w:bottom w:val="single" w:sz="8" w:color="auto"/>
              <w:right w:val="single" w:sz="8" w:color="auto"/>
            </w:tcBorders>
            <w:shd w:val="clear" w:color="auto" w:fill="33CCCC"/>
          </w:tcPr>
          <w:p>
            <w:pPr>
              <w:ind w:left="20"/>
              <w:spacing w:after="0" w:line="131" w:lineRule="exact"/>
              <w:rPr>
                <w:sz w:val="20"/>
                <w:szCs w:val="20"/>
                <w:color w:val="auto"/>
              </w:rPr>
            </w:pPr>
            <w:r>
              <w:rPr>
                <w:rFonts w:ascii="Calibri" w:cs="Calibri" w:eastAsia="Calibri" w:hAnsi="Calibri"/>
                <w:sz w:val="11"/>
                <w:szCs w:val="11"/>
                <w:b w:val="1"/>
                <w:bCs w:val="1"/>
                <w:color w:val="FFFFFF"/>
              </w:rPr>
              <w:t>S/000</w:t>
            </w:r>
          </w:p>
        </w:tc>
        <w:tc>
          <w:tcPr>
            <w:tcW w:w="90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4Q23</w:t>
            </w:r>
          </w:p>
        </w:tc>
        <w:tc>
          <w:tcPr>
            <w:tcW w:w="96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3Q24</w:t>
            </w:r>
          </w:p>
        </w:tc>
        <w:tc>
          <w:tcPr>
            <w:tcW w:w="96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4Q24</w:t>
            </w:r>
          </w:p>
        </w:tc>
        <w:tc>
          <w:tcPr>
            <w:tcW w:w="96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QoQ</w:t>
            </w:r>
          </w:p>
        </w:tc>
        <w:tc>
          <w:tcPr>
            <w:tcW w:w="940" w:type="dxa"/>
            <w:vAlign w:val="bottom"/>
            <w:tcBorders>
              <w:bottom w:val="single" w:sz="8" w:color="auto"/>
              <w:right w:val="single" w:sz="8" w:color="auto"/>
            </w:tcBorders>
            <w:shd w:val="clear" w:color="auto" w:fill="33CCCC"/>
          </w:tcPr>
          <w:p>
            <w:pPr>
              <w:ind w:left="360"/>
              <w:spacing w:after="0" w:line="131" w:lineRule="exact"/>
              <w:rPr>
                <w:sz w:val="20"/>
                <w:szCs w:val="20"/>
                <w:color w:val="auto"/>
              </w:rPr>
            </w:pPr>
            <w:r>
              <w:rPr>
                <w:rFonts w:ascii="Calibri" w:cs="Calibri" w:eastAsia="Calibri" w:hAnsi="Calibri"/>
                <w:sz w:val="11"/>
                <w:szCs w:val="11"/>
                <w:b w:val="1"/>
                <w:bCs w:val="1"/>
                <w:color w:val="FFFFFF"/>
              </w:rPr>
              <w:t>YoY</w:t>
            </w:r>
          </w:p>
        </w:tc>
        <w:tc>
          <w:tcPr>
            <w:tcW w:w="92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23</w:t>
            </w:r>
          </w:p>
        </w:tc>
        <w:tc>
          <w:tcPr>
            <w:tcW w:w="960" w:type="dxa"/>
            <w:vAlign w:val="bottom"/>
            <w:tcBorders>
              <w:bottom w:val="single" w:sz="8" w:color="auto"/>
              <w:right w:val="single" w:sz="8" w:color="auto"/>
            </w:tcBorders>
            <w:shd w:val="clear" w:color="auto" w:fill="33CCCC"/>
          </w:tcPr>
          <w:p>
            <w:pPr>
              <w:ind w:left="320"/>
              <w:spacing w:after="0" w:line="131" w:lineRule="exact"/>
              <w:rPr>
                <w:sz w:val="20"/>
                <w:szCs w:val="20"/>
                <w:color w:val="auto"/>
              </w:rPr>
            </w:pPr>
            <w:r>
              <w:rPr>
                <w:rFonts w:ascii="Calibri" w:cs="Calibri" w:eastAsia="Calibri" w:hAnsi="Calibri"/>
                <w:sz w:val="11"/>
                <w:szCs w:val="11"/>
                <w:b w:val="1"/>
                <w:bCs w:val="1"/>
                <w:color w:val="FFFFFF"/>
              </w:rPr>
              <w:t>Dec 24</w:t>
            </w:r>
          </w:p>
        </w:tc>
        <w:tc>
          <w:tcPr>
            <w:tcW w:w="146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24 / Dec 23</w:t>
            </w:r>
          </w:p>
        </w:tc>
      </w:tr>
      <w:tr>
        <w:trPr>
          <w:trHeight w:val="109"/>
        </w:trPr>
        <w:tc>
          <w:tcPr>
            <w:tcW w:w="3180" w:type="dxa"/>
            <w:vAlign w:val="bottom"/>
            <w:tcBorders>
              <w:left w:val="single" w:sz="8" w:color="auto"/>
              <w:right w:val="single" w:sz="8" w:color="auto"/>
            </w:tcBorders>
          </w:tcPr>
          <w:p>
            <w:pPr>
              <w:ind w:left="20"/>
              <w:spacing w:after="0" w:line="109" w:lineRule="exact"/>
              <w:rPr>
                <w:sz w:val="20"/>
                <w:szCs w:val="20"/>
                <w:color w:val="auto"/>
              </w:rPr>
            </w:pPr>
            <w:r>
              <w:rPr>
                <w:rFonts w:ascii="Calibri" w:cs="Calibri" w:eastAsia="Calibri" w:hAnsi="Calibri"/>
                <w:sz w:val="11"/>
                <w:szCs w:val="11"/>
                <w:color w:val="auto"/>
              </w:rPr>
              <w:t>BCP Stand-Alone</w:t>
            </w:r>
          </w:p>
        </w:tc>
        <w:tc>
          <w:tcPr>
            <w:tcW w:w="900" w:type="dxa"/>
            <w:vAlign w:val="bottom"/>
          </w:tcPr>
          <w:p>
            <w:pPr>
              <w:jc w:val="center"/>
              <w:spacing w:after="0" w:line="109" w:lineRule="exact"/>
              <w:rPr>
                <w:sz w:val="20"/>
                <w:szCs w:val="20"/>
                <w:color w:val="auto"/>
              </w:rPr>
            </w:pPr>
            <w:r>
              <w:rPr>
                <w:rFonts w:ascii="Calibri" w:cs="Calibri" w:eastAsia="Calibri" w:hAnsi="Calibri"/>
                <w:sz w:val="11"/>
                <w:szCs w:val="11"/>
                <w:color w:val="auto"/>
              </w:rPr>
              <w:t>748,270</w:t>
            </w:r>
          </w:p>
        </w:tc>
        <w:tc>
          <w:tcPr>
            <w:tcW w:w="960" w:type="dxa"/>
            <w:vAlign w:val="bottom"/>
          </w:tcPr>
          <w:p>
            <w:pPr>
              <w:jc w:val="center"/>
              <w:spacing w:after="0" w:line="109" w:lineRule="exact"/>
              <w:rPr>
                <w:sz w:val="20"/>
                <w:szCs w:val="20"/>
                <w:color w:val="auto"/>
              </w:rPr>
            </w:pPr>
            <w:r>
              <w:rPr>
                <w:rFonts w:ascii="Calibri" w:cs="Calibri" w:eastAsia="Calibri" w:hAnsi="Calibri"/>
                <w:sz w:val="11"/>
                <w:szCs w:val="11"/>
                <w:color w:val="auto"/>
              </w:rPr>
              <w:t>879,995</w:t>
            </w:r>
          </w:p>
        </w:tc>
        <w:tc>
          <w:tcPr>
            <w:tcW w:w="9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888,292</w:t>
            </w:r>
          </w:p>
        </w:tc>
        <w:tc>
          <w:tcPr>
            <w:tcW w:w="960" w:type="dxa"/>
            <w:vAlign w:val="bottom"/>
          </w:tcPr>
          <w:p>
            <w:pPr>
              <w:jc w:val="center"/>
              <w:spacing w:after="0" w:line="109" w:lineRule="exact"/>
              <w:rPr>
                <w:sz w:val="20"/>
                <w:szCs w:val="20"/>
                <w:color w:val="auto"/>
              </w:rPr>
            </w:pPr>
            <w:r>
              <w:rPr>
                <w:rFonts w:ascii="Calibri" w:cs="Calibri" w:eastAsia="Calibri" w:hAnsi="Calibri"/>
                <w:sz w:val="11"/>
                <w:szCs w:val="11"/>
                <w:color w:val="auto"/>
              </w:rPr>
              <w:t>0.9%</w:t>
            </w:r>
          </w:p>
        </w:tc>
        <w:tc>
          <w:tcPr>
            <w:tcW w:w="940" w:type="dxa"/>
            <w:vAlign w:val="bottom"/>
            <w:tcBorders>
              <w:right w:val="single" w:sz="8" w:color="auto"/>
            </w:tcBorders>
          </w:tcPr>
          <w:p>
            <w:pPr>
              <w:jc w:val="center"/>
              <w:ind w:right="3"/>
              <w:spacing w:after="0" w:line="109" w:lineRule="exact"/>
              <w:rPr>
                <w:sz w:val="20"/>
                <w:szCs w:val="20"/>
                <w:color w:val="auto"/>
              </w:rPr>
            </w:pPr>
            <w:r>
              <w:rPr>
                <w:rFonts w:ascii="Calibri" w:cs="Calibri" w:eastAsia="Calibri" w:hAnsi="Calibri"/>
                <w:sz w:val="11"/>
                <w:szCs w:val="11"/>
                <w:color w:val="auto"/>
              </w:rPr>
              <w:t>18.7%</w:t>
            </w:r>
          </w:p>
        </w:tc>
        <w:tc>
          <w:tcPr>
            <w:tcW w:w="920" w:type="dxa"/>
            <w:vAlign w:val="bottom"/>
          </w:tcPr>
          <w:p>
            <w:pPr>
              <w:jc w:val="center"/>
              <w:spacing w:after="0" w:line="109" w:lineRule="exact"/>
              <w:rPr>
                <w:sz w:val="20"/>
                <w:szCs w:val="20"/>
                <w:color w:val="auto"/>
              </w:rPr>
            </w:pPr>
            <w:r>
              <w:rPr>
                <w:rFonts w:ascii="Calibri" w:cs="Calibri" w:eastAsia="Calibri" w:hAnsi="Calibri"/>
                <w:sz w:val="11"/>
                <w:szCs w:val="11"/>
                <w:color w:val="auto"/>
              </w:rPr>
              <w:t>2,927,395</w:t>
            </w:r>
          </w:p>
        </w:tc>
        <w:tc>
          <w:tcPr>
            <w:tcW w:w="9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3,352,254</w:t>
            </w:r>
          </w:p>
        </w:tc>
        <w:tc>
          <w:tcPr>
            <w:tcW w:w="14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14.5%</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BCP Bolivia</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104,959</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67,939</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65,174</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-4.1%</w:t>
            </w:r>
          </w:p>
        </w:tc>
        <w:tc>
          <w:tcPr>
            <w:tcW w:w="940" w:type="dxa"/>
            <w:vAlign w:val="bottom"/>
            <w:tcBorders>
              <w:right w:val="single" w:sz="8" w:color="auto"/>
            </w:tcBorders>
          </w:tcPr>
          <w:p>
            <w:pPr>
              <w:jc w:val="center"/>
              <w:ind w:right="3"/>
              <w:spacing w:after="0" w:line="131" w:lineRule="exact"/>
              <w:rPr>
                <w:sz w:val="20"/>
                <w:szCs w:val="20"/>
                <w:color w:val="auto"/>
              </w:rPr>
            </w:pPr>
            <w:r>
              <w:rPr>
                <w:rFonts w:ascii="Calibri" w:cs="Calibri" w:eastAsia="Calibri" w:hAnsi="Calibri"/>
                <w:sz w:val="11"/>
                <w:szCs w:val="11"/>
                <w:color w:val="auto"/>
              </w:rPr>
              <w:t>-37.9%</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335,061</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439,649</w:t>
            </w:r>
          </w:p>
        </w:tc>
        <w:tc>
          <w:tcPr>
            <w:tcW w:w="14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31.2%</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Mibanco</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24,402</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18,412</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24,108</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30.9%</w:t>
            </w:r>
          </w:p>
        </w:tc>
        <w:tc>
          <w:tcPr>
            <w:tcW w:w="94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-1.2%</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110,627</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7"/>
              </w:rPr>
              <w:t>88,466</w:t>
            </w:r>
          </w:p>
        </w:tc>
        <w:tc>
          <w:tcPr>
            <w:tcW w:w="14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-20.0%</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Mibanco Colombia</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10,082</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12,333</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11,356</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-3.7%</w:t>
            </w:r>
          </w:p>
        </w:tc>
        <w:tc>
          <w:tcPr>
            <w:tcW w:w="940" w:type="dxa"/>
            <w:vAlign w:val="bottom"/>
            <w:tcBorders>
              <w:right w:val="single" w:sz="8" w:color="auto"/>
            </w:tcBorders>
          </w:tcPr>
          <w:p>
            <w:pPr>
              <w:jc w:val="center"/>
              <w:ind w:right="3"/>
              <w:spacing w:after="0" w:line="131" w:lineRule="exact"/>
              <w:rPr>
                <w:sz w:val="20"/>
                <w:szCs w:val="20"/>
                <w:color w:val="auto"/>
              </w:rPr>
            </w:pPr>
            <w:r>
              <w:rPr>
                <w:rFonts w:ascii="Calibri" w:cs="Calibri" w:eastAsia="Calibri" w:hAnsi="Calibri"/>
                <w:sz w:val="11"/>
                <w:szCs w:val="11"/>
                <w:color w:val="auto"/>
              </w:rPr>
              <w:t>50.5%</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42,550</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7"/>
              </w:rPr>
              <w:t>45,982</w:t>
            </w:r>
          </w:p>
        </w:tc>
        <w:tc>
          <w:tcPr>
            <w:tcW w:w="14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8.1%</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Pacífco</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-2,577</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-3,218</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-3,115</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-7.9%</w:t>
            </w:r>
          </w:p>
        </w:tc>
        <w:tc>
          <w:tcPr>
            <w:tcW w:w="940" w:type="dxa"/>
            <w:vAlign w:val="bottom"/>
            <w:tcBorders>
              <w:right w:val="single" w:sz="8" w:color="auto"/>
            </w:tcBorders>
          </w:tcPr>
          <w:p>
            <w:pPr>
              <w:jc w:val="center"/>
              <w:ind w:right="3"/>
              <w:spacing w:after="0" w:line="131" w:lineRule="exact"/>
              <w:rPr>
                <w:sz w:val="20"/>
                <w:szCs w:val="20"/>
                <w:color w:val="auto"/>
              </w:rPr>
            </w:pPr>
            <w:r>
              <w:rPr>
                <w:rFonts w:ascii="Calibri" w:cs="Calibri" w:eastAsia="Calibri" w:hAnsi="Calibri"/>
                <w:sz w:val="11"/>
                <w:szCs w:val="11"/>
                <w:color w:val="auto"/>
                <w:w w:val="99"/>
              </w:rPr>
              <w:t>-540.7%</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w w:val="99"/>
              </w:rPr>
              <w:t>-11,622</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9"/>
              </w:rPr>
              <w:t>-12,020</w:t>
            </w:r>
          </w:p>
        </w:tc>
        <w:tc>
          <w:tcPr>
            <w:tcW w:w="14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3.4%</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Prima</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87,457</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90,748</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88,102</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-7.4%</w:t>
            </w:r>
          </w:p>
        </w:tc>
        <w:tc>
          <w:tcPr>
            <w:tcW w:w="940" w:type="dxa"/>
            <w:vAlign w:val="bottom"/>
            <w:tcBorders>
              <w:right w:val="single" w:sz="8" w:color="auto"/>
            </w:tcBorders>
          </w:tcPr>
          <w:p>
            <w:pPr>
              <w:jc w:val="center"/>
              <w:ind w:right="3"/>
              <w:spacing w:after="0" w:line="131" w:lineRule="exact"/>
              <w:rPr>
                <w:sz w:val="20"/>
                <w:szCs w:val="20"/>
                <w:color w:val="auto"/>
              </w:rPr>
            </w:pPr>
            <w:r>
              <w:rPr>
                <w:rFonts w:ascii="Calibri" w:cs="Calibri" w:eastAsia="Calibri" w:hAnsi="Calibri"/>
                <w:sz w:val="11"/>
                <w:szCs w:val="11"/>
                <w:color w:val="auto"/>
              </w:rPr>
              <w:t>50.0%</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350,846</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372,480</w:t>
            </w:r>
          </w:p>
        </w:tc>
        <w:tc>
          <w:tcPr>
            <w:tcW w:w="14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6.2%</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ASB</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10,704</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15,760</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15,170</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-3.2%</w:t>
            </w:r>
          </w:p>
        </w:tc>
        <w:tc>
          <w:tcPr>
            <w:tcW w:w="940" w:type="dxa"/>
            <w:vAlign w:val="bottom"/>
            <w:tcBorders>
              <w:right w:val="single" w:sz="8" w:color="auto"/>
            </w:tcBorders>
          </w:tcPr>
          <w:p>
            <w:pPr>
              <w:jc w:val="center"/>
              <w:ind w:right="3"/>
              <w:spacing w:after="0" w:line="131" w:lineRule="exact"/>
              <w:rPr>
                <w:sz w:val="20"/>
                <w:szCs w:val="20"/>
                <w:color w:val="auto"/>
              </w:rPr>
            </w:pPr>
            <w:r>
              <w:rPr>
                <w:rFonts w:ascii="Calibri" w:cs="Calibri" w:eastAsia="Calibri" w:hAnsi="Calibri"/>
                <w:sz w:val="11"/>
                <w:szCs w:val="11"/>
                <w:color w:val="auto"/>
                <w:w w:val="99"/>
              </w:rPr>
              <w:t>-129.1%</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59,264</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7"/>
              </w:rPr>
              <w:t>63,477</w:t>
            </w:r>
          </w:p>
        </w:tc>
        <w:tc>
          <w:tcPr>
            <w:tcW w:w="14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7.1%</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Credicorp Capital</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137,092</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141,657</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131,199</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-2.9%</w:t>
            </w:r>
          </w:p>
        </w:tc>
        <w:tc>
          <w:tcPr>
            <w:tcW w:w="940" w:type="dxa"/>
            <w:vAlign w:val="bottom"/>
            <w:tcBorders>
              <w:right w:val="single" w:sz="8" w:color="auto"/>
            </w:tcBorders>
          </w:tcPr>
          <w:p>
            <w:pPr>
              <w:jc w:val="center"/>
              <w:ind w:right="3"/>
              <w:spacing w:after="0" w:line="131" w:lineRule="exact"/>
              <w:rPr>
                <w:sz w:val="20"/>
                <w:szCs w:val="20"/>
                <w:color w:val="auto"/>
              </w:rPr>
            </w:pPr>
            <w:r>
              <w:rPr>
                <w:rFonts w:ascii="Calibri" w:cs="Calibri" w:eastAsia="Calibri" w:hAnsi="Calibri"/>
                <w:sz w:val="11"/>
                <w:szCs w:val="11"/>
                <w:color w:val="auto"/>
              </w:rPr>
              <w:t>-35.7%</w:t>
            </w:r>
          </w:p>
        </w:tc>
        <w:tc>
          <w:tcPr>
            <w:tcW w:w="920" w:type="dxa"/>
            <w:vAlign w:val="bottom"/>
          </w:tcPr>
          <w:p>
            <w:pPr>
              <w:jc w:val="center"/>
              <w:spacing w:after="0" w:line="131" w:lineRule="exact"/>
              <w:rPr>
                <w:sz w:val="20"/>
                <w:szCs w:val="20"/>
                <w:color w:val="auto"/>
              </w:rPr>
            </w:pPr>
            <w:r>
              <w:rPr>
                <w:rFonts w:ascii="Calibri" w:cs="Calibri" w:eastAsia="Calibri" w:hAnsi="Calibri"/>
                <w:sz w:val="11"/>
                <w:szCs w:val="11"/>
                <w:color w:val="auto"/>
              </w:rPr>
              <w:t>470,904</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554,486</w:t>
            </w:r>
          </w:p>
        </w:tc>
        <w:tc>
          <w:tcPr>
            <w:tcW w:w="14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17.7%</w:t>
            </w:r>
          </w:p>
        </w:tc>
      </w:tr>
      <w:tr>
        <w:trPr>
          <w:trHeight w:val="141"/>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 xml:space="preserve">Eliminatons and Other </w:t>
            </w:r>
            <w:r>
              <w:rPr>
                <w:rFonts w:ascii="Calibri" w:cs="Calibri" w:eastAsia="Calibri" w:hAnsi="Calibri"/>
                <w:sz w:val="9"/>
                <w:szCs w:val="9"/>
                <w:color w:val="auto"/>
              </w:rPr>
              <w:t>(1)</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-134,216</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-115,312</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-116,738</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1.2%</w:t>
            </w:r>
          </w:p>
        </w:tc>
        <w:tc>
          <w:tcPr>
            <w:tcW w:w="940" w:type="dxa"/>
            <w:vAlign w:val="bottom"/>
            <w:tcBorders>
              <w:bottom w:val="single" w:sz="8" w:color="auto"/>
              <w:right w:val="single" w:sz="8" w:color="auto"/>
            </w:tcBorders>
          </w:tcPr>
          <w:p>
            <w:pPr>
              <w:jc w:val="center"/>
              <w:ind w:right="3"/>
              <w:spacing w:after="0"/>
              <w:rPr>
                <w:sz w:val="20"/>
                <w:szCs w:val="20"/>
                <w:color w:val="auto"/>
              </w:rPr>
            </w:pPr>
            <w:r>
              <w:rPr>
                <w:rFonts w:ascii="Calibri" w:cs="Calibri" w:eastAsia="Calibri" w:hAnsi="Calibri"/>
                <w:sz w:val="11"/>
                <w:szCs w:val="11"/>
                <w:color w:val="auto"/>
              </w:rPr>
              <w:t>-13.0%</w:t>
            </w:r>
          </w:p>
        </w:tc>
        <w:tc>
          <w:tcPr>
            <w:tcW w:w="92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-480,566</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-481,581</w:t>
            </w:r>
          </w:p>
        </w:tc>
        <w:tc>
          <w:tcPr>
            <w:tcW w:w="14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0.2%</w:t>
            </w:r>
          </w:p>
        </w:tc>
      </w:tr>
      <w:tr>
        <w:trPr>
          <w:trHeight w:val="130"/>
        </w:trPr>
        <w:tc>
          <w:tcPr>
            <w:tcW w:w="3180" w:type="dxa"/>
            <w:vAlign w:val="bottom"/>
            <w:tcBorders>
              <w:left w:val="single" w:sz="8" w:color="auto"/>
              <w:bottom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Total Net Fee Income</w:t>
            </w:r>
          </w:p>
        </w:tc>
        <w:tc>
          <w:tcPr>
            <w:tcW w:w="900" w:type="dxa"/>
            <w:vAlign w:val="bottom"/>
            <w:tcBorders>
              <w:bottom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986,173</w:t>
            </w:r>
          </w:p>
        </w:tc>
        <w:tc>
          <w:tcPr>
            <w:tcW w:w="960" w:type="dxa"/>
            <w:vAlign w:val="bottom"/>
            <w:tcBorders>
              <w:bottom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1,108,314</w:t>
            </w:r>
          </w:p>
        </w:tc>
        <w:tc>
          <w:tcPr>
            <w:tcW w:w="96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1,103,548</w:t>
            </w:r>
          </w:p>
        </w:tc>
        <w:tc>
          <w:tcPr>
            <w:tcW w:w="960" w:type="dxa"/>
            <w:vAlign w:val="bottom"/>
            <w:tcBorders>
              <w:bottom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-0.4%</w:t>
            </w:r>
          </w:p>
        </w:tc>
        <w:tc>
          <w:tcPr>
            <w:tcW w:w="940" w:type="dxa"/>
            <w:vAlign w:val="bottom"/>
            <w:tcBorders>
              <w:bottom w:val="single" w:sz="8" w:color="auto"/>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b w:val="1"/>
                <w:bCs w:val="1"/>
                <w:color w:val="auto"/>
              </w:rPr>
              <w:t>11.9%</w:t>
            </w:r>
          </w:p>
        </w:tc>
        <w:tc>
          <w:tcPr>
            <w:tcW w:w="920" w:type="dxa"/>
            <w:vAlign w:val="bottom"/>
            <w:tcBorders>
              <w:bottom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3,804,459</w:t>
            </w:r>
          </w:p>
        </w:tc>
        <w:tc>
          <w:tcPr>
            <w:tcW w:w="96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4,423,193</w:t>
            </w:r>
          </w:p>
        </w:tc>
        <w:tc>
          <w:tcPr>
            <w:tcW w:w="146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16.3%</w:t>
            </w:r>
          </w:p>
        </w:tc>
      </w:tr>
    </w:tbl>
    <w:p>
      <w:pPr>
        <w:spacing w:after="0" w:line="31" w:lineRule="exact"/>
        <w:rPr>
          <w:sz w:val="20"/>
          <w:szCs w:val="20"/>
          <w:color w:val="auto"/>
        </w:rPr>
      </w:pPr>
    </w:p>
    <w:p>
      <w:pPr>
        <w:spacing w:after="0"/>
        <w:rPr>
          <w:sz w:val="20"/>
          <w:szCs w:val="20"/>
          <w:color w:val="auto"/>
        </w:rPr>
      </w:pPr>
      <w:r>
        <w:rPr>
          <w:rFonts w:ascii="Calibri" w:cs="Calibri" w:eastAsia="Calibri" w:hAnsi="Calibri"/>
          <w:sz w:val="13"/>
          <w:szCs w:val="13"/>
          <w:color w:val="auto"/>
        </w:rPr>
        <w:t>(1) Correspond mainly to the eliminatons of bancassurance between Pacifco, BCP, and Mibanco.</w:t>
      </w:r>
    </w:p>
    <w:p>
      <w:pPr>
        <w:spacing w:after="0" w:line="37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color w:val="FFFFFF"/>
        </w:rPr>
        <w:t>06. Other Income</w:t>
      </w:r>
    </w:p>
    <w:p>
      <w:pPr>
        <w:spacing w:after="0" w:line="215" w:lineRule="exact"/>
        <w:rPr>
          <w:sz w:val="20"/>
          <w:szCs w:val="20"/>
          <w:color w:val="auto"/>
        </w:rPr>
      </w:pPr>
    </w:p>
    <w:p>
      <w:pPr>
        <w:spacing w:after="0"/>
        <w:rPr>
          <w:sz w:val="20"/>
          <w:szCs w:val="20"/>
          <w:color w:val="auto"/>
        </w:rPr>
      </w:pPr>
      <w:r>
        <w:rPr>
          <w:rFonts w:ascii="Calibri" w:cs="Calibri" w:eastAsia="Calibri" w:hAnsi="Calibri"/>
          <w:sz w:val="17"/>
          <w:szCs w:val="17"/>
          <w:color w:val="auto"/>
        </w:rPr>
        <w:t>Excluding the results of BCP Bolivia, Fee income followed the following dynamics:</w:t>
      </w:r>
    </w:p>
    <w:p>
      <w:pPr>
        <w:spacing w:after="0" w:line="160"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b w:val="1"/>
          <w:bCs w:val="1"/>
          <w:color w:val="auto"/>
        </w:rPr>
        <w:t>QoQ</w:t>
      </w: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 Fee Income </w:t>
      </w:r>
      <w:r>
        <w:rPr>
          <w:rFonts w:ascii="Calibri" w:cs="Calibri" w:eastAsia="Calibri" w:hAnsi="Calibri"/>
          <w:sz w:val="17"/>
          <w:szCs w:val="17"/>
          <w:color w:val="auto"/>
        </w:rPr>
        <w:t>dropped 0.2%, fueled mainly by a decrease in the fee level at</w:t>
      </w:r>
      <w:r>
        <w:rPr>
          <w:rFonts w:ascii="Calibri" w:cs="Calibri" w:eastAsia="Calibri" w:hAnsi="Calibri"/>
          <w:sz w:val="17"/>
          <w:szCs w:val="17"/>
          <w:b w:val="1"/>
          <w:bCs w:val="1"/>
          <w:color w:val="auto"/>
        </w:rPr>
        <w:t xml:space="preserve"> Credicorp Capital </w:t>
      </w:r>
      <w:r>
        <w:rPr>
          <w:rFonts w:ascii="Calibri" w:cs="Calibri" w:eastAsia="Calibri" w:hAnsi="Calibri"/>
          <w:sz w:val="17"/>
          <w:szCs w:val="17"/>
          <w:color w:val="auto"/>
        </w:rPr>
        <w:t>due to a drop in the brokerage business. This was slightly ofset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by higher </w:t>
      </w:r>
      <w:r>
        <w:rPr>
          <w:rFonts w:ascii="Calibri" w:cs="Calibri" w:eastAsia="Calibri" w:hAnsi="Calibri"/>
          <w:sz w:val="17"/>
          <w:szCs w:val="17"/>
          <w:b w:val="1"/>
          <w:bCs w:val="1"/>
          <w:color w:val="auto"/>
        </w:rPr>
        <w:t>Fee income</w:t>
      </w:r>
      <w:r>
        <w:rPr>
          <w:rFonts w:ascii="Calibri" w:cs="Calibri" w:eastAsia="Calibri" w:hAnsi="Calibri"/>
          <w:sz w:val="17"/>
          <w:szCs w:val="17"/>
          <w:color w:val="auto"/>
        </w:rPr>
        <w:t xml:space="preserve"> at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which we will discuss in the following chapter, and by growth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which was associated with an increase in fees from credit life insurance, which was aligned with growth in disbursements.</w:t>
      </w:r>
    </w:p>
    <w:p>
      <w:pPr>
        <w:spacing w:after="0" w:line="14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YoY, </w:t>
      </w:r>
      <w:r>
        <w:rPr>
          <w:rFonts w:ascii="Calibri" w:cs="Calibri" w:eastAsia="Calibri" w:hAnsi="Calibri"/>
          <w:sz w:val="17"/>
          <w:szCs w:val="17"/>
          <w:color w:val="auto"/>
        </w:rPr>
        <w:t>growth of 17.8% was driven mainly by</w:t>
      </w:r>
      <w:r>
        <w:rPr>
          <w:rFonts w:ascii="Calibri" w:cs="Calibri" w:eastAsia="Calibri" w:hAnsi="Calibri"/>
          <w:sz w:val="17"/>
          <w:szCs w:val="17"/>
          <w:b w:val="1"/>
          <w:bCs w:val="1"/>
          <w:color w:val="auto"/>
        </w:rPr>
        <w:t xml:space="preserve"> BCP Stand-alone</w:t>
      </w:r>
      <w:r>
        <w:rPr>
          <w:rFonts w:ascii="Calibri" w:cs="Calibri" w:eastAsia="Calibri" w:hAnsi="Calibri"/>
          <w:sz w:val="17"/>
          <w:szCs w:val="17"/>
          <w:color w:val="auto"/>
        </w:rPr>
        <w:t>; the dynamics of this increase will be discussed in the next chapter.</w:t>
      </w:r>
    </w:p>
    <w:p>
      <w:pPr>
        <w:spacing w:after="0" w:line="160"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b w:val="1"/>
          <w:bCs w:val="1"/>
          <w:color w:val="auto"/>
        </w:rPr>
        <w:t xml:space="preserve">FY, </w:t>
      </w:r>
      <w:r>
        <w:rPr>
          <w:rFonts w:ascii="Calibri" w:cs="Calibri" w:eastAsia="Calibri" w:hAnsi="Calibri"/>
          <w:sz w:val="17"/>
          <w:szCs w:val="17"/>
          <w:color w:val="auto"/>
        </w:rPr>
        <w:t>the increase of 14.8% was atributable to</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and, to a lesser extent, to</w:t>
      </w:r>
      <w:r>
        <w:rPr>
          <w:rFonts w:ascii="Calibri" w:cs="Calibri" w:eastAsia="Calibri" w:hAnsi="Calibri"/>
          <w:sz w:val="17"/>
          <w:szCs w:val="17"/>
          <w:b w:val="1"/>
          <w:bCs w:val="1"/>
          <w:color w:val="auto"/>
        </w:rPr>
        <w:t xml:space="preserve"> Credicorp Capital</w:t>
      </w:r>
      <w:r>
        <w:rPr>
          <w:rFonts w:ascii="Calibri" w:cs="Calibri" w:eastAsia="Calibri" w:hAnsi="Calibri"/>
          <w:sz w:val="17"/>
          <w:szCs w:val="17"/>
          <w:color w:val="auto"/>
        </w:rPr>
        <w:t>, which experienced an uptck in AUMs in its Wealth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Management and Asset Management businesses and an increase in corporate transactons.</w:t>
      </w:r>
    </w:p>
    <w:p>
      <w:pPr>
        <w:spacing w:after="0" w:line="15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Fee Income at BCP Stand-alone</w:t>
      </w:r>
    </w:p>
    <w:p>
      <w:pPr>
        <w:spacing w:after="0" w:line="37" w:lineRule="exact"/>
        <w:rPr>
          <w:sz w:val="20"/>
          <w:szCs w:val="20"/>
          <w:color w:val="auto"/>
        </w:rPr>
      </w:pPr>
    </w:p>
    <w:p>
      <w:pPr>
        <w:jc w:val="center"/>
        <w:ind w:right="260"/>
        <w:spacing w:after="0"/>
        <w:rPr>
          <w:sz w:val="20"/>
          <w:szCs w:val="20"/>
          <w:color w:val="auto"/>
        </w:rPr>
      </w:pPr>
      <w:r>
        <w:rPr>
          <w:rFonts w:ascii="Calibri" w:cs="Calibri" w:eastAsia="Calibri" w:hAnsi="Calibri"/>
          <w:sz w:val="17"/>
          <w:szCs w:val="17"/>
          <w:b w:val="1"/>
          <w:bCs w:val="1"/>
          <w:color w:val="auto"/>
        </w:rPr>
        <w:t xml:space="preserve">Compositon of fee income at BCP Stand-alone </w:t>
      </w:r>
      <w:r>
        <w:rPr>
          <w:rFonts w:ascii="Calibri" w:cs="Calibri" w:eastAsia="Calibri" w:hAnsi="Calibri"/>
          <w:sz w:val="29"/>
          <w:szCs w:val="29"/>
          <w:b w:val="1"/>
          <w:bCs w:val="1"/>
          <w:color w:val="auto"/>
          <w:vertAlign w:val="superscript"/>
        </w:rPr>
        <w:t>(*)</w:t>
      </w:r>
    </w:p>
    <w:tbl>
      <w:tblPr>
        <w:tblLayout w:type="fixed"/>
        <w:tblInd w:w="10" w:type="dxa"/>
        <w:tblCellMar>
          <w:top w:w="0" w:type="dxa"/>
          <w:left w:w="0" w:type="dxa"/>
          <w:bottom w:w="0" w:type="dxa"/>
          <w:right w:w="0" w:type="dxa"/>
        </w:tblCellMar>
      </w:tblPr>
      <w:tr>
        <w:trPr>
          <w:trHeight w:val="137"/>
        </w:trPr>
        <w:tc>
          <w:tcPr>
            <w:tcW w:w="3180" w:type="dxa"/>
            <w:vAlign w:val="bottom"/>
            <w:tcBorders>
              <w:top w:val="single" w:sz="8" w:color="auto"/>
              <w:left w:val="single" w:sz="8" w:color="auto"/>
              <w:right w:val="single" w:sz="8" w:color="auto"/>
            </w:tcBorders>
            <w:shd w:val="clear" w:color="auto" w:fill="33CCCC"/>
          </w:tcPr>
          <w:p>
            <w:pPr>
              <w:ind w:left="20"/>
              <w:spacing w:after="0" w:line="138" w:lineRule="exact"/>
              <w:rPr>
                <w:sz w:val="20"/>
                <w:szCs w:val="20"/>
                <w:color w:val="auto"/>
              </w:rPr>
            </w:pPr>
            <w:r>
              <w:rPr>
                <w:rFonts w:ascii="Calibri" w:cs="Calibri" w:eastAsia="Calibri" w:hAnsi="Calibri"/>
                <w:sz w:val="12"/>
                <w:szCs w:val="12"/>
                <w:b w:val="1"/>
                <w:bCs w:val="1"/>
                <w:color w:val="FFFFFF"/>
              </w:rPr>
              <w:t>BCP Stand-alone Fees</w:t>
            </w:r>
          </w:p>
        </w:tc>
        <w:tc>
          <w:tcPr>
            <w:tcW w:w="900" w:type="dxa"/>
            <w:vAlign w:val="bottom"/>
            <w:tcBorders>
              <w:top w:val="single" w:sz="8" w:color="auto"/>
            </w:tcBorders>
            <w:shd w:val="clear" w:color="auto" w:fill="33CCCC"/>
          </w:tcPr>
          <w:p>
            <w:pPr>
              <w:spacing w:after="0"/>
              <w:rPr>
                <w:sz w:val="11"/>
                <w:szCs w:val="11"/>
                <w:color w:val="auto"/>
              </w:rPr>
            </w:pPr>
          </w:p>
        </w:tc>
        <w:tc>
          <w:tcPr>
            <w:tcW w:w="1080" w:type="dxa"/>
            <w:vAlign w:val="bottom"/>
            <w:tcBorders>
              <w:top w:val="single" w:sz="8" w:color="auto"/>
            </w:tcBorders>
            <w:shd w:val="clear" w:color="auto" w:fill="33CCCC"/>
          </w:tcPr>
          <w:p>
            <w:pPr>
              <w:ind w:left="300"/>
              <w:spacing w:after="0" w:line="138" w:lineRule="exact"/>
              <w:rPr>
                <w:sz w:val="20"/>
                <w:szCs w:val="20"/>
                <w:color w:val="auto"/>
              </w:rPr>
            </w:pPr>
            <w:r>
              <w:rPr>
                <w:rFonts w:ascii="Calibri" w:cs="Calibri" w:eastAsia="Calibri" w:hAnsi="Calibri"/>
                <w:sz w:val="12"/>
                <w:szCs w:val="12"/>
                <w:b w:val="1"/>
                <w:bCs w:val="1"/>
                <w:color w:val="FFFFFF"/>
              </w:rPr>
              <w:t>Quarterly</w:t>
            </w:r>
          </w:p>
        </w:tc>
        <w:tc>
          <w:tcPr>
            <w:tcW w:w="920" w:type="dxa"/>
            <w:vAlign w:val="bottom"/>
            <w:tcBorders>
              <w:top w:val="single" w:sz="8" w:color="auto"/>
              <w:right w:val="single" w:sz="8" w:color="auto"/>
            </w:tcBorders>
            <w:shd w:val="clear" w:color="auto" w:fill="33CCCC"/>
          </w:tcPr>
          <w:p>
            <w:pPr>
              <w:spacing w:after="0"/>
              <w:rPr>
                <w:sz w:val="11"/>
                <w:szCs w:val="11"/>
                <w:color w:val="auto"/>
              </w:rPr>
            </w:pPr>
          </w:p>
        </w:tc>
        <w:tc>
          <w:tcPr>
            <w:tcW w:w="660" w:type="dxa"/>
            <w:vAlign w:val="bottom"/>
            <w:tcBorders>
              <w:top w:val="single" w:sz="8" w:color="auto"/>
            </w:tcBorders>
            <w:shd w:val="clear" w:color="auto" w:fill="33CCCC"/>
          </w:tcPr>
          <w:p>
            <w:pPr>
              <w:spacing w:after="0"/>
              <w:rPr>
                <w:sz w:val="11"/>
                <w:szCs w:val="11"/>
                <w:color w:val="auto"/>
              </w:rPr>
            </w:pPr>
          </w:p>
        </w:tc>
        <w:tc>
          <w:tcPr>
            <w:tcW w:w="1240" w:type="dxa"/>
            <w:vAlign w:val="bottom"/>
            <w:tcBorders>
              <w:top w:val="single" w:sz="8" w:color="auto"/>
              <w:right w:val="single" w:sz="8" w:color="auto"/>
            </w:tcBorders>
            <w:shd w:val="clear" w:color="auto" w:fill="33CCCC"/>
          </w:tcPr>
          <w:p>
            <w:pPr>
              <w:ind w:left="20"/>
              <w:spacing w:after="0" w:line="138" w:lineRule="exact"/>
              <w:rPr>
                <w:sz w:val="20"/>
                <w:szCs w:val="20"/>
                <w:color w:val="auto"/>
              </w:rPr>
            </w:pPr>
            <w:r>
              <w:rPr>
                <w:rFonts w:ascii="Calibri" w:cs="Calibri" w:eastAsia="Calibri" w:hAnsi="Calibri"/>
                <w:sz w:val="12"/>
                <w:szCs w:val="12"/>
                <w:b w:val="1"/>
                <w:bCs w:val="1"/>
                <w:color w:val="FFFFFF"/>
              </w:rPr>
              <w:t>% Change</w:t>
            </w:r>
          </w:p>
        </w:tc>
        <w:tc>
          <w:tcPr>
            <w:tcW w:w="700" w:type="dxa"/>
            <w:vAlign w:val="bottom"/>
            <w:tcBorders>
              <w:top w:val="single" w:sz="8" w:color="auto"/>
            </w:tcBorders>
            <w:shd w:val="clear" w:color="auto" w:fill="33CCCC"/>
          </w:tcPr>
          <w:p>
            <w:pPr>
              <w:spacing w:after="0"/>
              <w:rPr>
                <w:sz w:val="11"/>
                <w:szCs w:val="11"/>
                <w:color w:val="auto"/>
              </w:rPr>
            </w:pPr>
          </w:p>
        </w:tc>
        <w:tc>
          <w:tcPr>
            <w:tcW w:w="1180" w:type="dxa"/>
            <w:vAlign w:val="bottom"/>
            <w:tcBorders>
              <w:top w:val="single" w:sz="8" w:color="auto"/>
              <w:right w:val="single" w:sz="8" w:color="auto"/>
            </w:tcBorders>
            <w:shd w:val="clear" w:color="auto" w:fill="33CCCC"/>
          </w:tcPr>
          <w:p>
            <w:pPr>
              <w:ind w:left="80"/>
              <w:spacing w:after="0" w:line="138" w:lineRule="exact"/>
              <w:rPr>
                <w:sz w:val="20"/>
                <w:szCs w:val="20"/>
                <w:color w:val="auto"/>
              </w:rPr>
            </w:pPr>
            <w:r>
              <w:rPr>
                <w:rFonts w:ascii="Calibri" w:cs="Calibri" w:eastAsia="Calibri" w:hAnsi="Calibri"/>
                <w:sz w:val="12"/>
                <w:szCs w:val="12"/>
                <w:b w:val="1"/>
                <w:bCs w:val="1"/>
                <w:color w:val="FFFFFF"/>
              </w:rPr>
              <w:t>Up to</w:t>
            </w:r>
          </w:p>
        </w:tc>
        <w:tc>
          <w:tcPr>
            <w:tcW w:w="1380" w:type="dxa"/>
            <w:vAlign w:val="bottom"/>
            <w:tcBorders>
              <w:top w:val="single" w:sz="8" w:color="auto"/>
              <w:right w:val="single" w:sz="8" w:color="auto"/>
            </w:tcBorders>
            <w:shd w:val="clear" w:color="auto" w:fill="33CCCC"/>
          </w:tcPr>
          <w:p>
            <w:pPr>
              <w:jc w:val="center"/>
              <w:spacing w:after="0" w:line="138" w:lineRule="exact"/>
              <w:rPr>
                <w:sz w:val="20"/>
                <w:szCs w:val="20"/>
                <w:color w:val="auto"/>
              </w:rPr>
            </w:pPr>
            <w:r>
              <w:rPr>
                <w:rFonts w:ascii="Calibri" w:cs="Calibri" w:eastAsia="Calibri" w:hAnsi="Calibri"/>
                <w:sz w:val="12"/>
                <w:szCs w:val="12"/>
                <w:b w:val="1"/>
                <w:bCs w:val="1"/>
                <w:color w:val="FFFFFF"/>
                <w:w w:val="99"/>
              </w:rPr>
              <w:t>% Change</w:t>
            </w:r>
          </w:p>
        </w:tc>
      </w:tr>
      <w:tr>
        <w:trPr>
          <w:trHeight w:val="144"/>
        </w:trPr>
        <w:tc>
          <w:tcPr>
            <w:tcW w:w="3180" w:type="dxa"/>
            <w:vAlign w:val="bottom"/>
            <w:tcBorders>
              <w:left w:val="single" w:sz="8" w:color="auto"/>
              <w:bottom w:val="single" w:sz="8" w:color="auto"/>
              <w:right w:val="single" w:sz="8" w:color="auto"/>
            </w:tcBorders>
            <w:shd w:val="clear" w:color="auto" w:fill="33CCCC"/>
          </w:tcPr>
          <w:p>
            <w:pPr>
              <w:ind w:left="20"/>
              <w:spacing w:after="0" w:line="145" w:lineRule="exact"/>
              <w:rPr>
                <w:sz w:val="20"/>
                <w:szCs w:val="20"/>
                <w:color w:val="auto"/>
              </w:rPr>
            </w:pPr>
            <w:r>
              <w:rPr>
                <w:rFonts w:ascii="Calibri" w:cs="Calibri" w:eastAsia="Calibri" w:hAnsi="Calibri"/>
                <w:sz w:val="12"/>
                <w:szCs w:val="12"/>
                <w:b w:val="1"/>
                <w:bCs w:val="1"/>
                <w:color w:val="FFFFFF"/>
              </w:rPr>
              <w:t>S/000,000</w:t>
            </w:r>
          </w:p>
        </w:tc>
        <w:tc>
          <w:tcPr>
            <w:tcW w:w="900" w:type="dxa"/>
            <w:vAlign w:val="bottom"/>
            <w:tcBorders>
              <w:bottom w:val="single" w:sz="8" w:color="auto"/>
            </w:tcBorders>
            <w:shd w:val="clear" w:color="auto" w:fill="33CCCC"/>
          </w:tcPr>
          <w:p>
            <w:pPr>
              <w:jc w:val="center"/>
              <w:ind w:left="19"/>
              <w:spacing w:after="0" w:line="145" w:lineRule="exact"/>
              <w:rPr>
                <w:sz w:val="20"/>
                <w:szCs w:val="20"/>
                <w:color w:val="auto"/>
              </w:rPr>
            </w:pPr>
            <w:r>
              <w:rPr>
                <w:rFonts w:ascii="Calibri" w:cs="Calibri" w:eastAsia="Calibri" w:hAnsi="Calibri"/>
                <w:sz w:val="12"/>
                <w:szCs w:val="12"/>
                <w:b w:val="1"/>
                <w:bCs w:val="1"/>
                <w:color w:val="FFFFFF"/>
                <w:w w:val="97"/>
              </w:rPr>
              <w:t>4Q23</w:t>
            </w:r>
          </w:p>
        </w:tc>
        <w:tc>
          <w:tcPr>
            <w:tcW w:w="1080" w:type="dxa"/>
            <w:vAlign w:val="bottom"/>
            <w:tcBorders>
              <w:bottom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3Q24</w:t>
            </w:r>
          </w:p>
        </w:tc>
        <w:tc>
          <w:tcPr>
            <w:tcW w:w="92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4Q24</w:t>
            </w:r>
          </w:p>
        </w:tc>
        <w:tc>
          <w:tcPr>
            <w:tcW w:w="660" w:type="dxa"/>
            <w:vAlign w:val="bottom"/>
            <w:tcBorders>
              <w:bottom w:val="single" w:sz="8" w:color="auto"/>
            </w:tcBorders>
            <w:shd w:val="clear" w:color="auto" w:fill="33CCCC"/>
          </w:tcPr>
          <w:p>
            <w:pPr>
              <w:ind w:left="340"/>
              <w:spacing w:after="0" w:line="145" w:lineRule="exact"/>
              <w:rPr>
                <w:sz w:val="20"/>
                <w:szCs w:val="20"/>
                <w:color w:val="auto"/>
              </w:rPr>
            </w:pPr>
            <w:r>
              <w:rPr>
                <w:rFonts w:ascii="Calibri" w:cs="Calibri" w:eastAsia="Calibri" w:hAnsi="Calibri"/>
                <w:sz w:val="12"/>
                <w:szCs w:val="12"/>
                <w:b w:val="1"/>
                <w:bCs w:val="1"/>
                <w:color w:val="FFFFFF"/>
              </w:rPr>
              <w:t>QoQ</w:t>
            </w:r>
          </w:p>
        </w:tc>
        <w:tc>
          <w:tcPr>
            <w:tcW w:w="1240" w:type="dxa"/>
            <w:vAlign w:val="bottom"/>
            <w:tcBorders>
              <w:bottom w:val="single" w:sz="8" w:color="auto"/>
              <w:right w:val="single" w:sz="8" w:color="auto"/>
            </w:tcBorders>
            <w:shd w:val="clear" w:color="auto" w:fill="33CCCC"/>
          </w:tcPr>
          <w:p>
            <w:pPr>
              <w:ind w:left="640"/>
              <w:spacing w:after="0" w:line="145" w:lineRule="exact"/>
              <w:rPr>
                <w:sz w:val="20"/>
                <w:szCs w:val="20"/>
                <w:color w:val="auto"/>
              </w:rPr>
            </w:pPr>
            <w:r>
              <w:rPr>
                <w:rFonts w:ascii="Calibri" w:cs="Calibri" w:eastAsia="Calibri" w:hAnsi="Calibri"/>
                <w:sz w:val="12"/>
                <w:szCs w:val="12"/>
                <w:b w:val="1"/>
                <w:bCs w:val="1"/>
                <w:color w:val="FFFFFF"/>
              </w:rPr>
              <w:t>YoY</w:t>
            </w:r>
          </w:p>
        </w:tc>
        <w:tc>
          <w:tcPr>
            <w:tcW w:w="700" w:type="dxa"/>
            <w:vAlign w:val="bottom"/>
            <w:tcBorders>
              <w:bottom w:val="single" w:sz="8" w:color="auto"/>
            </w:tcBorders>
            <w:shd w:val="clear" w:color="auto" w:fill="33CCCC"/>
          </w:tcPr>
          <w:p>
            <w:pPr>
              <w:ind w:left="280"/>
              <w:spacing w:after="0" w:line="145" w:lineRule="exact"/>
              <w:rPr>
                <w:sz w:val="20"/>
                <w:szCs w:val="20"/>
                <w:color w:val="auto"/>
              </w:rPr>
            </w:pPr>
            <w:r>
              <w:rPr>
                <w:rFonts w:ascii="Calibri" w:cs="Calibri" w:eastAsia="Calibri" w:hAnsi="Calibri"/>
                <w:sz w:val="12"/>
                <w:szCs w:val="12"/>
                <w:b w:val="1"/>
                <w:bCs w:val="1"/>
                <w:color w:val="FFFFFF"/>
              </w:rPr>
              <w:t>Dec 23</w:t>
            </w:r>
          </w:p>
        </w:tc>
        <w:tc>
          <w:tcPr>
            <w:tcW w:w="1180" w:type="dxa"/>
            <w:vAlign w:val="bottom"/>
            <w:tcBorders>
              <w:bottom w:val="single" w:sz="8" w:color="auto"/>
              <w:right w:val="single" w:sz="8" w:color="auto"/>
            </w:tcBorders>
            <w:shd w:val="clear" w:color="auto" w:fill="33CCCC"/>
          </w:tcPr>
          <w:p>
            <w:pPr>
              <w:ind w:left="520"/>
              <w:spacing w:after="0" w:line="145" w:lineRule="exact"/>
              <w:rPr>
                <w:sz w:val="20"/>
                <w:szCs w:val="20"/>
                <w:color w:val="auto"/>
              </w:rPr>
            </w:pPr>
            <w:r>
              <w:rPr>
                <w:rFonts w:ascii="Calibri" w:cs="Calibri" w:eastAsia="Calibri" w:hAnsi="Calibri"/>
                <w:sz w:val="12"/>
                <w:szCs w:val="12"/>
                <w:b w:val="1"/>
                <w:bCs w:val="1"/>
                <w:color w:val="FFFFFF"/>
              </w:rPr>
              <w:t>Dec 24</w:t>
            </w:r>
          </w:p>
        </w:tc>
        <w:tc>
          <w:tcPr>
            <w:tcW w:w="138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Dec 24 / Dec 23</w:t>
            </w:r>
          </w:p>
        </w:tc>
      </w:tr>
      <w:tr>
        <w:trPr>
          <w:trHeight w:val="120"/>
        </w:trPr>
        <w:tc>
          <w:tcPr>
            <w:tcW w:w="3180" w:type="dxa"/>
            <w:vAlign w:val="bottom"/>
            <w:tcBorders>
              <w:left w:val="single" w:sz="8" w:color="auto"/>
              <w:right w:val="single" w:sz="8" w:color="auto"/>
            </w:tcBorders>
          </w:tcPr>
          <w:p>
            <w:pPr>
              <w:ind w:left="20"/>
              <w:spacing w:after="0" w:line="120" w:lineRule="exact"/>
              <w:rPr>
                <w:sz w:val="20"/>
                <w:szCs w:val="20"/>
                <w:color w:val="auto"/>
              </w:rPr>
            </w:pPr>
            <w:r>
              <w:rPr>
                <w:rFonts w:ascii="Calibri" w:cs="Calibri" w:eastAsia="Calibri" w:hAnsi="Calibri"/>
                <w:sz w:val="9"/>
                <w:szCs w:val="9"/>
                <w:color w:val="auto"/>
              </w:rPr>
              <w:t xml:space="preserve">Payments and transactonals </w:t>
            </w:r>
            <w:r>
              <w:rPr>
                <w:rFonts w:ascii="Calibri" w:cs="Calibri" w:eastAsia="Calibri" w:hAnsi="Calibri"/>
                <w:sz w:val="13"/>
                <w:szCs w:val="13"/>
                <w:color w:val="auto"/>
                <w:vertAlign w:val="superscript"/>
              </w:rPr>
              <w:t>(1)</w:t>
            </w:r>
          </w:p>
        </w:tc>
        <w:tc>
          <w:tcPr>
            <w:tcW w:w="900" w:type="dxa"/>
            <w:vAlign w:val="bottom"/>
          </w:tcPr>
          <w:p>
            <w:pPr>
              <w:jc w:val="center"/>
              <w:ind w:left="19"/>
              <w:spacing w:after="0" w:line="120" w:lineRule="exact"/>
              <w:rPr>
                <w:sz w:val="20"/>
                <w:szCs w:val="20"/>
                <w:color w:val="auto"/>
              </w:rPr>
            </w:pPr>
            <w:r>
              <w:rPr>
                <w:rFonts w:ascii="Calibri" w:cs="Calibri" w:eastAsia="Calibri" w:hAnsi="Calibri"/>
                <w:sz w:val="12"/>
                <w:szCs w:val="12"/>
                <w:color w:val="auto"/>
                <w:w w:val="98"/>
              </w:rPr>
              <w:t>322</w:t>
            </w:r>
          </w:p>
        </w:tc>
        <w:tc>
          <w:tcPr>
            <w:tcW w:w="1080" w:type="dxa"/>
            <w:vAlign w:val="bottom"/>
          </w:tcPr>
          <w:p>
            <w:pPr>
              <w:jc w:val="center"/>
              <w:spacing w:after="0" w:line="120" w:lineRule="exact"/>
              <w:rPr>
                <w:sz w:val="20"/>
                <w:szCs w:val="20"/>
                <w:color w:val="auto"/>
              </w:rPr>
            </w:pPr>
            <w:r>
              <w:rPr>
                <w:rFonts w:ascii="Calibri" w:cs="Calibri" w:eastAsia="Calibri" w:hAnsi="Calibri"/>
                <w:sz w:val="12"/>
                <w:szCs w:val="12"/>
                <w:color w:val="auto"/>
                <w:w w:val="98"/>
              </w:rPr>
              <w:t>377</w:t>
            </w:r>
          </w:p>
        </w:tc>
        <w:tc>
          <w:tcPr>
            <w:tcW w:w="920" w:type="dxa"/>
            <w:vAlign w:val="bottom"/>
            <w:tcBorders>
              <w:right w:val="single" w:sz="8" w:color="auto"/>
            </w:tcBorders>
          </w:tcPr>
          <w:p>
            <w:pPr>
              <w:jc w:val="center"/>
              <w:spacing w:after="0" w:line="120" w:lineRule="exact"/>
              <w:rPr>
                <w:sz w:val="20"/>
                <w:szCs w:val="20"/>
                <w:color w:val="auto"/>
              </w:rPr>
            </w:pPr>
            <w:r>
              <w:rPr>
                <w:rFonts w:ascii="Calibri" w:cs="Calibri" w:eastAsia="Calibri" w:hAnsi="Calibri"/>
                <w:sz w:val="12"/>
                <w:szCs w:val="12"/>
                <w:color w:val="auto"/>
                <w:w w:val="98"/>
              </w:rPr>
              <w:t>361</w:t>
            </w:r>
          </w:p>
        </w:tc>
        <w:tc>
          <w:tcPr>
            <w:tcW w:w="660" w:type="dxa"/>
            <w:vAlign w:val="bottom"/>
          </w:tcPr>
          <w:p>
            <w:pPr>
              <w:jc w:val="center"/>
              <w:ind w:left="199"/>
              <w:spacing w:after="0" w:line="120" w:lineRule="exact"/>
              <w:rPr>
                <w:sz w:val="20"/>
                <w:szCs w:val="20"/>
                <w:color w:val="auto"/>
              </w:rPr>
            </w:pPr>
            <w:r>
              <w:rPr>
                <w:rFonts w:ascii="Calibri" w:cs="Calibri" w:eastAsia="Calibri" w:hAnsi="Calibri"/>
                <w:sz w:val="12"/>
                <w:szCs w:val="12"/>
                <w:color w:val="auto"/>
              </w:rPr>
              <w:t>4.3%</w:t>
            </w:r>
          </w:p>
        </w:tc>
        <w:tc>
          <w:tcPr>
            <w:tcW w:w="1240" w:type="dxa"/>
            <w:vAlign w:val="bottom"/>
            <w:tcBorders>
              <w:right w:val="single" w:sz="8" w:color="auto"/>
            </w:tcBorders>
          </w:tcPr>
          <w:p>
            <w:pPr>
              <w:jc w:val="center"/>
              <w:ind w:left="179"/>
              <w:spacing w:after="0" w:line="120" w:lineRule="exact"/>
              <w:rPr>
                <w:sz w:val="20"/>
                <w:szCs w:val="20"/>
                <w:color w:val="auto"/>
              </w:rPr>
            </w:pPr>
            <w:r>
              <w:rPr>
                <w:rFonts w:ascii="Calibri" w:cs="Calibri" w:eastAsia="Calibri" w:hAnsi="Calibri"/>
                <w:sz w:val="12"/>
                <w:szCs w:val="12"/>
                <w:color w:val="auto"/>
              </w:rPr>
              <w:t>11.1%</w:t>
            </w:r>
          </w:p>
        </w:tc>
        <w:tc>
          <w:tcPr>
            <w:tcW w:w="700" w:type="dxa"/>
            <w:vAlign w:val="bottom"/>
          </w:tcPr>
          <w:p>
            <w:pPr>
              <w:jc w:val="center"/>
              <w:ind w:left="139"/>
              <w:spacing w:after="0" w:line="120" w:lineRule="exact"/>
              <w:rPr>
                <w:sz w:val="20"/>
                <w:szCs w:val="20"/>
                <w:color w:val="auto"/>
              </w:rPr>
            </w:pPr>
            <w:r>
              <w:rPr>
                <w:rFonts w:ascii="Calibri" w:cs="Calibri" w:eastAsia="Calibri" w:hAnsi="Calibri"/>
                <w:sz w:val="12"/>
                <w:szCs w:val="12"/>
                <w:color w:val="auto"/>
                <w:w w:val="94"/>
              </w:rPr>
              <w:t>1,302</w:t>
            </w:r>
          </w:p>
        </w:tc>
        <w:tc>
          <w:tcPr>
            <w:tcW w:w="1180" w:type="dxa"/>
            <w:vAlign w:val="bottom"/>
            <w:tcBorders>
              <w:right w:val="single" w:sz="8" w:color="auto"/>
            </w:tcBorders>
          </w:tcPr>
          <w:p>
            <w:pPr>
              <w:jc w:val="center"/>
              <w:ind w:left="119"/>
              <w:spacing w:after="0" w:line="120" w:lineRule="exact"/>
              <w:rPr>
                <w:sz w:val="20"/>
                <w:szCs w:val="20"/>
                <w:color w:val="auto"/>
              </w:rPr>
            </w:pPr>
            <w:r>
              <w:rPr>
                <w:rFonts w:ascii="Calibri" w:cs="Calibri" w:eastAsia="Calibri" w:hAnsi="Calibri"/>
                <w:sz w:val="12"/>
                <w:szCs w:val="12"/>
                <w:color w:val="auto"/>
              </w:rPr>
              <w:t>1,411</w:t>
            </w:r>
          </w:p>
        </w:tc>
        <w:tc>
          <w:tcPr>
            <w:tcW w:w="1380" w:type="dxa"/>
            <w:vAlign w:val="bottom"/>
            <w:tcBorders>
              <w:right w:val="single" w:sz="8" w:color="auto"/>
            </w:tcBorders>
          </w:tcPr>
          <w:p>
            <w:pPr>
              <w:jc w:val="center"/>
              <w:spacing w:after="0" w:line="120" w:lineRule="exact"/>
              <w:rPr>
                <w:sz w:val="20"/>
                <w:szCs w:val="20"/>
                <w:color w:val="auto"/>
              </w:rPr>
            </w:pPr>
            <w:r>
              <w:rPr>
                <w:rFonts w:ascii="Calibri" w:cs="Calibri" w:eastAsia="Calibri" w:hAnsi="Calibri"/>
                <w:sz w:val="12"/>
                <w:szCs w:val="12"/>
                <w:color w:val="auto"/>
              </w:rPr>
              <w:t>8.4%</w:t>
            </w:r>
          </w:p>
        </w:tc>
      </w:tr>
      <w:tr>
        <w:trPr>
          <w:trHeight w:val="144"/>
        </w:trPr>
        <w:tc>
          <w:tcPr>
            <w:tcW w:w="318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0"/>
                <w:szCs w:val="10"/>
                <w:color w:val="auto"/>
              </w:rPr>
              <w:t xml:space="preserve">Yape </w:t>
            </w:r>
            <w:r>
              <w:rPr>
                <w:rFonts w:ascii="Calibri" w:cs="Calibri" w:eastAsia="Calibri" w:hAnsi="Calibri"/>
                <w:sz w:val="15"/>
                <w:szCs w:val="15"/>
                <w:color w:val="auto"/>
                <w:vertAlign w:val="superscript"/>
              </w:rPr>
              <w:t>(2)</w:t>
            </w:r>
          </w:p>
        </w:tc>
        <w:tc>
          <w:tcPr>
            <w:tcW w:w="900" w:type="dxa"/>
            <w:vAlign w:val="bottom"/>
          </w:tcPr>
          <w:p>
            <w:pPr>
              <w:jc w:val="center"/>
              <w:ind w:left="19"/>
              <w:spacing w:after="0" w:line="145" w:lineRule="exact"/>
              <w:rPr>
                <w:sz w:val="20"/>
                <w:szCs w:val="20"/>
                <w:color w:val="auto"/>
              </w:rPr>
            </w:pPr>
            <w:r>
              <w:rPr>
                <w:rFonts w:ascii="Calibri" w:cs="Calibri" w:eastAsia="Calibri" w:hAnsi="Calibri"/>
                <w:sz w:val="12"/>
                <w:szCs w:val="12"/>
                <w:color w:val="auto"/>
              </w:rPr>
              <w:t>42</w:t>
            </w:r>
          </w:p>
        </w:tc>
        <w:tc>
          <w:tcPr>
            <w:tcW w:w="108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96</w:t>
            </w:r>
          </w:p>
        </w:tc>
        <w:tc>
          <w:tcPr>
            <w:tcW w:w="9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118</w:t>
            </w:r>
          </w:p>
        </w:tc>
        <w:tc>
          <w:tcPr>
            <w:tcW w:w="6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-4.9%</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7.4%</w:t>
            </w:r>
          </w:p>
        </w:tc>
        <w:tc>
          <w:tcPr>
            <w:tcW w:w="70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rPr>
              <w:t>90</w:t>
            </w:r>
          </w:p>
        </w:tc>
        <w:tc>
          <w:tcPr>
            <w:tcW w:w="118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w w:val="98"/>
              </w:rPr>
              <w:t>340</w:t>
            </w:r>
          </w:p>
        </w:tc>
        <w:tc>
          <w:tcPr>
            <w:tcW w:w="13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278.9%</w:t>
            </w:r>
          </w:p>
        </w:tc>
      </w:tr>
      <w:tr>
        <w:trPr>
          <w:trHeight w:val="144"/>
        </w:trPr>
        <w:tc>
          <w:tcPr>
            <w:tcW w:w="318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0"/>
                <w:szCs w:val="10"/>
                <w:color w:val="auto"/>
              </w:rPr>
              <w:t xml:space="preserve">Liability accounts </w:t>
            </w:r>
            <w:r>
              <w:rPr>
                <w:rFonts w:ascii="Calibri" w:cs="Calibri" w:eastAsia="Calibri" w:hAnsi="Calibri"/>
                <w:sz w:val="15"/>
                <w:szCs w:val="15"/>
                <w:color w:val="auto"/>
                <w:vertAlign w:val="superscript"/>
              </w:rPr>
              <w:t>(3)</w:t>
            </w:r>
          </w:p>
        </w:tc>
        <w:tc>
          <w:tcPr>
            <w:tcW w:w="900" w:type="dxa"/>
            <w:vAlign w:val="bottom"/>
          </w:tcPr>
          <w:p>
            <w:pPr>
              <w:jc w:val="center"/>
              <w:ind w:left="19"/>
              <w:spacing w:after="0" w:line="145" w:lineRule="exact"/>
              <w:rPr>
                <w:sz w:val="20"/>
                <w:szCs w:val="20"/>
                <w:color w:val="auto"/>
              </w:rPr>
            </w:pPr>
            <w:r>
              <w:rPr>
                <w:rFonts w:ascii="Calibri" w:cs="Calibri" w:eastAsia="Calibri" w:hAnsi="Calibri"/>
                <w:sz w:val="12"/>
                <w:szCs w:val="12"/>
                <w:color w:val="auto"/>
                <w:w w:val="98"/>
              </w:rPr>
              <w:t>186</w:t>
            </w:r>
          </w:p>
        </w:tc>
        <w:tc>
          <w:tcPr>
            <w:tcW w:w="108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198</w:t>
            </w:r>
          </w:p>
        </w:tc>
        <w:tc>
          <w:tcPr>
            <w:tcW w:w="9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192</w:t>
            </w:r>
          </w:p>
        </w:tc>
        <w:tc>
          <w:tcPr>
            <w:tcW w:w="6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2.7%</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1.6%</w:t>
            </w:r>
          </w:p>
        </w:tc>
        <w:tc>
          <w:tcPr>
            <w:tcW w:w="70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w w:val="98"/>
              </w:rPr>
              <w:t>724</w:t>
            </w:r>
          </w:p>
        </w:tc>
        <w:tc>
          <w:tcPr>
            <w:tcW w:w="118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w w:val="98"/>
              </w:rPr>
              <w:t>760</w:t>
            </w:r>
          </w:p>
        </w:tc>
        <w:tc>
          <w:tcPr>
            <w:tcW w:w="13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4.9%</w:t>
            </w:r>
          </w:p>
        </w:tc>
      </w:tr>
      <w:tr>
        <w:trPr>
          <w:trHeight w:val="151"/>
        </w:trPr>
        <w:tc>
          <w:tcPr>
            <w:tcW w:w="3180" w:type="dxa"/>
            <w:vAlign w:val="bottom"/>
            <w:tcBorders>
              <w:left w:val="single" w:sz="8" w:color="auto"/>
              <w:right w:val="single" w:sz="8" w:color="auto"/>
            </w:tcBorders>
          </w:tcPr>
          <w:p>
            <w:pPr>
              <w:ind w:left="20"/>
              <w:spacing w:after="0" w:line="151" w:lineRule="exact"/>
              <w:rPr>
                <w:sz w:val="20"/>
                <w:szCs w:val="20"/>
                <w:color w:val="auto"/>
              </w:rPr>
            </w:pPr>
            <w:r>
              <w:rPr>
                <w:rFonts w:ascii="Calibri" w:cs="Calibri" w:eastAsia="Calibri" w:hAnsi="Calibri"/>
                <w:sz w:val="10"/>
                <w:szCs w:val="10"/>
                <w:color w:val="auto"/>
              </w:rPr>
              <w:t xml:space="preserve">Loan Disbursement </w:t>
            </w:r>
            <w:r>
              <w:rPr>
                <w:rFonts w:ascii="Calibri" w:cs="Calibri" w:eastAsia="Calibri" w:hAnsi="Calibri"/>
                <w:sz w:val="16"/>
                <w:szCs w:val="16"/>
                <w:color w:val="auto"/>
                <w:vertAlign w:val="superscript"/>
              </w:rPr>
              <w:t>(4)</w:t>
            </w:r>
          </w:p>
        </w:tc>
        <w:tc>
          <w:tcPr>
            <w:tcW w:w="900" w:type="dxa"/>
            <w:vAlign w:val="bottom"/>
          </w:tcPr>
          <w:p>
            <w:pPr>
              <w:jc w:val="center"/>
              <w:ind w:left="19"/>
              <w:spacing w:after="0"/>
              <w:rPr>
                <w:sz w:val="20"/>
                <w:szCs w:val="20"/>
                <w:color w:val="auto"/>
              </w:rPr>
            </w:pPr>
            <w:r>
              <w:rPr>
                <w:rFonts w:ascii="Calibri" w:cs="Calibri" w:eastAsia="Calibri" w:hAnsi="Calibri"/>
                <w:sz w:val="12"/>
                <w:szCs w:val="12"/>
                <w:color w:val="auto"/>
              </w:rPr>
              <w:t>96</w:t>
            </w:r>
          </w:p>
        </w:tc>
        <w:tc>
          <w:tcPr>
            <w:tcW w:w="1080" w:type="dxa"/>
            <w:vAlign w:val="bottom"/>
          </w:tcPr>
          <w:p>
            <w:pPr>
              <w:jc w:val="center"/>
              <w:spacing w:after="0"/>
              <w:rPr>
                <w:sz w:val="20"/>
                <w:szCs w:val="20"/>
                <w:color w:val="auto"/>
              </w:rPr>
            </w:pPr>
            <w:r>
              <w:rPr>
                <w:rFonts w:ascii="Calibri" w:cs="Calibri" w:eastAsia="Calibri" w:hAnsi="Calibri"/>
                <w:sz w:val="12"/>
                <w:szCs w:val="12"/>
                <w:color w:val="auto"/>
                <w:w w:val="98"/>
              </w:rPr>
              <w:t>96</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98</w:t>
            </w:r>
          </w:p>
        </w:tc>
        <w:tc>
          <w:tcPr>
            <w:tcW w:w="660" w:type="dxa"/>
            <w:vAlign w:val="bottom"/>
          </w:tcPr>
          <w:p>
            <w:pPr>
              <w:jc w:val="center"/>
              <w:ind w:left="199"/>
              <w:spacing w:after="0"/>
              <w:rPr>
                <w:sz w:val="20"/>
                <w:szCs w:val="20"/>
                <w:color w:val="auto"/>
              </w:rPr>
            </w:pPr>
            <w:r>
              <w:rPr>
                <w:rFonts w:ascii="Calibri" w:cs="Calibri" w:eastAsia="Calibri" w:hAnsi="Calibri"/>
                <w:sz w:val="12"/>
                <w:szCs w:val="12"/>
                <w:color w:val="auto"/>
              </w:rPr>
              <w:t>-2.3%</w:t>
            </w:r>
          </w:p>
        </w:tc>
        <w:tc>
          <w:tcPr>
            <w:tcW w:w="1240" w:type="dxa"/>
            <w:vAlign w:val="bottom"/>
            <w:tcBorders>
              <w:right w:val="single" w:sz="8" w:color="auto"/>
            </w:tcBorders>
          </w:tcPr>
          <w:p>
            <w:pPr>
              <w:jc w:val="center"/>
              <w:ind w:left="179"/>
              <w:spacing w:after="0"/>
              <w:rPr>
                <w:sz w:val="20"/>
                <w:szCs w:val="20"/>
                <w:color w:val="auto"/>
              </w:rPr>
            </w:pPr>
            <w:r>
              <w:rPr>
                <w:rFonts w:ascii="Calibri" w:cs="Calibri" w:eastAsia="Calibri" w:hAnsi="Calibri"/>
                <w:sz w:val="12"/>
                <w:szCs w:val="12"/>
                <w:color w:val="auto"/>
              </w:rPr>
              <w:t>2.9%</w:t>
            </w:r>
          </w:p>
        </w:tc>
        <w:tc>
          <w:tcPr>
            <w:tcW w:w="700" w:type="dxa"/>
            <w:vAlign w:val="bottom"/>
          </w:tcPr>
          <w:p>
            <w:pPr>
              <w:jc w:val="center"/>
              <w:ind w:left="139"/>
              <w:spacing w:after="0"/>
              <w:rPr>
                <w:sz w:val="20"/>
                <w:szCs w:val="20"/>
                <w:color w:val="auto"/>
              </w:rPr>
            </w:pPr>
            <w:r>
              <w:rPr>
                <w:rFonts w:ascii="Calibri" w:cs="Calibri" w:eastAsia="Calibri" w:hAnsi="Calibri"/>
                <w:sz w:val="12"/>
                <w:szCs w:val="12"/>
                <w:color w:val="auto"/>
                <w:w w:val="98"/>
              </w:rPr>
              <w:t>372</w:t>
            </w:r>
          </w:p>
        </w:tc>
        <w:tc>
          <w:tcPr>
            <w:tcW w:w="1180" w:type="dxa"/>
            <w:vAlign w:val="bottom"/>
            <w:tcBorders>
              <w:right w:val="single" w:sz="8" w:color="auto"/>
            </w:tcBorders>
          </w:tcPr>
          <w:p>
            <w:pPr>
              <w:jc w:val="center"/>
              <w:ind w:left="139"/>
              <w:spacing w:after="0"/>
              <w:rPr>
                <w:sz w:val="20"/>
                <w:szCs w:val="20"/>
                <w:color w:val="auto"/>
              </w:rPr>
            </w:pPr>
            <w:r>
              <w:rPr>
                <w:rFonts w:ascii="Calibri" w:cs="Calibri" w:eastAsia="Calibri" w:hAnsi="Calibri"/>
                <w:sz w:val="12"/>
                <w:szCs w:val="12"/>
                <w:color w:val="auto"/>
                <w:w w:val="98"/>
              </w:rPr>
              <w:t>385</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3.4%</w:t>
            </w:r>
          </w:p>
        </w:tc>
      </w:tr>
      <w:tr>
        <w:trPr>
          <w:trHeight w:val="144"/>
        </w:trPr>
        <w:tc>
          <w:tcPr>
            <w:tcW w:w="318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Of-balance sheet</w:t>
            </w:r>
          </w:p>
        </w:tc>
        <w:tc>
          <w:tcPr>
            <w:tcW w:w="900" w:type="dxa"/>
            <w:vAlign w:val="bottom"/>
          </w:tcPr>
          <w:p>
            <w:pPr>
              <w:jc w:val="center"/>
              <w:ind w:left="19"/>
              <w:spacing w:after="0" w:line="145" w:lineRule="exact"/>
              <w:rPr>
                <w:sz w:val="20"/>
                <w:szCs w:val="20"/>
                <w:color w:val="auto"/>
              </w:rPr>
            </w:pPr>
            <w:r>
              <w:rPr>
                <w:rFonts w:ascii="Calibri" w:cs="Calibri" w:eastAsia="Calibri" w:hAnsi="Calibri"/>
                <w:sz w:val="12"/>
                <w:szCs w:val="12"/>
                <w:color w:val="auto"/>
              </w:rPr>
              <w:t>57</w:t>
            </w:r>
          </w:p>
        </w:tc>
        <w:tc>
          <w:tcPr>
            <w:tcW w:w="108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57</w:t>
            </w:r>
          </w:p>
        </w:tc>
        <w:tc>
          <w:tcPr>
            <w:tcW w:w="9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55</w:t>
            </w:r>
          </w:p>
        </w:tc>
        <w:tc>
          <w:tcPr>
            <w:tcW w:w="66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-27.7%</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28.4%</w:t>
            </w:r>
          </w:p>
        </w:tc>
        <w:tc>
          <w:tcPr>
            <w:tcW w:w="70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w w:val="98"/>
              </w:rPr>
              <w:t>231</w:t>
            </w:r>
          </w:p>
        </w:tc>
        <w:tc>
          <w:tcPr>
            <w:tcW w:w="118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w w:val="98"/>
              </w:rPr>
              <w:t>224</w:t>
            </w:r>
          </w:p>
        </w:tc>
        <w:tc>
          <w:tcPr>
            <w:tcW w:w="13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-3.0%</w:t>
            </w:r>
          </w:p>
        </w:tc>
      </w:tr>
      <w:tr>
        <w:trPr>
          <w:trHeight w:val="144"/>
        </w:trPr>
        <w:tc>
          <w:tcPr>
            <w:tcW w:w="3180" w:type="dxa"/>
            <w:vAlign w:val="bottom"/>
            <w:tcBorders>
              <w:left w:val="single" w:sz="8" w:color="auto"/>
              <w:righ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Insurances</w:t>
            </w:r>
          </w:p>
        </w:tc>
        <w:tc>
          <w:tcPr>
            <w:tcW w:w="900" w:type="dxa"/>
            <w:vAlign w:val="bottom"/>
          </w:tcPr>
          <w:p>
            <w:pPr>
              <w:jc w:val="center"/>
              <w:ind w:left="19"/>
              <w:spacing w:after="0" w:line="145" w:lineRule="exact"/>
              <w:rPr>
                <w:sz w:val="20"/>
                <w:szCs w:val="20"/>
                <w:color w:val="auto"/>
              </w:rPr>
            </w:pPr>
            <w:r>
              <w:rPr>
                <w:rFonts w:ascii="Calibri" w:cs="Calibri" w:eastAsia="Calibri" w:hAnsi="Calibri"/>
                <w:sz w:val="12"/>
                <w:szCs w:val="12"/>
                <w:color w:val="auto"/>
              </w:rPr>
              <w:t>32</w:t>
            </w:r>
          </w:p>
        </w:tc>
        <w:tc>
          <w:tcPr>
            <w:tcW w:w="108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34</w:t>
            </w:r>
          </w:p>
        </w:tc>
        <w:tc>
          <w:tcPr>
            <w:tcW w:w="92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35</w:t>
            </w:r>
          </w:p>
        </w:tc>
        <w:tc>
          <w:tcPr>
            <w:tcW w:w="6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-8.7%</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-44.2%</w:t>
            </w:r>
          </w:p>
        </w:tc>
        <w:tc>
          <w:tcPr>
            <w:tcW w:w="700" w:type="dxa"/>
            <w:vAlign w:val="bottom"/>
          </w:tcPr>
          <w:p>
            <w:pPr>
              <w:jc w:val="center"/>
              <w:ind w:left="139"/>
              <w:spacing w:after="0" w:line="145" w:lineRule="exact"/>
              <w:rPr>
                <w:sz w:val="20"/>
                <w:szCs w:val="20"/>
                <w:color w:val="auto"/>
              </w:rPr>
            </w:pPr>
            <w:r>
              <w:rPr>
                <w:rFonts w:ascii="Calibri" w:cs="Calibri" w:eastAsia="Calibri" w:hAnsi="Calibri"/>
                <w:sz w:val="12"/>
                <w:szCs w:val="12"/>
                <w:color w:val="auto"/>
                <w:w w:val="98"/>
              </w:rPr>
              <w:t>126</w:t>
            </w:r>
          </w:p>
        </w:tc>
        <w:tc>
          <w:tcPr>
            <w:tcW w:w="1180" w:type="dxa"/>
            <w:vAlign w:val="bottom"/>
            <w:tcBorders>
              <w:right w:val="single" w:sz="8" w:color="auto"/>
            </w:tcBorders>
          </w:tcPr>
          <w:p>
            <w:pPr>
              <w:jc w:val="center"/>
              <w:ind w:left="139"/>
              <w:spacing w:after="0" w:line="145" w:lineRule="exact"/>
              <w:rPr>
                <w:sz w:val="20"/>
                <w:szCs w:val="20"/>
                <w:color w:val="auto"/>
              </w:rPr>
            </w:pPr>
            <w:r>
              <w:rPr>
                <w:rFonts w:ascii="Calibri" w:cs="Calibri" w:eastAsia="Calibri" w:hAnsi="Calibri"/>
                <w:sz w:val="12"/>
                <w:szCs w:val="12"/>
                <w:color w:val="auto"/>
                <w:w w:val="98"/>
              </w:rPr>
              <w:t>137</w:t>
            </w:r>
          </w:p>
        </w:tc>
        <w:tc>
          <w:tcPr>
            <w:tcW w:w="138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8.7%</w:t>
            </w:r>
          </w:p>
        </w:tc>
      </w:tr>
      <w:tr>
        <w:trPr>
          <w:trHeight w:val="137"/>
        </w:trPr>
        <w:tc>
          <w:tcPr>
            <w:tcW w:w="3180" w:type="dxa"/>
            <w:vAlign w:val="bottom"/>
            <w:tcBorders>
              <w:left w:val="single" w:sz="8" w:color="auto"/>
              <w:right w:val="single" w:sz="8" w:color="auto"/>
            </w:tcBorders>
          </w:tcPr>
          <w:p>
            <w:pPr>
              <w:ind w:left="20"/>
              <w:spacing w:after="0" w:line="138" w:lineRule="exact"/>
              <w:rPr>
                <w:sz w:val="20"/>
                <w:szCs w:val="20"/>
                <w:color w:val="auto"/>
              </w:rPr>
            </w:pPr>
            <w:r>
              <w:rPr>
                <w:rFonts w:ascii="Calibri" w:cs="Calibri" w:eastAsia="Calibri" w:hAnsi="Calibri"/>
                <w:sz w:val="12"/>
                <w:szCs w:val="12"/>
                <w:color w:val="auto"/>
              </w:rPr>
              <w:t>Wealth Management and Corporate Finance</w:t>
            </w:r>
          </w:p>
        </w:tc>
        <w:tc>
          <w:tcPr>
            <w:tcW w:w="900" w:type="dxa"/>
            <w:vAlign w:val="bottom"/>
          </w:tcPr>
          <w:p>
            <w:pPr>
              <w:jc w:val="center"/>
              <w:ind w:left="19"/>
              <w:spacing w:after="0" w:line="138" w:lineRule="exact"/>
              <w:rPr>
                <w:sz w:val="20"/>
                <w:szCs w:val="20"/>
                <w:color w:val="auto"/>
              </w:rPr>
            </w:pPr>
            <w:r>
              <w:rPr>
                <w:rFonts w:ascii="Calibri" w:cs="Calibri" w:eastAsia="Calibri" w:hAnsi="Calibri"/>
                <w:sz w:val="12"/>
                <w:szCs w:val="12"/>
                <w:color w:val="auto"/>
                <w:w w:val="97"/>
              </w:rPr>
              <w:t>5</w:t>
            </w:r>
          </w:p>
        </w:tc>
        <w:tc>
          <w:tcPr>
            <w:tcW w:w="1080" w:type="dxa"/>
            <w:vAlign w:val="bottom"/>
          </w:tcPr>
          <w:p>
            <w:pPr>
              <w:jc w:val="center"/>
              <w:spacing w:after="0" w:line="138" w:lineRule="exact"/>
              <w:rPr>
                <w:sz w:val="20"/>
                <w:szCs w:val="20"/>
                <w:color w:val="auto"/>
              </w:rPr>
            </w:pPr>
            <w:r>
              <w:rPr>
                <w:rFonts w:ascii="Calibri" w:cs="Calibri" w:eastAsia="Calibri" w:hAnsi="Calibri"/>
                <w:sz w:val="12"/>
                <w:szCs w:val="12"/>
                <w:color w:val="auto"/>
                <w:w w:val="98"/>
              </w:rPr>
              <w:t>13</w:t>
            </w:r>
          </w:p>
        </w:tc>
        <w:tc>
          <w:tcPr>
            <w:tcW w:w="92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19</w:t>
            </w:r>
          </w:p>
        </w:tc>
        <w:tc>
          <w:tcPr>
            <w:tcW w:w="660" w:type="dxa"/>
            <w:vAlign w:val="bottom"/>
          </w:tcPr>
          <w:p>
            <w:pPr>
              <w:jc w:val="center"/>
              <w:ind w:left="199"/>
              <w:spacing w:after="0" w:line="138" w:lineRule="exact"/>
              <w:rPr>
                <w:sz w:val="20"/>
                <w:szCs w:val="20"/>
                <w:color w:val="auto"/>
              </w:rPr>
            </w:pPr>
            <w:r>
              <w:rPr>
                <w:rFonts w:ascii="Calibri" w:cs="Calibri" w:eastAsia="Calibri" w:hAnsi="Calibri"/>
                <w:sz w:val="12"/>
                <w:szCs w:val="12"/>
                <w:color w:val="auto"/>
              </w:rPr>
              <w:t>8.3%</w:t>
            </w:r>
          </w:p>
        </w:tc>
        <w:tc>
          <w:tcPr>
            <w:tcW w:w="1240" w:type="dxa"/>
            <w:vAlign w:val="bottom"/>
            <w:tcBorders>
              <w:right w:val="single" w:sz="8" w:color="auto"/>
            </w:tcBorders>
          </w:tcPr>
          <w:p>
            <w:pPr>
              <w:jc w:val="center"/>
              <w:ind w:left="179"/>
              <w:spacing w:after="0" w:line="138" w:lineRule="exact"/>
              <w:rPr>
                <w:sz w:val="20"/>
                <w:szCs w:val="20"/>
                <w:color w:val="auto"/>
              </w:rPr>
            </w:pPr>
            <w:r>
              <w:rPr>
                <w:rFonts w:ascii="Calibri" w:cs="Calibri" w:eastAsia="Calibri" w:hAnsi="Calibri"/>
                <w:sz w:val="12"/>
                <w:szCs w:val="12"/>
                <w:color w:val="auto"/>
              </w:rPr>
              <w:t>16.0%</w:t>
            </w:r>
          </w:p>
        </w:tc>
        <w:tc>
          <w:tcPr>
            <w:tcW w:w="700" w:type="dxa"/>
            <w:vAlign w:val="bottom"/>
          </w:tcPr>
          <w:p>
            <w:pPr>
              <w:jc w:val="center"/>
              <w:ind w:left="139"/>
              <w:spacing w:after="0" w:line="138" w:lineRule="exact"/>
              <w:rPr>
                <w:sz w:val="20"/>
                <w:szCs w:val="20"/>
                <w:color w:val="auto"/>
              </w:rPr>
            </w:pPr>
            <w:r>
              <w:rPr>
                <w:rFonts w:ascii="Calibri" w:cs="Calibri" w:eastAsia="Calibri" w:hAnsi="Calibri"/>
                <w:sz w:val="12"/>
                <w:szCs w:val="12"/>
                <w:color w:val="auto"/>
              </w:rPr>
              <w:t>33</w:t>
            </w:r>
          </w:p>
        </w:tc>
        <w:tc>
          <w:tcPr>
            <w:tcW w:w="1180" w:type="dxa"/>
            <w:vAlign w:val="bottom"/>
            <w:tcBorders>
              <w:right w:val="single" w:sz="8" w:color="auto"/>
            </w:tcBorders>
          </w:tcPr>
          <w:p>
            <w:pPr>
              <w:jc w:val="center"/>
              <w:ind w:left="119"/>
              <w:spacing w:after="0" w:line="138" w:lineRule="exact"/>
              <w:rPr>
                <w:sz w:val="20"/>
                <w:szCs w:val="20"/>
                <w:color w:val="auto"/>
              </w:rPr>
            </w:pPr>
            <w:r>
              <w:rPr>
                <w:rFonts w:ascii="Calibri" w:cs="Calibri" w:eastAsia="Calibri" w:hAnsi="Calibri"/>
                <w:sz w:val="12"/>
                <w:szCs w:val="12"/>
                <w:color w:val="auto"/>
                <w:w w:val="98"/>
              </w:rPr>
              <w:t>59</w:t>
            </w:r>
          </w:p>
        </w:tc>
        <w:tc>
          <w:tcPr>
            <w:tcW w:w="138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78.2%</w:t>
            </w:r>
          </w:p>
        </w:tc>
      </w:tr>
      <w:tr>
        <w:trPr>
          <w:trHeight w:val="162"/>
        </w:trPr>
        <w:tc>
          <w:tcPr>
            <w:tcW w:w="3180" w:type="dxa"/>
            <w:vAlign w:val="bottom"/>
            <w:tcBorders>
              <w:left w:val="single" w:sz="8" w:color="auto"/>
              <w:bottom w:val="single" w:sz="8" w:color="auto"/>
              <w:right w:val="single" w:sz="8" w:color="auto"/>
            </w:tcBorders>
          </w:tcPr>
          <w:p>
            <w:pPr>
              <w:ind w:left="20"/>
              <w:spacing w:after="0" w:line="162" w:lineRule="exact"/>
              <w:rPr>
                <w:sz w:val="20"/>
                <w:szCs w:val="20"/>
                <w:color w:val="auto"/>
              </w:rPr>
            </w:pPr>
            <w:r>
              <w:rPr>
                <w:rFonts w:ascii="Calibri" w:cs="Calibri" w:eastAsia="Calibri" w:hAnsi="Calibri"/>
                <w:sz w:val="11"/>
                <w:szCs w:val="11"/>
                <w:color w:val="auto"/>
              </w:rPr>
              <w:t xml:space="preserve">Others </w:t>
            </w:r>
            <w:r>
              <w:rPr>
                <w:rFonts w:ascii="Calibri" w:cs="Calibri" w:eastAsia="Calibri" w:hAnsi="Calibri"/>
                <w:sz w:val="17"/>
                <w:szCs w:val="17"/>
                <w:color w:val="auto"/>
                <w:vertAlign w:val="superscript"/>
              </w:rPr>
              <w:t>(5)</w:t>
            </w:r>
          </w:p>
        </w:tc>
        <w:tc>
          <w:tcPr>
            <w:tcW w:w="900" w:type="dxa"/>
            <w:vAlign w:val="bottom"/>
            <w:tcBorders>
              <w:bottom w:val="single" w:sz="8" w:color="auto"/>
            </w:tcBorders>
          </w:tcPr>
          <w:p>
            <w:pPr>
              <w:jc w:val="center"/>
              <w:ind w:left="19"/>
              <w:spacing w:after="0"/>
              <w:rPr>
                <w:sz w:val="20"/>
                <w:szCs w:val="20"/>
                <w:color w:val="auto"/>
              </w:rPr>
            </w:pPr>
            <w:r>
              <w:rPr>
                <w:rFonts w:ascii="Calibri" w:cs="Calibri" w:eastAsia="Calibri" w:hAnsi="Calibri"/>
                <w:sz w:val="12"/>
                <w:szCs w:val="12"/>
                <w:color w:val="auto"/>
                <w:w w:val="97"/>
              </w:rPr>
              <w:t>9</w:t>
            </w:r>
          </w:p>
        </w:tc>
        <w:tc>
          <w:tcPr>
            <w:tcW w:w="108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8"/>
              </w:rPr>
              <w:t>10</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10</w:t>
            </w:r>
          </w:p>
        </w:tc>
        <w:tc>
          <w:tcPr>
            <w:tcW w:w="66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color w:val="auto"/>
              </w:rPr>
              <w:t>3.6%</w:t>
            </w:r>
          </w:p>
        </w:tc>
        <w:tc>
          <w:tcPr>
            <w:tcW w:w="1240" w:type="dxa"/>
            <w:vAlign w:val="bottom"/>
            <w:tcBorders>
              <w:bottom w:val="single" w:sz="8" w:color="auto"/>
              <w:right w:val="single" w:sz="8" w:color="auto"/>
            </w:tcBorders>
          </w:tcPr>
          <w:p>
            <w:pPr>
              <w:jc w:val="center"/>
              <w:ind w:left="179"/>
              <w:spacing w:after="0"/>
              <w:rPr>
                <w:sz w:val="20"/>
                <w:szCs w:val="20"/>
                <w:color w:val="auto"/>
              </w:rPr>
            </w:pPr>
            <w:r>
              <w:rPr>
                <w:rFonts w:ascii="Calibri" w:cs="Calibri" w:eastAsia="Calibri" w:hAnsi="Calibri"/>
                <w:sz w:val="12"/>
                <w:szCs w:val="12"/>
                <w:color w:val="auto"/>
              </w:rPr>
              <w:t>11.4%</w:t>
            </w:r>
          </w:p>
        </w:tc>
        <w:tc>
          <w:tcPr>
            <w:tcW w:w="700" w:type="dxa"/>
            <w:vAlign w:val="bottom"/>
            <w:tcBorders>
              <w:bottom w:val="single" w:sz="8" w:color="auto"/>
            </w:tcBorders>
          </w:tcPr>
          <w:p>
            <w:pPr>
              <w:jc w:val="center"/>
              <w:ind w:left="139"/>
              <w:spacing w:after="0"/>
              <w:rPr>
                <w:sz w:val="20"/>
                <w:szCs w:val="20"/>
                <w:color w:val="auto"/>
              </w:rPr>
            </w:pPr>
            <w:r>
              <w:rPr>
                <w:rFonts w:ascii="Calibri" w:cs="Calibri" w:eastAsia="Calibri" w:hAnsi="Calibri"/>
                <w:sz w:val="12"/>
                <w:szCs w:val="12"/>
                <w:color w:val="auto"/>
              </w:rPr>
              <w:t>50</w:t>
            </w:r>
          </w:p>
        </w:tc>
        <w:tc>
          <w:tcPr>
            <w:tcW w:w="1180" w:type="dxa"/>
            <w:vAlign w:val="bottom"/>
            <w:tcBorders>
              <w:bottom w:val="single" w:sz="8" w:color="auto"/>
              <w:right w:val="single" w:sz="8" w:color="auto"/>
            </w:tcBorders>
          </w:tcPr>
          <w:p>
            <w:pPr>
              <w:jc w:val="center"/>
              <w:ind w:left="119"/>
              <w:spacing w:after="0"/>
              <w:rPr>
                <w:sz w:val="20"/>
                <w:szCs w:val="20"/>
                <w:color w:val="auto"/>
              </w:rPr>
            </w:pPr>
            <w:r>
              <w:rPr>
                <w:rFonts w:ascii="Calibri" w:cs="Calibri" w:eastAsia="Calibri" w:hAnsi="Calibri"/>
                <w:sz w:val="12"/>
                <w:szCs w:val="12"/>
                <w:color w:val="auto"/>
                <w:w w:val="98"/>
              </w:rPr>
              <w:t>36</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-27.6%</w:t>
            </w:r>
          </w:p>
        </w:tc>
      </w:tr>
      <w:tr>
        <w:trPr>
          <w:trHeight w:val="137"/>
        </w:trPr>
        <w:tc>
          <w:tcPr>
            <w:tcW w:w="3180" w:type="dxa"/>
            <w:vAlign w:val="bottom"/>
            <w:tcBorders>
              <w:left w:val="single" w:sz="8" w:color="auto"/>
              <w:bottom w:val="single" w:sz="8" w:color="auto"/>
              <w:right w:val="single" w:sz="8" w:color="auto"/>
            </w:tcBorders>
          </w:tcPr>
          <w:p>
            <w:pPr>
              <w:ind w:left="20"/>
              <w:spacing w:after="0" w:line="138" w:lineRule="exact"/>
              <w:rPr>
                <w:sz w:val="20"/>
                <w:szCs w:val="20"/>
                <w:color w:val="auto"/>
              </w:rPr>
            </w:pPr>
            <w:r>
              <w:rPr>
                <w:rFonts w:ascii="Calibri" w:cs="Calibri" w:eastAsia="Calibri" w:hAnsi="Calibri"/>
                <w:sz w:val="12"/>
                <w:szCs w:val="12"/>
                <w:b w:val="1"/>
                <w:bCs w:val="1"/>
                <w:color w:val="auto"/>
              </w:rPr>
              <w:t>Total</w:t>
            </w:r>
          </w:p>
        </w:tc>
        <w:tc>
          <w:tcPr>
            <w:tcW w:w="900" w:type="dxa"/>
            <w:vAlign w:val="bottom"/>
            <w:tcBorders>
              <w:bottom w:val="single" w:sz="8" w:color="auto"/>
            </w:tcBorders>
          </w:tcPr>
          <w:p>
            <w:pPr>
              <w:jc w:val="center"/>
              <w:ind w:left="19"/>
              <w:spacing w:after="0" w:line="138" w:lineRule="exact"/>
              <w:rPr>
                <w:sz w:val="20"/>
                <w:szCs w:val="20"/>
                <w:color w:val="auto"/>
              </w:rPr>
            </w:pPr>
            <w:r>
              <w:rPr>
                <w:rFonts w:ascii="Calibri" w:cs="Calibri" w:eastAsia="Calibri" w:hAnsi="Calibri"/>
                <w:sz w:val="12"/>
                <w:szCs w:val="12"/>
                <w:b w:val="1"/>
                <w:bCs w:val="1"/>
                <w:color w:val="auto"/>
                <w:w w:val="98"/>
              </w:rPr>
              <w:t>748</w:t>
            </w:r>
          </w:p>
        </w:tc>
        <w:tc>
          <w:tcPr>
            <w:tcW w:w="1080" w:type="dxa"/>
            <w:vAlign w:val="bottom"/>
            <w:tcBorders>
              <w:bottom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8"/>
              </w:rPr>
              <w:t>880</w:t>
            </w:r>
          </w:p>
        </w:tc>
        <w:tc>
          <w:tcPr>
            <w:tcW w:w="92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w w:val="98"/>
              </w:rPr>
              <w:t>888</w:t>
            </w:r>
          </w:p>
        </w:tc>
        <w:tc>
          <w:tcPr>
            <w:tcW w:w="660" w:type="dxa"/>
            <w:vAlign w:val="bottom"/>
            <w:tcBorders>
              <w:bottom w:val="single" w:sz="8" w:color="auto"/>
            </w:tcBorders>
          </w:tcPr>
          <w:p>
            <w:pPr>
              <w:jc w:val="center"/>
              <w:ind w:left="199"/>
              <w:spacing w:after="0" w:line="138" w:lineRule="exact"/>
              <w:rPr>
                <w:sz w:val="20"/>
                <w:szCs w:val="20"/>
                <w:color w:val="auto"/>
              </w:rPr>
            </w:pPr>
            <w:r>
              <w:rPr>
                <w:rFonts w:ascii="Calibri" w:cs="Calibri" w:eastAsia="Calibri" w:hAnsi="Calibri"/>
                <w:sz w:val="12"/>
                <w:szCs w:val="12"/>
                <w:b w:val="1"/>
                <w:bCs w:val="1"/>
                <w:color w:val="auto"/>
                <w:w w:val="99"/>
              </w:rPr>
              <w:t>0.9%</w:t>
            </w:r>
          </w:p>
        </w:tc>
        <w:tc>
          <w:tcPr>
            <w:tcW w:w="1240" w:type="dxa"/>
            <w:vAlign w:val="bottom"/>
            <w:tcBorders>
              <w:bottom w:val="single" w:sz="8" w:color="auto"/>
              <w:right w:val="single" w:sz="8" w:color="auto"/>
            </w:tcBorders>
          </w:tcPr>
          <w:p>
            <w:pPr>
              <w:jc w:val="center"/>
              <w:ind w:left="179"/>
              <w:spacing w:after="0" w:line="138" w:lineRule="exact"/>
              <w:rPr>
                <w:sz w:val="20"/>
                <w:szCs w:val="20"/>
                <w:color w:val="auto"/>
              </w:rPr>
            </w:pPr>
            <w:r>
              <w:rPr>
                <w:rFonts w:ascii="Calibri" w:cs="Calibri" w:eastAsia="Calibri" w:hAnsi="Calibri"/>
                <w:sz w:val="12"/>
                <w:szCs w:val="12"/>
                <w:b w:val="1"/>
                <w:bCs w:val="1"/>
                <w:color w:val="auto"/>
              </w:rPr>
              <w:t>18.7%</w:t>
            </w:r>
          </w:p>
        </w:tc>
        <w:tc>
          <w:tcPr>
            <w:tcW w:w="700" w:type="dxa"/>
            <w:vAlign w:val="bottom"/>
            <w:tcBorders>
              <w:bottom w:val="single" w:sz="8" w:color="auto"/>
            </w:tcBorders>
          </w:tcPr>
          <w:p>
            <w:pPr>
              <w:jc w:val="center"/>
              <w:ind w:left="159"/>
              <w:spacing w:after="0" w:line="138" w:lineRule="exact"/>
              <w:rPr>
                <w:sz w:val="20"/>
                <w:szCs w:val="20"/>
                <w:color w:val="auto"/>
              </w:rPr>
            </w:pPr>
            <w:r>
              <w:rPr>
                <w:rFonts w:ascii="Calibri" w:cs="Calibri" w:eastAsia="Calibri" w:hAnsi="Calibri"/>
                <w:sz w:val="12"/>
                <w:szCs w:val="12"/>
                <w:b w:val="1"/>
                <w:bCs w:val="1"/>
                <w:color w:val="auto"/>
              </w:rPr>
              <w:t>2,928</w:t>
            </w:r>
          </w:p>
        </w:tc>
        <w:tc>
          <w:tcPr>
            <w:tcW w:w="1180" w:type="dxa"/>
            <w:vAlign w:val="bottom"/>
            <w:tcBorders>
              <w:bottom w:val="single" w:sz="8" w:color="auto"/>
              <w:right w:val="single" w:sz="8" w:color="auto"/>
            </w:tcBorders>
          </w:tcPr>
          <w:p>
            <w:pPr>
              <w:jc w:val="center"/>
              <w:ind w:left="119"/>
              <w:spacing w:after="0" w:line="138" w:lineRule="exact"/>
              <w:rPr>
                <w:sz w:val="20"/>
                <w:szCs w:val="20"/>
                <w:color w:val="auto"/>
              </w:rPr>
            </w:pPr>
            <w:r>
              <w:rPr>
                <w:rFonts w:ascii="Calibri" w:cs="Calibri" w:eastAsia="Calibri" w:hAnsi="Calibri"/>
                <w:sz w:val="12"/>
                <w:szCs w:val="12"/>
                <w:b w:val="1"/>
                <w:bCs w:val="1"/>
                <w:color w:val="auto"/>
              </w:rPr>
              <w:t>3,352</w:t>
            </w:r>
          </w:p>
        </w:tc>
        <w:tc>
          <w:tcPr>
            <w:tcW w:w="1380" w:type="dxa"/>
            <w:vAlign w:val="bottom"/>
            <w:tcBorders>
              <w:bottom w:val="single" w:sz="8" w:color="auto"/>
              <w:right w:val="single" w:sz="8" w:color="auto"/>
            </w:tcBorders>
          </w:tcPr>
          <w:p>
            <w:pPr>
              <w:jc w:val="center"/>
              <w:spacing w:after="0" w:line="138" w:lineRule="exact"/>
              <w:rPr>
                <w:sz w:val="20"/>
                <w:szCs w:val="20"/>
                <w:color w:val="auto"/>
              </w:rPr>
            </w:pPr>
            <w:r>
              <w:rPr>
                <w:rFonts w:ascii="Calibri" w:cs="Calibri" w:eastAsia="Calibri" w:hAnsi="Calibri"/>
                <w:sz w:val="12"/>
                <w:szCs w:val="12"/>
                <w:b w:val="1"/>
                <w:bCs w:val="1"/>
                <w:color w:val="auto"/>
              </w:rPr>
              <w:t>14.5%</w:t>
            </w:r>
          </w:p>
        </w:tc>
      </w:tr>
    </w:tbl>
    <w:p>
      <w:pPr>
        <w:spacing w:after="0" w:line="213" w:lineRule="auto"/>
        <w:rPr>
          <w:sz w:val="20"/>
          <w:szCs w:val="20"/>
          <w:color w:val="auto"/>
        </w:rPr>
      </w:pPr>
      <w:r>
        <w:rPr>
          <w:rFonts w:ascii="Calibri" w:cs="Calibri" w:eastAsia="Calibri" w:hAnsi="Calibri"/>
          <w:sz w:val="14"/>
          <w:szCs w:val="14"/>
          <w:color w:val="auto"/>
        </w:rPr>
        <w:t>(*) Management fgures.</w:t>
      </w:r>
    </w:p>
    <w:p>
      <w:pPr>
        <w:spacing w:after="0" w:line="13" w:lineRule="exact"/>
        <w:rPr>
          <w:sz w:val="20"/>
          <w:szCs w:val="20"/>
          <w:color w:val="auto"/>
        </w:rPr>
      </w:pPr>
    </w:p>
    <w:p>
      <w:pPr>
        <w:ind w:left="200" w:hanging="195"/>
        <w:spacing w:after="0"/>
        <w:tabs>
          <w:tab w:leader="none" w:pos="2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Corresponds to fees from credit and debit cards, payments and collectons.</w:t>
      </w:r>
    </w:p>
    <w:p>
      <w:pPr>
        <w:ind w:left="200" w:hanging="195"/>
        <w:spacing w:after="0"/>
        <w:tabs>
          <w:tab w:leader="none" w:pos="2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Not includes fees related to E-Commerce. Not includes FX and remitances.</w:t>
      </w:r>
    </w:p>
    <w:p>
      <w:pPr>
        <w:ind w:left="220" w:hanging="215"/>
        <w:spacing w:after="0"/>
        <w:tabs>
          <w:tab w:leader="none" w:pos="22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Corresponds to fees from Account maintenance, interbank transfers, natonal transfers, and internatonal transfers.</w:t>
      </w:r>
    </w:p>
    <w:p>
      <w:pPr>
        <w:ind w:left="200" w:hanging="195"/>
        <w:spacing w:after="0"/>
        <w:tabs>
          <w:tab w:leader="none" w:pos="2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Corresponds to fees from retail and wholesale loan disbursements.</w:t>
      </w:r>
    </w:p>
    <w:p>
      <w:pPr>
        <w:ind w:left="200" w:hanging="195"/>
        <w:spacing w:after="0"/>
        <w:tabs>
          <w:tab w:leader="none" w:pos="2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Use of third-party networks, other services to third partes, and Commissions in foreign branches.</w:t>
      </w:r>
    </w:p>
    <w:p>
      <w:pPr>
        <w:spacing w:after="0" w:line="18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QoQ, Fee income </w:t>
      </w:r>
      <w:r>
        <w:rPr>
          <w:rFonts w:ascii="Calibri" w:cs="Calibri" w:eastAsia="Calibri" w:hAnsi="Calibri"/>
          <w:sz w:val="17"/>
          <w:szCs w:val="17"/>
          <w:color w:val="auto"/>
        </w:rPr>
        <w:t>at</w:t>
      </w:r>
      <w:r>
        <w:rPr>
          <w:rFonts w:ascii="Calibri" w:cs="Calibri" w:eastAsia="Calibri" w:hAnsi="Calibri"/>
          <w:sz w:val="17"/>
          <w:szCs w:val="17"/>
          <w:b w:val="1"/>
          <w:bCs w:val="1"/>
          <w:color w:val="auto"/>
        </w:rPr>
        <w:t xml:space="preserve"> BCP Stand-alone </w:t>
      </w:r>
      <w:r>
        <w:rPr>
          <w:rFonts w:ascii="Calibri" w:cs="Calibri" w:eastAsia="Calibri" w:hAnsi="Calibri"/>
          <w:sz w:val="17"/>
          <w:szCs w:val="17"/>
          <w:color w:val="auto"/>
        </w:rPr>
        <w:t>grew 0.9%, propelled by an increase in the fee volume through:</w:t>
      </w:r>
    </w:p>
    <w:p>
      <w:pPr>
        <w:spacing w:after="0" w:line="5" w:lineRule="exact"/>
        <w:rPr>
          <w:sz w:val="20"/>
          <w:szCs w:val="20"/>
          <w:color w:val="auto"/>
        </w:rPr>
      </w:pPr>
    </w:p>
    <w:p>
      <w:pPr>
        <w:ind w:left="560" w:hanging="240"/>
        <w:spacing w:after="0"/>
        <w:tabs>
          <w:tab w:leader="none" w:pos="560" w:val="left"/>
        </w:tabs>
        <w:numPr>
          <w:ilvl w:val="0"/>
          <w:numId w:val="30"/>
        </w:numPr>
        <w:rPr>
          <w:rFonts w:ascii="Arial" w:cs="Arial" w:eastAsia="Arial" w:hAnsi="Arial"/>
          <w:sz w:val="17"/>
          <w:szCs w:val="17"/>
          <w:color w:val="auto"/>
        </w:rPr>
      </w:pPr>
      <w:r>
        <w:rPr>
          <w:rFonts w:ascii="Calibri" w:cs="Calibri" w:eastAsia="Calibri" w:hAnsi="Calibri"/>
          <w:sz w:val="17"/>
          <w:szCs w:val="17"/>
          <w:b w:val="1"/>
          <w:bCs w:val="1"/>
          <w:color w:val="auto"/>
        </w:rPr>
        <w:t>Yape</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mainly via Bill Payments, POS Payments (QR) and Yape for Businesses, associated with growth in transactons.</w:t>
      </w:r>
    </w:p>
    <w:p>
      <w:pPr>
        <w:spacing w:after="0" w:line="24" w:lineRule="exact"/>
        <w:rPr>
          <w:rFonts w:ascii="Arial" w:cs="Arial" w:eastAsia="Arial" w:hAnsi="Arial"/>
          <w:sz w:val="17"/>
          <w:szCs w:val="17"/>
          <w:color w:val="auto"/>
        </w:rPr>
      </w:pPr>
    </w:p>
    <w:p>
      <w:pPr>
        <w:ind w:left="560" w:hanging="240"/>
        <w:spacing w:after="0"/>
        <w:tabs>
          <w:tab w:leader="none" w:pos="560" w:val="left"/>
        </w:tabs>
        <w:numPr>
          <w:ilvl w:val="0"/>
          <w:numId w:val="30"/>
        </w:numPr>
        <w:rPr>
          <w:rFonts w:ascii="Arial" w:cs="Arial" w:eastAsia="Arial" w:hAnsi="Arial"/>
          <w:sz w:val="17"/>
          <w:szCs w:val="17"/>
          <w:color w:val="auto"/>
        </w:rPr>
      </w:pPr>
      <w:r>
        <w:rPr>
          <w:rFonts w:ascii="Calibri" w:cs="Calibri" w:eastAsia="Calibri" w:hAnsi="Calibri"/>
          <w:sz w:val="17"/>
          <w:szCs w:val="17"/>
          <w:b w:val="1"/>
          <w:bCs w:val="1"/>
          <w:color w:val="auto"/>
        </w:rPr>
        <w:t>Wealth Management and Corporate Finance</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which rose on the back of an increase in the total fee level in Wholesale Banking.</w:t>
      </w:r>
    </w:p>
    <w:p>
      <w:pPr>
        <w:spacing w:after="0" w:line="190" w:lineRule="exact"/>
        <w:rPr>
          <w:sz w:val="20"/>
          <w:szCs w:val="20"/>
          <w:color w:val="auto"/>
        </w:rPr>
      </w:pPr>
    </w:p>
    <w:p>
      <w:pPr>
        <w:spacing w:after="0" w:line="260" w:lineRule="auto"/>
        <w:rPr>
          <w:sz w:val="20"/>
          <w:szCs w:val="20"/>
          <w:color w:val="auto"/>
        </w:rPr>
      </w:pPr>
      <w:r>
        <w:rPr>
          <w:rFonts w:ascii="Calibri" w:cs="Calibri" w:eastAsia="Calibri" w:hAnsi="Calibri"/>
          <w:sz w:val="17"/>
          <w:szCs w:val="17"/>
          <w:color w:val="auto"/>
        </w:rPr>
        <w:t xml:space="preserve">The aforementoned was ofset by a drop in </w:t>
      </w:r>
      <w:r>
        <w:rPr>
          <w:rFonts w:ascii="Calibri" w:cs="Calibri" w:eastAsia="Calibri" w:hAnsi="Calibri"/>
          <w:sz w:val="17"/>
          <w:szCs w:val="17"/>
          <w:b w:val="1"/>
          <w:bCs w:val="1"/>
          <w:color w:val="auto"/>
        </w:rPr>
        <w:t>Payment and transactonal services</w:t>
      </w:r>
      <w:r>
        <w:rPr>
          <w:rFonts w:ascii="Times New Roman" w:cs="Times New Roman" w:eastAsia="Times New Roman" w:hAnsi="Times New Roman"/>
          <w:sz w:val="17"/>
          <w:szCs w:val="17"/>
          <w:color w:val="auto"/>
        </w:rPr>
        <w:t>,</w:t>
      </w:r>
      <w:r>
        <w:rPr>
          <w:rFonts w:ascii="Calibri" w:cs="Calibri" w:eastAsia="Calibri" w:hAnsi="Calibri"/>
          <w:sz w:val="17"/>
          <w:szCs w:val="17"/>
          <w:color w:val="auto"/>
        </w:rPr>
        <w:t xml:space="preserve"> associated with a base efect, where extraordinary income was recorded in 3Q24</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YoY, Fee income </w:t>
      </w:r>
      <w:r>
        <w:rPr>
          <w:rFonts w:ascii="Calibri" w:cs="Calibri" w:eastAsia="Calibri" w:hAnsi="Calibri"/>
          <w:sz w:val="17"/>
          <w:szCs w:val="17"/>
          <w:color w:val="auto"/>
        </w:rPr>
        <w:t>rose 18.7%, driven primarily by:</w:t>
      </w:r>
    </w:p>
    <w:p>
      <w:pPr>
        <w:spacing w:after="0" w:line="5" w:lineRule="exact"/>
        <w:rPr>
          <w:sz w:val="20"/>
          <w:szCs w:val="20"/>
          <w:color w:val="auto"/>
        </w:rPr>
      </w:pPr>
    </w:p>
    <w:p>
      <w:pPr>
        <w:ind w:left="560" w:hanging="240"/>
        <w:spacing w:after="0"/>
        <w:tabs>
          <w:tab w:leader="none" w:pos="560" w:val="left"/>
        </w:tabs>
        <w:numPr>
          <w:ilvl w:val="0"/>
          <w:numId w:val="31"/>
        </w:numPr>
        <w:rPr>
          <w:rFonts w:ascii="Arial" w:cs="Arial" w:eastAsia="Arial" w:hAnsi="Arial"/>
          <w:sz w:val="17"/>
          <w:szCs w:val="17"/>
          <w:color w:val="auto"/>
        </w:rPr>
      </w:pPr>
      <w:r>
        <w:rPr>
          <w:rFonts w:ascii="Calibri" w:cs="Calibri" w:eastAsia="Calibri" w:hAnsi="Calibri"/>
          <w:sz w:val="17"/>
          <w:szCs w:val="17"/>
          <w:b w:val="1"/>
          <w:bCs w:val="1"/>
          <w:color w:val="auto"/>
        </w:rPr>
        <w:t>Yape</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which accounted for 54% of total growth in fee income; the App’s growth was atributable to the same factors seen in the QoQ analysis.</w:t>
      </w:r>
    </w:p>
    <w:p>
      <w:pPr>
        <w:spacing w:after="0" w:line="24" w:lineRule="exact"/>
        <w:rPr>
          <w:rFonts w:ascii="Arial" w:cs="Arial" w:eastAsia="Arial" w:hAnsi="Arial"/>
          <w:sz w:val="17"/>
          <w:szCs w:val="17"/>
          <w:color w:val="auto"/>
        </w:rPr>
      </w:pPr>
    </w:p>
    <w:p>
      <w:pPr>
        <w:ind w:left="560" w:right="120" w:hanging="240"/>
        <w:spacing w:after="0" w:line="234" w:lineRule="auto"/>
        <w:tabs>
          <w:tab w:leader="none" w:pos="560" w:val="left"/>
        </w:tabs>
        <w:numPr>
          <w:ilvl w:val="0"/>
          <w:numId w:val="31"/>
        </w:numPr>
        <w:rPr>
          <w:rFonts w:ascii="Arial" w:cs="Arial" w:eastAsia="Arial" w:hAnsi="Arial"/>
          <w:sz w:val="17"/>
          <w:szCs w:val="17"/>
          <w:color w:val="auto"/>
        </w:rPr>
      </w:pPr>
      <w:r>
        <w:rPr>
          <w:rFonts w:ascii="Calibri" w:cs="Calibri" w:eastAsia="Calibri" w:hAnsi="Calibri"/>
          <w:sz w:val="17"/>
          <w:szCs w:val="17"/>
          <w:b w:val="1"/>
          <w:bCs w:val="1"/>
          <w:color w:val="auto"/>
        </w:rPr>
        <w:t>Payment and transactonal services</w:t>
      </w:r>
      <w:r>
        <w:rPr>
          <w:rFonts w:ascii="Calibri" w:cs="Calibri" w:eastAsia="Calibri" w:hAnsi="Calibri"/>
          <w:sz w:val="17"/>
          <w:szCs w:val="17"/>
          <w:color w:val="auto"/>
        </w:rPr>
        <w:t>, which accounted for 27% of the growth in fee income, was the result of an uptck in the use of credit cards (+24.8%)</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and debit cards (+16.5%), in line with an increase in liquidity via AFP withdrawals.</w:t>
      </w:r>
    </w:p>
    <w:p>
      <w:pPr>
        <w:spacing w:after="0" w:line="6" w:lineRule="exact"/>
        <w:rPr>
          <w:rFonts w:ascii="Arial" w:cs="Arial" w:eastAsia="Arial" w:hAnsi="Arial"/>
          <w:sz w:val="17"/>
          <w:szCs w:val="17"/>
          <w:color w:val="auto"/>
        </w:rPr>
      </w:pPr>
    </w:p>
    <w:p>
      <w:pPr>
        <w:ind w:left="560" w:hanging="240"/>
        <w:spacing w:after="0"/>
        <w:tabs>
          <w:tab w:leader="none" w:pos="560" w:val="left"/>
        </w:tabs>
        <w:numPr>
          <w:ilvl w:val="0"/>
          <w:numId w:val="31"/>
        </w:numPr>
        <w:rPr>
          <w:rFonts w:ascii="Arial" w:cs="Arial" w:eastAsia="Arial" w:hAnsi="Arial"/>
          <w:sz w:val="17"/>
          <w:szCs w:val="17"/>
          <w:color w:val="auto"/>
        </w:rPr>
      </w:pPr>
      <w:r>
        <w:rPr>
          <w:rFonts w:ascii="Calibri" w:cs="Calibri" w:eastAsia="Calibri" w:hAnsi="Calibri"/>
          <w:sz w:val="17"/>
          <w:szCs w:val="17"/>
          <w:b w:val="1"/>
          <w:bCs w:val="1"/>
          <w:color w:val="auto"/>
        </w:rPr>
        <w:t>Wealth Management and Fincorp</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which accounted for 10% of the growth in fee income, in line with the factors described in the QoQ analysis.</w:t>
      </w:r>
    </w:p>
    <w:p>
      <w:pPr>
        <w:spacing w:after="0" w:line="197"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b w:val="1"/>
          <w:bCs w:val="1"/>
          <w:color w:val="auto"/>
        </w:rPr>
        <w:t xml:space="preserve">FY, Fee income </w:t>
      </w:r>
      <w:r>
        <w:rPr>
          <w:rFonts w:ascii="Calibri" w:cs="Calibri" w:eastAsia="Calibri" w:hAnsi="Calibri"/>
          <w:sz w:val="17"/>
          <w:szCs w:val="17"/>
          <w:color w:val="auto"/>
        </w:rPr>
        <w:t>at BCP Stand-alone rose 14.5%</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This evoluton was driven by the same dynamics seen QoQ and YoY, and by improvements in the results for</w:t>
      </w:r>
      <w:r>
        <w:rPr>
          <w:rFonts w:ascii="Calibri" w:cs="Calibri" w:eastAsia="Calibri" w:hAnsi="Calibri"/>
          <w:sz w:val="17"/>
          <w:szCs w:val="17"/>
          <w:b w:val="1"/>
          <w:bCs w:val="1"/>
          <w:color w:val="auto"/>
        </w:rPr>
        <w:t xml:space="preserve"> Liability and Transactonal Accounts</w:t>
      </w:r>
      <w:r>
        <w:rPr>
          <w:rFonts w:ascii="Calibri" w:cs="Calibri" w:eastAsia="Calibri" w:hAnsi="Calibri"/>
          <w:sz w:val="17"/>
          <w:szCs w:val="17"/>
          <w:color w:val="auto"/>
        </w:rPr>
        <w:t>, which was primarily atributable to Current Accounts, which registered growth in accounts openings, and secondarily to Wires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Transfers, where digitalizaton strategies have begun to bear fruit.</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color w:val="FFFFFF"/>
        </w:rPr>
        <w:t>06. Other Income</w:t>
      </w:r>
    </w:p>
    <w:p>
      <w:pPr>
        <w:spacing w:after="0" w:line="268" w:lineRule="exact"/>
        <w:rPr>
          <w:sz w:val="20"/>
          <w:szCs w:val="20"/>
          <w:color w:val="auto"/>
        </w:rPr>
      </w:pPr>
    </w:p>
    <w:p>
      <w:pPr>
        <w:ind w:left="240"/>
        <w:spacing w:after="0"/>
        <w:rPr>
          <w:sz w:val="20"/>
          <w:szCs w:val="20"/>
          <w:color w:val="auto"/>
        </w:rPr>
      </w:pPr>
      <w:r>
        <w:rPr>
          <w:rFonts w:ascii="Calibri" w:cs="Calibri" w:eastAsia="Calibri" w:hAnsi="Calibri"/>
          <w:sz w:val="17"/>
          <w:szCs w:val="17"/>
          <w:b w:val="1"/>
          <w:bCs w:val="1"/>
          <w:color w:val="auto"/>
        </w:rPr>
        <w:t>6.2 Other Non-ordinary Income</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318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1"/>
                <w:szCs w:val="11"/>
                <w:b w:val="1"/>
                <w:bCs w:val="1"/>
                <w:color w:val="FFFFFF"/>
              </w:rPr>
              <w:t>Other Non-Core Income</w:t>
            </w:r>
          </w:p>
        </w:tc>
        <w:tc>
          <w:tcPr>
            <w:tcW w:w="940" w:type="dxa"/>
            <w:vAlign w:val="bottom"/>
            <w:tcBorders>
              <w:top w:val="single" w:sz="8" w:color="auto"/>
            </w:tcBorders>
            <w:shd w:val="clear" w:color="auto" w:fill="33CCCC"/>
          </w:tcPr>
          <w:p>
            <w:pPr>
              <w:ind w:left="280"/>
              <w:spacing w:after="0"/>
              <w:rPr>
                <w:sz w:val="20"/>
                <w:szCs w:val="20"/>
                <w:color w:val="auto"/>
              </w:rPr>
            </w:pPr>
            <w:r>
              <w:rPr>
                <w:rFonts w:ascii="Calibri" w:cs="Calibri" w:eastAsia="Calibri" w:hAnsi="Calibri"/>
                <w:sz w:val="11"/>
                <w:szCs w:val="11"/>
                <w:b w:val="1"/>
                <w:bCs w:val="1"/>
                <w:color w:val="FFFFFF"/>
              </w:rPr>
              <w:t>Quarter</w:t>
            </w:r>
          </w:p>
        </w:tc>
        <w:tc>
          <w:tcPr>
            <w:tcW w:w="980" w:type="dxa"/>
            <w:vAlign w:val="bottom"/>
            <w:tcBorders>
              <w:top w:val="single" w:sz="8" w:color="auto"/>
            </w:tcBorders>
            <w:shd w:val="clear" w:color="auto" w:fill="33CCCC"/>
          </w:tcPr>
          <w:p>
            <w:pPr>
              <w:spacing w:after="0"/>
              <w:rPr>
                <w:sz w:val="12"/>
                <w:szCs w:val="12"/>
                <w:color w:val="auto"/>
              </w:rPr>
            </w:pPr>
          </w:p>
        </w:tc>
        <w:tc>
          <w:tcPr>
            <w:tcW w:w="980" w:type="dxa"/>
            <w:vAlign w:val="bottom"/>
            <w:tcBorders>
              <w:top w:val="single" w:sz="8" w:color="auto"/>
              <w:right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 Change</w:t>
            </w:r>
          </w:p>
        </w:tc>
        <w:tc>
          <w:tcPr>
            <w:tcW w:w="1000" w:type="dxa"/>
            <w:vAlign w:val="bottom"/>
            <w:tcBorders>
              <w:top w:val="single" w:sz="8" w:color="auto"/>
              <w:right w:val="single" w:sz="8" w:color="auto"/>
            </w:tcBorders>
            <w:shd w:val="clear" w:color="auto" w:fill="33CCCC"/>
          </w:tcPr>
          <w:p>
            <w:pPr>
              <w:spacing w:after="0"/>
              <w:rPr>
                <w:sz w:val="12"/>
                <w:szCs w:val="12"/>
                <w:color w:val="auto"/>
              </w:rPr>
            </w:pPr>
          </w:p>
        </w:tc>
        <w:tc>
          <w:tcPr>
            <w:tcW w:w="90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Up to</w:t>
            </w:r>
          </w:p>
        </w:tc>
        <w:tc>
          <w:tcPr>
            <w:tcW w:w="980" w:type="dxa"/>
            <w:vAlign w:val="bottom"/>
            <w:tcBorders>
              <w:top w:val="single" w:sz="8" w:color="auto"/>
              <w:right w:val="single" w:sz="8" w:color="auto"/>
            </w:tcBorders>
            <w:shd w:val="clear" w:color="auto" w:fill="33CCCC"/>
          </w:tcPr>
          <w:p>
            <w:pPr>
              <w:spacing w:after="0"/>
              <w:rPr>
                <w:sz w:val="12"/>
                <w:szCs w:val="12"/>
                <w:color w:val="auto"/>
              </w:rPr>
            </w:pPr>
          </w:p>
        </w:tc>
        <w:tc>
          <w:tcPr>
            <w:tcW w:w="1320" w:type="dxa"/>
            <w:vAlign w:val="bottom"/>
            <w:tcBorders>
              <w:top w:val="single" w:sz="8" w:color="auto"/>
              <w:right w:val="single" w:sz="8" w:color="646464"/>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 Change</w:t>
            </w:r>
          </w:p>
        </w:tc>
      </w:tr>
      <w:tr>
        <w:trPr>
          <w:trHeight w:val="131"/>
        </w:trPr>
        <w:tc>
          <w:tcPr>
            <w:tcW w:w="3180" w:type="dxa"/>
            <w:vAlign w:val="bottom"/>
            <w:tcBorders>
              <w:left w:val="single" w:sz="8" w:color="auto"/>
              <w:bottom w:val="single" w:sz="8" w:color="auto"/>
              <w:right w:val="single" w:sz="8" w:color="auto"/>
            </w:tcBorders>
            <w:shd w:val="clear" w:color="auto" w:fill="33CCCC"/>
          </w:tcPr>
          <w:p>
            <w:pPr>
              <w:ind w:left="20"/>
              <w:spacing w:after="0" w:line="131" w:lineRule="exact"/>
              <w:rPr>
                <w:sz w:val="20"/>
                <w:szCs w:val="20"/>
                <w:color w:val="auto"/>
              </w:rPr>
            </w:pPr>
            <w:r>
              <w:rPr>
                <w:rFonts w:ascii="Calibri" w:cs="Calibri" w:eastAsia="Calibri" w:hAnsi="Calibri"/>
                <w:sz w:val="11"/>
                <w:szCs w:val="11"/>
                <w:b w:val="1"/>
                <w:bCs w:val="1"/>
                <w:color w:val="FFFFFF"/>
              </w:rPr>
              <w:t>S/000</w:t>
            </w:r>
          </w:p>
        </w:tc>
        <w:tc>
          <w:tcPr>
            <w:tcW w:w="94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w w:val="98"/>
              </w:rPr>
              <w:t>4Q23</w:t>
            </w:r>
          </w:p>
        </w:tc>
        <w:tc>
          <w:tcPr>
            <w:tcW w:w="98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3Q24</w:t>
            </w:r>
          </w:p>
        </w:tc>
        <w:tc>
          <w:tcPr>
            <w:tcW w:w="9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4Q24</w:t>
            </w:r>
          </w:p>
        </w:tc>
        <w:tc>
          <w:tcPr>
            <w:tcW w:w="96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QoQ</w:t>
            </w:r>
          </w:p>
        </w:tc>
        <w:tc>
          <w:tcPr>
            <w:tcW w:w="1000" w:type="dxa"/>
            <w:vAlign w:val="bottom"/>
            <w:tcBorders>
              <w:bottom w:val="single" w:sz="8" w:color="auto"/>
              <w:right w:val="single" w:sz="8" w:color="auto"/>
            </w:tcBorders>
            <w:shd w:val="clear" w:color="auto" w:fill="33CCCC"/>
          </w:tcPr>
          <w:p>
            <w:pPr>
              <w:ind w:left="380"/>
              <w:spacing w:after="0" w:line="131" w:lineRule="exact"/>
              <w:rPr>
                <w:sz w:val="20"/>
                <w:szCs w:val="20"/>
                <w:color w:val="auto"/>
              </w:rPr>
            </w:pPr>
            <w:r>
              <w:rPr>
                <w:rFonts w:ascii="Calibri" w:cs="Calibri" w:eastAsia="Calibri" w:hAnsi="Calibri"/>
                <w:sz w:val="11"/>
                <w:szCs w:val="11"/>
                <w:b w:val="1"/>
                <w:bCs w:val="1"/>
                <w:color w:val="FFFFFF"/>
              </w:rPr>
              <w:t>YoY</w:t>
            </w:r>
          </w:p>
        </w:tc>
        <w:tc>
          <w:tcPr>
            <w:tcW w:w="90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23</w:t>
            </w:r>
          </w:p>
        </w:tc>
        <w:tc>
          <w:tcPr>
            <w:tcW w:w="980" w:type="dxa"/>
            <w:vAlign w:val="bottom"/>
            <w:tcBorders>
              <w:bottom w:val="single" w:sz="8" w:color="auto"/>
              <w:right w:val="single" w:sz="8" w:color="auto"/>
            </w:tcBorders>
            <w:shd w:val="clear" w:color="auto" w:fill="33CCCC"/>
          </w:tcPr>
          <w:p>
            <w:pPr>
              <w:ind w:left="340"/>
              <w:spacing w:after="0" w:line="131" w:lineRule="exact"/>
              <w:rPr>
                <w:sz w:val="20"/>
                <w:szCs w:val="20"/>
                <w:color w:val="auto"/>
              </w:rPr>
            </w:pPr>
            <w:r>
              <w:rPr>
                <w:rFonts w:ascii="Calibri" w:cs="Calibri" w:eastAsia="Calibri" w:hAnsi="Calibri"/>
                <w:sz w:val="11"/>
                <w:szCs w:val="11"/>
                <w:b w:val="1"/>
                <w:bCs w:val="1"/>
                <w:color w:val="FFFFFF"/>
              </w:rPr>
              <w:t>Dec 24</w:t>
            </w:r>
          </w:p>
        </w:tc>
        <w:tc>
          <w:tcPr>
            <w:tcW w:w="1320" w:type="dxa"/>
            <w:vAlign w:val="bottom"/>
            <w:tcBorders>
              <w:bottom w:val="single" w:sz="8" w:color="auto"/>
              <w:right w:val="single" w:sz="8" w:color="646464"/>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24 / Dec 23</w:t>
            </w:r>
          </w:p>
        </w:tc>
      </w:tr>
      <w:tr>
        <w:trPr>
          <w:trHeight w:val="109"/>
        </w:trPr>
        <w:tc>
          <w:tcPr>
            <w:tcW w:w="3180" w:type="dxa"/>
            <w:vAlign w:val="bottom"/>
            <w:tcBorders>
              <w:left w:val="single" w:sz="8" w:color="auto"/>
              <w:right w:val="single" w:sz="8" w:color="auto"/>
            </w:tcBorders>
          </w:tcPr>
          <w:p>
            <w:pPr>
              <w:ind w:left="20"/>
              <w:spacing w:after="0" w:line="109" w:lineRule="exact"/>
              <w:rPr>
                <w:sz w:val="20"/>
                <w:szCs w:val="20"/>
                <w:color w:val="auto"/>
              </w:rPr>
            </w:pPr>
            <w:r>
              <w:rPr>
                <w:rFonts w:ascii="Calibri" w:cs="Calibri" w:eastAsia="Calibri" w:hAnsi="Calibri"/>
                <w:sz w:val="11"/>
                <w:szCs w:val="11"/>
                <w:color w:val="auto"/>
              </w:rPr>
              <w:t>Net gain on securites</w:t>
            </w:r>
          </w:p>
        </w:tc>
        <w:tc>
          <w:tcPr>
            <w:tcW w:w="940" w:type="dxa"/>
            <w:vAlign w:val="bottom"/>
          </w:tcPr>
          <w:p>
            <w:pPr>
              <w:jc w:val="center"/>
              <w:spacing w:after="0" w:line="109" w:lineRule="exact"/>
              <w:rPr>
                <w:sz w:val="20"/>
                <w:szCs w:val="20"/>
                <w:color w:val="auto"/>
              </w:rPr>
            </w:pPr>
            <w:r>
              <w:rPr>
                <w:rFonts w:ascii="Calibri" w:cs="Calibri" w:eastAsia="Calibri" w:hAnsi="Calibri"/>
                <w:sz w:val="11"/>
                <w:szCs w:val="11"/>
                <w:color w:val="auto"/>
                <w:w w:val="99"/>
              </w:rPr>
              <w:t>115,825</w:t>
            </w:r>
          </w:p>
        </w:tc>
        <w:tc>
          <w:tcPr>
            <w:tcW w:w="980" w:type="dxa"/>
            <w:vAlign w:val="bottom"/>
          </w:tcPr>
          <w:p>
            <w:pPr>
              <w:jc w:val="center"/>
              <w:spacing w:after="0" w:line="109" w:lineRule="exact"/>
              <w:rPr>
                <w:sz w:val="20"/>
                <w:szCs w:val="20"/>
                <w:color w:val="auto"/>
              </w:rPr>
            </w:pPr>
            <w:r>
              <w:rPr>
                <w:rFonts w:ascii="Calibri" w:cs="Calibri" w:eastAsia="Calibri" w:hAnsi="Calibri"/>
                <w:sz w:val="11"/>
                <w:szCs w:val="11"/>
                <w:color w:val="auto"/>
              </w:rPr>
              <w:t>120,033</w:t>
            </w:r>
          </w:p>
        </w:tc>
        <w:tc>
          <w:tcPr>
            <w:tcW w:w="9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w w:val="99"/>
              </w:rPr>
              <w:t>-47,377</w:t>
            </w:r>
          </w:p>
        </w:tc>
        <w:tc>
          <w:tcPr>
            <w:tcW w:w="960" w:type="dxa"/>
            <w:vAlign w:val="bottom"/>
          </w:tcPr>
          <w:p>
            <w:pPr>
              <w:jc w:val="center"/>
              <w:spacing w:after="0" w:line="109" w:lineRule="exact"/>
              <w:rPr>
                <w:sz w:val="20"/>
                <w:szCs w:val="20"/>
                <w:color w:val="auto"/>
              </w:rPr>
            </w:pPr>
            <w:r>
              <w:rPr>
                <w:rFonts w:ascii="Calibri" w:cs="Calibri" w:eastAsia="Calibri" w:hAnsi="Calibri"/>
                <w:sz w:val="11"/>
                <w:szCs w:val="11"/>
                <w:color w:val="auto"/>
                <w:w w:val="99"/>
              </w:rPr>
              <w:t>-139.5%</w:t>
            </w:r>
          </w:p>
        </w:tc>
        <w:tc>
          <w:tcPr>
            <w:tcW w:w="1000" w:type="dxa"/>
            <w:vAlign w:val="bottom"/>
            <w:tcBorders>
              <w:right w:val="single" w:sz="8" w:color="auto"/>
            </w:tcBorders>
          </w:tcPr>
          <w:p>
            <w:pPr>
              <w:jc w:val="center"/>
              <w:ind w:right="3"/>
              <w:spacing w:after="0" w:line="109" w:lineRule="exact"/>
              <w:rPr>
                <w:sz w:val="20"/>
                <w:szCs w:val="20"/>
                <w:color w:val="auto"/>
              </w:rPr>
            </w:pPr>
            <w:r>
              <w:rPr>
                <w:rFonts w:ascii="Calibri" w:cs="Calibri" w:eastAsia="Calibri" w:hAnsi="Calibri"/>
                <w:sz w:val="11"/>
                <w:szCs w:val="11"/>
                <w:color w:val="auto"/>
              </w:rPr>
              <w:t>-140.9%</w:t>
            </w:r>
          </w:p>
        </w:tc>
        <w:tc>
          <w:tcPr>
            <w:tcW w:w="900" w:type="dxa"/>
            <w:vAlign w:val="bottom"/>
          </w:tcPr>
          <w:p>
            <w:pPr>
              <w:jc w:val="center"/>
              <w:spacing w:after="0" w:line="109" w:lineRule="exact"/>
              <w:rPr>
                <w:sz w:val="20"/>
                <w:szCs w:val="20"/>
                <w:color w:val="auto"/>
              </w:rPr>
            </w:pPr>
            <w:r>
              <w:rPr>
                <w:rFonts w:ascii="Calibri" w:cs="Calibri" w:eastAsia="Calibri" w:hAnsi="Calibri"/>
                <w:sz w:val="11"/>
                <w:szCs w:val="11"/>
                <w:color w:val="auto"/>
              </w:rPr>
              <w:t>308,055</w:t>
            </w:r>
          </w:p>
        </w:tc>
        <w:tc>
          <w:tcPr>
            <w:tcW w:w="9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227,112</w:t>
            </w:r>
          </w:p>
        </w:tc>
        <w:tc>
          <w:tcPr>
            <w:tcW w:w="1320" w:type="dxa"/>
            <w:vAlign w:val="bottom"/>
            <w:tcBorders>
              <w:right w:val="single" w:sz="8" w:color="646464"/>
            </w:tcBorders>
          </w:tcPr>
          <w:p>
            <w:pPr>
              <w:jc w:val="center"/>
              <w:spacing w:after="0" w:line="109" w:lineRule="exact"/>
              <w:rPr>
                <w:sz w:val="20"/>
                <w:szCs w:val="20"/>
                <w:color w:val="auto"/>
              </w:rPr>
            </w:pPr>
            <w:r>
              <w:rPr>
                <w:rFonts w:ascii="Calibri" w:cs="Calibri" w:eastAsia="Calibri" w:hAnsi="Calibri"/>
                <w:sz w:val="11"/>
                <w:szCs w:val="11"/>
                <w:color w:val="auto"/>
              </w:rPr>
              <w:t>-26.3%</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 xml:space="preserve">Net gain from associates </w:t>
            </w:r>
            <w:r>
              <w:rPr>
                <w:rFonts w:ascii="Calibri" w:cs="Calibri" w:eastAsia="Calibri" w:hAnsi="Calibri"/>
                <w:sz w:val="9"/>
                <w:szCs w:val="9"/>
                <w:color w:val="auto"/>
              </w:rPr>
              <w:t>(1)</w:t>
            </w:r>
          </w:p>
        </w:tc>
        <w:tc>
          <w:tcPr>
            <w:tcW w:w="940" w:type="dxa"/>
            <w:vAlign w:val="bottom"/>
          </w:tcPr>
          <w:p>
            <w:pPr>
              <w:jc w:val="center"/>
              <w:spacing w:after="0" w:line="131" w:lineRule="exact"/>
              <w:rPr>
                <w:sz w:val="20"/>
                <w:szCs w:val="20"/>
                <w:color w:val="auto"/>
              </w:rPr>
            </w:pPr>
            <w:r>
              <w:rPr>
                <w:rFonts w:ascii="Calibri" w:cs="Calibri" w:eastAsia="Calibri" w:hAnsi="Calibri"/>
                <w:sz w:val="11"/>
                <w:szCs w:val="11"/>
                <w:color w:val="auto"/>
              </w:rPr>
              <w:t>34,132</w:t>
            </w:r>
          </w:p>
        </w:tc>
        <w:tc>
          <w:tcPr>
            <w:tcW w:w="980" w:type="dxa"/>
            <w:vAlign w:val="bottom"/>
          </w:tcPr>
          <w:p>
            <w:pPr>
              <w:jc w:val="center"/>
              <w:spacing w:after="0" w:line="131" w:lineRule="exact"/>
              <w:rPr>
                <w:sz w:val="20"/>
                <w:szCs w:val="20"/>
                <w:color w:val="auto"/>
              </w:rPr>
            </w:pPr>
            <w:r>
              <w:rPr>
                <w:rFonts w:ascii="Calibri" w:cs="Calibri" w:eastAsia="Calibri" w:hAnsi="Calibri"/>
                <w:sz w:val="11"/>
                <w:szCs w:val="11"/>
                <w:color w:val="auto"/>
              </w:rPr>
              <w:t>35,600</w:t>
            </w:r>
          </w:p>
        </w:tc>
        <w:tc>
          <w:tcPr>
            <w:tcW w:w="9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7"/>
              </w:rPr>
              <w:t>38,560</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8.3%</w:t>
            </w:r>
          </w:p>
        </w:tc>
        <w:tc>
          <w:tcPr>
            <w:tcW w:w="100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13.0%</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117,089</w:t>
            </w:r>
          </w:p>
        </w:tc>
        <w:tc>
          <w:tcPr>
            <w:tcW w:w="9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135,183</w:t>
            </w:r>
          </w:p>
        </w:tc>
        <w:tc>
          <w:tcPr>
            <w:tcW w:w="1320" w:type="dxa"/>
            <w:vAlign w:val="bottom"/>
            <w:tcBorders>
              <w:right w:val="single" w:sz="8" w:color="646464"/>
            </w:tcBorders>
          </w:tcPr>
          <w:p>
            <w:pPr>
              <w:jc w:val="center"/>
              <w:spacing w:after="0" w:line="131" w:lineRule="exact"/>
              <w:rPr>
                <w:sz w:val="20"/>
                <w:szCs w:val="20"/>
                <w:color w:val="auto"/>
              </w:rPr>
            </w:pPr>
            <w:r>
              <w:rPr>
                <w:rFonts w:ascii="Calibri" w:cs="Calibri" w:eastAsia="Calibri" w:hAnsi="Calibri"/>
                <w:sz w:val="11"/>
                <w:szCs w:val="11"/>
                <w:color w:val="auto"/>
              </w:rPr>
              <w:t>15.5%</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gain on derivatves held for trading</w:t>
            </w:r>
          </w:p>
        </w:tc>
        <w:tc>
          <w:tcPr>
            <w:tcW w:w="940" w:type="dxa"/>
            <w:vAlign w:val="bottom"/>
          </w:tcPr>
          <w:p>
            <w:pPr>
              <w:jc w:val="center"/>
              <w:spacing w:after="0" w:line="131" w:lineRule="exact"/>
              <w:rPr>
                <w:sz w:val="20"/>
                <w:szCs w:val="20"/>
                <w:color w:val="auto"/>
              </w:rPr>
            </w:pPr>
            <w:r>
              <w:rPr>
                <w:rFonts w:ascii="Calibri" w:cs="Calibri" w:eastAsia="Calibri" w:hAnsi="Calibri"/>
                <w:sz w:val="11"/>
                <w:szCs w:val="11"/>
                <w:color w:val="auto"/>
              </w:rPr>
              <w:t>5,019</w:t>
            </w:r>
          </w:p>
        </w:tc>
        <w:tc>
          <w:tcPr>
            <w:tcW w:w="980" w:type="dxa"/>
            <w:vAlign w:val="bottom"/>
          </w:tcPr>
          <w:p>
            <w:pPr>
              <w:jc w:val="center"/>
              <w:spacing w:after="0" w:line="131" w:lineRule="exact"/>
              <w:rPr>
                <w:sz w:val="20"/>
                <w:szCs w:val="20"/>
                <w:color w:val="auto"/>
              </w:rPr>
            </w:pPr>
            <w:r>
              <w:rPr>
                <w:rFonts w:ascii="Calibri" w:cs="Calibri" w:eastAsia="Calibri" w:hAnsi="Calibri"/>
                <w:sz w:val="11"/>
                <w:szCs w:val="11"/>
                <w:color w:val="auto"/>
              </w:rPr>
              <w:t>93,801</w:t>
            </w:r>
          </w:p>
        </w:tc>
        <w:tc>
          <w:tcPr>
            <w:tcW w:w="9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188,301</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100.7%</w:t>
            </w:r>
          </w:p>
        </w:tc>
        <w:tc>
          <w:tcPr>
            <w:tcW w:w="1000" w:type="dxa"/>
            <w:vAlign w:val="bottom"/>
            <w:tcBorders>
              <w:right w:val="single" w:sz="8" w:color="auto"/>
            </w:tcBorders>
          </w:tcPr>
          <w:p>
            <w:pPr>
              <w:ind w:left="380"/>
              <w:spacing w:after="0" w:line="131" w:lineRule="exact"/>
              <w:rPr>
                <w:sz w:val="20"/>
                <w:szCs w:val="20"/>
                <w:color w:val="auto"/>
              </w:rPr>
            </w:pPr>
            <w:r>
              <w:rPr>
                <w:rFonts w:ascii="Calibri" w:cs="Calibri" w:eastAsia="Calibri" w:hAnsi="Calibri"/>
                <w:sz w:val="11"/>
                <w:szCs w:val="11"/>
                <w:color w:val="auto"/>
              </w:rPr>
              <w:t>N/A</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53,665</w:t>
            </w:r>
          </w:p>
        </w:tc>
        <w:tc>
          <w:tcPr>
            <w:tcW w:w="9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363,834</w:t>
            </w:r>
          </w:p>
        </w:tc>
        <w:tc>
          <w:tcPr>
            <w:tcW w:w="1320" w:type="dxa"/>
            <w:vAlign w:val="bottom"/>
            <w:tcBorders>
              <w:right w:val="single" w:sz="8" w:color="646464"/>
            </w:tcBorders>
          </w:tcPr>
          <w:p>
            <w:pPr>
              <w:jc w:val="center"/>
              <w:spacing w:after="0" w:line="131" w:lineRule="exact"/>
              <w:rPr>
                <w:sz w:val="20"/>
                <w:szCs w:val="20"/>
                <w:color w:val="auto"/>
              </w:rPr>
            </w:pPr>
            <w:r>
              <w:rPr>
                <w:rFonts w:ascii="Calibri" w:cs="Calibri" w:eastAsia="Calibri" w:hAnsi="Calibri"/>
                <w:sz w:val="11"/>
                <w:szCs w:val="11"/>
                <w:color w:val="auto"/>
              </w:rPr>
              <w:t>578.0%</w:t>
            </w:r>
          </w:p>
        </w:tc>
      </w:tr>
      <w:tr>
        <w:trPr>
          <w:trHeight w:val="131"/>
        </w:trPr>
        <w:tc>
          <w:tcPr>
            <w:tcW w:w="318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gain from exchange diferences</w:t>
            </w:r>
          </w:p>
        </w:tc>
        <w:tc>
          <w:tcPr>
            <w:tcW w:w="940" w:type="dxa"/>
            <w:vAlign w:val="bottom"/>
          </w:tcPr>
          <w:p>
            <w:pPr>
              <w:jc w:val="center"/>
              <w:spacing w:after="0" w:line="131" w:lineRule="exact"/>
              <w:rPr>
                <w:sz w:val="20"/>
                <w:szCs w:val="20"/>
                <w:color w:val="auto"/>
              </w:rPr>
            </w:pPr>
            <w:r>
              <w:rPr>
                <w:rFonts w:ascii="Calibri" w:cs="Calibri" w:eastAsia="Calibri" w:hAnsi="Calibri"/>
                <w:sz w:val="11"/>
                <w:szCs w:val="11"/>
                <w:color w:val="auto"/>
              </w:rPr>
              <w:t>15,255</w:t>
            </w:r>
          </w:p>
        </w:tc>
        <w:tc>
          <w:tcPr>
            <w:tcW w:w="980" w:type="dxa"/>
            <w:vAlign w:val="bottom"/>
          </w:tcPr>
          <w:p>
            <w:pPr>
              <w:jc w:val="center"/>
              <w:spacing w:after="0" w:line="131" w:lineRule="exact"/>
              <w:rPr>
                <w:sz w:val="20"/>
                <w:szCs w:val="20"/>
                <w:color w:val="auto"/>
              </w:rPr>
            </w:pPr>
            <w:r>
              <w:rPr>
                <w:rFonts w:ascii="Calibri" w:cs="Calibri" w:eastAsia="Calibri" w:hAnsi="Calibri"/>
                <w:sz w:val="11"/>
                <w:szCs w:val="11"/>
                <w:color w:val="auto"/>
              </w:rPr>
              <w:t>-6,139</w:t>
            </w:r>
          </w:p>
        </w:tc>
        <w:tc>
          <w:tcPr>
            <w:tcW w:w="9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9"/>
              </w:rPr>
              <w:t>-21,365</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248.0%</w:t>
            </w:r>
          </w:p>
        </w:tc>
        <w:tc>
          <w:tcPr>
            <w:tcW w:w="1000" w:type="dxa"/>
            <w:vAlign w:val="bottom"/>
            <w:tcBorders>
              <w:right w:val="single" w:sz="8" w:color="auto"/>
            </w:tcBorders>
          </w:tcPr>
          <w:p>
            <w:pPr>
              <w:jc w:val="center"/>
              <w:ind w:right="3"/>
              <w:spacing w:after="0" w:line="131" w:lineRule="exact"/>
              <w:rPr>
                <w:sz w:val="20"/>
                <w:szCs w:val="20"/>
                <w:color w:val="auto"/>
              </w:rPr>
            </w:pPr>
            <w:r>
              <w:rPr>
                <w:rFonts w:ascii="Calibri" w:cs="Calibri" w:eastAsia="Calibri" w:hAnsi="Calibri"/>
                <w:sz w:val="11"/>
                <w:szCs w:val="11"/>
                <w:color w:val="auto"/>
              </w:rPr>
              <w:t>-240.1%</w:t>
            </w:r>
          </w:p>
        </w:tc>
        <w:tc>
          <w:tcPr>
            <w:tcW w:w="900" w:type="dxa"/>
            <w:vAlign w:val="bottom"/>
          </w:tcPr>
          <w:p>
            <w:pPr>
              <w:jc w:val="center"/>
              <w:spacing w:after="0" w:line="131" w:lineRule="exact"/>
              <w:rPr>
                <w:sz w:val="20"/>
                <w:szCs w:val="20"/>
                <w:color w:val="auto"/>
              </w:rPr>
            </w:pPr>
            <w:r>
              <w:rPr>
                <w:rFonts w:ascii="Calibri" w:cs="Calibri" w:eastAsia="Calibri" w:hAnsi="Calibri"/>
                <w:sz w:val="11"/>
                <w:szCs w:val="11"/>
                <w:color w:val="auto"/>
              </w:rPr>
              <w:t>45,778</w:t>
            </w:r>
          </w:p>
        </w:tc>
        <w:tc>
          <w:tcPr>
            <w:tcW w:w="9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9"/>
              </w:rPr>
              <w:t>-41,058</w:t>
            </w:r>
          </w:p>
        </w:tc>
        <w:tc>
          <w:tcPr>
            <w:tcW w:w="1320" w:type="dxa"/>
            <w:vAlign w:val="bottom"/>
            <w:tcBorders>
              <w:right w:val="single" w:sz="8" w:color="646464"/>
            </w:tcBorders>
          </w:tcPr>
          <w:p>
            <w:pPr>
              <w:jc w:val="center"/>
              <w:spacing w:after="0" w:line="131" w:lineRule="exact"/>
              <w:rPr>
                <w:sz w:val="20"/>
                <w:szCs w:val="20"/>
                <w:color w:val="auto"/>
              </w:rPr>
            </w:pPr>
            <w:r>
              <w:rPr>
                <w:rFonts w:ascii="Calibri" w:cs="Calibri" w:eastAsia="Calibri" w:hAnsi="Calibri"/>
                <w:sz w:val="11"/>
                <w:szCs w:val="11"/>
                <w:color w:val="auto"/>
              </w:rPr>
              <w:t>-189.7%</w:t>
            </w:r>
          </w:p>
        </w:tc>
      </w:tr>
      <w:tr>
        <w:trPr>
          <w:trHeight w:val="141"/>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Other non-fnancial income</w:t>
            </w:r>
          </w:p>
        </w:tc>
        <w:tc>
          <w:tcPr>
            <w:tcW w:w="94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w w:val="99"/>
              </w:rPr>
              <w:t>112,372</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96,675</w:t>
            </w:r>
          </w:p>
        </w:tc>
        <w:tc>
          <w:tcPr>
            <w:tcW w:w="9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176,384</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82.5%</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57.0%</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color w:val="auto"/>
              </w:rPr>
              <w:t>440,653</w:t>
            </w:r>
          </w:p>
        </w:tc>
        <w:tc>
          <w:tcPr>
            <w:tcW w:w="9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514,779</w:t>
            </w:r>
          </w:p>
        </w:tc>
        <w:tc>
          <w:tcPr>
            <w:tcW w:w="1320" w:type="dxa"/>
            <w:vAlign w:val="bottom"/>
            <w:tcBorders>
              <w:bottom w:val="single" w:sz="8" w:color="auto"/>
              <w:right w:val="single" w:sz="8" w:color="646464"/>
            </w:tcBorders>
          </w:tcPr>
          <w:p>
            <w:pPr>
              <w:jc w:val="center"/>
              <w:spacing w:after="0"/>
              <w:rPr>
                <w:sz w:val="20"/>
                <w:szCs w:val="20"/>
                <w:color w:val="auto"/>
              </w:rPr>
            </w:pPr>
            <w:r>
              <w:rPr>
                <w:rFonts w:ascii="Calibri" w:cs="Calibri" w:eastAsia="Calibri" w:hAnsi="Calibri"/>
                <w:sz w:val="11"/>
                <w:szCs w:val="11"/>
                <w:color w:val="auto"/>
              </w:rPr>
              <w:t>16.8%</w:t>
            </w:r>
          </w:p>
        </w:tc>
      </w:tr>
      <w:tr>
        <w:trPr>
          <w:trHeight w:val="130"/>
        </w:trPr>
        <w:tc>
          <w:tcPr>
            <w:tcW w:w="3180" w:type="dxa"/>
            <w:vAlign w:val="bottom"/>
            <w:tcBorders>
              <w:left w:val="single" w:sz="8" w:color="auto"/>
              <w:bottom w:val="single" w:sz="8" w:color="auto"/>
              <w:right w:val="single" w:sz="8" w:color="auto"/>
            </w:tcBorders>
          </w:tcPr>
          <w:p>
            <w:pPr>
              <w:ind w:left="20"/>
              <w:spacing w:after="0" w:line="130" w:lineRule="exact"/>
              <w:rPr>
                <w:sz w:val="20"/>
                <w:szCs w:val="20"/>
                <w:color w:val="auto"/>
              </w:rPr>
            </w:pPr>
            <w:r>
              <w:rPr>
                <w:rFonts w:ascii="Calibri" w:cs="Calibri" w:eastAsia="Calibri" w:hAnsi="Calibri"/>
                <w:sz w:val="11"/>
                <w:szCs w:val="11"/>
                <w:b w:val="1"/>
                <w:bCs w:val="1"/>
                <w:color w:val="auto"/>
              </w:rPr>
              <w:t>Total Other Non-Core Income</w:t>
            </w:r>
          </w:p>
        </w:tc>
        <w:tc>
          <w:tcPr>
            <w:tcW w:w="940" w:type="dxa"/>
            <w:vAlign w:val="bottom"/>
            <w:tcBorders>
              <w:bottom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w w:val="99"/>
              </w:rPr>
              <w:t>282,603</w:t>
            </w:r>
          </w:p>
        </w:tc>
        <w:tc>
          <w:tcPr>
            <w:tcW w:w="980" w:type="dxa"/>
            <w:vAlign w:val="bottom"/>
            <w:tcBorders>
              <w:bottom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339,970</w:t>
            </w:r>
          </w:p>
        </w:tc>
        <w:tc>
          <w:tcPr>
            <w:tcW w:w="98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334,503</w:t>
            </w:r>
          </w:p>
        </w:tc>
        <w:tc>
          <w:tcPr>
            <w:tcW w:w="960" w:type="dxa"/>
            <w:vAlign w:val="bottom"/>
            <w:tcBorders>
              <w:bottom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-1.6%</w:t>
            </w:r>
          </w:p>
        </w:tc>
        <w:tc>
          <w:tcPr>
            <w:tcW w:w="1000" w:type="dxa"/>
            <w:vAlign w:val="bottom"/>
            <w:tcBorders>
              <w:bottom w:val="single" w:sz="8" w:color="auto"/>
              <w:right w:val="single" w:sz="8" w:color="auto"/>
            </w:tcBorders>
          </w:tcPr>
          <w:p>
            <w:pPr>
              <w:jc w:val="center"/>
              <w:ind w:right="3"/>
              <w:spacing w:after="0" w:line="130" w:lineRule="exact"/>
              <w:rPr>
                <w:sz w:val="20"/>
                <w:szCs w:val="20"/>
                <w:color w:val="auto"/>
              </w:rPr>
            </w:pPr>
            <w:r>
              <w:rPr>
                <w:rFonts w:ascii="Calibri" w:cs="Calibri" w:eastAsia="Calibri" w:hAnsi="Calibri"/>
                <w:sz w:val="11"/>
                <w:szCs w:val="11"/>
                <w:b w:val="1"/>
                <w:bCs w:val="1"/>
                <w:color w:val="auto"/>
              </w:rPr>
              <w:t>18.4%</w:t>
            </w:r>
          </w:p>
        </w:tc>
        <w:tc>
          <w:tcPr>
            <w:tcW w:w="900" w:type="dxa"/>
            <w:vAlign w:val="bottom"/>
            <w:tcBorders>
              <w:bottom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965,240</w:t>
            </w:r>
          </w:p>
        </w:tc>
        <w:tc>
          <w:tcPr>
            <w:tcW w:w="980" w:type="dxa"/>
            <w:vAlign w:val="bottom"/>
            <w:tcBorders>
              <w:bottom w:val="single" w:sz="8" w:color="auto"/>
              <w:right w:val="single" w:sz="8" w:color="auto"/>
            </w:tcBorders>
          </w:tcPr>
          <w:p>
            <w:pPr>
              <w:jc w:val="center"/>
              <w:spacing w:after="0" w:line="130" w:lineRule="exact"/>
              <w:rPr>
                <w:sz w:val="20"/>
                <w:szCs w:val="20"/>
                <w:color w:val="auto"/>
              </w:rPr>
            </w:pPr>
            <w:r>
              <w:rPr>
                <w:rFonts w:ascii="Calibri" w:cs="Calibri" w:eastAsia="Calibri" w:hAnsi="Calibri"/>
                <w:sz w:val="11"/>
                <w:szCs w:val="11"/>
                <w:b w:val="1"/>
                <w:bCs w:val="1"/>
                <w:color w:val="auto"/>
              </w:rPr>
              <w:t>1,199,850</w:t>
            </w:r>
          </w:p>
        </w:tc>
        <w:tc>
          <w:tcPr>
            <w:tcW w:w="1320" w:type="dxa"/>
            <w:vAlign w:val="bottom"/>
            <w:tcBorders>
              <w:bottom w:val="single" w:sz="8" w:color="auto"/>
              <w:right w:val="single" w:sz="8" w:color="646464"/>
            </w:tcBorders>
          </w:tcPr>
          <w:p>
            <w:pPr>
              <w:jc w:val="center"/>
              <w:spacing w:after="0" w:line="130" w:lineRule="exact"/>
              <w:rPr>
                <w:sz w:val="20"/>
                <w:szCs w:val="20"/>
                <w:color w:val="auto"/>
              </w:rPr>
            </w:pPr>
            <w:r>
              <w:rPr>
                <w:rFonts w:ascii="Calibri" w:cs="Calibri" w:eastAsia="Calibri" w:hAnsi="Calibri"/>
                <w:sz w:val="11"/>
                <w:szCs w:val="11"/>
                <w:b w:val="1"/>
                <w:bCs w:val="1"/>
                <w:color w:val="auto"/>
              </w:rPr>
              <w:t>24.3%</w:t>
            </w:r>
          </w:p>
        </w:tc>
      </w:tr>
    </w:tbl>
    <w:p>
      <w:pPr>
        <w:spacing w:after="0"/>
        <w:rPr>
          <w:sz w:val="20"/>
          <w:szCs w:val="20"/>
          <w:color w:val="auto"/>
        </w:rPr>
      </w:pPr>
      <w:r>
        <w:rPr>
          <w:rFonts w:ascii="Arial" w:cs="Arial" w:eastAsia="Arial" w:hAnsi="Arial"/>
          <w:sz w:val="11"/>
          <w:szCs w:val="11"/>
          <w:color w:val="auto"/>
        </w:rPr>
        <w:t>(1) Includes gains on other investments, which are mainly attributable to the Banmedica result.</w:t>
      </w:r>
    </w:p>
    <w:p>
      <w:pPr>
        <w:spacing w:after="0" w:line="115" w:lineRule="exact"/>
        <w:rPr>
          <w:sz w:val="20"/>
          <w:szCs w:val="20"/>
          <w:color w:val="auto"/>
        </w:rPr>
      </w:pPr>
    </w:p>
    <w:tbl>
      <w:tblPr>
        <w:tblLayout w:type="fixed"/>
        <w:tblInd w:w="1900" w:type="dxa"/>
        <w:tblCellMar>
          <w:top w:w="0" w:type="dxa"/>
          <w:left w:w="0" w:type="dxa"/>
          <w:bottom w:w="0" w:type="dxa"/>
          <w:right w:w="0" w:type="dxa"/>
        </w:tblCellMar>
      </w:tblPr>
      <w:tr>
        <w:trPr>
          <w:trHeight w:val="208"/>
        </w:trPr>
        <w:tc>
          <w:tcPr>
            <w:tcW w:w="3720" w:type="dxa"/>
            <w:vAlign w:val="bottom"/>
          </w:tcPr>
          <w:p>
            <w:pPr>
              <w:jc w:val="center"/>
              <w:ind w:right="1936"/>
              <w:spacing w:after="0"/>
              <w:rPr>
                <w:sz w:val="20"/>
                <w:szCs w:val="20"/>
                <w:color w:val="auto"/>
              </w:rPr>
            </w:pPr>
            <w:r>
              <w:rPr>
                <w:rFonts w:ascii="Calibri" w:cs="Calibri" w:eastAsia="Calibri" w:hAnsi="Calibri"/>
                <w:sz w:val="17"/>
                <w:szCs w:val="17"/>
                <w:b w:val="1"/>
                <w:bCs w:val="1"/>
                <w:color w:val="auto"/>
              </w:rPr>
              <w:t>Other Non-Core Income</w:t>
            </w:r>
          </w:p>
        </w:tc>
        <w:tc>
          <w:tcPr>
            <w:tcW w:w="3720" w:type="dxa"/>
            <w:vAlign w:val="bottom"/>
          </w:tcPr>
          <w:p>
            <w:pPr>
              <w:jc w:val="center"/>
              <w:ind w:left="1933"/>
              <w:spacing w:after="0"/>
              <w:rPr>
                <w:sz w:val="20"/>
                <w:szCs w:val="20"/>
                <w:color w:val="auto"/>
              </w:rPr>
            </w:pPr>
            <w:r>
              <w:rPr>
                <w:rFonts w:ascii="Calibri" w:cs="Calibri" w:eastAsia="Calibri" w:hAnsi="Calibri"/>
                <w:sz w:val="17"/>
                <w:szCs w:val="17"/>
                <w:b w:val="1"/>
                <w:bCs w:val="1"/>
                <w:color w:val="auto"/>
              </w:rPr>
              <w:t>Other Non-Core Income</w:t>
            </w:r>
          </w:p>
        </w:tc>
      </w:tr>
      <w:tr>
        <w:trPr>
          <w:trHeight w:val="210"/>
        </w:trPr>
        <w:tc>
          <w:tcPr>
            <w:tcW w:w="3720" w:type="dxa"/>
            <w:vAlign w:val="bottom"/>
          </w:tcPr>
          <w:p>
            <w:pPr>
              <w:jc w:val="center"/>
              <w:ind w:right="1956"/>
              <w:spacing w:after="0"/>
              <w:rPr>
                <w:sz w:val="20"/>
                <w:szCs w:val="20"/>
                <w:color w:val="auto"/>
              </w:rPr>
            </w:pPr>
            <w:r>
              <w:rPr>
                <w:rFonts w:ascii="Calibri" w:cs="Calibri" w:eastAsia="Calibri" w:hAnsi="Calibri"/>
                <w:sz w:val="17"/>
                <w:szCs w:val="17"/>
                <w:b w:val="1"/>
                <w:bCs w:val="1"/>
                <w:color w:val="auto"/>
              </w:rPr>
              <w:t>QoQ evoluton</w:t>
            </w:r>
          </w:p>
        </w:tc>
        <w:tc>
          <w:tcPr>
            <w:tcW w:w="3720" w:type="dxa"/>
            <w:vAlign w:val="bottom"/>
          </w:tcPr>
          <w:p>
            <w:pPr>
              <w:jc w:val="center"/>
              <w:ind w:left="1933"/>
              <w:spacing w:after="0"/>
              <w:rPr>
                <w:sz w:val="20"/>
                <w:szCs w:val="20"/>
                <w:color w:val="auto"/>
              </w:rPr>
            </w:pPr>
            <w:r>
              <w:rPr>
                <w:rFonts w:ascii="Calibri" w:cs="Calibri" w:eastAsia="Calibri" w:hAnsi="Calibri"/>
                <w:sz w:val="17"/>
                <w:szCs w:val="17"/>
                <w:b w:val="1"/>
                <w:bCs w:val="1"/>
                <w:color w:val="auto"/>
              </w:rPr>
              <w:t>YoY evoluton</w:t>
            </w:r>
          </w:p>
        </w:tc>
      </w:tr>
      <w:tr>
        <w:trPr>
          <w:trHeight w:val="210"/>
        </w:trPr>
        <w:tc>
          <w:tcPr>
            <w:tcW w:w="3720" w:type="dxa"/>
            <w:vAlign w:val="bottom"/>
          </w:tcPr>
          <w:p>
            <w:pPr>
              <w:jc w:val="center"/>
              <w:ind w:right="1956"/>
              <w:spacing w:after="0" w:line="193" w:lineRule="exact"/>
              <w:rPr>
                <w:sz w:val="20"/>
                <w:szCs w:val="20"/>
                <w:color w:val="auto"/>
              </w:rPr>
            </w:pPr>
            <w:r>
              <w:rPr>
                <w:rFonts w:ascii="Calibri" w:cs="Calibri" w:eastAsia="Calibri" w:hAnsi="Calibri"/>
                <w:sz w:val="16"/>
                <w:szCs w:val="16"/>
                <w:color w:val="auto"/>
                <w:w w:val="98"/>
              </w:rPr>
              <w:t>(millions of soles)</w:t>
            </w:r>
          </w:p>
        </w:tc>
        <w:tc>
          <w:tcPr>
            <w:tcW w:w="3720" w:type="dxa"/>
            <w:vAlign w:val="bottom"/>
          </w:tcPr>
          <w:p>
            <w:pPr>
              <w:jc w:val="center"/>
              <w:ind w:left="1933"/>
              <w:spacing w:after="0"/>
              <w:rPr>
                <w:sz w:val="20"/>
                <w:szCs w:val="20"/>
                <w:color w:val="auto"/>
              </w:rPr>
            </w:pPr>
            <w:r>
              <w:rPr>
                <w:rFonts w:ascii="Calibri" w:cs="Calibri" w:eastAsia="Calibri" w:hAnsi="Calibri"/>
                <w:sz w:val="17"/>
                <w:szCs w:val="17"/>
                <w:color w:val="auto"/>
              </w:rPr>
              <w:t>(millions of soles)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131445</wp:posOffset>
            </wp:positionV>
            <wp:extent cx="6769735" cy="141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69735" cy="141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Other Non-Core Income</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FY evoluton</w:t>
      </w:r>
    </w:p>
    <w:p>
      <w:pPr>
        <w:spacing w:after="0" w:line="2"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(millions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2009775</wp:posOffset>
            </wp:positionH>
            <wp:positionV relativeFrom="paragraph">
              <wp:posOffset>15240</wp:posOffset>
            </wp:positionV>
            <wp:extent cx="3122930" cy="12407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22930" cy="124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80"/>
        <w:spacing w:after="0"/>
        <w:rPr>
          <w:sz w:val="20"/>
          <w:szCs w:val="20"/>
          <w:color w:val="auto"/>
        </w:rPr>
      </w:pPr>
      <w:r>
        <w:rPr>
          <w:rFonts w:ascii="Calibri" w:cs="Calibri" w:eastAsia="Calibri" w:hAnsi="Calibri"/>
          <w:sz w:val="11"/>
          <w:szCs w:val="11"/>
          <w:color w:val="auto"/>
        </w:rPr>
        <w:t>(1) Others: include Grupo Credito, Credicorp Stand-alone, eliminatons and others.</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color w:val="FFFFFF"/>
        </w:rPr>
        <w:t>06. Other Income</w:t>
      </w:r>
    </w:p>
    <w:p>
      <w:pPr>
        <w:spacing w:after="0" w:line="215" w:lineRule="exact"/>
        <w:rPr>
          <w:sz w:val="20"/>
          <w:szCs w:val="20"/>
          <w:color w:val="auto"/>
        </w:rPr>
      </w:pPr>
    </w:p>
    <w:p>
      <w:pPr>
        <w:spacing w:after="0"/>
        <w:rPr>
          <w:sz w:val="20"/>
          <w:szCs w:val="20"/>
          <w:color w:val="auto"/>
        </w:rPr>
      </w:pPr>
      <w:r>
        <w:rPr>
          <w:rFonts w:ascii="Calibri" w:cs="Calibri" w:eastAsia="Calibri" w:hAnsi="Calibri"/>
          <w:sz w:val="17"/>
          <w:szCs w:val="17"/>
          <w:color w:val="auto"/>
        </w:rPr>
        <w:t>If we exclude operatons at BCP Bolivia, the Other Non-Ordinary lines show the following dynamics:</w:t>
      </w:r>
    </w:p>
    <w:p>
      <w:pPr>
        <w:spacing w:after="0" w:line="2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QoQ</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Other Non-Ordinary Income </w:t>
      </w:r>
      <w:r>
        <w:rPr>
          <w:rFonts w:ascii="Calibri" w:cs="Calibri" w:eastAsia="Calibri" w:hAnsi="Calibri"/>
          <w:sz w:val="17"/>
          <w:szCs w:val="17"/>
          <w:color w:val="auto"/>
        </w:rPr>
        <w:t>dropped 7.9%, which was primarily atributable to:</w:t>
      </w:r>
    </w:p>
    <w:p>
      <w:pPr>
        <w:spacing w:after="0" w:line="20" w:lineRule="exact"/>
        <w:rPr>
          <w:sz w:val="20"/>
          <w:szCs w:val="20"/>
          <w:color w:val="auto"/>
        </w:rPr>
      </w:pPr>
    </w:p>
    <w:p>
      <w:pPr>
        <w:ind w:left="760" w:hanging="283"/>
        <w:spacing w:after="0" w:line="236" w:lineRule="auto"/>
        <w:tabs>
          <w:tab w:leader="none" w:pos="760" w:val="left"/>
        </w:tabs>
        <w:numPr>
          <w:ilvl w:val="0"/>
          <w:numId w:val="32"/>
        </w:numPr>
        <w:rPr>
          <w:rFonts w:ascii="Arial" w:cs="Arial" w:eastAsia="Arial" w:hAnsi="Arial"/>
          <w:sz w:val="17"/>
          <w:szCs w:val="17"/>
          <w:color w:val="auto"/>
        </w:rPr>
      </w:pPr>
      <w:r>
        <w:rPr>
          <w:rFonts w:ascii="Calibri" w:cs="Calibri" w:eastAsia="Calibri" w:hAnsi="Calibri"/>
          <w:sz w:val="17"/>
          <w:szCs w:val="17"/>
          <w:b w:val="1"/>
          <w:bCs w:val="1"/>
          <w:color w:val="auto"/>
        </w:rPr>
        <w:t>Net Gain (Loss) on Securites</w:t>
      </w:r>
      <w:r>
        <w:rPr>
          <w:rFonts w:ascii="Calibri" w:cs="Calibri" w:eastAsia="Calibri" w:hAnsi="Calibri"/>
          <w:sz w:val="17"/>
          <w:szCs w:val="17"/>
          <w:color w:val="auto"/>
        </w:rPr>
        <w:t>: (i)</w:t>
      </w:r>
      <w:r>
        <w:rPr>
          <w:rFonts w:ascii="Calibri" w:cs="Calibri" w:eastAsia="Calibri" w:hAnsi="Calibri"/>
          <w:sz w:val="17"/>
          <w:szCs w:val="17"/>
          <w:b w:val="1"/>
          <w:bCs w:val="1"/>
          <w:color w:val="auto"/>
        </w:rPr>
        <w:t xml:space="preserve"> Pacifco </w:t>
      </w:r>
      <w:r>
        <w:rPr>
          <w:rFonts w:ascii="Calibri" w:cs="Calibri" w:eastAsia="Calibri" w:hAnsi="Calibri"/>
          <w:sz w:val="17"/>
          <w:szCs w:val="17"/>
          <w:color w:val="auto"/>
        </w:rPr>
        <w:t>reported losses due to the deterioraton of an investment, (ii)</w:t>
      </w:r>
      <w:r>
        <w:rPr>
          <w:rFonts w:ascii="Calibri" w:cs="Calibri" w:eastAsia="Calibri" w:hAnsi="Calibri"/>
          <w:sz w:val="17"/>
          <w:szCs w:val="17"/>
          <w:b w:val="1"/>
          <w:bCs w:val="1"/>
          <w:color w:val="auto"/>
        </w:rPr>
        <w:t xml:space="preserve"> Credicorp Capital </w:t>
      </w:r>
      <w:r>
        <w:rPr>
          <w:rFonts w:ascii="Calibri" w:cs="Calibri" w:eastAsia="Calibri" w:hAnsi="Calibri"/>
          <w:sz w:val="17"/>
          <w:szCs w:val="17"/>
          <w:color w:val="auto"/>
        </w:rPr>
        <w:t>was impacted by a drop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income from trading, and (iii)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registered losses due to the devaluaton of sovereign bonds in the trading portolio.</w:t>
      </w:r>
    </w:p>
    <w:p>
      <w:pPr>
        <w:spacing w:after="0" w:line="6" w:lineRule="exact"/>
        <w:rPr>
          <w:rFonts w:ascii="Arial" w:cs="Arial" w:eastAsia="Arial" w:hAnsi="Arial"/>
          <w:sz w:val="17"/>
          <w:szCs w:val="17"/>
          <w:color w:val="auto"/>
        </w:rPr>
      </w:pPr>
    </w:p>
    <w:p>
      <w:pPr>
        <w:ind w:left="760" w:hanging="283"/>
        <w:spacing w:after="0"/>
        <w:tabs>
          <w:tab w:leader="none" w:pos="760" w:val="left"/>
        </w:tabs>
        <w:numPr>
          <w:ilvl w:val="0"/>
          <w:numId w:val="32"/>
        </w:numPr>
        <w:rPr>
          <w:rFonts w:ascii="Arial" w:cs="Arial" w:eastAsia="Arial" w:hAnsi="Arial"/>
          <w:sz w:val="17"/>
          <w:szCs w:val="17"/>
          <w:color w:val="auto"/>
        </w:rPr>
      </w:pPr>
      <w:r>
        <w:rPr>
          <w:rFonts w:ascii="Calibri" w:cs="Calibri" w:eastAsia="Calibri" w:hAnsi="Calibri"/>
          <w:sz w:val="17"/>
          <w:szCs w:val="17"/>
          <w:b w:val="1"/>
          <w:bCs w:val="1"/>
          <w:color w:val="auto"/>
        </w:rPr>
        <w:t>Net Gain (Loss) from Exchange Diference</w:t>
      </w:r>
      <w:r>
        <w:rPr>
          <w:rFonts w:ascii="Calibri" w:cs="Calibri" w:eastAsia="Calibri" w:hAnsi="Calibri"/>
          <w:sz w:val="17"/>
          <w:szCs w:val="17"/>
          <w:color w:val="auto"/>
        </w:rPr>
        <w:t>: due to losses at</w:t>
      </w:r>
      <w:r>
        <w:rPr>
          <w:rFonts w:ascii="Calibri" w:cs="Calibri" w:eastAsia="Calibri" w:hAnsi="Calibri"/>
          <w:sz w:val="17"/>
          <w:szCs w:val="17"/>
          <w:b w:val="1"/>
          <w:bCs w:val="1"/>
          <w:color w:val="auto"/>
        </w:rPr>
        <w:t xml:space="preserve"> ASB Bank Corp</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which were driven by this portolio’s exposure in local currencies.</w:t>
      </w:r>
    </w:p>
    <w:p>
      <w:pPr>
        <w:spacing w:after="0" w:line="236"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 xml:space="preserve">This contracton was partally ofset by growth in the </w:t>
      </w:r>
      <w:r>
        <w:rPr>
          <w:rFonts w:ascii="Calibri" w:cs="Calibri" w:eastAsia="Calibri" w:hAnsi="Calibri"/>
          <w:sz w:val="17"/>
          <w:szCs w:val="17"/>
          <w:b w:val="1"/>
          <w:bCs w:val="1"/>
          <w:color w:val="auto"/>
        </w:rPr>
        <w:t>Net Gain (Loss) of Derivatves Held for Trading</w:t>
      </w:r>
      <w:r>
        <w:rPr>
          <w:rFonts w:ascii="Calibri" w:cs="Calibri" w:eastAsia="Calibri" w:hAnsi="Calibri"/>
          <w:sz w:val="17"/>
          <w:szCs w:val="17"/>
          <w:color w:val="auto"/>
        </w:rPr>
        <w:t xml:space="preserve"> in the </w:t>
      </w:r>
      <w:r>
        <w:rPr>
          <w:rFonts w:ascii="Calibri" w:cs="Calibri" w:eastAsia="Calibri" w:hAnsi="Calibri"/>
          <w:sz w:val="17"/>
          <w:szCs w:val="17"/>
          <w:b w:val="1"/>
          <w:bCs w:val="1"/>
          <w:color w:val="auto"/>
        </w:rPr>
        <w:t>Investment Banking and Advisory business</w:t>
      </w:r>
      <w:r>
        <w:rPr>
          <w:rFonts w:ascii="Calibri" w:cs="Calibri" w:eastAsia="Calibri" w:hAnsi="Calibri"/>
          <w:sz w:val="17"/>
          <w:szCs w:val="17"/>
          <w:color w:val="auto"/>
        </w:rPr>
        <w:t xml:space="preserve"> afer the treasury’s mo e to cover exposure in local currencies generated gains. Improvements were also registered in </w:t>
      </w:r>
      <w:r>
        <w:rPr>
          <w:rFonts w:ascii="Calibri" w:cs="Calibri" w:eastAsia="Calibri" w:hAnsi="Calibri"/>
          <w:sz w:val="17"/>
          <w:szCs w:val="17"/>
          <w:b w:val="1"/>
          <w:bCs w:val="1"/>
          <w:color w:val="auto"/>
        </w:rPr>
        <w:t>Other Non-operatve Income</w:t>
      </w:r>
      <w:r>
        <w:rPr>
          <w:rFonts w:ascii="Calibri" w:cs="Calibri" w:eastAsia="Calibri" w:hAnsi="Calibri"/>
          <w:sz w:val="17"/>
          <w:szCs w:val="17"/>
          <w:color w:val="auto"/>
        </w:rPr>
        <w:t xml:space="preserve"> at (i)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xml:space="preserve"> which was associated with sales of propertes, and (ii) </w:t>
      </w:r>
      <w:r>
        <w:rPr>
          <w:rFonts w:ascii="Calibri" w:cs="Calibri" w:eastAsia="Calibri" w:hAnsi="Calibri"/>
          <w:sz w:val="17"/>
          <w:szCs w:val="17"/>
          <w:b w:val="1"/>
          <w:bCs w:val="1"/>
          <w:color w:val="auto"/>
        </w:rPr>
        <w:t>Pacifco,</w:t>
      </w:r>
      <w:r>
        <w:rPr>
          <w:rFonts w:ascii="Calibri" w:cs="Calibri" w:eastAsia="Calibri" w:hAnsi="Calibri"/>
          <w:sz w:val="17"/>
          <w:szCs w:val="17"/>
          <w:color w:val="auto"/>
        </w:rPr>
        <w:t xml:space="preserve"> where a provisions reversal and a property sale were reported.</w:t>
      </w:r>
    </w:p>
    <w:p>
      <w:pPr>
        <w:spacing w:after="0" w:line="19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YoY, Other Non-Core Income </w:t>
      </w:r>
      <w:r>
        <w:rPr>
          <w:rFonts w:ascii="Calibri" w:cs="Calibri" w:eastAsia="Calibri" w:hAnsi="Calibri"/>
          <w:sz w:val="17"/>
          <w:szCs w:val="17"/>
          <w:color w:val="auto"/>
        </w:rPr>
        <w:t>dropped 23.1% due to:</w:t>
      </w:r>
    </w:p>
    <w:p>
      <w:pPr>
        <w:spacing w:after="0" w:line="5" w:lineRule="exact"/>
        <w:rPr>
          <w:sz w:val="20"/>
          <w:szCs w:val="20"/>
          <w:color w:val="auto"/>
        </w:rPr>
      </w:pPr>
    </w:p>
    <w:p>
      <w:pPr>
        <w:ind w:left="760" w:hanging="283"/>
        <w:spacing w:after="0" w:line="248" w:lineRule="auto"/>
        <w:tabs>
          <w:tab w:leader="none" w:pos="760" w:val="left"/>
        </w:tabs>
        <w:numPr>
          <w:ilvl w:val="0"/>
          <w:numId w:val="33"/>
        </w:numPr>
        <w:rPr>
          <w:rFonts w:ascii="Arial" w:cs="Arial" w:eastAsia="Arial" w:hAnsi="Arial"/>
          <w:sz w:val="17"/>
          <w:szCs w:val="17"/>
          <w:color w:val="auto"/>
        </w:rPr>
      </w:pPr>
      <w:r>
        <w:rPr>
          <w:rFonts w:ascii="Calibri" w:cs="Calibri" w:eastAsia="Calibri" w:hAnsi="Calibri"/>
          <w:sz w:val="17"/>
          <w:szCs w:val="17"/>
          <w:b w:val="1"/>
          <w:bCs w:val="1"/>
          <w:color w:val="auto"/>
        </w:rPr>
        <w:t xml:space="preserve">Net Gain (Loss) on Securites </w:t>
      </w:r>
      <w:r>
        <w:rPr>
          <w:rFonts w:ascii="Calibri" w:cs="Calibri" w:eastAsia="Calibri" w:hAnsi="Calibri"/>
          <w:sz w:val="17"/>
          <w:szCs w:val="17"/>
          <w:color w:val="auto"/>
        </w:rPr>
        <w:t>due to (i) losses at</w:t>
      </w:r>
      <w:r>
        <w:rPr>
          <w:rFonts w:ascii="Calibri" w:cs="Calibri" w:eastAsia="Calibri" w:hAnsi="Calibri"/>
          <w:sz w:val="17"/>
          <w:szCs w:val="17"/>
          <w:b w:val="1"/>
          <w:bCs w:val="1"/>
          <w:color w:val="auto"/>
        </w:rPr>
        <w:t xml:space="preserve"> Pacifco</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as described in the QoQ analysis, (ii)</w:t>
      </w:r>
      <w:r>
        <w:rPr>
          <w:rFonts w:ascii="Calibri" w:cs="Calibri" w:eastAsia="Calibri" w:hAnsi="Calibri"/>
          <w:sz w:val="17"/>
          <w:szCs w:val="17"/>
          <w:b w:val="1"/>
          <w:bCs w:val="1"/>
          <w:color w:val="auto"/>
        </w:rPr>
        <w:t xml:space="preserve"> BCP Stand-alone</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due to the devaluaton of a corporate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bond and negatve results for sovereign bond trading, and (iii) </w:t>
      </w:r>
      <w:r>
        <w:rPr>
          <w:rFonts w:ascii="Calibri" w:cs="Calibri" w:eastAsia="Calibri" w:hAnsi="Calibri"/>
          <w:sz w:val="17"/>
          <w:szCs w:val="17"/>
          <w:b w:val="1"/>
          <w:bCs w:val="1"/>
          <w:color w:val="auto"/>
        </w:rPr>
        <w:t>Prima AFP</w:t>
      </w:r>
      <w:r>
        <w:rPr>
          <w:rFonts w:ascii="Calibri" w:cs="Calibri" w:eastAsia="Calibri" w:hAnsi="Calibri"/>
          <w:sz w:val="17"/>
          <w:szCs w:val="17"/>
          <w:color w:val="auto"/>
        </w:rPr>
        <w:t>, due to a drop in the proftability of funds under management.</w:t>
      </w:r>
    </w:p>
    <w:p>
      <w:pPr>
        <w:ind w:left="760" w:hanging="283"/>
        <w:spacing w:after="0"/>
        <w:tabs>
          <w:tab w:leader="none" w:pos="760" w:val="left"/>
        </w:tabs>
        <w:numPr>
          <w:ilvl w:val="0"/>
          <w:numId w:val="33"/>
        </w:numPr>
        <w:rPr>
          <w:rFonts w:ascii="Arial" w:cs="Arial" w:eastAsia="Arial" w:hAnsi="Arial"/>
          <w:sz w:val="17"/>
          <w:szCs w:val="17"/>
          <w:color w:val="auto"/>
        </w:rPr>
      </w:pPr>
      <w:r>
        <w:rPr>
          <w:rFonts w:ascii="Calibri" w:cs="Calibri" w:eastAsia="Calibri" w:hAnsi="Calibri"/>
          <w:sz w:val="17"/>
          <w:szCs w:val="17"/>
          <w:b w:val="1"/>
          <w:bCs w:val="1"/>
          <w:color w:val="auto"/>
        </w:rPr>
        <w:t>Net Gain (Loss) from Exchange Diference</w:t>
      </w:r>
      <w:r>
        <w:rPr>
          <w:rFonts w:ascii="Calibri" w:cs="Calibri" w:eastAsia="Calibri" w:hAnsi="Calibri"/>
          <w:sz w:val="17"/>
          <w:szCs w:val="17"/>
          <w:color w:val="auto"/>
        </w:rPr>
        <w:t>: as outlined in the QoQ analysis.</w:t>
      </w:r>
    </w:p>
    <w:p>
      <w:pPr>
        <w:spacing w:after="0" w:line="225" w:lineRule="exact"/>
        <w:rPr>
          <w:sz w:val="20"/>
          <w:szCs w:val="20"/>
          <w:color w:val="auto"/>
        </w:rPr>
      </w:pPr>
    </w:p>
    <w:p>
      <w:pPr>
        <w:spacing w:after="0"/>
        <w:rPr>
          <w:sz w:val="20"/>
          <w:szCs w:val="20"/>
          <w:color w:val="auto"/>
        </w:rPr>
      </w:pPr>
      <w:r>
        <w:rPr>
          <w:rFonts w:ascii="Calibri" w:cs="Calibri" w:eastAsia="Calibri" w:hAnsi="Calibri"/>
          <w:sz w:val="17"/>
          <w:szCs w:val="17"/>
          <w:color w:val="auto"/>
        </w:rPr>
        <w:t>This decline was ofset by the same factors in play QoQ.</w:t>
      </w:r>
    </w:p>
    <w:p>
      <w:pPr>
        <w:spacing w:after="0" w:line="22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FY, Other Non-Core Income </w:t>
      </w:r>
      <w:r>
        <w:rPr>
          <w:rFonts w:ascii="Calibri" w:cs="Calibri" w:eastAsia="Calibri" w:hAnsi="Calibri"/>
          <w:sz w:val="17"/>
          <w:szCs w:val="17"/>
          <w:color w:val="auto"/>
        </w:rPr>
        <w:t>fell 0.9%, driven mainly by:</w:t>
      </w:r>
    </w:p>
    <w:p>
      <w:pPr>
        <w:spacing w:after="0" w:line="3" w:lineRule="exact"/>
        <w:rPr>
          <w:sz w:val="20"/>
          <w:szCs w:val="20"/>
          <w:color w:val="auto"/>
        </w:rPr>
      </w:pPr>
    </w:p>
    <w:p>
      <w:pPr>
        <w:jc w:val="both"/>
        <w:ind w:left="760" w:hanging="283"/>
        <w:spacing w:after="0" w:line="242" w:lineRule="auto"/>
        <w:tabs>
          <w:tab w:leader="none" w:pos="760" w:val="left"/>
        </w:tabs>
        <w:numPr>
          <w:ilvl w:val="0"/>
          <w:numId w:val="34"/>
        </w:numPr>
        <w:rPr>
          <w:rFonts w:ascii="Arial" w:cs="Arial" w:eastAsia="Arial" w:hAnsi="Arial"/>
          <w:sz w:val="17"/>
          <w:szCs w:val="17"/>
          <w:color w:val="auto"/>
        </w:rPr>
      </w:pPr>
      <w:r>
        <w:rPr>
          <w:rFonts w:ascii="Calibri" w:cs="Calibri" w:eastAsia="Calibri" w:hAnsi="Calibri"/>
          <w:sz w:val="17"/>
          <w:szCs w:val="17"/>
          <w:b w:val="1"/>
          <w:bCs w:val="1"/>
          <w:color w:val="auto"/>
        </w:rPr>
        <w:t xml:space="preserve">Net Gain (Loss) on Securites: </w:t>
      </w:r>
      <w:r>
        <w:rPr>
          <w:rFonts w:ascii="Calibri" w:cs="Calibri" w:eastAsia="Calibri" w:hAnsi="Calibri"/>
          <w:sz w:val="17"/>
          <w:szCs w:val="17"/>
          <w:color w:val="auto"/>
        </w:rPr>
        <w:t>due to (i) losses at</w:t>
      </w:r>
      <w:r>
        <w:rPr>
          <w:rFonts w:ascii="Calibri" w:cs="Calibri" w:eastAsia="Calibri" w:hAnsi="Calibri"/>
          <w:sz w:val="17"/>
          <w:szCs w:val="17"/>
          <w:b w:val="1"/>
          <w:bCs w:val="1"/>
          <w:color w:val="auto"/>
        </w:rPr>
        <w:t xml:space="preserve"> Pacifco, </w:t>
      </w:r>
      <w:r>
        <w:rPr>
          <w:rFonts w:ascii="Calibri" w:cs="Calibri" w:eastAsia="Calibri" w:hAnsi="Calibri"/>
          <w:sz w:val="17"/>
          <w:szCs w:val="17"/>
          <w:color w:val="auto"/>
        </w:rPr>
        <w:t>as outlined in the QoQ dynamics, and (ii)</w:t>
      </w:r>
      <w:r>
        <w:rPr>
          <w:rFonts w:ascii="Calibri" w:cs="Calibri" w:eastAsia="Calibri" w:hAnsi="Calibri"/>
          <w:sz w:val="17"/>
          <w:szCs w:val="17"/>
          <w:b w:val="1"/>
          <w:bCs w:val="1"/>
          <w:color w:val="auto"/>
        </w:rPr>
        <w:t xml:space="preserve"> Others</w:t>
      </w:r>
      <w:r>
        <w:rPr>
          <w:rFonts w:ascii="Calibri" w:cs="Calibri" w:eastAsia="Calibri" w:hAnsi="Calibri"/>
          <w:sz w:val="17"/>
          <w:szCs w:val="17"/>
          <w:color w:val="auto"/>
        </w:rPr>
        <w:t>, due to a base efect given that the market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 xml:space="preserve">price for investments at Credicorp Stand-alone was higher in 2023. These losses were partally ofset by </w:t>
      </w:r>
      <w:r>
        <w:rPr>
          <w:rFonts w:ascii="Calibri" w:cs="Calibri" w:eastAsia="Calibri" w:hAnsi="Calibri"/>
          <w:sz w:val="17"/>
          <w:szCs w:val="17"/>
          <w:b w:val="1"/>
          <w:bCs w:val="1"/>
          <w:color w:val="auto"/>
        </w:rPr>
        <w:t>BCP Stand-alone</w:t>
      </w:r>
      <w:r>
        <w:rPr>
          <w:rFonts w:ascii="Calibri" w:cs="Calibri" w:eastAsia="Calibri" w:hAnsi="Calibri"/>
          <w:sz w:val="17"/>
          <w:szCs w:val="17"/>
          <w:color w:val="auto"/>
        </w:rPr>
        <w:t>, which reported growth in ALM income and a revaluaton of the trading portolio.</w:t>
      </w:r>
    </w:p>
    <w:p>
      <w:pPr>
        <w:spacing w:after="0" w:line="1" w:lineRule="exact"/>
        <w:rPr>
          <w:rFonts w:ascii="Arial" w:cs="Arial" w:eastAsia="Arial" w:hAnsi="Arial"/>
          <w:sz w:val="17"/>
          <w:szCs w:val="17"/>
          <w:color w:val="auto"/>
        </w:rPr>
      </w:pPr>
    </w:p>
    <w:p>
      <w:pPr>
        <w:ind w:left="760" w:hanging="283"/>
        <w:spacing w:after="0"/>
        <w:tabs>
          <w:tab w:leader="none" w:pos="760" w:val="left"/>
        </w:tabs>
        <w:numPr>
          <w:ilvl w:val="0"/>
          <w:numId w:val="34"/>
        </w:numPr>
        <w:rPr>
          <w:rFonts w:ascii="Arial" w:cs="Arial" w:eastAsia="Arial" w:hAnsi="Arial"/>
          <w:sz w:val="17"/>
          <w:szCs w:val="17"/>
          <w:color w:val="auto"/>
        </w:rPr>
      </w:pPr>
      <w:r>
        <w:rPr>
          <w:rFonts w:ascii="Calibri" w:cs="Calibri" w:eastAsia="Calibri" w:hAnsi="Calibri"/>
          <w:sz w:val="17"/>
          <w:szCs w:val="17"/>
          <w:b w:val="1"/>
          <w:bCs w:val="1"/>
          <w:color w:val="auto"/>
        </w:rPr>
        <w:t>Net Gain (Loss) from Exchange Diference</w:t>
      </w:r>
      <w:r>
        <w:rPr>
          <w:rFonts w:ascii="Calibri" w:cs="Calibri" w:eastAsia="Calibri" w:hAnsi="Calibri"/>
          <w:sz w:val="17"/>
          <w:szCs w:val="17"/>
          <w:color w:val="auto"/>
        </w:rPr>
        <w:t>: in line with the factors outlined in the QoQ analysis.</w:t>
      </w:r>
    </w:p>
    <w:p>
      <w:pPr>
        <w:spacing w:after="0" w:line="213"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 xml:space="preserve">This contracton was partally ofset by growth in the </w:t>
      </w:r>
      <w:r>
        <w:rPr>
          <w:rFonts w:ascii="Calibri" w:cs="Calibri" w:eastAsia="Calibri" w:hAnsi="Calibri"/>
          <w:sz w:val="17"/>
          <w:szCs w:val="17"/>
          <w:b w:val="1"/>
          <w:bCs w:val="1"/>
          <w:color w:val="auto"/>
        </w:rPr>
        <w:t>Net Gain (Loss) of Derivatves Held for Trading</w:t>
      </w:r>
      <w:r>
        <w:rPr>
          <w:rFonts w:ascii="Calibri" w:cs="Calibri" w:eastAsia="Calibri" w:hAnsi="Calibri"/>
          <w:sz w:val="17"/>
          <w:szCs w:val="17"/>
          <w:color w:val="auto"/>
        </w:rPr>
        <w:t xml:space="preserve"> in the </w:t>
      </w:r>
      <w:r>
        <w:rPr>
          <w:rFonts w:ascii="Calibri" w:cs="Calibri" w:eastAsia="Calibri" w:hAnsi="Calibri"/>
          <w:sz w:val="17"/>
          <w:szCs w:val="17"/>
          <w:b w:val="1"/>
          <w:bCs w:val="1"/>
          <w:color w:val="auto"/>
        </w:rPr>
        <w:t>Investment Banking and Advisory</w:t>
      </w:r>
      <w:r>
        <w:rPr>
          <w:rFonts w:ascii="Calibri" w:cs="Calibri" w:eastAsia="Calibri" w:hAnsi="Calibri"/>
          <w:sz w:val="17"/>
          <w:szCs w:val="17"/>
          <w:color w:val="auto"/>
        </w:rPr>
        <w:t xml:space="preserve"> business, which was driven by the same factors in play QoQ, and in </w:t>
      </w:r>
      <w:r>
        <w:rPr>
          <w:rFonts w:ascii="Calibri" w:cs="Calibri" w:eastAsia="Calibri" w:hAnsi="Calibri"/>
          <w:sz w:val="17"/>
          <w:szCs w:val="17"/>
          <w:b w:val="1"/>
          <w:bCs w:val="1"/>
          <w:color w:val="auto"/>
        </w:rPr>
        <w:t>Other Non-operatve Income</w:t>
      </w:r>
      <w:r>
        <w:rPr>
          <w:rFonts w:ascii="Calibri" w:cs="Calibri" w:eastAsia="Calibri" w:hAnsi="Calibri"/>
          <w:sz w:val="17"/>
          <w:szCs w:val="17"/>
          <w:color w:val="auto"/>
        </w:rPr>
        <w:t xml:space="preserve"> at (i) </w:t>
      </w:r>
      <w:r>
        <w:rPr>
          <w:rFonts w:ascii="Calibri" w:cs="Calibri" w:eastAsia="Calibri" w:hAnsi="Calibri"/>
          <w:sz w:val="17"/>
          <w:szCs w:val="17"/>
          <w:b w:val="1"/>
          <w:bCs w:val="1"/>
          <w:color w:val="auto"/>
        </w:rPr>
        <w:t>Pacifco</w:t>
      </w:r>
      <w:r>
        <w:rPr>
          <w:rFonts w:ascii="Times New Roman" w:cs="Times New Roman" w:eastAsia="Times New Roman" w:hAnsi="Times New Roman"/>
          <w:sz w:val="17"/>
          <w:szCs w:val="17"/>
          <w:color w:val="auto"/>
        </w:rPr>
        <w:t>,</w:t>
      </w:r>
      <w:r>
        <w:rPr>
          <w:rFonts w:ascii="Calibri" w:cs="Calibri" w:eastAsia="Calibri" w:hAnsi="Calibri"/>
          <w:sz w:val="17"/>
          <w:szCs w:val="17"/>
          <w:color w:val="auto"/>
        </w:rPr>
        <w:t xml:space="preserve"> as outlined in the QoQ explanaton, and (ii) </w:t>
      </w:r>
      <w:r>
        <w:rPr>
          <w:rFonts w:ascii="Calibri" w:cs="Calibri" w:eastAsia="Calibri" w:hAnsi="Calibri"/>
          <w:sz w:val="17"/>
          <w:szCs w:val="17"/>
          <w:b w:val="1"/>
          <w:bCs w:val="1"/>
          <w:color w:val="auto"/>
        </w:rPr>
        <w:t>Others</w:t>
      </w:r>
      <w:r>
        <w:rPr>
          <w:rFonts w:ascii="Calibri" w:cs="Calibri" w:eastAsia="Calibri" w:hAnsi="Calibri"/>
          <w:sz w:val="17"/>
          <w:szCs w:val="17"/>
          <w:color w:val="auto"/>
        </w:rPr>
        <w:t>, related to a provisions reversal.</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07 </w:t>
      </w:r>
      <w:r>
        <w:rPr>
          <w:rFonts w:ascii="Arial" w:cs="Arial" w:eastAsia="Arial" w:hAnsi="Arial"/>
          <w:sz w:val="31"/>
          <w:szCs w:val="31"/>
          <w:color w:val="E93BAB"/>
        </w:rPr>
        <w:t>Insurance Underwriting Results</w:t>
      </w:r>
    </w:p>
    <w:p>
      <w:pPr>
        <w:spacing w:after="0" w:line="205" w:lineRule="exact"/>
        <w:rPr>
          <w:sz w:val="20"/>
          <w:szCs w:val="20"/>
          <w:color w:val="auto"/>
        </w:rPr>
      </w:pPr>
    </w:p>
    <w:p>
      <w:pPr>
        <w:ind w:left="580"/>
        <w:spacing w:after="0"/>
        <w:rPr>
          <w:sz w:val="20"/>
          <w:szCs w:val="20"/>
          <w:color w:val="auto"/>
        </w:rPr>
      </w:pPr>
      <w:r>
        <w:rPr>
          <w:rFonts w:ascii="Calibri" w:cs="Calibri" w:eastAsia="Calibri" w:hAnsi="Calibri"/>
          <w:sz w:val="17"/>
          <w:szCs w:val="17"/>
          <w:color w:val="FFFFFF"/>
        </w:rPr>
        <w:t>QoQ, the Insurance Underwritng Result increased 7.2%. Growth was mainly driven by a stronger Reinsurance Result in P &amp;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-117475</wp:posOffset>
            </wp:positionV>
            <wp:extent cx="6561455" cy="8578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61455" cy="857885"/>
                    </a:xfrm>
                    <a:prstGeom prst="rect">
                      <a:avLst/>
                    </a:prstGeom>
                    <a:noFill/>
                  </pic:spPr>
                </pic:pic>
              </a:graphicData>
            </a:graphic>
          </wp:anchor>
        </w:drawing>
      </w:r>
    </w:p>
    <w:p>
      <w:pPr>
        <w:ind w:left="580" w:right="540"/>
        <w:spacing w:after="0" w:line="242" w:lineRule="auto"/>
        <w:rPr>
          <w:sz w:val="20"/>
          <w:szCs w:val="20"/>
          <w:color w:val="auto"/>
        </w:rPr>
      </w:pPr>
      <w:r>
        <w:rPr>
          <w:rFonts w:ascii="Calibri" w:cs="Calibri" w:eastAsia="Calibri" w:hAnsi="Calibri"/>
          <w:sz w:val="17"/>
          <w:szCs w:val="17"/>
          <w:color w:val="FFFFFF"/>
        </w:rPr>
        <w:t>Additonally, higher Insurance Service Income in both business lines contributed to the higher underwritng result. These positve dynamics were partally ofset by growth in Insurance Service Expenses in both businesses.</w:t>
      </w:r>
    </w:p>
    <w:p>
      <w:pPr>
        <w:ind w:left="580"/>
        <w:spacing w:after="0" w:line="239" w:lineRule="auto"/>
        <w:rPr>
          <w:sz w:val="20"/>
          <w:szCs w:val="20"/>
          <w:color w:val="auto"/>
        </w:rPr>
      </w:pPr>
      <w:r>
        <w:rPr>
          <w:rFonts w:ascii="Calibri" w:cs="Calibri" w:eastAsia="Calibri" w:hAnsi="Calibri"/>
          <w:sz w:val="17"/>
          <w:szCs w:val="17"/>
          <w:color w:val="FFFFFF"/>
        </w:rPr>
        <w:t>YoY</w:t>
      </w:r>
      <w:r>
        <w:rPr>
          <w:rFonts w:ascii="Times New Roman" w:cs="Times New Roman" w:eastAsia="Times New Roman" w:hAnsi="Times New Roman"/>
          <w:sz w:val="17"/>
          <w:szCs w:val="17"/>
          <w:color w:val="FFFFFF"/>
        </w:rPr>
        <w:t>,</w:t>
      </w:r>
      <w:r>
        <w:rPr>
          <w:rFonts w:ascii="Calibri" w:cs="Calibri" w:eastAsia="Calibri" w:hAnsi="Calibri"/>
          <w:sz w:val="17"/>
          <w:szCs w:val="17"/>
          <w:color w:val="FFFFFF"/>
        </w:rPr>
        <w:t xml:space="preserve"> the</w:t>
      </w:r>
      <w:r>
        <w:rPr>
          <w:rFonts w:ascii="Calibri" w:cs="Calibri" w:eastAsia="Calibri" w:hAnsi="Calibri"/>
          <w:sz w:val="24"/>
          <w:szCs w:val="24"/>
          <w:color w:val="E93BAC"/>
        </w:rPr>
        <w:t>a</w:t>
      </w:r>
      <w:r>
        <w:rPr>
          <w:rFonts w:ascii="Calibri" w:cs="Calibri" w:eastAsia="Calibri" w:hAnsi="Calibri"/>
          <w:sz w:val="17"/>
          <w:szCs w:val="17"/>
          <w:color w:val="FFFFFF"/>
        </w:rPr>
        <w:t>Insurance</w:t>
      </w:r>
      <w:r>
        <w:rPr>
          <w:rFonts w:ascii="Calibri" w:cs="Calibri" w:eastAsia="Calibri" w:hAnsi="Calibri"/>
          <w:sz w:val="24"/>
          <w:szCs w:val="24"/>
          <w:color w:val="E93BAC"/>
        </w:rPr>
        <w:t>S</w:t>
      </w:r>
      <w:r>
        <w:rPr>
          <w:rFonts w:ascii="Calibri" w:cs="Calibri" w:eastAsia="Calibri" w:hAnsi="Calibri"/>
          <w:sz w:val="17"/>
          <w:szCs w:val="17"/>
          <w:color w:val="FFFFFF"/>
        </w:rPr>
        <w:t>Underwritng Result rose 8.8%, due to lower Insurance Service Expenses in Life, mainly in D&amp;S and Individual</w:t>
      </w:r>
    </w:p>
    <w:p>
      <w:pPr>
        <w:spacing w:after="0" w:line="11" w:lineRule="exact"/>
        <w:rPr>
          <w:sz w:val="20"/>
          <w:szCs w:val="20"/>
          <w:color w:val="auto"/>
        </w:rPr>
      </w:pPr>
    </w:p>
    <w:p>
      <w:pPr>
        <w:ind w:left="580" w:right="560"/>
        <w:spacing w:after="0" w:line="242" w:lineRule="auto"/>
        <w:rPr>
          <w:sz w:val="20"/>
          <w:szCs w:val="20"/>
          <w:color w:val="auto"/>
        </w:rPr>
      </w:pPr>
      <w:r>
        <w:rPr>
          <w:rFonts w:ascii="Calibri" w:cs="Calibri" w:eastAsia="Calibri" w:hAnsi="Calibri"/>
          <w:sz w:val="17"/>
          <w:szCs w:val="17"/>
          <w:color w:val="FFFFFF"/>
        </w:rPr>
        <w:t>Life, and higher Insurance Service Income in P&amp;C. For the FY24, the Insurance Underwritng Result decreased by 1.0% due to lower results in Life and Crediseguros businesses. In terms of business lines, this decline was driven by Credit Life, Annuites and Individual Life.</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3520" w:type="dxa"/>
            <w:vAlign w:val="bottom"/>
            <w:tcBorders>
              <w:top w:val="single" w:sz="8" w:color="auto"/>
              <w:left w:val="single" w:sz="8" w:color="auto"/>
              <w:right w:val="single" w:sz="8" w:color="auto"/>
            </w:tcBorders>
            <w:gridSpan w:val="2"/>
            <w:shd w:val="clear" w:color="auto" w:fill="33CCCC"/>
          </w:tcPr>
          <w:p>
            <w:pPr>
              <w:ind w:left="20"/>
              <w:spacing w:after="0"/>
              <w:rPr>
                <w:sz w:val="20"/>
                <w:szCs w:val="20"/>
                <w:color w:val="auto"/>
              </w:rPr>
            </w:pPr>
            <w:r>
              <w:rPr>
                <w:rFonts w:ascii="Calibri" w:cs="Calibri" w:eastAsia="Calibri" w:hAnsi="Calibri"/>
                <w:sz w:val="12"/>
                <w:szCs w:val="12"/>
                <w:b w:val="1"/>
                <w:bCs w:val="1"/>
                <w:color w:val="FFFFFF"/>
              </w:rPr>
              <w:t>Insurance Underwritng Results</w:t>
            </w:r>
          </w:p>
        </w:tc>
        <w:tc>
          <w:tcPr>
            <w:tcW w:w="960" w:type="dxa"/>
            <w:vAlign w:val="bottom"/>
            <w:tcBorders>
              <w:top w:val="single" w:sz="8" w:color="auto"/>
            </w:tcBorders>
            <w:shd w:val="clear" w:color="auto" w:fill="33CCCC"/>
          </w:tcPr>
          <w:p>
            <w:pPr>
              <w:spacing w:after="0"/>
              <w:rPr>
                <w:sz w:val="13"/>
                <w:szCs w:val="13"/>
                <w:color w:val="auto"/>
              </w:rPr>
            </w:pPr>
          </w:p>
        </w:tc>
        <w:tc>
          <w:tcPr>
            <w:tcW w:w="1060" w:type="dxa"/>
            <w:vAlign w:val="bottom"/>
            <w:tcBorders>
              <w:top w:val="single" w:sz="8" w:color="auto"/>
            </w:tcBorders>
            <w:shd w:val="clear" w:color="auto" w:fill="33CCCC"/>
          </w:tcPr>
          <w:p>
            <w:pPr>
              <w:ind w:left="280"/>
              <w:spacing w:after="0"/>
              <w:rPr>
                <w:sz w:val="20"/>
                <w:szCs w:val="20"/>
                <w:color w:val="auto"/>
              </w:rPr>
            </w:pPr>
            <w:r>
              <w:rPr>
                <w:rFonts w:ascii="Calibri" w:cs="Calibri" w:eastAsia="Calibri" w:hAnsi="Calibri"/>
                <w:sz w:val="12"/>
                <w:szCs w:val="12"/>
                <w:b w:val="1"/>
                <w:bCs w:val="1"/>
                <w:color w:val="FFFFFF"/>
              </w:rPr>
              <w:t>Quarterly</w:t>
            </w:r>
          </w:p>
        </w:tc>
        <w:tc>
          <w:tcPr>
            <w:tcW w:w="960" w:type="dxa"/>
            <w:vAlign w:val="bottom"/>
            <w:tcBorders>
              <w:top w:val="single" w:sz="8" w:color="auto"/>
              <w:right w:val="single" w:sz="8" w:color="auto"/>
            </w:tcBorders>
            <w:shd w:val="clear" w:color="auto" w:fill="33CCCC"/>
          </w:tcPr>
          <w:p>
            <w:pPr>
              <w:spacing w:after="0"/>
              <w:rPr>
                <w:sz w:val="13"/>
                <w:szCs w:val="13"/>
                <w:color w:val="auto"/>
              </w:rPr>
            </w:pPr>
          </w:p>
        </w:tc>
        <w:tc>
          <w:tcPr>
            <w:tcW w:w="660" w:type="dxa"/>
            <w:vAlign w:val="bottom"/>
            <w:tcBorders>
              <w:top w:val="single" w:sz="8" w:color="auto"/>
            </w:tcBorders>
            <w:shd w:val="clear" w:color="auto" w:fill="33CCCC"/>
          </w:tcPr>
          <w:p>
            <w:pPr>
              <w:spacing w:after="0"/>
              <w:rPr>
                <w:sz w:val="13"/>
                <w:szCs w:val="13"/>
                <w:color w:val="auto"/>
              </w:rPr>
            </w:pPr>
          </w:p>
        </w:tc>
        <w:tc>
          <w:tcPr>
            <w:tcW w:w="124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2"/>
                <w:szCs w:val="12"/>
                <w:b w:val="1"/>
                <w:bCs w:val="1"/>
                <w:color w:val="FFFFFF"/>
              </w:rPr>
              <w:t>% change</w:t>
            </w:r>
          </w:p>
        </w:tc>
        <w:tc>
          <w:tcPr>
            <w:tcW w:w="720" w:type="dxa"/>
            <w:vAlign w:val="bottom"/>
            <w:tcBorders>
              <w:top w:val="single" w:sz="8" w:color="auto"/>
            </w:tcBorders>
            <w:shd w:val="clear" w:color="auto" w:fill="33CCCC"/>
          </w:tcPr>
          <w:p>
            <w:pPr>
              <w:spacing w:after="0"/>
              <w:rPr>
                <w:sz w:val="13"/>
                <w:szCs w:val="13"/>
                <w:color w:val="auto"/>
              </w:rPr>
            </w:pPr>
          </w:p>
        </w:tc>
        <w:tc>
          <w:tcPr>
            <w:tcW w:w="1160" w:type="dxa"/>
            <w:vAlign w:val="bottom"/>
            <w:tcBorders>
              <w:top w:val="single" w:sz="8" w:color="auto"/>
              <w:right w:val="single" w:sz="8" w:color="auto"/>
            </w:tcBorders>
            <w:shd w:val="clear" w:color="auto" w:fill="33CCCC"/>
          </w:tcPr>
          <w:p>
            <w:pPr>
              <w:jc w:val="right"/>
              <w:ind w:right="779"/>
              <w:spacing w:after="0"/>
              <w:rPr>
                <w:sz w:val="20"/>
                <w:szCs w:val="20"/>
                <w:color w:val="auto"/>
              </w:rPr>
            </w:pPr>
            <w:r>
              <w:rPr>
                <w:rFonts w:ascii="Calibri" w:cs="Calibri" w:eastAsia="Calibri" w:hAnsi="Calibri"/>
                <w:sz w:val="12"/>
                <w:szCs w:val="12"/>
                <w:b w:val="1"/>
                <w:bCs w:val="1"/>
                <w:color w:val="FFFFFF"/>
              </w:rPr>
              <w:t>Year</w:t>
            </w:r>
          </w:p>
        </w:tc>
        <w:tc>
          <w:tcPr>
            <w:tcW w:w="960" w:type="dxa"/>
            <w:vAlign w:val="bottom"/>
            <w:tcBorders>
              <w:top w:val="single" w:sz="8" w:color="auto"/>
              <w:right w:val="single" w:sz="8" w:color="auto"/>
            </w:tcBorders>
            <w:shd w:val="clear" w:color="auto" w:fill="33CCCC"/>
          </w:tcPr>
          <w:p>
            <w:pPr>
              <w:ind w:left="240"/>
              <w:spacing w:after="0"/>
              <w:rPr>
                <w:sz w:val="20"/>
                <w:szCs w:val="20"/>
                <w:color w:val="auto"/>
              </w:rPr>
            </w:pPr>
            <w:r>
              <w:rPr>
                <w:rFonts w:ascii="Calibri" w:cs="Calibri" w:eastAsia="Calibri" w:hAnsi="Calibri"/>
                <w:sz w:val="12"/>
                <w:szCs w:val="12"/>
                <w:b w:val="1"/>
                <w:bCs w:val="1"/>
                <w:color w:val="FFFFFF"/>
              </w:rPr>
              <w:t>% change</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bottom w:val="single" w:sz="8" w:color="auto"/>
              <w:right w:val="single" w:sz="8" w:color="33CCCC"/>
            </w:tcBorders>
            <w:shd w:val="clear" w:color="auto" w:fill="33CCCC"/>
          </w:tcPr>
          <w:p>
            <w:pPr>
              <w:ind w:left="20"/>
              <w:spacing w:after="0" w:line="145" w:lineRule="exact"/>
              <w:rPr>
                <w:sz w:val="20"/>
                <w:szCs w:val="20"/>
                <w:color w:val="auto"/>
              </w:rPr>
            </w:pPr>
            <w:r>
              <w:rPr>
                <w:rFonts w:ascii="Calibri" w:cs="Calibri" w:eastAsia="Calibri" w:hAnsi="Calibri"/>
                <w:sz w:val="12"/>
                <w:szCs w:val="12"/>
                <w:b w:val="1"/>
                <w:bCs w:val="1"/>
                <w:color w:val="FFFFFF"/>
              </w:rPr>
              <w:t>S/000</w:t>
            </w:r>
          </w:p>
        </w:tc>
        <w:tc>
          <w:tcPr>
            <w:tcW w:w="2480" w:type="dxa"/>
            <w:vAlign w:val="bottom"/>
            <w:tcBorders>
              <w:bottom w:val="single" w:sz="8" w:color="auto"/>
              <w:right w:val="single" w:sz="8" w:color="auto"/>
            </w:tcBorders>
            <w:shd w:val="clear" w:color="auto" w:fill="33CCCC"/>
          </w:tcPr>
          <w:p>
            <w:pPr>
              <w:spacing w:after="0"/>
              <w:rPr>
                <w:sz w:val="12"/>
                <w:szCs w:val="12"/>
                <w:color w:val="auto"/>
              </w:rPr>
            </w:pPr>
          </w:p>
        </w:tc>
        <w:tc>
          <w:tcPr>
            <w:tcW w:w="960" w:type="dxa"/>
            <w:vAlign w:val="bottom"/>
            <w:tcBorders>
              <w:bottom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4Q23</w:t>
            </w:r>
          </w:p>
        </w:tc>
        <w:tc>
          <w:tcPr>
            <w:tcW w:w="1060" w:type="dxa"/>
            <w:vAlign w:val="bottom"/>
            <w:tcBorders>
              <w:bottom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3Q24</w:t>
            </w:r>
          </w:p>
        </w:tc>
        <w:tc>
          <w:tcPr>
            <w:tcW w:w="96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4Q24</w:t>
            </w:r>
          </w:p>
        </w:tc>
        <w:tc>
          <w:tcPr>
            <w:tcW w:w="660" w:type="dxa"/>
            <w:vAlign w:val="bottom"/>
            <w:tcBorders>
              <w:bottom w:val="single" w:sz="8" w:color="auto"/>
            </w:tcBorders>
            <w:shd w:val="clear" w:color="auto" w:fill="33CCCC"/>
          </w:tcPr>
          <w:p>
            <w:pPr>
              <w:ind w:left="340"/>
              <w:spacing w:after="0" w:line="145" w:lineRule="exact"/>
              <w:rPr>
                <w:sz w:val="20"/>
                <w:szCs w:val="20"/>
                <w:color w:val="auto"/>
              </w:rPr>
            </w:pPr>
            <w:r>
              <w:rPr>
                <w:rFonts w:ascii="Calibri" w:cs="Calibri" w:eastAsia="Calibri" w:hAnsi="Calibri"/>
                <w:sz w:val="12"/>
                <w:szCs w:val="12"/>
                <w:b w:val="1"/>
                <w:bCs w:val="1"/>
                <w:color w:val="FFFFFF"/>
              </w:rPr>
              <w:t>QoQ</w:t>
            </w:r>
          </w:p>
        </w:tc>
        <w:tc>
          <w:tcPr>
            <w:tcW w:w="1240" w:type="dxa"/>
            <w:vAlign w:val="bottom"/>
            <w:tcBorders>
              <w:bottom w:val="single" w:sz="8" w:color="auto"/>
              <w:right w:val="single" w:sz="8" w:color="auto"/>
            </w:tcBorders>
            <w:shd w:val="clear" w:color="auto" w:fill="33CCCC"/>
          </w:tcPr>
          <w:p>
            <w:pPr>
              <w:ind w:left="640"/>
              <w:spacing w:after="0" w:line="145" w:lineRule="exact"/>
              <w:rPr>
                <w:sz w:val="20"/>
                <w:szCs w:val="20"/>
                <w:color w:val="auto"/>
              </w:rPr>
            </w:pPr>
            <w:r>
              <w:rPr>
                <w:rFonts w:ascii="Calibri" w:cs="Calibri" w:eastAsia="Calibri" w:hAnsi="Calibri"/>
                <w:sz w:val="12"/>
                <w:szCs w:val="12"/>
                <w:b w:val="1"/>
                <w:bCs w:val="1"/>
                <w:color w:val="FFFFFF"/>
              </w:rPr>
              <w:t>YoY</w:t>
            </w:r>
          </w:p>
        </w:tc>
        <w:tc>
          <w:tcPr>
            <w:tcW w:w="720" w:type="dxa"/>
            <w:vAlign w:val="bottom"/>
            <w:tcBorders>
              <w:bottom w:val="single" w:sz="8" w:color="auto"/>
            </w:tcBorders>
            <w:shd w:val="clear" w:color="auto" w:fill="33CCCC"/>
          </w:tcPr>
          <w:p>
            <w:pPr>
              <w:jc w:val="center"/>
              <w:ind w:left="119"/>
              <w:spacing w:after="0" w:line="145" w:lineRule="exact"/>
              <w:rPr>
                <w:sz w:val="20"/>
                <w:szCs w:val="20"/>
                <w:color w:val="auto"/>
              </w:rPr>
            </w:pPr>
            <w:r>
              <w:rPr>
                <w:rFonts w:ascii="Calibri" w:cs="Calibri" w:eastAsia="Calibri" w:hAnsi="Calibri"/>
                <w:sz w:val="12"/>
                <w:szCs w:val="12"/>
                <w:b w:val="1"/>
                <w:bCs w:val="1"/>
                <w:color w:val="FFFFFF"/>
              </w:rPr>
              <w:t>2023</w:t>
            </w:r>
          </w:p>
        </w:tc>
        <w:tc>
          <w:tcPr>
            <w:tcW w:w="1160" w:type="dxa"/>
            <w:vAlign w:val="bottom"/>
            <w:tcBorders>
              <w:bottom w:val="single" w:sz="8" w:color="auto"/>
              <w:right w:val="single" w:sz="8" w:color="646464"/>
            </w:tcBorders>
            <w:shd w:val="clear" w:color="auto" w:fill="33CCCC"/>
          </w:tcPr>
          <w:p>
            <w:pPr>
              <w:jc w:val="right"/>
              <w:ind w:right="319"/>
              <w:spacing w:after="0" w:line="145" w:lineRule="exact"/>
              <w:rPr>
                <w:sz w:val="20"/>
                <w:szCs w:val="20"/>
                <w:color w:val="auto"/>
              </w:rPr>
            </w:pPr>
            <w:r>
              <w:rPr>
                <w:rFonts w:ascii="Calibri" w:cs="Calibri" w:eastAsia="Calibri" w:hAnsi="Calibri"/>
                <w:sz w:val="12"/>
                <w:szCs w:val="12"/>
                <w:b w:val="1"/>
                <w:bCs w:val="1"/>
                <w:color w:val="FFFFFF"/>
              </w:rPr>
              <w:t>2024</w:t>
            </w:r>
          </w:p>
        </w:tc>
        <w:tc>
          <w:tcPr>
            <w:tcW w:w="96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2024 / 2023</w:t>
            </w:r>
          </w:p>
        </w:tc>
        <w:tc>
          <w:tcPr>
            <w:tcW w:w="0" w:type="dxa"/>
            <w:vAlign w:val="bottom"/>
          </w:tcPr>
          <w:p>
            <w:pPr>
              <w:spacing w:after="0"/>
              <w:rPr>
                <w:sz w:val="1"/>
                <w:szCs w:val="1"/>
                <w:color w:val="auto"/>
              </w:rPr>
            </w:pPr>
          </w:p>
        </w:tc>
      </w:tr>
      <w:tr>
        <w:trPr>
          <w:trHeight w:val="127"/>
        </w:trPr>
        <w:tc>
          <w:tcPr>
            <w:tcW w:w="104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tcPr>
          <w:p>
            <w:pPr>
              <w:spacing w:after="0" w:line="127" w:lineRule="exact"/>
              <w:rPr>
                <w:sz w:val="20"/>
                <w:szCs w:val="20"/>
                <w:color w:val="auto"/>
              </w:rPr>
            </w:pPr>
            <w:r>
              <w:rPr>
                <w:rFonts w:ascii="Calibri" w:cs="Calibri" w:eastAsia="Calibri" w:hAnsi="Calibri"/>
                <w:sz w:val="12"/>
                <w:szCs w:val="12"/>
                <w:color w:val="auto"/>
              </w:rPr>
              <w:t>Income from Insurance Services</w:t>
            </w:r>
          </w:p>
        </w:tc>
        <w:tc>
          <w:tcPr>
            <w:tcW w:w="960" w:type="dxa"/>
            <w:vAlign w:val="bottom"/>
          </w:tcPr>
          <w:p>
            <w:pPr>
              <w:jc w:val="center"/>
              <w:spacing w:after="0" w:line="127" w:lineRule="exact"/>
              <w:rPr>
                <w:sz w:val="20"/>
                <w:szCs w:val="20"/>
                <w:color w:val="auto"/>
              </w:rPr>
            </w:pPr>
            <w:r>
              <w:rPr>
                <w:rFonts w:ascii="Calibri" w:cs="Calibri" w:eastAsia="Calibri" w:hAnsi="Calibri"/>
                <w:sz w:val="12"/>
                <w:szCs w:val="12"/>
                <w:color w:val="auto"/>
              </w:rPr>
              <w:t>1,019.6</w:t>
            </w:r>
          </w:p>
        </w:tc>
        <w:tc>
          <w:tcPr>
            <w:tcW w:w="1060" w:type="dxa"/>
            <w:vAlign w:val="bottom"/>
          </w:tcPr>
          <w:p>
            <w:pPr>
              <w:jc w:val="center"/>
              <w:spacing w:after="0" w:line="127" w:lineRule="exact"/>
              <w:rPr>
                <w:sz w:val="20"/>
                <w:szCs w:val="20"/>
                <w:color w:val="auto"/>
              </w:rPr>
            </w:pPr>
            <w:r>
              <w:rPr>
                <w:rFonts w:ascii="Calibri" w:cs="Calibri" w:eastAsia="Calibri" w:hAnsi="Calibri"/>
                <w:sz w:val="12"/>
                <w:szCs w:val="12"/>
                <w:color w:val="auto"/>
              </w:rPr>
              <w:t>940.9</w:t>
            </w:r>
          </w:p>
        </w:tc>
        <w:tc>
          <w:tcPr>
            <w:tcW w:w="96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2"/>
                <w:szCs w:val="12"/>
                <w:color w:val="auto"/>
              </w:rPr>
              <w:t>982.5</w:t>
            </w:r>
          </w:p>
        </w:tc>
        <w:tc>
          <w:tcPr>
            <w:tcW w:w="660" w:type="dxa"/>
            <w:vAlign w:val="bottom"/>
          </w:tcPr>
          <w:p>
            <w:pPr>
              <w:jc w:val="center"/>
              <w:ind w:left="199"/>
              <w:spacing w:after="0" w:line="127" w:lineRule="exact"/>
              <w:rPr>
                <w:sz w:val="20"/>
                <w:szCs w:val="20"/>
                <w:color w:val="auto"/>
              </w:rPr>
            </w:pPr>
            <w:r>
              <w:rPr>
                <w:rFonts w:ascii="Calibri" w:cs="Calibri" w:eastAsia="Calibri" w:hAnsi="Calibri"/>
                <w:sz w:val="12"/>
                <w:szCs w:val="12"/>
                <w:color w:val="auto"/>
              </w:rPr>
              <w:t>4.4%</w:t>
            </w:r>
          </w:p>
        </w:tc>
        <w:tc>
          <w:tcPr>
            <w:tcW w:w="1240" w:type="dxa"/>
            <w:vAlign w:val="bottom"/>
            <w:tcBorders>
              <w:right w:val="single" w:sz="8" w:color="auto"/>
            </w:tcBorders>
          </w:tcPr>
          <w:p>
            <w:pPr>
              <w:jc w:val="center"/>
              <w:ind w:left="179"/>
              <w:spacing w:after="0" w:line="127" w:lineRule="exact"/>
              <w:rPr>
                <w:sz w:val="20"/>
                <w:szCs w:val="20"/>
                <w:color w:val="auto"/>
              </w:rPr>
            </w:pPr>
            <w:r>
              <w:rPr>
                <w:rFonts w:ascii="Calibri" w:cs="Calibri" w:eastAsia="Calibri" w:hAnsi="Calibri"/>
                <w:sz w:val="12"/>
                <w:szCs w:val="12"/>
                <w:color w:val="auto"/>
              </w:rPr>
              <w:t>-3.6%</w:t>
            </w:r>
          </w:p>
        </w:tc>
        <w:tc>
          <w:tcPr>
            <w:tcW w:w="720" w:type="dxa"/>
            <w:vAlign w:val="bottom"/>
          </w:tcPr>
          <w:p>
            <w:pPr>
              <w:jc w:val="center"/>
              <w:ind w:left="119"/>
              <w:spacing w:after="0" w:line="127" w:lineRule="exact"/>
              <w:rPr>
                <w:sz w:val="20"/>
                <w:szCs w:val="20"/>
                <w:color w:val="auto"/>
              </w:rPr>
            </w:pPr>
            <w:r>
              <w:rPr>
                <w:rFonts w:ascii="Calibri" w:cs="Calibri" w:eastAsia="Calibri" w:hAnsi="Calibri"/>
                <w:sz w:val="12"/>
                <w:szCs w:val="12"/>
                <w:color w:val="auto"/>
                <w:w w:val="94"/>
              </w:rPr>
              <w:t>3,843</w:t>
            </w:r>
          </w:p>
        </w:tc>
        <w:tc>
          <w:tcPr>
            <w:tcW w:w="1160" w:type="dxa"/>
            <w:vAlign w:val="bottom"/>
            <w:tcBorders>
              <w:right w:val="single" w:sz="8" w:color="auto"/>
            </w:tcBorders>
          </w:tcPr>
          <w:p>
            <w:pPr>
              <w:jc w:val="center"/>
              <w:ind w:left="99"/>
              <w:spacing w:after="0" w:line="127" w:lineRule="exact"/>
              <w:rPr>
                <w:sz w:val="20"/>
                <w:szCs w:val="20"/>
                <w:color w:val="auto"/>
              </w:rPr>
            </w:pPr>
            <w:r>
              <w:rPr>
                <w:rFonts w:ascii="Calibri" w:cs="Calibri" w:eastAsia="Calibri" w:hAnsi="Calibri"/>
                <w:sz w:val="12"/>
                <w:szCs w:val="12"/>
                <w:color w:val="auto"/>
              </w:rPr>
              <w:t>3,771</w:t>
            </w:r>
          </w:p>
        </w:tc>
        <w:tc>
          <w:tcPr>
            <w:tcW w:w="96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2"/>
                <w:szCs w:val="12"/>
                <w:color w:val="auto"/>
              </w:rPr>
              <w:t>-1.9%</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w w:val="97"/>
              </w:rPr>
              <w:t>Total</w:t>
            </w:r>
          </w:p>
        </w:tc>
        <w:tc>
          <w:tcPr>
            <w:tcW w:w="2480" w:type="dxa"/>
            <w:vAlign w:val="bottom"/>
            <w:tcBorders>
              <w:right w:val="single" w:sz="8" w:color="auto"/>
            </w:tcBorders>
          </w:tcPr>
          <w:p>
            <w:pPr>
              <w:spacing w:after="0" w:line="145" w:lineRule="exact"/>
              <w:rPr>
                <w:sz w:val="20"/>
                <w:szCs w:val="20"/>
                <w:color w:val="auto"/>
              </w:rPr>
            </w:pPr>
            <w:r>
              <w:rPr>
                <w:rFonts w:ascii="Calibri" w:cs="Calibri" w:eastAsia="Calibri" w:hAnsi="Calibri"/>
                <w:sz w:val="12"/>
                <w:szCs w:val="12"/>
                <w:color w:val="auto"/>
              </w:rPr>
              <w:t>Expenses for Insurance Services</w:t>
            </w:r>
          </w:p>
        </w:tc>
        <w:tc>
          <w:tcPr>
            <w:tcW w:w="960" w:type="dxa"/>
            <w:vAlign w:val="bottom"/>
          </w:tcPr>
          <w:p>
            <w:pPr>
              <w:jc w:val="center"/>
              <w:spacing w:after="0" w:line="145" w:lineRule="exact"/>
              <w:rPr>
                <w:sz w:val="20"/>
                <w:szCs w:val="20"/>
                <w:color w:val="auto"/>
              </w:rPr>
            </w:pPr>
            <w:r>
              <w:rPr>
                <w:rFonts w:ascii="Calibri" w:cs="Calibri" w:eastAsia="Calibri" w:hAnsi="Calibri"/>
                <w:sz w:val="12"/>
                <w:szCs w:val="12"/>
                <w:color w:val="auto"/>
              </w:rPr>
              <w:t>(634.0)</w:t>
            </w:r>
          </w:p>
        </w:tc>
        <w:tc>
          <w:tcPr>
            <w:tcW w:w="1060" w:type="dxa"/>
            <w:vAlign w:val="bottom"/>
          </w:tcPr>
          <w:p>
            <w:pPr>
              <w:jc w:val="center"/>
              <w:spacing w:after="0" w:line="145" w:lineRule="exact"/>
              <w:rPr>
                <w:sz w:val="20"/>
                <w:szCs w:val="20"/>
                <w:color w:val="auto"/>
              </w:rPr>
            </w:pPr>
            <w:r>
              <w:rPr>
                <w:rFonts w:ascii="Calibri" w:cs="Calibri" w:eastAsia="Calibri" w:hAnsi="Calibri"/>
                <w:sz w:val="12"/>
                <w:szCs w:val="12"/>
                <w:color w:val="auto"/>
              </w:rPr>
              <w:t>(514.7)</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(570.0)</w:t>
            </w:r>
          </w:p>
        </w:tc>
        <w:tc>
          <w:tcPr>
            <w:tcW w:w="6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10.7%</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-10.1%</w:t>
            </w:r>
          </w:p>
        </w:tc>
        <w:tc>
          <w:tcPr>
            <w:tcW w:w="72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w w:val="98"/>
              </w:rPr>
              <w:t>(2,235)</w:t>
            </w:r>
          </w:p>
        </w:tc>
        <w:tc>
          <w:tcPr>
            <w:tcW w:w="1160" w:type="dxa"/>
            <w:vAlign w:val="bottom"/>
            <w:tcBorders>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w w:val="98"/>
              </w:rPr>
              <w:t>(2,057)</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-8.0%</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vMerge w:val="continue"/>
          </w:tcPr>
          <w:p>
            <w:pPr>
              <w:spacing w:after="0"/>
              <w:rPr>
                <w:sz w:val="12"/>
                <w:szCs w:val="12"/>
                <w:color w:val="auto"/>
              </w:rPr>
            </w:pPr>
          </w:p>
        </w:tc>
        <w:tc>
          <w:tcPr>
            <w:tcW w:w="2480" w:type="dxa"/>
            <w:vAlign w:val="bottom"/>
            <w:tcBorders>
              <w:right w:val="single" w:sz="8" w:color="auto"/>
            </w:tcBorders>
          </w:tcPr>
          <w:p>
            <w:pPr>
              <w:spacing w:after="0" w:line="145" w:lineRule="exact"/>
              <w:rPr>
                <w:sz w:val="20"/>
                <w:szCs w:val="20"/>
                <w:color w:val="auto"/>
              </w:rPr>
            </w:pPr>
            <w:r>
              <w:rPr>
                <w:rFonts w:ascii="Calibri" w:cs="Calibri" w:eastAsia="Calibri" w:hAnsi="Calibri"/>
                <w:sz w:val="12"/>
                <w:szCs w:val="12"/>
                <w:color w:val="auto"/>
              </w:rPr>
              <w:t>Reinsurance Results</w:t>
            </w:r>
          </w:p>
        </w:tc>
        <w:tc>
          <w:tcPr>
            <w:tcW w:w="960" w:type="dxa"/>
            <w:vAlign w:val="bottom"/>
          </w:tcPr>
          <w:p>
            <w:pPr>
              <w:jc w:val="center"/>
              <w:spacing w:after="0" w:line="145" w:lineRule="exact"/>
              <w:rPr>
                <w:sz w:val="20"/>
                <w:szCs w:val="20"/>
                <w:color w:val="auto"/>
              </w:rPr>
            </w:pPr>
            <w:r>
              <w:rPr>
                <w:rFonts w:ascii="Calibri" w:cs="Calibri" w:eastAsia="Calibri" w:hAnsi="Calibri"/>
                <w:sz w:val="12"/>
                <w:szCs w:val="12"/>
                <w:color w:val="auto"/>
                <w:w w:val="97"/>
              </w:rPr>
              <w:t>(98.4)</w:t>
            </w:r>
          </w:p>
        </w:tc>
        <w:tc>
          <w:tcPr>
            <w:tcW w:w="1060" w:type="dxa"/>
            <w:vAlign w:val="bottom"/>
          </w:tcPr>
          <w:p>
            <w:pPr>
              <w:jc w:val="center"/>
              <w:spacing w:after="0" w:line="145" w:lineRule="exact"/>
              <w:rPr>
                <w:sz w:val="20"/>
                <w:szCs w:val="20"/>
                <w:color w:val="auto"/>
              </w:rPr>
            </w:pPr>
            <w:r>
              <w:rPr>
                <w:rFonts w:ascii="Calibri" w:cs="Calibri" w:eastAsia="Calibri" w:hAnsi="Calibri"/>
                <w:sz w:val="12"/>
                <w:szCs w:val="12"/>
                <w:color w:val="auto"/>
              </w:rPr>
              <w:t>(134.4)</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(99.9)</w:t>
            </w:r>
          </w:p>
        </w:tc>
        <w:tc>
          <w:tcPr>
            <w:tcW w:w="66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-25.7%</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1.6%</w:t>
            </w:r>
          </w:p>
        </w:tc>
        <w:tc>
          <w:tcPr>
            <w:tcW w:w="72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rPr>
              <w:t>(397)</w:t>
            </w:r>
          </w:p>
        </w:tc>
        <w:tc>
          <w:tcPr>
            <w:tcW w:w="1160" w:type="dxa"/>
            <w:vAlign w:val="bottom"/>
            <w:tcBorders>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rPr>
              <w:t>(515)</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29.6%</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2"/>
                <w:szCs w:val="12"/>
                <w:b w:val="1"/>
                <w:bCs w:val="1"/>
                <w:color w:val="auto"/>
              </w:rPr>
              <w:t>Insurance Undewrwritng Result</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287.3</w:t>
            </w:r>
          </w:p>
        </w:tc>
        <w:tc>
          <w:tcPr>
            <w:tcW w:w="10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291.8</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312.7</w:t>
            </w:r>
          </w:p>
        </w:tc>
        <w:tc>
          <w:tcPr>
            <w:tcW w:w="66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b w:val="1"/>
                <w:bCs w:val="1"/>
                <w:color w:val="auto"/>
                <w:w w:val="99"/>
              </w:rPr>
              <w:t>7.2%</w:t>
            </w:r>
          </w:p>
        </w:tc>
        <w:tc>
          <w:tcPr>
            <w:tcW w:w="1240" w:type="dxa"/>
            <w:vAlign w:val="bottom"/>
            <w:tcBorders>
              <w:bottom w:val="single" w:sz="8" w:color="auto"/>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w w:val="99"/>
              </w:rPr>
              <w:t>8.8%</w:t>
            </w:r>
          </w:p>
        </w:tc>
        <w:tc>
          <w:tcPr>
            <w:tcW w:w="720" w:type="dxa"/>
            <w:vAlign w:val="bottom"/>
            <w:tcBorders>
              <w:bottom w:val="single" w:sz="8" w:color="auto"/>
            </w:tcBorders>
          </w:tcPr>
          <w:p>
            <w:pPr>
              <w:jc w:val="center"/>
              <w:ind w:left="119"/>
              <w:spacing w:after="0"/>
              <w:rPr>
                <w:sz w:val="20"/>
                <w:szCs w:val="20"/>
                <w:color w:val="auto"/>
              </w:rPr>
            </w:pPr>
            <w:r>
              <w:rPr>
                <w:rFonts w:ascii="Calibri" w:cs="Calibri" w:eastAsia="Calibri" w:hAnsi="Calibri"/>
                <w:sz w:val="12"/>
                <w:szCs w:val="12"/>
                <w:b w:val="1"/>
                <w:bCs w:val="1"/>
                <w:color w:val="auto"/>
                <w:w w:val="94"/>
              </w:rPr>
              <w:t>1,211</w:t>
            </w:r>
          </w:p>
        </w:tc>
        <w:tc>
          <w:tcPr>
            <w:tcW w:w="1160" w:type="dxa"/>
            <w:vAlign w:val="bottom"/>
            <w:tcBorders>
              <w:bottom w:val="single" w:sz="8" w:color="auto"/>
              <w:right w:val="single" w:sz="8" w:color="auto"/>
            </w:tcBorders>
          </w:tcPr>
          <w:p>
            <w:pPr>
              <w:jc w:val="center"/>
              <w:ind w:left="99"/>
              <w:spacing w:after="0"/>
              <w:rPr>
                <w:sz w:val="20"/>
                <w:szCs w:val="20"/>
                <w:color w:val="auto"/>
              </w:rPr>
            </w:pPr>
            <w:r>
              <w:rPr>
                <w:rFonts w:ascii="Calibri" w:cs="Calibri" w:eastAsia="Calibri" w:hAnsi="Calibri"/>
                <w:sz w:val="12"/>
                <w:szCs w:val="12"/>
                <w:b w:val="1"/>
                <w:bCs w:val="1"/>
                <w:color w:val="auto"/>
              </w:rPr>
              <w:t>1,199</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-1.0%</w:t>
            </w:r>
          </w:p>
        </w:tc>
        <w:tc>
          <w:tcPr>
            <w:tcW w:w="0" w:type="dxa"/>
            <w:vAlign w:val="bottom"/>
          </w:tcPr>
          <w:p>
            <w:pPr>
              <w:spacing w:after="0"/>
              <w:rPr>
                <w:sz w:val="1"/>
                <w:szCs w:val="1"/>
                <w:color w:val="auto"/>
              </w:rPr>
            </w:pPr>
          </w:p>
        </w:tc>
      </w:tr>
      <w:tr>
        <w:trPr>
          <w:trHeight w:val="131"/>
        </w:trPr>
        <w:tc>
          <w:tcPr>
            <w:tcW w:w="104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tcPr>
          <w:p>
            <w:pPr>
              <w:spacing w:after="0" w:line="131" w:lineRule="exact"/>
              <w:rPr>
                <w:sz w:val="20"/>
                <w:szCs w:val="20"/>
                <w:color w:val="auto"/>
              </w:rPr>
            </w:pPr>
            <w:r>
              <w:rPr>
                <w:rFonts w:ascii="Calibri" w:cs="Calibri" w:eastAsia="Calibri" w:hAnsi="Calibri"/>
                <w:sz w:val="12"/>
                <w:szCs w:val="12"/>
                <w:color w:val="auto"/>
              </w:rPr>
              <w:t>Income from Insurance Services</w:t>
            </w:r>
          </w:p>
        </w:tc>
        <w:tc>
          <w:tcPr>
            <w:tcW w:w="960" w:type="dxa"/>
            <w:vAlign w:val="bottom"/>
          </w:tcPr>
          <w:p>
            <w:pPr>
              <w:jc w:val="center"/>
              <w:spacing w:after="0" w:line="131" w:lineRule="exact"/>
              <w:rPr>
                <w:sz w:val="20"/>
                <w:szCs w:val="20"/>
                <w:color w:val="auto"/>
              </w:rPr>
            </w:pPr>
            <w:r>
              <w:rPr>
                <w:rFonts w:ascii="Calibri" w:cs="Calibri" w:eastAsia="Calibri" w:hAnsi="Calibri"/>
                <w:sz w:val="12"/>
                <w:szCs w:val="12"/>
                <w:color w:val="auto"/>
              </w:rPr>
              <w:t>449.8</w:t>
            </w:r>
          </w:p>
        </w:tc>
        <w:tc>
          <w:tcPr>
            <w:tcW w:w="1060" w:type="dxa"/>
            <w:vAlign w:val="bottom"/>
          </w:tcPr>
          <w:p>
            <w:pPr>
              <w:jc w:val="center"/>
              <w:spacing w:after="0" w:line="131" w:lineRule="exact"/>
              <w:rPr>
                <w:sz w:val="20"/>
                <w:szCs w:val="20"/>
                <w:color w:val="auto"/>
              </w:rPr>
            </w:pPr>
            <w:r>
              <w:rPr>
                <w:rFonts w:ascii="Calibri" w:cs="Calibri" w:eastAsia="Calibri" w:hAnsi="Calibri"/>
                <w:sz w:val="12"/>
                <w:szCs w:val="12"/>
                <w:color w:val="auto"/>
              </w:rPr>
              <w:t>471.1</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2"/>
                <w:szCs w:val="12"/>
                <w:color w:val="auto"/>
              </w:rPr>
              <w:t>491.9</w:t>
            </w:r>
          </w:p>
        </w:tc>
        <w:tc>
          <w:tcPr>
            <w:tcW w:w="660" w:type="dxa"/>
            <w:vAlign w:val="bottom"/>
          </w:tcPr>
          <w:p>
            <w:pPr>
              <w:jc w:val="center"/>
              <w:ind w:left="199"/>
              <w:spacing w:after="0" w:line="131" w:lineRule="exact"/>
              <w:rPr>
                <w:sz w:val="20"/>
                <w:szCs w:val="20"/>
                <w:color w:val="auto"/>
              </w:rPr>
            </w:pPr>
            <w:r>
              <w:rPr>
                <w:rFonts w:ascii="Calibri" w:cs="Calibri" w:eastAsia="Calibri" w:hAnsi="Calibri"/>
                <w:sz w:val="12"/>
                <w:szCs w:val="12"/>
                <w:color w:val="auto"/>
              </w:rPr>
              <w:t>4.4%</w:t>
            </w:r>
          </w:p>
        </w:tc>
        <w:tc>
          <w:tcPr>
            <w:tcW w:w="1240" w:type="dxa"/>
            <w:vAlign w:val="bottom"/>
            <w:tcBorders>
              <w:right w:val="single" w:sz="8" w:color="auto"/>
            </w:tcBorders>
          </w:tcPr>
          <w:p>
            <w:pPr>
              <w:jc w:val="center"/>
              <w:ind w:left="179"/>
              <w:spacing w:after="0" w:line="131" w:lineRule="exact"/>
              <w:rPr>
                <w:sz w:val="20"/>
                <w:szCs w:val="20"/>
                <w:color w:val="auto"/>
              </w:rPr>
            </w:pPr>
            <w:r>
              <w:rPr>
                <w:rFonts w:ascii="Calibri" w:cs="Calibri" w:eastAsia="Calibri" w:hAnsi="Calibri"/>
                <w:sz w:val="12"/>
                <w:szCs w:val="12"/>
                <w:color w:val="auto"/>
              </w:rPr>
              <w:t>9.4%</w:t>
            </w:r>
          </w:p>
        </w:tc>
        <w:tc>
          <w:tcPr>
            <w:tcW w:w="720" w:type="dxa"/>
            <w:vAlign w:val="bottom"/>
          </w:tcPr>
          <w:p>
            <w:pPr>
              <w:jc w:val="center"/>
              <w:ind w:left="119"/>
              <w:spacing w:after="0" w:line="131" w:lineRule="exact"/>
              <w:rPr>
                <w:sz w:val="20"/>
                <w:szCs w:val="20"/>
                <w:color w:val="auto"/>
              </w:rPr>
            </w:pPr>
            <w:r>
              <w:rPr>
                <w:rFonts w:ascii="Calibri" w:cs="Calibri" w:eastAsia="Calibri" w:hAnsi="Calibri"/>
                <w:sz w:val="12"/>
                <w:szCs w:val="12"/>
                <w:color w:val="auto"/>
                <w:w w:val="94"/>
              </w:rPr>
              <w:t>1,695</w:t>
            </w:r>
          </w:p>
        </w:tc>
        <w:tc>
          <w:tcPr>
            <w:tcW w:w="1160" w:type="dxa"/>
            <w:vAlign w:val="bottom"/>
            <w:tcBorders>
              <w:right w:val="single" w:sz="8" w:color="auto"/>
            </w:tcBorders>
          </w:tcPr>
          <w:p>
            <w:pPr>
              <w:jc w:val="center"/>
              <w:ind w:left="99"/>
              <w:spacing w:after="0" w:line="131" w:lineRule="exact"/>
              <w:rPr>
                <w:sz w:val="20"/>
                <w:szCs w:val="20"/>
                <w:color w:val="auto"/>
              </w:rPr>
            </w:pPr>
            <w:r>
              <w:rPr>
                <w:rFonts w:ascii="Calibri" w:cs="Calibri" w:eastAsia="Calibri" w:hAnsi="Calibri"/>
                <w:sz w:val="12"/>
                <w:szCs w:val="12"/>
                <w:color w:val="auto"/>
              </w:rPr>
              <w:t>1,875</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2"/>
                <w:szCs w:val="12"/>
                <w:color w:val="auto"/>
              </w:rPr>
              <w:t>10.6%</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w w:val="95"/>
              </w:rPr>
              <w:t>P&amp;C</w:t>
            </w:r>
          </w:p>
        </w:tc>
        <w:tc>
          <w:tcPr>
            <w:tcW w:w="2480" w:type="dxa"/>
            <w:vAlign w:val="bottom"/>
            <w:tcBorders>
              <w:right w:val="single" w:sz="8" w:color="auto"/>
            </w:tcBorders>
          </w:tcPr>
          <w:p>
            <w:pPr>
              <w:spacing w:after="0" w:line="145" w:lineRule="exact"/>
              <w:rPr>
                <w:sz w:val="20"/>
                <w:szCs w:val="20"/>
                <w:color w:val="auto"/>
              </w:rPr>
            </w:pPr>
            <w:r>
              <w:rPr>
                <w:rFonts w:ascii="Calibri" w:cs="Calibri" w:eastAsia="Calibri" w:hAnsi="Calibri"/>
                <w:sz w:val="12"/>
                <w:szCs w:val="12"/>
                <w:color w:val="auto"/>
              </w:rPr>
              <w:t>Expenses for Insurance Services</w:t>
            </w:r>
          </w:p>
        </w:tc>
        <w:tc>
          <w:tcPr>
            <w:tcW w:w="960" w:type="dxa"/>
            <w:vAlign w:val="bottom"/>
          </w:tcPr>
          <w:p>
            <w:pPr>
              <w:jc w:val="center"/>
              <w:spacing w:after="0" w:line="145" w:lineRule="exact"/>
              <w:rPr>
                <w:sz w:val="20"/>
                <w:szCs w:val="20"/>
                <w:color w:val="auto"/>
              </w:rPr>
            </w:pPr>
            <w:r>
              <w:rPr>
                <w:rFonts w:ascii="Calibri" w:cs="Calibri" w:eastAsia="Calibri" w:hAnsi="Calibri"/>
                <w:sz w:val="12"/>
                <w:szCs w:val="12"/>
                <w:color w:val="auto"/>
              </w:rPr>
              <w:t>(323.7)</w:t>
            </w:r>
          </w:p>
        </w:tc>
        <w:tc>
          <w:tcPr>
            <w:tcW w:w="1060" w:type="dxa"/>
            <w:vAlign w:val="bottom"/>
          </w:tcPr>
          <w:p>
            <w:pPr>
              <w:jc w:val="center"/>
              <w:spacing w:after="0" w:line="145" w:lineRule="exact"/>
              <w:rPr>
                <w:sz w:val="20"/>
                <w:szCs w:val="20"/>
                <w:color w:val="auto"/>
              </w:rPr>
            </w:pPr>
            <w:r>
              <w:rPr>
                <w:rFonts w:ascii="Calibri" w:cs="Calibri" w:eastAsia="Calibri" w:hAnsi="Calibri"/>
                <w:sz w:val="12"/>
                <w:szCs w:val="12"/>
                <w:color w:val="auto"/>
              </w:rPr>
              <w:t>(278.1)</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(331.0)</w:t>
            </w:r>
          </w:p>
        </w:tc>
        <w:tc>
          <w:tcPr>
            <w:tcW w:w="6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19.0%</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2.3%</w:t>
            </w:r>
          </w:p>
        </w:tc>
        <w:tc>
          <w:tcPr>
            <w:tcW w:w="72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w w:val="98"/>
              </w:rPr>
              <w:t>(1,139)</w:t>
            </w:r>
          </w:p>
        </w:tc>
        <w:tc>
          <w:tcPr>
            <w:tcW w:w="1160" w:type="dxa"/>
            <w:vAlign w:val="bottom"/>
            <w:tcBorders>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w w:val="98"/>
              </w:rPr>
              <w:t>(1,149)</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0.9%</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vMerge w:val="continue"/>
          </w:tcPr>
          <w:p>
            <w:pPr>
              <w:spacing w:after="0"/>
              <w:rPr>
                <w:sz w:val="12"/>
                <w:szCs w:val="12"/>
                <w:color w:val="auto"/>
              </w:rPr>
            </w:pPr>
          </w:p>
        </w:tc>
        <w:tc>
          <w:tcPr>
            <w:tcW w:w="2480" w:type="dxa"/>
            <w:vAlign w:val="bottom"/>
            <w:tcBorders>
              <w:right w:val="single" w:sz="8" w:color="auto"/>
            </w:tcBorders>
          </w:tcPr>
          <w:p>
            <w:pPr>
              <w:spacing w:after="0" w:line="145" w:lineRule="exact"/>
              <w:rPr>
                <w:sz w:val="20"/>
                <w:szCs w:val="20"/>
                <w:color w:val="auto"/>
              </w:rPr>
            </w:pPr>
            <w:r>
              <w:rPr>
                <w:rFonts w:ascii="Calibri" w:cs="Calibri" w:eastAsia="Calibri" w:hAnsi="Calibri"/>
                <w:sz w:val="12"/>
                <w:szCs w:val="12"/>
                <w:color w:val="auto"/>
              </w:rPr>
              <w:t>Reinsurance Results</w:t>
            </w:r>
          </w:p>
        </w:tc>
        <w:tc>
          <w:tcPr>
            <w:tcW w:w="960" w:type="dxa"/>
            <w:vAlign w:val="bottom"/>
          </w:tcPr>
          <w:p>
            <w:pPr>
              <w:jc w:val="center"/>
              <w:spacing w:after="0" w:line="145" w:lineRule="exact"/>
              <w:rPr>
                <w:sz w:val="20"/>
                <w:szCs w:val="20"/>
                <w:color w:val="auto"/>
              </w:rPr>
            </w:pPr>
            <w:r>
              <w:rPr>
                <w:rFonts w:ascii="Calibri" w:cs="Calibri" w:eastAsia="Calibri" w:hAnsi="Calibri"/>
                <w:sz w:val="12"/>
                <w:szCs w:val="12"/>
                <w:color w:val="auto"/>
                <w:w w:val="97"/>
              </w:rPr>
              <w:t>(76.8)</w:t>
            </w:r>
          </w:p>
        </w:tc>
        <w:tc>
          <w:tcPr>
            <w:tcW w:w="1060" w:type="dxa"/>
            <w:vAlign w:val="bottom"/>
          </w:tcPr>
          <w:p>
            <w:pPr>
              <w:jc w:val="center"/>
              <w:spacing w:after="0" w:line="145" w:lineRule="exact"/>
              <w:rPr>
                <w:sz w:val="20"/>
                <w:szCs w:val="20"/>
                <w:color w:val="auto"/>
              </w:rPr>
            </w:pPr>
            <w:r>
              <w:rPr>
                <w:rFonts w:ascii="Calibri" w:cs="Calibri" w:eastAsia="Calibri" w:hAnsi="Calibri"/>
                <w:sz w:val="12"/>
                <w:szCs w:val="12"/>
                <w:color w:val="auto"/>
              </w:rPr>
              <w:t>(120.4)</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(83.8)</w:t>
            </w:r>
          </w:p>
        </w:tc>
        <w:tc>
          <w:tcPr>
            <w:tcW w:w="66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-30.4%</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9.1%</w:t>
            </w:r>
          </w:p>
        </w:tc>
        <w:tc>
          <w:tcPr>
            <w:tcW w:w="72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rPr>
              <w:t>(293)</w:t>
            </w:r>
          </w:p>
        </w:tc>
        <w:tc>
          <w:tcPr>
            <w:tcW w:w="1160" w:type="dxa"/>
            <w:vAlign w:val="bottom"/>
            <w:tcBorders>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rPr>
              <w:t>(432)</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47.5%</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2"/>
                <w:szCs w:val="12"/>
                <w:b w:val="1"/>
                <w:bCs w:val="1"/>
                <w:color w:val="auto"/>
              </w:rPr>
              <w:t>Insurance Undewrwritng Result</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49.3</w:t>
            </w:r>
          </w:p>
        </w:tc>
        <w:tc>
          <w:tcPr>
            <w:tcW w:w="10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72.6</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77.2</w:t>
            </w:r>
          </w:p>
        </w:tc>
        <w:tc>
          <w:tcPr>
            <w:tcW w:w="66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b w:val="1"/>
                <w:bCs w:val="1"/>
                <w:color w:val="auto"/>
                <w:w w:val="99"/>
              </w:rPr>
              <w:t>6.3%</w:t>
            </w:r>
          </w:p>
        </w:tc>
        <w:tc>
          <w:tcPr>
            <w:tcW w:w="1240" w:type="dxa"/>
            <w:vAlign w:val="bottom"/>
            <w:tcBorders>
              <w:bottom w:val="single" w:sz="8" w:color="auto"/>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56.4%</w:t>
            </w:r>
          </w:p>
        </w:tc>
        <w:tc>
          <w:tcPr>
            <w:tcW w:w="720" w:type="dxa"/>
            <w:vAlign w:val="bottom"/>
            <w:tcBorders>
              <w:bottom w:val="single" w:sz="8" w:color="auto"/>
            </w:tcBorders>
          </w:tcPr>
          <w:p>
            <w:pPr>
              <w:jc w:val="center"/>
              <w:ind w:left="119"/>
              <w:spacing w:after="0"/>
              <w:rPr>
                <w:sz w:val="20"/>
                <w:szCs w:val="20"/>
                <w:color w:val="auto"/>
              </w:rPr>
            </w:pPr>
            <w:r>
              <w:rPr>
                <w:rFonts w:ascii="Calibri" w:cs="Calibri" w:eastAsia="Calibri" w:hAnsi="Calibri"/>
                <w:sz w:val="12"/>
                <w:szCs w:val="12"/>
                <w:b w:val="1"/>
                <w:bCs w:val="1"/>
                <w:color w:val="auto"/>
                <w:w w:val="98"/>
              </w:rPr>
              <w:t>263</w:t>
            </w:r>
          </w:p>
        </w:tc>
        <w:tc>
          <w:tcPr>
            <w:tcW w:w="1160" w:type="dxa"/>
            <w:vAlign w:val="bottom"/>
            <w:tcBorders>
              <w:bottom w:val="single" w:sz="8" w:color="auto"/>
              <w:right w:val="single" w:sz="8" w:color="auto"/>
            </w:tcBorders>
          </w:tcPr>
          <w:p>
            <w:pPr>
              <w:jc w:val="center"/>
              <w:ind w:left="119"/>
              <w:spacing w:after="0"/>
              <w:rPr>
                <w:sz w:val="20"/>
                <w:szCs w:val="20"/>
                <w:color w:val="auto"/>
              </w:rPr>
            </w:pPr>
            <w:r>
              <w:rPr>
                <w:rFonts w:ascii="Calibri" w:cs="Calibri" w:eastAsia="Calibri" w:hAnsi="Calibri"/>
                <w:sz w:val="12"/>
                <w:szCs w:val="12"/>
                <w:b w:val="1"/>
                <w:bCs w:val="1"/>
                <w:color w:val="auto"/>
                <w:w w:val="98"/>
              </w:rPr>
              <w:t>293</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9"/>
              </w:rPr>
              <w:t>11.5%</w:t>
            </w:r>
          </w:p>
        </w:tc>
        <w:tc>
          <w:tcPr>
            <w:tcW w:w="0" w:type="dxa"/>
            <w:vAlign w:val="bottom"/>
          </w:tcPr>
          <w:p>
            <w:pPr>
              <w:spacing w:after="0"/>
              <w:rPr>
                <w:sz w:val="1"/>
                <w:szCs w:val="1"/>
                <w:color w:val="auto"/>
              </w:rPr>
            </w:pPr>
          </w:p>
        </w:tc>
      </w:tr>
      <w:tr>
        <w:trPr>
          <w:trHeight w:val="131"/>
        </w:trPr>
        <w:tc>
          <w:tcPr>
            <w:tcW w:w="104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tcPr>
          <w:p>
            <w:pPr>
              <w:spacing w:after="0" w:line="131" w:lineRule="exact"/>
              <w:rPr>
                <w:sz w:val="20"/>
                <w:szCs w:val="20"/>
                <w:color w:val="auto"/>
              </w:rPr>
            </w:pPr>
            <w:r>
              <w:rPr>
                <w:rFonts w:ascii="Calibri" w:cs="Calibri" w:eastAsia="Calibri" w:hAnsi="Calibri"/>
                <w:sz w:val="12"/>
                <w:szCs w:val="12"/>
                <w:color w:val="auto"/>
              </w:rPr>
              <w:t>Income from Insurance Services</w:t>
            </w:r>
          </w:p>
        </w:tc>
        <w:tc>
          <w:tcPr>
            <w:tcW w:w="960" w:type="dxa"/>
            <w:vAlign w:val="bottom"/>
          </w:tcPr>
          <w:p>
            <w:pPr>
              <w:jc w:val="center"/>
              <w:spacing w:after="0" w:line="131" w:lineRule="exact"/>
              <w:rPr>
                <w:sz w:val="20"/>
                <w:szCs w:val="20"/>
                <w:color w:val="auto"/>
              </w:rPr>
            </w:pPr>
            <w:r>
              <w:rPr>
                <w:rFonts w:ascii="Calibri" w:cs="Calibri" w:eastAsia="Calibri" w:hAnsi="Calibri"/>
                <w:sz w:val="12"/>
                <w:szCs w:val="12"/>
                <w:color w:val="auto"/>
              </w:rPr>
              <w:t>534.8</w:t>
            </w:r>
          </w:p>
        </w:tc>
        <w:tc>
          <w:tcPr>
            <w:tcW w:w="1060" w:type="dxa"/>
            <w:vAlign w:val="bottom"/>
          </w:tcPr>
          <w:p>
            <w:pPr>
              <w:jc w:val="center"/>
              <w:spacing w:after="0" w:line="131" w:lineRule="exact"/>
              <w:rPr>
                <w:sz w:val="20"/>
                <w:szCs w:val="20"/>
                <w:color w:val="auto"/>
              </w:rPr>
            </w:pPr>
            <w:r>
              <w:rPr>
                <w:rFonts w:ascii="Calibri" w:cs="Calibri" w:eastAsia="Calibri" w:hAnsi="Calibri"/>
                <w:sz w:val="12"/>
                <w:szCs w:val="12"/>
                <w:color w:val="auto"/>
              </w:rPr>
              <w:t>453.0</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2"/>
                <w:szCs w:val="12"/>
                <w:color w:val="auto"/>
              </w:rPr>
              <w:t>471.5</w:t>
            </w:r>
          </w:p>
        </w:tc>
        <w:tc>
          <w:tcPr>
            <w:tcW w:w="660" w:type="dxa"/>
            <w:vAlign w:val="bottom"/>
          </w:tcPr>
          <w:p>
            <w:pPr>
              <w:jc w:val="center"/>
              <w:ind w:left="199"/>
              <w:spacing w:after="0" w:line="131" w:lineRule="exact"/>
              <w:rPr>
                <w:sz w:val="20"/>
                <w:szCs w:val="20"/>
                <w:color w:val="auto"/>
              </w:rPr>
            </w:pPr>
            <w:r>
              <w:rPr>
                <w:rFonts w:ascii="Calibri" w:cs="Calibri" w:eastAsia="Calibri" w:hAnsi="Calibri"/>
                <w:sz w:val="12"/>
                <w:szCs w:val="12"/>
                <w:color w:val="auto"/>
              </w:rPr>
              <w:t>4.1%</w:t>
            </w:r>
          </w:p>
        </w:tc>
        <w:tc>
          <w:tcPr>
            <w:tcW w:w="1240" w:type="dxa"/>
            <w:vAlign w:val="bottom"/>
            <w:tcBorders>
              <w:right w:val="single" w:sz="8" w:color="auto"/>
            </w:tcBorders>
          </w:tcPr>
          <w:p>
            <w:pPr>
              <w:jc w:val="center"/>
              <w:ind w:left="179"/>
              <w:spacing w:after="0" w:line="131" w:lineRule="exact"/>
              <w:rPr>
                <w:sz w:val="20"/>
                <w:szCs w:val="20"/>
                <w:color w:val="auto"/>
              </w:rPr>
            </w:pPr>
            <w:r>
              <w:rPr>
                <w:rFonts w:ascii="Calibri" w:cs="Calibri" w:eastAsia="Calibri" w:hAnsi="Calibri"/>
                <w:sz w:val="12"/>
                <w:szCs w:val="12"/>
                <w:color w:val="auto"/>
              </w:rPr>
              <w:t>-11.8%</w:t>
            </w:r>
          </w:p>
        </w:tc>
        <w:tc>
          <w:tcPr>
            <w:tcW w:w="720" w:type="dxa"/>
            <w:vAlign w:val="bottom"/>
          </w:tcPr>
          <w:p>
            <w:pPr>
              <w:jc w:val="center"/>
              <w:ind w:left="119"/>
              <w:spacing w:after="0" w:line="131" w:lineRule="exact"/>
              <w:rPr>
                <w:sz w:val="20"/>
                <w:szCs w:val="20"/>
                <w:color w:val="auto"/>
              </w:rPr>
            </w:pPr>
            <w:r>
              <w:rPr>
                <w:rFonts w:ascii="Calibri" w:cs="Calibri" w:eastAsia="Calibri" w:hAnsi="Calibri"/>
                <w:sz w:val="12"/>
                <w:szCs w:val="12"/>
                <w:color w:val="auto"/>
                <w:w w:val="94"/>
              </w:rPr>
              <w:t>2,033</w:t>
            </w:r>
          </w:p>
        </w:tc>
        <w:tc>
          <w:tcPr>
            <w:tcW w:w="1160" w:type="dxa"/>
            <w:vAlign w:val="bottom"/>
            <w:tcBorders>
              <w:right w:val="single" w:sz="8" w:color="auto"/>
            </w:tcBorders>
          </w:tcPr>
          <w:p>
            <w:pPr>
              <w:jc w:val="center"/>
              <w:ind w:left="99"/>
              <w:spacing w:after="0" w:line="131" w:lineRule="exact"/>
              <w:rPr>
                <w:sz w:val="20"/>
                <w:szCs w:val="20"/>
                <w:color w:val="auto"/>
              </w:rPr>
            </w:pPr>
            <w:r>
              <w:rPr>
                <w:rFonts w:ascii="Calibri" w:cs="Calibri" w:eastAsia="Calibri" w:hAnsi="Calibri"/>
                <w:sz w:val="12"/>
                <w:szCs w:val="12"/>
                <w:color w:val="auto"/>
              </w:rPr>
              <w:t>1,819</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2"/>
                <w:szCs w:val="12"/>
                <w:color w:val="auto"/>
              </w:rPr>
              <w:t>-10.5%</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rPr>
              <w:t>Life</w:t>
            </w:r>
          </w:p>
        </w:tc>
        <w:tc>
          <w:tcPr>
            <w:tcW w:w="2480" w:type="dxa"/>
            <w:vAlign w:val="bottom"/>
            <w:tcBorders>
              <w:right w:val="single" w:sz="8" w:color="auto"/>
            </w:tcBorders>
          </w:tcPr>
          <w:p>
            <w:pPr>
              <w:spacing w:after="0" w:line="145" w:lineRule="exact"/>
              <w:rPr>
                <w:sz w:val="20"/>
                <w:szCs w:val="20"/>
                <w:color w:val="auto"/>
              </w:rPr>
            </w:pPr>
            <w:r>
              <w:rPr>
                <w:rFonts w:ascii="Calibri" w:cs="Calibri" w:eastAsia="Calibri" w:hAnsi="Calibri"/>
                <w:sz w:val="12"/>
                <w:szCs w:val="12"/>
                <w:color w:val="auto"/>
              </w:rPr>
              <w:t>Expenses for Insurance Services</w:t>
            </w:r>
          </w:p>
        </w:tc>
        <w:tc>
          <w:tcPr>
            <w:tcW w:w="960" w:type="dxa"/>
            <w:vAlign w:val="bottom"/>
          </w:tcPr>
          <w:p>
            <w:pPr>
              <w:jc w:val="center"/>
              <w:spacing w:after="0" w:line="145" w:lineRule="exact"/>
              <w:rPr>
                <w:sz w:val="20"/>
                <w:szCs w:val="20"/>
                <w:color w:val="auto"/>
              </w:rPr>
            </w:pPr>
            <w:r>
              <w:rPr>
                <w:rFonts w:ascii="Calibri" w:cs="Calibri" w:eastAsia="Calibri" w:hAnsi="Calibri"/>
                <w:sz w:val="12"/>
                <w:szCs w:val="12"/>
                <w:color w:val="auto"/>
              </w:rPr>
              <w:t>(305.1)</w:t>
            </w:r>
          </w:p>
        </w:tc>
        <w:tc>
          <w:tcPr>
            <w:tcW w:w="1060" w:type="dxa"/>
            <w:vAlign w:val="bottom"/>
          </w:tcPr>
          <w:p>
            <w:pPr>
              <w:jc w:val="center"/>
              <w:spacing w:after="0" w:line="145" w:lineRule="exact"/>
              <w:rPr>
                <w:sz w:val="20"/>
                <w:szCs w:val="20"/>
                <w:color w:val="auto"/>
              </w:rPr>
            </w:pPr>
            <w:r>
              <w:rPr>
                <w:rFonts w:ascii="Calibri" w:cs="Calibri" w:eastAsia="Calibri" w:hAnsi="Calibri"/>
                <w:sz w:val="12"/>
                <w:szCs w:val="12"/>
                <w:color w:val="auto"/>
              </w:rPr>
              <w:t>(234.5)</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8"/>
              </w:rPr>
              <w:t>(238.7)</w:t>
            </w:r>
          </w:p>
        </w:tc>
        <w:tc>
          <w:tcPr>
            <w:tcW w:w="6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1.8%</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-21.8%</w:t>
            </w:r>
          </w:p>
        </w:tc>
        <w:tc>
          <w:tcPr>
            <w:tcW w:w="72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w w:val="98"/>
              </w:rPr>
              <w:t>(1,076)</w:t>
            </w:r>
          </w:p>
        </w:tc>
        <w:tc>
          <w:tcPr>
            <w:tcW w:w="1160" w:type="dxa"/>
            <w:vAlign w:val="bottom"/>
            <w:tcBorders>
              <w:right w:val="single" w:sz="8" w:color="auto"/>
            </w:tcBorders>
          </w:tcPr>
          <w:p>
            <w:pPr>
              <w:jc w:val="center"/>
              <w:ind w:left="119"/>
              <w:spacing w:after="0" w:line="145" w:lineRule="exact"/>
              <w:rPr>
                <w:sz w:val="20"/>
                <w:szCs w:val="20"/>
                <w:color w:val="auto"/>
              </w:rPr>
            </w:pPr>
            <w:r>
              <w:rPr>
                <w:rFonts w:ascii="Calibri" w:cs="Calibri" w:eastAsia="Calibri" w:hAnsi="Calibri"/>
                <w:sz w:val="12"/>
                <w:szCs w:val="12"/>
                <w:color w:val="auto"/>
              </w:rPr>
              <w:t>(910)</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-15.4%</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vMerge w:val="continue"/>
          </w:tcPr>
          <w:p>
            <w:pPr>
              <w:spacing w:after="0"/>
              <w:rPr>
                <w:sz w:val="12"/>
                <w:szCs w:val="12"/>
                <w:color w:val="auto"/>
              </w:rPr>
            </w:pPr>
          </w:p>
        </w:tc>
        <w:tc>
          <w:tcPr>
            <w:tcW w:w="2480" w:type="dxa"/>
            <w:vAlign w:val="bottom"/>
            <w:tcBorders>
              <w:right w:val="single" w:sz="8" w:color="auto"/>
            </w:tcBorders>
          </w:tcPr>
          <w:p>
            <w:pPr>
              <w:spacing w:after="0" w:line="145" w:lineRule="exact"/>
              <w:rPr>
                <w:sz w:val="20"/>
                <w:szCs w:val="20"/>
                <w:color w:val="auto"/>
              </w:rPr>
            </w:pPr>
            <w:r>
              <w:rPr>
                <w:rFonts w:ascii="Calibri" w:cs="Calibri" w:eastAsia="Calibri" w:hAnsi="Calibri"/>
                <w:sz w:val="12"/>
                <w:szCs w:val="12"/>
                <w:color w:val="auto"/>
              </w:rPr>
              <w:t>Reinsurance Results</w:t>
            </w:r>
          </w:p>
        </w:tc>
        <w:tc>
          <w:tcPr>
            <w:tcW w:w="960" w:type="dxa"/>
            <w:vAlign w:val="bottom"/>
          </w:tcPr>
          <w:p>
            <w:pPr>
              <w:jc w:val="center"/>
              <w:spacing w:after="0" w:line="145" w:lineRule="exact"/>
              <w:rPr>
                <w:sz w:val="20"/>
                <w:szCs w:val="20"/>
                <w:color w:val="auto"/>
              </w:rPr>
            </w:pPr>
            <w:r>
              <w:rPr>
                <w:rFonts w:ascii="Calibri" w:cs="Calibri" w:eastAsia="Calibri" w:hAnsi="Calibri"/>
                <w:sz w:val="12"/>
                <w:szCs w:val="12"/>
                <w:color w:val="auto"/>
                <w:w w:val="97"/>
              </w:rPr>
              <w:t>(14.5)</w:t>
            </w:r>
          </w:p>
        </w:tc>
        <w:tc>
          <w:tcPr>
            <w:tcW w:w="1060" w:type="dxa"/>
            <w:vAlign w:val="bottom"/>
          </w:tcPr>
          <w:p>
            <w:pPr>
              <w:jc w:val="center"/>
              <w:spacing w:after="0" w:line="145" w:lineRule="exact"/>
              <w:rPr>
                <w:sz w:val="20"/>
                <w:szCs w:val="20"/>
                <w:color w:val="auto"/>
              </w:rPr>
            </w:pPr>
            <w:r>
              <w:rPr>
                <w:rFonts w:ascii="Calibri" w:cs="Calibri" w:eastAsia="Calibri" w:hAnsi="Calibri"/>
                <w:sz w:val="12"/>
                <w:szCs w:val="12"/>
                <w:color w:val="auto"/>
                <w:w w:val="97"/>
              </w:rPr>
              <w:t>(9.4)</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(10.2)</w:t>
            </w:r>
          </w:p>
        </w:tc>
        <w:tc>
          <w:tcPr>
            <w:tcW w:w="6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8.7%</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-29.8%</w:t>
            </w:r>
          </w:p>
        </w:tc>
        <w:tc>
          <w:tcPr>
            <w:tcW w:w="72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w w:val="92"/>
              </w:rPr>
              <w:t>(83)</w:t>
            </w:r>
          </w:p>
        </w:tc>
        <w:tc>
          <w:tcPr>
            <w:tcW w:w="1160" w:type="dxa"/>
            <w:vAlign w:val="bottom"/>
            <w:tcBorders>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color w:val="auto"/>
              </w:rPr>
              <w:t>(62)</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-25.5%</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2"/>
                <w:szCs w:val="12"/>
                <w:b w:val="1"/>
                <w:bCs w:val="1"/>
                <w:color w:val="auto"/>
              </w:rPr>
              <w:t>Insurance Undewrwritng Result</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215.2</w:t>
            </w:r>
          </w:p>
        </w:tc>
        <w:tc>
          <w:tcPr>
            <w:tcW w:w="10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209.1</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222.6</w:t>
            </w:r>
          </w:p>
        </w:tc>
        <w:tc>
          <w:tcPr>
            <w:tcW w:w="66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b w:val="1"/>
                <w:bCs w:val="1"/>
                <w:color w:val="auto"/>
                <w:w w:val="99"/>
              </w:rPr>
              <w:t>6.4%</w:t>
            </w:r>
          </w:p>
        </w:tc>
        <w:tc>
          <w:tcPr>
            <w:tcW w:w="1240" w:type="dxa"/>
            <w:vAlign w:val="bottom"/>
            <w:tcBorders>
              <w:bottom w:val="single" w:sz="8" w:color="auto"/>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w w:val="99"/>
              </w:rPr>
              <w:t>3.4%</w:t>
            </w:r>
          </w:p>
        </w:tc>
        <w:tc>
          <w:tcPr>
            <w:tcW w:w="720" w:type="dxa"/>
            <w:vAlign w:val="bottom"/>
            <w:tcBorders>
              <w:bottom w:val="single" w:sz="8" w:color="auto"/>
            </w:tcBorders>
          </w:tcPr>
          <w:p>
            <w:pPr>
              <w:jc w:val="center"/>
              <w:ind w:left="119"/>
              <w:spacing w:after="0"/>
              <w:rPr>
                <w:sz w:val="20"/>
                <w:szCs w:val="20"/>
                <w:color w:val="auto"/>
              </w:rPr>
            </w:pPr>
            <w:r>
              <w:rPr>
                <w:rFonts w:ascii="Calibri" w:cs="Calibri" w:eastAsia="Calibri" w:hAnsi="Calibri"/>
                <w:sz w:val="12"/>
                <w:szCs w:val="12"/>
                <w:b w:val="1"/>
                <w:bCs w:val="1"/>
                <w:color w:val="auto"/>
                <w:w w:val="98"/>
              </w:rPr>
              <w:t>874</w:t>
            </w:r>
          </w:p>
        </w:tc>
        <w:tc>
          <w:tcPr>
            <w:tcW w:w="1160" w:type="dxa"/>
            <w:vAlign w:val="bottom"/>
            <w:tcBorders>
              <w:bottom w:val="single" w:sz="8" w:color="auto"/>
              <w:right w:val="single" w:sz="8" w:color="auto"/>
            </w:tcBorders>
          </w:tcPr>
          <w:p>
            <w:pPr>
              <w:jc w:val="center"/>
              <w:ind w:left="119"/>
              <w:spacing w:after="0"/>
              <w:rPr>
                <w:sz w:val="20"/>
                <w:szCs w:val="20"/>
                <w:color w:val="auto"/>
              </w:rPr>
            </w:pPr>
            <w:r>
              <w:rPr>
                <w:rFonts w:ascii="Calibri" w:cs="Calibri" w:eastAsia="Calibri" w:hAnsi="Calibri"/>
                <w:sz w:val="12"/>
                <w:szCs w:val="12"/>
                <w:b w:val="1"/>
                <w:bCs w:val="1"/>
                <w:color w:val="auto"/>
                <w:w w:val="98"/>
              </w:rPr>
              <w:t>846</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-3.1%</w:t>
            </w:r>
          </w:p>
        </w:tc>
        <w:tc>
          <w:tcPr>
            <w:tcW w:w="0" w:type="dxa"/>
            <w:vAlign w:val="bottom"/>
          </w:tcPr>
          <w:p>
            <w:pPr>
              <w:spacing w:after="0"/>
              <w:rPr>
                <w:sz w:val="1"/>
                <w:szCs w:val="1"/>
                <w:color w:val="auto"/>
              </w:rPr>
            </w:pPr>
          </w:p>
        </w:tc>
      </w:tr>
      <w:tr>
        <w:trPr>
          <w:trHeight w:val="131"/>
        </w:trPr>
        <w:tc>
          <w:tcPr>
            <w:tcW w:w="1040" w:type="dxa"/>
            <w:vAlign w:val="bottom"/>
            <w:tcBorders>
              <w:left w:val="single" w:sz="8" w:color="auto"/>
              <w:right w:val="single" w:sz="8" w:color="auto"/>
            </w:tcBorders>
          </w:tcPr>
          <w:p>
            <w:pPr>
              <w:spacing w:after="0"/>
              <w:rPr>
                <w:sz w:val="11"/>
                <w:szCs w:val="11"/>
                <w:color w:val="auto"/>
              </w:rPr>
            </w:pPr>
          </w:p>
        </w:tc>
        <w:tc>
          <w:tcPr>
            <w:tcW w:w="2480" w:type="dxa"/>
            <w:vAlign w:val="bottom"/>
            <w:tcBorders>
              <w:right w:val="single" w:sz="8" w:color="auto"/>
            </w:tcBorders>
          </w:tcPr>
          <w:p>
            <w:pPr>
              <w:spacing w:after="0" w:line="131" w:lineRule="exact"/>
              <w:rPr>
                <w:sz w:val="20"/>
                <w:szCs w:val="20"/>
                <w:color w:val="auto"/>
              </w:rPr>
            </w:pPr>
            <w:r>
              <w:rPr>
                <w:rFonts w:ascii="Calibri" w:cs="Calibri" w:eastAsia="Calibri" w:hAnsi="Calibri"/>
                <w:sz w:val="12"/>
                <w:szCs w:val="12"/>
                <w:color w:val="auto"/>
              </w:rPr>
              <w:t>Income from Insurance Services</w:t>
            </w:r>
          </w:p>
        </w:tc>
        <w:tc>
          <w:tcPr>
            <w:tcW w:w="960" w:type="dxa"/>
            <w:vAlign w:val="bottom"/>
          </w:tcPr>
          <w:p>
            <w:pPr>
              <w:jc w:val="center"/>
              <w:spacing w:after="0" w:line="131" w:lineRule="exact"/>
              <w:rPr>
                <w:sz w:val="20"/>
                <w:szCs w:val="20"/>
                <w:color w:val="auto"/>
              </w:rPr>
            </w:pPr>
            <w:r>
              <w:rPr>
                <w:rFonts w:ascii="Calibri" w:cs="Calibri" w:eastAsia="Calibri" w:hAnsi="Calibri"/>
                <w:sz w:val="12"/>
                <w:szCs w:val="12"/>
                <w:color w:val="auto"/>
              </w:rPr>
              <w:t>37.1</w:t>
            </w:r>
          </w:p>
        </w:tc>
        <w:tc>
          <w:tcPr>
            <w:tcW w:w="1060" w:type="dxa"/>
            <w:vAlign w:val="bottom"/>
          </w:tcPr>
          <w:p>
            <w:pPr>
              <w:jc w:val="center"/>
              <w:spacing w:after="0" w:line="131" w:lineRule="exact"/>
              <w:rPr>
                <w:sz w:val="20"/>
                <w:szCs w:val="20"/>
                <w:color w:val="auto"/>
              </w:rPr>
            </w:pPr>
            <w:r>
              <w:rPr>
                <w:rFonts w:ascii="Calibri" w:cs="Calibri" w:eastAsia="Calibri" w:hAnsi="Calibri"/>
                <w:sz w:val="12"/>
                <w:szCs w:val="12"/>
                <w:color w:val="auto"/>
              </w:rPr>
              <w:t>23.5</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2"/>
                <w:szCs w:val="12"/>
                <w:color w:val="auto"/>
              </w:rPr>
              <w:t>25.3</w:t>
            </w:r>
          </w:p>
        </w:tc>
        <w:tc>
          <w:tcPr>
            <w:tcW w:w="660" w:type="dxa"/>
            <w:vAlign w:val="bottom"/>
          </w:tcPr>
          <w:p>
            <w:pPr>
              <w:jc w:val="center"/>
              <w:ind w:left="199"/>
              <w:spacing w:after="0" w:line="131" w:lineRule="exact"/>
              <w:rPr>
                <w:sz w:val="20"/>
                <w:szCs w:val="20"/>
                <w:color w:val="auto"/>
              </w:rPr>
            </w:pPr>
            <w:r>
              <w:rPr>
                <w:rFonts w:ascii="Calibri" w:cs="Calibri" w:eastAsia="Calibri" w:hAnsi="Calibri"/>
                <w:sz w:val="12"/>
                <w:szCs w:val="12"/>
                <w:color w:val="auto"/>
              </w:rPr>
              <w:t>7.7%</w:t>
            </w:r>
          </w:p>
        </w:tc>
        <w:tc>
          <w:tcPr>
            <w:tcW w:w="1240" w:type="dxa"/>
            <w:vAlign w:val="bottom"/>
            <w:tcBorders>
              <w:right w:val="single" w:sz="8" w:color="auto"/>
            </w:tcBorders>
          </w:tcPr>
          <w:p>
            <w:pPr>
              <w:jc w:val="center"/>
              <w:ind w:left="179"/>
              <w:spacing w:after="0" w:line="131" w:lineRule="exact"/>
              <w:rPr>
                <w:sz w:val="20"/>
                <w:szCs w:val="20"/>
                <w:color w:val="auto"/>
              </w:rPr>
            </w:pPr>
            <w:r>
              <w:rPr>
                <w:rFonts w:ascii="Calibri" w:cs="Calibri" w:eastAsia="Calibri" w:hAnsi="Calibri"/>
                <w:sz w:val="12"/>
                <w:szCs w:val="12"/>
                <w:color w:val="auto"/>
              </w:rPr>
              <w:t>-31.8%</w:t>
            </w:r>
          </w:p>
        </w:tc>
        <w:tc>
          <w:tcPr>
            <w:tcW w:w="720" w:type="dxa"/>
            <w:vAlign w:val="bottom"/>
          </w:tcPr>
          <w:p>
            <w:pPr>
              <w:jc w:val="center"/>
              <w:ind w:left="119"/>
              <w:spacing w:after="0" w:line="131" w:lineRule="exact"/>
              <w:rPr>
                <w:sz w:val="20"/>
                <w:szCs w:val="20"/>
                <w:color w:val="auto"/>
              </w:rPr>
            </w:pPr>
            <w:r>
              <w:rPr>
                <w:rFonts w:ascii="Calibri" w:cs="Calibri" w:eastAsia="Calibri" w:hAnsi="Calibri"/>
                <w:sz w:val="12"/>
                <w:szCs w:val="12"/>
                <w:color w:val="auto"/>
                <w:w w:val="98"/>
              </w:rPr>
              <w:t>124</w:t>
            </w:r>
          </w:p>
        </w:tc>
        <w:tc>
          <w:tcPr>
            <w:tcW w:w="1160" w:type="dxa"/>
            <w:vAlign w:val="bottom"/>
            <w:tcBorders>
              <w:right w:val="single" w:sz="8" w:color="auto"/>
            </w:tcBorders>
          </w:tcPr>
          <w:p>
            <w:pPr>
              <w:jc w:val="center"/>
              <w:ind w:left="99"/>
              <w:spacing w:after="0" w:line="131" w:lineRule="exact"/>
              <w:rPr>
                <w:sz w:val="20"/>
                <w:szCs w:val="20"/>
                <w:color w:val="auto"/>
              </w:rPr>
            </w:pPr>
            <w:r>
              <w:rPr>
                <w:rFonts w:ascii="Calibri" w:cs="Calibri" w:eastAsia="Calibri" w:hAnsi="Calibri"/>
                <w:sz w:val="12"/>
                <w:szCs w:val="12"/>
                <w:color w:val="auto"/>
                <w:w w:val="98"/>
              </w:rPr>
              <w:t>99</w:t>
            </w:r>
          </w:p>
        </w:tc>
        <w:tc>
          <w:tcPr>
            <w:tcW w:w="9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2"/>
                <w:szCs w:val="12"/>
                <w:color w:val="auto"/>
              </w:rPr>
              <w:t>-19.8%</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rPr>
              <w:t>Crediseguros</w:t>
            </w:r>
          </w:p>
        </w:tc>
        <w:tc>
          <w:tcPr>
            <w:tcW w:w="2480" w:type="dxa"/>
            <w:vAlign w:val="bottom"/>
            <w:tcBorders>
              <w:right w:val="single" w:sz="8" w:color="auto"/>
            </w:tcBorders>
          </w:tcPr>
          <w:p>
            <w:pPr>
              <w:spacing w:after="0" w:line="145" w:lineRule="exact"/>
              <w:rPr>
                <w:sz w:val="20"/>
                <w:szCs w:val="20"/>
                <w:color w:val="auto"/>
              </w:rPr>
            </w:pPr>
            <w:r>
              <w:rPr>
                <w:rFonts w:ascii="Calibri" w:cs="Calibri" w:eastAsia="Calibri" w:hAnsi="Calibri"/>
                <w:sz w:val="12"/>
                <w:szCs w:val="12"/>
                <w:color w:val="auto"/>
              </w:rPr>
              <w:t>Expenses for Insurance Services</w:t>
            </w:r>
          </w:p>
        </w:tc>
        <w:tc>
          <w:tcPr>
            <w:tcW w:w="960" w:type="dxa"/>
            <w:vAlign w:val="bottom"/>
          </w:tcPr>
          <w:p>
            <w:pPr>
              <w:jc w:val="center"/>
              <w:spacing w:after="0" w:line="145" w:lineRule="exact"/>
              <w:rPr>
                <w:sz w:val="20"/>
                <w:szCs w:val="20"/>
                <w:color w:val="auto"/>
              </w:rPr>
            </w:pPr>
            <w:r>
              <w:rPr>
                <w:rFonts w:ascii="Calibri" w:cs="Calibri" w:eastAsia="Calibri" w:hAnsi="Calibri"/>
                <w:sz w:val="12"/>
                <w:szCs w:val="12"/>
                <w:color w:val="auto"/>
                <w:w w:val="97"/>
              </w:rPr>
              <w:t>(11.5)</w:t>
            </w:r>
          </w:p>
        </w:tc>
        <w:tc>
          <w:tcPr>
            <w:tcW w:w="1060" w:type="dxa"/>
            <w:vAlign w:val="bottom"/>
          </w:tcPr>
          <w:p>
            <w:pPr>
              <w:jc w:val="center"/>
              <w:spacing w:after="0" w:line="145" w:lineRule="exact"/>
              <w:rPr>
                <w:sz w:val="20"/>
                <w:szCs w:val="20"/>
                <w:color w:val="auto"/>
              </w:rPr>
            </w:pPr>
            <w:r>
              <w:rPr>
                <w:rFonts w:ascii="Calibri" w:cs="Calibri" w:eastAsia="Calibri" w:hAnsi="Calibri"/>
                <w:sz w:val="12"/>
                <w:szCs w:val="12"/>
                <w:color w:val="auto"/>
                <w:w w:val="97"/>
              </w:rPr>
              <w:t>(7.1)</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w w:val="97"/>
              </w:rPr>
              <w:t>(5.6)</w:t>
            </w:r>
          </w:p>
        </w:tc>
        <w:tc>
          <w:tcPr>
            <w:tcW w:w="660" w:type="dxa"/>
            <w:vAlign w:val="bottom"/>
          </w:tcPr>
          <w:p>
            <w:pPr>
              <w:jc w:val="center"/>
              <w:ind w:left="219"/>
              <w:spacing w:after="0" w:line="145" w:lineRule="exact"/>
              <w:rPr>
                <w:sz w:val="20"/>
                <w:szCs w:val="20"/>
                <w:color w:val="auto"/>
              </w:rPr>
            </w:pPr>
            <w:r>
              <w:rPr>
                <w:rFonts w:ascii="Calibri" w:cs="Calibri" w:eastAsia="Calibri" w:hAnsi="Calibri"/>
                <w:sz w:val="12"/>
                <w:szCs w:val="12"/>
                <w:color w:val="auto"/>
              </w:rPr>
              <w:t>-20.8%</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-51.0%</w:t>
            </w:r>
          </w:p>
        </w:tc>
        <w:tc>
          <w:tcPr>
            <w:tcW w:w="72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w w:val="92"/>
              </w:rPr>
              <w:t>(39)</w:t>
            </w:r>
          </w:p>
        </w:tc>
        <w:tc>
          <w:tcPr>
            <w:tcW w:w="1160" w:type="dxa"/>
            <w:vAlign w:val="bottom"/>
            <w:tcBorders>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color w:val="auto"/>
              </w:rPr>
              <w:t>(18)</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-53.2%</w:t>
            </w:r>
          </w:p>
        </w:tc>
        <w:tc>
          <w:tcPr>
            <w:tcW w:w="0" w:type="dxa"/>
            <w:vAlign w:val="bottom"/>
          </w:tcPr>
          <w:p>
            <w:pPr>
              <w:spacing w:after="0"/>
              <w:rPr>
                <w:sz w:val="1"/>
                <w:szCs w:val="1"/>
                <w:color w:val="auto"/>
              </w:rPr>
            </w:pPr>
          </w:p>
        </w:tc>
      </w:tr>
      <w:tr>
        <w:trPr>
          <w:trHeight w:val="144"/>
        </w:trPr>
        <w:tc>
          <w:tcPr>
            <w:tcW w:w="1040" w:type="dxa"/>
            <w:vAlign w:val="bottom"/>
            <w:tcBorders>
              <w:left w:val="single" w:sz="8" w:color="auto"/>
              <w:right w:val="single" w:sz="8" w:color="auto"/>
            </w:tcBorders>
            <w:vMerge w:val="continue"/>
          </w:tcPr>
          <w:p>
            <w:pPr>
              <w:spacing w:after="0"/>
              <w:rPr>
                <w:sz w:val="12"/>
                <w:szCs w:val="12"/>
                <w:color w:val="auto"/>
              </w:rPr>
            </w:pPr>
          </w:p>
        </w:tc>
        <w:tc>
          <w:tcPr>
            <w:tcW w:w="2480" w:type="dxa"/>
            <w:vAlign w:val="bottom"/>
            <w:tcBorders>
              <w:right w:val="single" w:sz="8" w:color="auto"/>
            </w:tcBorders>
          </w:tcPr>
          <w:p>
            <w:pPr>
              <w:spacing w:after="0" w:line="145" w:lineRule="exact"/>
              <w:rPr>
                <w:sz w:val="20"/>
                <w:szCs w:val="20"/>
                <w:color w:val="auto"/>
              </w:rPr>
            </w:pPr>
            <w:r>
              <w:rPr>
                <w:rFonts w:ascii="Calibri" w:cs="Calibri" w:eastAsia="Calibri" w:hAnsi="Calibri"/>
                <w:sz w:val="12"/>
                <w:szCs w:val="12"/>
                <w:color w:val="auto"/>
              </w:rPr>
              <w:t>Reinsurance Results</w:t>
            </w:r>
          </w:p>
        </w:tc>
        <w:tc>
          <w:tcPr>
            <w:tcW w:w="960" w:type="dxa"/>
            <w:vAlign w:val="bottom"/>
          </w:tcPr>
          <w:p>
            <w:pPr>
              <w:jc w:val="center"/>
              <w:spacing w:after="0" w:line="145" w:lineRule="exact"/>
              <w:rPr>
                <w:sz w:val="20"/>
                <w:szCs w:val="20"/>
                <w:color w:val="auto"/>
              </w:rPr>
            </w:pPr>
            <w:r>
              <w:rPr>
                <w:rFonts w:ascii="Calibri" w:cs="Calibri" w:eastAsia="Calibri" w:hAnsi="Calibri"/>
                <w:sz w:val="12"/>
                <w:szCs w:val="12"/>
                <w:color w:val="auto"/>
              </w:rPr>
              <w:t>(9.1)</w:t>
            </w:r>
          </w:p>
        </w:tc>
        <w:tc>
          <w:tcPr>
            <w:tcW w:w="1060" w:type="dxa"/>
            <w:vAlign w:val="bottom"/>
          </w:tcPr>
          <w:p>
            <w:pPr>
              <w:jc w:val="center"/>
              <w:spacing w:after="0" w:line="145" w:lineRule="exact"/>
              <w:rPr>
                <w:sz w:val="20"/>
                <w:szCs w:val="20"/>
                <w:color w:val="auto"/>
              </w:rPr>
            </w:pPr>
            <w:r>
              <w:rPr>
                <w:rFonts w:ascii="Calibri" w:cs="Calibri" w:eastAsia="Calibri" w:hAnsi="Calibri"/>
                <w:sz w:val="12"/>
                <w:szCs w:val="12"/>
                <w:color w:val="auto"/>
              </w:rPr>
              <w:t>(11.2)</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(12.3)</w:t>
            </w:r>
          </w:p>
        </w:tc>
        <w:tc>
          <w:tcPr>
            <w:tcW w:w="6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9.7%</w:t>
            </w:r>
          </w:p>
        </w:tc>
        <w:tc>
          <w:tcPr>
            <w:tcW w:w="1240" w:type="dxa"/>
            <w:vAlign w:val="bottom"/>
            <w:tcBorders>
              <w:right w:val="single" w:sz="8" w:color="auto"/>
            </w:tcBorders>
          </w:tcPr>
          <w:p>
            <w:pPr>
              <w:jc w:val="center"/>
              <w:ind w:left="179"/>
              <w:spacing w:after="0" w:line="145" w:lineRule="exact"/>
              <w:rPr>
                <w:sz w:val="20"/>
                <w:szCs w:val="20"/>
                <w:color w:val="auto"/>
              </w:rPr>
            </w:pPr>
            <w:r>
              <w:rPr>
                <w:rFonts w:ascii="Calibri" w:cs="Calibri" w:eastAsia="Calibri" w:hAnsi="Calibri"/>
                <w:sz w:val="12"/>
                <w:szCs w:val="12"/>
                <w:color w:val="auto"/>
              </w:rPr>
              <w:t>35.6%</w:t>
            </w:r>
          </w:p>
        </w:tc>
        <w:tc>
          <w:tcPr>
            <w:tcW w:w="72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w w:val="92"/>
              </w:rPr>
              <w:t>(30)</w:t>
            </w:r>
          </w:p>
        </w:tc>
        <w:tc>
          <w:tcPr>
            <w:tcW w:w="1160" w:type="dxa"/>
            <w:vAlign w:val="bottom"/>
            <w:tcBorders>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color w:val="auto"/>
              </w:rPr>
              <w:t>(42)</w:t>
            </w:r>
          </w:p>
        </w:tc>
        <w:tc>
          <w:tcPr>
            <w:tcW w:w="96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40.6%</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48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2"/>
                <w:szCs w:val="12"/>
                <w:b w:val="1"/>
                <w:bCs w:val="1"/>
                <w:color w:val="auto"/>
              </w:rPr>
              <w:t>Insurance Undewrwritng Result</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16.5</w:t>
            </w:r>
          </w:p>
        </w:tc>
        <w:tc>
          <w:tcPr>
            <w:tcW w:w="10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5.2</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w w:val="90"/>
              </w:rPr>
              <w:t>7.3</w:t>
            </w:r>
          </w:p>
        </w:tc>
        <w:tc>
          <w:tcPr>
            <w:tcW w:w="66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b w:val="1"/>
                <w:bCs w:val="1"/>
                <w:color w:val="auto"/>
              </w:rPr>
              <w:t>42.6%</w:t>
            </w:r>
          </w:p>
        </w:tc>
        <w:tc>
          <w:tcPr>
            <w:tcW w:w="1240" w:type="dxa"/>
            <w:vAlign w:val="bottom"/>
            <w:tcBorders>
              <w:bottom w:val="single" w:sz="8" w:color="auto"/>
              <w:right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-55.6%</w:t>
            </w:r>
          </w:p>
        </w:tc>
        <w:tc>
          <w:tcPr>
            <w:tcW w:w="720" w:type="dxa"/>
            <w:vAlign w:val="bottom"/>
            <w:tcBorders>
              <w:bottom w:val="single" w:sz="8" w:color="auto"/>
            </w:tcBorders>
          </w:tcPr>
          <w:p>
            <w:pPr>
              <w:jc w:val="center"/>
              <w:ind w:left="119"/>
              <w:spacing w:after="0"/>
              <w:rPr>
                <w:sz w:val="20"/>
                <w:szCs w:val="20"/>
                <w:color w:val="auto"/>
              </w:rPr>
            </w:pPr>
            <w:r>
              <w:rPr>
                <w:rFonts w:ascii="Calibri" w:cs="Calibri" w:eastAsia="Calibri" w:hAnsi="Calibri"/>
                <w:sz w:val="12"/>
                <w:szCs w:val="12"/>
                <w:b w:val="1"/>
                <w:bCs w:val="1"/>
                <w:color w:val="auto"/>
              </w:rPr>
              <w:t>54</w:t>
            </w:r>
          </w:p>
        </w:tc>
        <w:tc>
          <w:tcPr>
            <w:tcW w:w="1160" w:type="dxa"/>
            <w:vAlign w:val="bottom"/>
            <w:tcBorders>
              <w:bottom w:val="single" w:sz="8" w:color="auto"/>
              <w:right w:val="single" w:sz="8" w:color="auto"/>
            </w:tcBorders>
          </w:tcPr>
          <w:p>
            <w:pPr>
              <w:jc w:val="center"/>
              <w:ind w:left="99"/>
              <w:spacing w:after="0"/>
              <w:rPr>
                <w:sz w:val="20"/>
                <w:szCs w:val="20"/>
                <w:color w:val="auto"/>
              </w:rPr>
            </w:pPr>
            <w:r>
              <w:rPr>
                <w:rFonts w:ascii="Calibri" w:cs="Calibri" w:eastAsia="Calibri" w:hAnsi="Calibri"/>
                <w:sz w:val="12"/>
                <w:szCs w:val="12"/>
                <w:b w:val="1"/>
                <w:bCs w:val="1"/>
                <w:color w:val="auto"/>
                <w:w w:val="98"/>
              </w:rPr>
              <w:t>39</w:t>
            </w:r>
          </w:p>
        </w:tc>
        <w:tc>
          <w:tcPr>
            <w:tcW w:w="9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-29.0%</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QoQ and YoY, the Insurance Underwritng result increased 7.2% and 8.8% respectvely. The QoQ result refected the impact of an increase in Insurance Service Income (+4.4%) and an improvement in the Reinsurance Result (-25.7%); the aforementoned growth was atenuated by an uptck in Insurance Service Expenses (+10.7%). YoY, the increase in the result was driven by a drop in Insurance Service Expenses (-10.1%) and was partally atenuated by a decrease in Insurance Income (-3.6%).</w:t>
      </w:r>
    </w:p>
    <w:p>
      <w:pPr>
        <w:spacing w:after="0" w:line="186"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For the FY24, the Insurance Underwritng Result fell -1.0% due to a weaker Reinsurance Result (+29.6%) and to a drop in Insurance Service Income (-1.9%); the aforementoned was partally atenuated by a decrease in Insurance Service Expenses (-8.0%).</w:t>
      </w:r>
    </w:p>
    <w:p>
      <w:pPr>
        <w:spacing w:after="0" w:line="184"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P&amp;C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15240</wp:posOffset>
            </wp:positionV>
            <wp:extent cx="6670040" cy="1981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70040" cy="198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alibri" w:cs="Calibri" w:eastAsia="Calibri" w:hAnsi="Calibri"/>
          <w:sz w:val="17"/>
          <w:szCs w:val="17"/>
          <w:color w:val="auto"/>
        </w:rPr>
        <w:t>QoQ, the Insurance Underwritng Result increased 6.3%. The following dynamics drove this result:</w:t>
      </w:r>
    </w:p>
    <w:p>
      <w:pPr>
        <w:spacing w:after="0" w:line="3" w:lineRule="exact"/>
        <w:rPr>
          <w:sz w:val="20"/>
          <w:szCs w:val="20"/>
          <w:color w:val="auto"/>
        </w:rPr>
      </w:pPr>
    </w:p>
    <w:p>
      <w:pPr>
        <w:ind w:left="720" w:right="160" w:hanging="400"/>
        <w:spacing w:after="0" w:line="182" w:lineRule="auto"/>
        <w:tabs>
          <w:tab w:leader="none" w:pos="720" w:val="left"/>
        </w:tabs>
        <w:numPr>
          <w:ilvl w:val="0"/>
          <w:numId w:val="35"/>
        </w:numPr>
        <w:rPr>
          <w:rFonts w:ascii="Arial" w:cs="Arial" w:eastAsia="Arial" w:hAnsi="Arial"/>
          <w:sz w:val="17"/>
          <w:szCs w:val="17"/>
          <w:color w:val="auto"/>
        </w:rPr>
      </w:pPr>
      <w:r>
        <w:rPr>
          <w:rFonts w:ascii="Calibri" w:cs="Calibri" w:eastAsia="Calibri" w:hAnsi="Calibri"/>
          <w:sz w:val="17"/>
          <w:szCs w:val="17"/>
          <w:color w:val="auto"/>
        </w:rPr>
        <w:t>Insurance Service Income increased 4.4%, refectng growth in premiums allocated to the period</w:t>
      </w:r>
      <w:r>
        <w:rPr>
          <w:rFonts w:ascii="Calibri" w:cs="Calibri" w:eastAsia="Calibri" w:hAnsi="Calibri"/>
          <w:sz w:val="28"/>
          <w:szCs w:val="28"/>
          <w:color w:val="auto"/>
          <w:vertAlign w:val="superscript"/>
        </w:rPr>
        <w:t>1</w:t>
      </w:r>
      <w:r>
        <w:rPr>
          <w:rFonts w:ascii="Calibri" w:cs="Calibri" w:eastAsia="Calibri" w:hAnsi="Calibri"/>
          <w:sz w:val="17"/>
          <w:szCs w:val="17"/>
          <w:color w:val="auto"/>
        </w:rPr>
        <w:t xml:space="preserve"> in P &amp; C Risks through the Fire, Agricultural and Card Protecton products.</w:t>
      </w:r>
    </w:p>
    <w:p>
      <w:pPr>
        <w:spacing w:after="0" w:line="3" w:lineRule="exact"/>
        <w:rPr>
          <w:rFonts w:ascii="Arial" w:cs="Arial" w:eastAsia="Arial" w:hAnsi="Arial"/>
          <w:sz w:val="17"/>
          <w:szCs w:val="17"/>
          <w:color w:val="auto"/>
        </w:rPr>
      </w:pPr>
    </w:p>
    <w:p>
      <w:pPr>
        <w:ind w:left="720" w:right="420" w:hanging="400"/>
        <w:spacing w:after="0" w:line="242" w:lineRule="auto"/>
        <w:tabs>
          <w:tab w:leader="none" w:pos="720" w:val="left"/>
        </w:tabs>
        <w:numPr>
          <w:ilvl w:val="0"/>
          <w:numId w:val="35"/>
        </w:numPr>
        <w:rPr>
          <w:rFonts w:ascii="Arial" w:cs="Arial" w:eastAsia="Arial" w:hAnsi="Arial"/>
          <w:sz w:val="17"/>
          <w:szCs w:val="17"/>
          <w:color w:val="auto"/>
        </w:rPr>
      </w:pPr>
      <w:r>
        <w:rPr>
          <w:rFonts w:ascii="Calibri" w:cs="Calibri" w:eastAsia="Calibri" w:hAnsi="Calibri"/>
          <w:sz w:val="17"/>
          <w:szCs w:val="17"/>
          <w:color w:val="auto"/>
        </w:rPr>
        <w:t>Insurance Income Expenses rose 19.0%, driven mainly by P &amp; C Risks via an uptck in expenses for claims in the Fire and Technical Lines, and higher technical expenses in the Alliances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236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23" w:lineRule="exact"/>
        <w:rPr>
          <w:sz w:val="20"/>
          <w:szCs w:val="20"/>
          <w:color w:val="auto"/>
        </w:rPr>
      </w:pPr>
    </w:p>
    <w:p>
      <w:pPr>
        <w:ind w:left="120" w:hanging="115"/>
        <w:spacing w:after="0"/>
        <w:tabs>
          <w:tab w:leader="none" w:pos="120" w:val="left"/>
        </w:tabs>
        <w:numPr>
          <w:ilvl w:val="0"/>
          <w:numId w:val="36"/>
        </w:numPr>
        <w:rPr>
          <w:rFonts w:ascii="Calibri" w:cs="Calibri" w:eastAsia="Calibri" w:hAnsi="Calibri"/>
          <w:sz w:val="29"/>
          <w:szCs w:val="29"/>
          <w:color w:val="auto"/>
          <w:vertAlign w:val="superscript"/>
        </w:rPr>
      </w:pPr>
      <w:r>
        <w:rPr>
          <w:rFonts w:ascii="Calibri" w:cs="Calibri" w:eastAsia="Calibri" w:hAnsi="Calibri"/>
          <w:sz w:val="17"/>
          <w:szCs w:val="17"/>
          <w:color w:val="auto"/>
        </w:rPr>
        <w:t>Premiums alloted for the period = Direct premiums + change of RRC + Fees</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Calibri" w:cs="Calibri" w:eastAsia="Calibri" w:hAnsi="Calibri"/>
          <w:sz w:val="21"/>
          <w:szCs w:val="21"/>
          <w:b w:val="1"/>
          <w:bCs w:val="1"/>
          <w:color w:val="FFFFFF"/>
        </w:rPr>
        <w:t>07. Insurance Underwritng Result</w:t>
      </w:r>
    </w:p>
    <w:p>
      <w:pPr>
        <w:spacing w:after="0" w:line="216" w:lineRule="exact"/>
        <w:rPr>
          <w:sz w:val="20"/>
          <w:szCs w:val="20"/>
          <w:color w:val="auto"/>
        </w:rPr>
      </w:pPr>
    </w:p>
    <w:p>
      <w:pPr>
        <w:ind w:left="400" w:right="240" w:hanging="238"/>
        <w:spacing w:after="0" w:line="242" w:lineRule="auto"/>
        <w:tabs>
          <w:tab w:leader="none" w:pos="400" w:val="left"/>
        </w:tabs>
        <w:numPr>
          <w:ilvl w:val="0"/>
          <w:numId w:val="37"/>
        </w:numPr>
        <w:rPr>
          <w:rFonts w:ascii="Arial" w:cs="Arial" w:eastAsia="Arial" w:hAnsi="Arial"/>
          <w:sz w:val="17"/>
          <w:szCs w:val="17"/>
          <w:color w:val="auto"/>
        </w:rPr>
      </w:pPr>
      <w:r>
        <w:rPr>
          <w:rFonts w:ascii="Calibri" w:cs="Calibri" w:eastAsia="Calibri" w:hAnsi="Calibri"/>
          <w:sz w:val="17"/>
          <w:szCs w:val="17"/>
          <w:color w:val="auto"/>
        </w:rPr>
        <w:t>The improvement in the Reinsurance Result was mainly atributable to the evoluton at P &amp; C Risks, which registered an increase in claims recovered from reinsurers (for claims in the Fire and Technical Lines mentoned above).</w:t>
      </w:r>
    </w:p>
    <w:p>
      <w:pPr>
        <w:spacing w:after="0" w:line="184" w:lineRule="exact"/>
        <w:rPr>
          <w:sz w:val="20"/>
          <w:szCs w:val="20"/>
          <w:color w:val="auto"/>
        </w:rPr>
      </w:pPr>
    </w:p>
    <w:p>
      <w:pPr>
        <w:spacing w:after="0"/>
        <w:rPr>
          <w:sz w:val="20"/>
          <w:szCs w:val="20"/>
          <w:color w:val="auto"/>
        </w:rPr>
      </w:pPr>
      <w:r>
        <w:rPr>
          <w:rFonts w:ascii="Calibri" w:cs="Calibri" w:eastAsia="Calibri" w:hAnsi="Calibri"/>
          <w:sz w:val="17"/>
          <w:szCs w:val="17"/>
          <w:color w:val="auto"/>
        </w:rPr>
        <w:t>YoY, the Insurance Underwritng Result rose 56.4%, driven by the following dynamics:</w:t>
      </w:r>
    </w:p>
    <w:p>
      <w:pPr>
        <w:spacing w:after="0" w:line="3" w:lineRule="exact"/>
        <w:rPr>
          <w:sz w:val="20"/>
          <w:szCs w:val="20"/>
          <w:color w:val="auto"/>
        </w:rPr>
      </w:pPr>
    </w:p>
    <w:p>
      <w:pPr>
        <w:ind w:left="400" w:right="180" w:hanging="238"/>
        <w:spacing w:after="0" w:line="242" w:lineRule="auto"/>
        <w:tabs>
          <w:tab w:leader="none" w:pos="400" w:val="left"/>
        </w:tabs>
        <w:numPr>
          <w:ilvl w:val="0"/>
          <w:numId w:val="38"/>
        </w:numPr>
        <w:rPr>
          <w:rFonts w:ascii="Arial" w:cs="Arial" w:eastAsia="Arial" w:hAnsi="Arial"/>
          <w:sz w:val="17"/>
          <w:szCs w:val="17"/>
          <w:color w:val="auto"/>
        </w:rPr>
      </w:pPr>
      <w:r>
        <w:rPr>
          <w:rFonts w:ascii="Calibri" w:cs="Calibri" w:eastAsia="Calibri" w:hAnsi="Calibri"/>
          <w:sz w:val="17"/>
          <w:szCs w:val="17"/>
          <w:color w:val="auto"/>
        </w:rPr>
        <w:t>Insurance Service Income rose 9.4%, fueled by an increase in premiums allocated to the period in P &amp; C Risks, in line with an uptck in premium turnover in Third-Party Liability and Card Protecton.</w:t>
      </w:r>
    </w:p>
    <w:p>
      <w:pPr>
        <w:spacing w:after="0" w:line="1" w:lineRule="exact"/>
        <w:rPr>
          <w:rFonts w:ascii="Arial" w:cs="Arial" w:eastAsia="Arial" w:hAnsi="Arial"/>
          <w:sz w:val="17"/>
          <w:szCs w:val="17"/>
          <w:color w:val="auto"/>
        </w:rPr>
      </w:pPr>
    </w:p>
    <w:p>
      <w:pPr>
        <w:ind w:left="400" w:right="420" w:hanging="238"/>
        <w:spacing w:after="0" w:line="242" w:lineRule="auto"/>
        <w:tabs>
          <w:tab w:leader="none" w:pos="400" w:val="left"/>
        </w:tabs>
        <w:numPr>
          <w:ilvl w:val="0"/>
          <w:numId w:val="38"/>
        </w:numPr>
        <w:rPr>
          <w:rFonts w:ascii="Arial" w:cs="Arial" w:eastAsia="Arial" w:hAnsi="Arial"/>
          <w:sz w:val="17"/>
          <w:szCs w:val="17"/>
          <w:color w:val="auto"/>
        </w:rPr>
      </w:pPr>
      <w:r>
        <w:rPr>
          <w:rFonts w:ascii="Calibri" w:cs="Calibri" w:eastAsia="Calibri" w:hAnsi="Calibri"/>
          <w:sz w:val="17"/>
          <w:szCs w:val="17"/>
          <w:color w:val="auto"/>
        </w:rPr>
        <w:t>Insurance Service Expenses rose 2.3%, spurred mainly by Medical Assistance, which reported a higher level of expenses for claims due to an increase in average costs and higher IBNR reserves.</w:t>
      </w:r>
    </w:p>
    <w:p>
      <w:pPr>
        <w:ind w:left="400" w:hanging="238"/>
        <w:spacing w:after="0"/>
        <w:tabs>
          <w:tab w:leader="none" w:pos="400" w:val="left"/>
        </w:tabs>
        <w:numPr>
          <w:ilvl w:val="0"/>
          <w:numId w:val="38"/>
        </w:numPr>
        <w:rPr>
          <w:rFonts w:ascii="Arial" w:cs="Arial" w:eastAsia="Arial" w:hAnsi="Arial"/>
          <w:sz w:val="17"/>
          <w:szCs w:val="17"/>
          <w:color w:val="auto"/>
        </w:rPr>
      </w:pPr>
      <w:r>
        <w:rPr>
          <w:rFonts w:ascii="Calibri" w:cs="Calibri" w:eastAsia="Calibri" w:hAnsi="Calibri"/>
          <w:sz w:val="17"/>
          <w:szCs w:val="17"/>
          <w:color w:val="auto"/>
        </w:rPr>
        <w:t>The Reinsurance Result deteriorated primarily due to the evoluton of P &amp; C Risks, which was impacted by an increase in ceded premiums.</w:t>
      </w:r>
    </w:p>
    <w:p>
      <w:pPr>
        <w:spacing w:after="0" w:line="213" w:lineRule="exact"/>
        <w:rPr>
          <w:sz w:val="20"/>
          <w:szCs w:val="20"/>
          <w:color w:val="auto"/>
        </w:rPr>
      </w:pPr>
    </w:p>
    <w:p>
      <w:pPr>
        <w:ind w:right="340"/>
        <w:spacing w:after="0" w:line="242" w:lineRule="auto"/>
        <w:rPr>
          <w:sz w:val="20"/>
          <w:szCs w:val="20"/>
          <w:color w:val="auto"/>
        </w:rPr>
      </w:pPr>
      <w:r>
        <w:rPr>
          <w:rFonts w:ascii="Calibri" w:cs="Calibri" w:eastAsia="Calibri" w:hAnsi="Calibri"/>
          <w:sz w:val="17"/>
          <w:szCs w:val="17"/>
          <w:color w:val="auto"/>
        </w:rPr>
        <w:t>For the FY24, the Insurance Underwritng Result rose 11.5%, due to an uptck in Insurance Service Income, partcularly in P&amp;C Risks and Cars, and mitgated by higher Insurance Service Expenses in Medical Assistance and SOAT.</w:t>
      </w:r>
    </w:p>
    <w:p>
      <w:pPr>
        <w:spacing w:after="0" w:line="211"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Life Insurance</w:t>
      </w:r>
    </w:p>
    <w:p>
      <w:pPr>
        <w:spacing w:after="0" w:line="2" w:lineRule="exact"/>
        <w:rPr>
          <w:sz w:val="20"/>
          <w:szCs w:val="20"/>
          <w:color w:val="auto"/>
        </w:rPr>
      </w:pPr>
    </w:p>
    <w:p>
      <w:pPr>
        <w:ind w:left="1580"/>
        <w:spacing w:after="0"/>
        <w:tabs>
          <w:tab w:leader="none" w:pos="7780" w:val="left"/>
        </w:tabs>
        <w:rPr>
          <w:sz w:val="20"/>
          <w:szCs w:val="20"/>
          <w:color w:val="auto"/>
        </w:rPr>
      </w:pPr>
      <w:r>
        <w:rPr>
          <w:rFonts w:ascii="Calibri" w:cs="Calibri" w:eastAsia="Calibri" w:hAnsi="Calibri"/>
          <w:sz w:val="17"/>
          <w:szCs w:val="17"/>
          <w:b w:val="1"/>
          <w:bCs w:val="1"/>
          <w:color w:val="auto"/>
        </w:rPr>
        <w:t>Insurance Service Income</w:t>
      </w:r>
      <w:r>
        <w:rPr>
          <w:sz w:val="20"/>
          <w:szCs w:val="20"/>
          <w:color w:val="auto"/>
        </w:rPr>
        <w:tab/>
      </w:r>
      <w:r>
        <w:rPr>
          <w:rFonts w:ascii="Calibri" w:cs="Calibri" w:eastAsia="Calibri" w:hAnsi="Calibri"/>
          <w:sz w:val="16"/>
          <w:szCs w:val="16"/>
          <w:b w:val="1"/>
          <w:bCs w:val="1"/>
          <w:color w:val="auto"/>
        </w:rPr>
        <w:t>Insurance Service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15240</wp:posOffset>
            </wp:positionV>
            <wp:extent cx="6653530" cy="23901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53530" cy="239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alibri" w:cs="Calibri" w:eastAsia="Calibri" w:hAnsi="Calibri"/>
          <w:sz w:val="17"/>
          <w:szCs w:val="17"/>
          <w:color w:val="auto"/>
        </w:rPr>
        <w:t>QoQ, the Insurance Underwritng Result increased 6.4%. The following dynamics were noteworthy:</w:t>
      </w:r>
    </w:p>
    <w:p>
      <w:pPr>
        <w:spacing w:after="0" w:line="3" w:lineRule="exact"/>
        <w:rPr>
          <w:sz w:val="20"/>
          <w:szCs w:val="20"/>
          <w:color w:val="auto"/>
        </w:rPr>
      </w:pPr>
    </w:p>
    <w:p>
      <w:pPr>
        <w:jc w:val="both"/>
        <w:ind w:left="560" w:hanging="240"/>
        <w:spacing w:after="0" w:line="242" w:lineRule="auto"/>
        <w:tabs>
          <w:tab w:leader="none" w:pos="560" w:val="left"/>
        </w:tabs>
        <w:numPr>
          <w:ilvl w:val="0"/>
          <w:numId w:val="39"/>
        </w:numPr>
        <w:rPr>
          <w:rFonts w:ascii="Arial" w:cs="Arial" w:eastAsia="Arial" w:hAnsi="Arial"/>
          <w:sz w:val="17"/>
          <w:szCs w:val="17"/>
          <w:color w:val="auto"/>
        </w:rPr>
      </w:pPr>
      <w:r>
        <w:rPr>
          <w:rFonts w:ascii="Calibri" w:cs="Calibri" w:eastAsia="Calibri" w:hAnsi="Calibri"/>
          <w:sz w:val="17"/>
          <w:szCs w:val="17"/>
          <w:color w:val="auto"/>
        </w:rPr>
        <w:t>Insurance Service Income rose 4.1%, driven primarily by Credit Life via an increase in premiums allocated to the period, which was in turn fueled mainly by the bancassurance and Alliances channels. The aforementoned growth was partally ofset by a drop in income in Group Line, mainly via seasonal factors in SCTR products.</w:t>
      </w:r>
    </w:p>
    <w:p>
      <w:pPr>
        <w:spacing w:after="0" w:line="1" w:lineRule="exact"/>
        <w:rPr>
          <w:rFonts w:ascii="Arial" w:cs="Arial" w:eastAsia="Arial" w:hAnsi="Arial"/>
          <w:sz w:val="17"/>
          <w:szCs w:val="17"/>
          <w:color w:val="auto"/>
        </w:rPr>
      </w:pPr>
    </w:p>
    <w:p>
      <w:pPr>
        <w:ind w:left="560" w:hanging="240"/>
        <w:spacing w:after="0" w:line="242" w:lineRule="auto"/>
        <w:tabs>
          <w:tab w:leader="none" w:pos="560" w:val="left"/>
        </w:tabs>
        <w:numPr>
          <w:ilvl w:val="0"/>
          <w:numId w:val="39"/>
        </w:numPr>
        <w:rPr>
          <w:rFonts w:ascii="Arial" w:cs="Arial" w:eastAsia="Arial" w:hAnsi="Arial"/>
          <w:sz w:val="17"/>
          <w:szCs w:val="17"/>
          <w:color w:val="auto"/>
        </w:rPr>
      </w:pPr>
      <w:r>
        <w:rPr>
          <w:rFonts w:ascii="Calibri" w:cs="Calibri" w:eastAsia="Calibri" w:hAnsi="Calibri"/>
          <w:sz w:val="17"/>
          <w:szCs w:val="17"/>
          <w:color w:val="auto"/>
        </w:rPr>
        <w:t>Insurance Service Expenses increased 1.8%, fueled primarily by (i) D&amp;S, which reported an increase in expenses for claims in line with growth in cases and in the average cost, and (ii) Annuites, due to an increase in onerous contracts.</w:t>
      </w:r>
    </w:p>
    <w:p>
      <w:pPr>
        <w:ind w:left="560" w:hanging="240"/>
        <w:spacing w:after="0"/>
        <w:tabs>
          <w:tab w:leader="none" w:pos="560" w:val="left"/>
        </w:tabs>
        <w:numPr>
          <w:ilvl w:val="0"/>
          <w:numId w:val="39"/>
        </w:numPr>
        <w:rPr>
          <w:rFonts w:ascii="Arial" w:cs="Arial" w:eastAsia="Arial" w:hAnsi="Arial"/>
          <w:sz w:val="17"/>
          <w:szCs w:val="17"/>
          <w:color w:val="auto"/>
        </w:rPr>
      </w:pPr>
      <w:r>
        <w:rPr>
          <w:rFonts w:ascii="Calibri" w:cs="Calibri" w:eastAsia="Calibri" w:hAnsi="Calibri"/>
          <w:sz w:val="17"/>
          <w:szCs w:val="17"/>
          <w:color w:val="auto"/>
        </w:rPr>
        <w:t>The Reinsurance Underwritng Result dropped, which was driven mainly by Individual Life via a decrease in reinsurance recoveries.</w:t>
      </w:r>
    </w:p>
    <w:p>
      <w:pPr>
        <w:spacing w:after="0" w:line="186" w:lineRule="exact"/>
        <w:rPr>
          <w:sz w:val="20"/>
          <w:szCs w:val="20"/>
          <w:color w:val="auto"/>
        </w:rPr>
      </w:pPr>
    </w:p>
    <w:p>
      <w:pPr>
        <w:spacing w:after="0"/>
        <w:rPr>
          <w:sz w:val="20"/>
          <w:szCs w:val="20"/>
          <w:color w:val="auto"/>
        </w:rPr>
      </w:pPr>
      <w:r>
        <w:rPr>
          <w:rFonts w:ascii="Calibri" w:cs="Calibri" w:eastAsia="Calibri" w:hAnsi="Calibri"/>
          <w:sz w:val="17"/>
          <w:szCs w:val="17"/>
          <w:color w:val="auto"/>
        </w:rPr>
        <w:t>YoY, the Insurance Underwritng Result increased 3.4% due to the following dynamics:</w:t>
      </w:r>
    </w:p>
    <w:p>
      <w:pPr>
        <w:spacing w:after="0" w:line="3" w:lineRule="exact"/>
        <w:rPr>
          <w:sz w:val="20"/>
          <w:szCs w:val="20"/>
          <w:color w:val="auto"/>
        </w:rPr>
      </w:pPr>
    </w:p>
    <w:p>
      <w:pPr>
        <w:ind w:left="560" w:hanging="240"/>
        <w:spacing w:after="0" w:line="242" w:lineRule="auto"/>
        <w:tabs>
          <w:tab w:leader="none" w:pos="560" w:val="left"/>
        </w:tabs>
        <w:numPr>
          <w:ilvl w:val="0"/>
          <w:numId w:val="40"/>
        </w:numPr>
        <w:rPr>
          <w:rFonts w:ascii="Arial" w:cs="Arial" w:eastAsia="Arial" w:hAnsi="Arial"/>
          <w:sz w:val="17"/>
          <w:szCs w:val="17"/>
          <w:color w:val="auto"/>
        </w:rPr>
      </w:pPr>
      <w:r>
        <w:rPr>
          <w:rFonts w:ascii="Calibri" w:cs="Calibri" w:eastAsia="Calibri" w:hAnsi="Calibri"/>
          <w:sz w:val="17"/>
          <w:szCs w:val="17"/>
          <w:color w:val="auto"/>
        </w:rPr>
        <w:t>Insurance Service Income dropped 11.8%, driven mainly by D&amp;S, which won a smaller tranche of the SISCO VII contract and at lower rates in comparison to the award secured under SISCO VI.</w:t>
      </w:r>
    </w:p>
    <w:p>
      <w:pPr>
        <w:spacing w:after="0" w:line="1" w:lineRule="exact"/>
        <w:rPr>
          <w:rFonts w:ascii="Arial" w:cs="Arial" w:eastAsia="Arial" w:hAnsi="Arial"/>
          <w:sz w:val="17"/>
          <w:szCs w:val="17"/>
          <w:color w:val="auto"/>
        </w:rPr>
      </w:pPr>
    </w:p>
    <w:p>
      <w:pPr>
        <w:jc w:val="both"/>
        <w:ind w:left="560" w:hanging="240"/>
        <w:spacing w:after="0" w:line="242" w:lineRule="auto"/>
        <w:tabs>
          <w:tab w:leader="none" w:pos="560" w:val="left"/>
        </w:tabs>
        <w:numPr>
          <w:ilvl w:val="0"/>
          <w:numId w:val="40"/>
        </w:numPr>
        <w:rPr>
          <w:rFonts w:ascii="Arial" w:cs="Arial" w:eastAsia="Arial" w:hAnsi="Arial"/>
          <w:sz w:val="17"/>
          <w:szCs w:val="17"/>
          <w:color w:val="auto"/>
        </w:rPr>
      </w:pPr>
      <w:r>
        <w:rPr>
          <w:rFonts w:ascii="Calibri" w:cs="Calibri" w:eastAsia="Calibri" w:hAnsi="Calibri"/>
          <w:sz w:val="17"/>
          <w:szCs w:val="17"/>
          <w:color w:val="auto"/>
        </w:rPr>
        <w:t>Insurance Service Expenses fell 21.8%, primarily due to (i) D&amp;S, in line with a reducton in the tranche awarded under SISCO VII, and (ii) Individual Life, which reported a drop in claims. The reducton in total expenses was atenuated by the evoluton at Credit Life, which reported growth in underwritng expenses for Alliances and an increase in claims.</w:t>
      </w:r>
    </w:p>
    <w:p>
      <w:pPr>
        <w:spacing w:after="0" w:line="1" w:lineRule="exact"/>
        <w:rPr>
          <w:rFonts w:ascii="Arial" w:cs="Arial" w:eastAsia="Arial" w:hAnsi="Arial"/>
          <w:sz w:val="17"/>
          <w:szCs w:val="17"/>
          <w:color w:val="auto"/>
        </w:rPr>
      </w:pPr>
    </w:p>
    <w:p>
      <w:pPr>
        <w:ind w:left="560" w:hanging="240"/>
        <w:spacing w:after="0"/>
        <w:tabs>
          <w:tab w:leader="none" w:pos="560" w:val="left"/>
        </w:tabs>
        <w:numPr>
          <w:ilvl w:val="0"/>
          <w:numId w:val="40"/>
        </w:numPr>
        <w:rPr>
          <w:rFonts w:ascii="Arial" w:cs="Arial" w:eastAsia="Arial" w:hAnsi="Arial"/>
          <w:sz w:val="17"/>
          <w:szCs w:val="17"/>
          <w:color w:val="auto"/>
        </w:rPr>
      </w:pPr>
      <w:r>
        <w:rPr>
          <w:rFonts w:ascii="Calibri" w:cs="Calibri" w:eastAsia="Calibri" w:hAnsi="Calibri"/>
          <w:sz w:val="17"/>
          <w:szCs w:val="17"/>
          <w:color w:val="auto"/>
        </w:rPr>
        <w:t>The Reinsurance Result improved, fueled primarily by a decrease in ceded premiums in D&amp;S.</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For the FY24, the Insurance Underwritng Result dropped 3.1% on the back of a decrease in Insurance Service Income, which was driven mainly by D&amp;S.</w:t>
      </w:r>
    </w:p>
    <w:p>
      <w:pPr>
        <w:spacing w:after="0" w:line="3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8" w:name="page39"/>
    <w:bookmarkEnd w:id="38"/>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08 </w:t>
      </w:r>
      <w:r>
        <w:rPr>
          <w:rFonts w:ascii="Arial" w:cs="Arial" w:eastAsia="Arial" w:hAnsi="Arial"/>
          <w:sz w:val="31"/>
          <w:szCs w:val="31"/>
          <w:color w:val="E93BAB"/>
        </w:rPr>
        <w:t>Operating Expenses</w:t>
      </w:r>
    </w:p>
    <w:p>
      <w:pPr>
        <w:spacing w:after="0" w:line="205" w:lineRule="exact"/>
        <w:rPr>
          <w:sz w:val="20"/>
          <w:szCs w:val="20"/>
          <w:color w:val="auto"/>
        </w:rPr>
      </w:pPr>
    </w:p>
    <w:p>
      <w:pPr>
        <w:jc w:val="both"/>
        <w:ind w:left="580" w:right="560"/>
        <w:spacing w:after="0" w:line="242" w:lineRule="auto"/>
        <w:rPr>
          <w:sz w:val="20"/>
          <w:szCs w:val="20"/>
          <w:color w:val="auto"/>
        </w:rPr>
      </w:pPr>
      <w:r>
        <w:rPr>
          <w:rFonts w:ascii="Calibri" w:cs="Calibri" w:eastAsia="Calibri" w:hAnsi="Calibri"/>
          <w:sz w:val="17"/>
          <w:szCs w:val="17"/>
          <w:color w:val="FFFFFF"/>
        </w:rPr>
        <w:t>Operatng expenses rose 9.4% YTD, driven mainly by core businesses at BCP Stand-alone and disruptve initatves at the Credicorp level. Expenses for core businesses at BCP rose due to: (i) increased salary and beneft expenses from hiring more talent, and variable compensaton provisioning, and (ii) growth in administratve expenses, which was driven primarily by an increase in cloud use afer transactons levels rose, fueled by increasingly digitalized clients. Expenses for disruptve initatves at the Credicorp level increased 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-517525</wp:posOffset>
            </wp:positionV>
            <wp:extent cx="6561455" cy="5994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61455" cy="59944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Total operatng expenses</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36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Operatng expenses</w:t>
            </w:r>
          </w:p>
        </w:tc>
        <w:tc>
          <w:tcPr>
            <w:tcW w:w="880" w:type="dxa"/>
            <w:vAlign w:val="bottom"/>
            <w:tcBorders>
              <w:top w:val="single" w:sz="8" w:color="auto"/>
            </w:tcBorders>
            <w:shd w:val="clear" w:color="auto" w:fill="33CCCC"/>
          </w:tcPr>
          <w:p>
            <w:pPr>
              <w:spacing w:after="0"/>
              <w:rPr>
                <w:sz w:val="14"/>
                <w:szCs w:val="14"/>
                <w:color w:val="auto"/>
              </w:rPr>
            </w:pPr>
          </w:p>
        </w:tc>
        <w:tc>
          <w:tcPr>
            <w:tcW w:w="900" w:type="dxa"/>
            <w:vAlign w:val="bottom"/>
            <w:tcBorders>
              <w:top w:val="single" w:sz="8" w:color="auto"/>
            </w:tcBorders>
            <w:shd w:val="clear" w:color="auto" w:fill="33CCCC"/>
          </w:tcPr>
          <w:p>
            <w:pPr>
              <w:ind w:left="240"/>
              <w:spacing w:after="0"/>
              <w:rPr>
                <w:sz w:val="20"/>
                <w:szCs w:val="20"/>
                <w:color w:val="auto"/>
              </w:rPr>
            </w:pPr>
            <w:r>
              <w:rPr>
                <w:rFonts w:ascii="Calibri" w:cs="Calibri" w:eastAsia="Calibri" w:hAnsi="Calibri"/>
                <w:sz w:val="13"/>
                <w:szCs w:val="13"/>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4"/>
                <w:szCs w:val="14"/>
                <w:color w:val="auto"/>
              </w:rPr>
            </w:pPr>
          </w:p>
        </w:tc>
        <w:tc>
          <w:tcPr>
            <w:tcW w:w="620" w:type="dxa"/>
            <w:vAlign w:val="bottom"/>
            <w:tcBorders>
              <w:top w:val="single" w:sz="8" w:color="auto"/>
            </w:tcBorders>
            <w:shd w:val="clear" w:color="auto" w:fill="33CCCC"/>
          </w:tcPr>
          <w:p>
            <w:pPr>
              <w:spacing w:after="0"/>
              <w:rPr>
                <w:sz w:val="14"/>
                <w:szCs w:val="14"/>
                <w:color w:val="auto"/>
              </w:rPr>
            </w:pPr>
          </w:p>
        </w:tc>
        <w:tc>
          <w:tcPr>
            <w:tcW w:w="1180" w:type="dxa"/>
            <w:vAlign w:val="bottom"/>
            <w:tcBorders>
              <w:top w:val="single" w:sz="8" w:color="auto"/>
              <w:right w:val="single" w:sz="8" w:color="auto"/>
            </w:tcBorders>
            <w:shd w:val="clear" w:color="auto" w:fill="33CCCC"/>
          </w:tcPr>
          <w:p>
            <w:pPr>
              <w:spacing w:after="0"/>
              <w:rPr>
                <w:sz w:val="20"/>
                <w:szCs w:val="20"/>
                <w:color w:val="auto"/>
              </w:rPr>
            </w:pPr>
            <w:r>
              <w:rPr>
                <w:rFonts w:ascii="Calibri" w:cs="Calibri" w:eastAsia="Calibri" w:hAnsi="Calibri"/>
                <w:sz w:val="13"/>
                <w:szCs w:val="13"/>
                <w:b w:val="1"/>
                <w:bCs w:val="1"/>
                <w:color w:val="FFFFFF"/>
              </w:rPr>
              <w:t>% change</w:t>
            </w:r>
          </w:p>
        </w:tc>
        <w:tc>
          <w:tcPr>
            <w:tcW w:w="740" w:type="dxa"/>
            <w:vAlign w:val="bottom"/>
            <w:tcBorders>
              <w:top w:val="single" w:sz="8" w:color="auto"/>
            </w:tcBorders>
            <w:shd w:val="clear" w:color="auto" w:fill="33CCCC"/>
          </w:tcPr>
          <w:p>
            <w:pPr>
              <w:spacing w:after="0"/>
              <w:rPr>
                <w:sz w:val="14"/>
                <w:szCs w:val="14"/>
                <w:color w:val="auto"/>
              </w:rPr>
            </w:pPr>
          </w:p>
        </w:tc>
        <w:tc>
          <w:tcPr>
            <w:tcW w:w="104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Year</w:t>
            </w:r>
          </w:p>
        </w:tc>
        <w:tc>
          <w:tcPr>
            <w:tcW w:w="1320" w:type="dxa"/>
            <w:vAlign w:val="bottom"/>
            <w:tcBorders>
              <w:top w:val="single" w:sz="8" w:color="auto"/>
              <w:right w:val="single" w:sz="8" w:color="auto"/>
            </w:tcBorders>
            <w:shd w:val="clear" w:color="auto" w:fill="33CCCC"/>
          </w:tcPr>
          <w:p>
            <w:pPr>
              <w:ind w:left="400"/>
              <w:spacing w:after="0"/>
              <w:rPr>
                <w:sz w:val="20"/>
                <w:szCs w:val="20"/>
                <w:color w:val="auto"/>
              </w:rPr>
            </w:pPr>
            <w:r>
              <w:rPr>
                <w:rFonts w:ascii="Calibri" w:cs="Calibri" w:eastAsia="Calibri" w:hAnsi="Calibri"/>
                <w:sz w:val="13"/>
                <w:szCs w:val="13"/>
                <w:b w:val="1"/>
                <w:bCs w:val="1"/>
                <w:color w:val="FFFFFF"/>
              </w:rPr>
              <w:t>% change</w:t>
            </w:r>
          </w:p>
        </w:tc>
      </w:tr>
      <w:tr>
        <w:trPr>
          <w:trHeight w:val="190"/>
        </w:trPr>
        <w:tc>
          <w:tcPr>
            <w:tcW w:w="3620" w:type="dxa"/>
            <w:vAlign w:val="bottom"/>
            <w:tcBorders>
              <w:left w:val="single" w:sz="8" w:color="auto"/>
              <w:bottom w:val="single" w:sz="8" w:color="33CCCC"/>
              <w:right w:val="single" w:sz="8" w:color="auto"/>
            </w:tcBorders>
            <w:shd w:val="clear" w:color="auto" w:fill="33CCCC"/>
          </w:tcPr>
          <w:p>
            <w:pPr>
              <w:ind w:left="20"/>
              <w:spacing w:after="0"/>
              <w:rPr>
                <w:sz w:val="20"/>
                <w:szCs w:val="20"/>
                <w:color w:val="auto"/>
              </w:rPr>
            </w:pPr>
            <w:r>
              <w:rPr>
                <w:rFonts w:ascii="Calibri" w:cs="Calibri" w:eastAsia="Calibri" w:hAnsi="Calibri"/>
                <w:sz w:val="13"/>
                <w:szCs w:val="13"/>
                <w:b w:val="1"/>
                <w:bCs w:val="1"/>
                <w:color w:val="FFFFFF"/>
              </w:rPr>
              <w:t>S/000</w:t>
            </w:r>
          </w:p>
        </w:tc>
        <w:tc>
          <w:tcPr>
            <w:tcW w:w="8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7"/>
              </w:rPr>
              <w:t>4Q23</w:t>
            </w:r>
          </w:p>
        </w:tc>
        <w:tc>
          <w:tcPr>
            <w:tcW w:w="90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7"/>
              </w:rPr>
              <w:t>3Q24</w:t>
            </w:r>
          </w:p>
        </w:tc>
        <w:tc>
          <w:tcPr>
            <w:tcW w:w="94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7"/>
              </w:rPr>
              <w:t>4Q24</w:t>
            </w:r>
          </w:p>
        </w:tc>
        <w:tc>
          <w:tcPr>
            <w:tcW w:w="620" w:type="dxa"/>
            <w:vAlign w:val="bottom"/>
            <w:tcBorders>
              <w:bottom w:val="single" w:sz="8" w:color="33CCCC"/>
            </w:tcBorders>
            <w:shd w:val="clear" w:color="auto" w:fill="33CCCC"/>
          </w:tcPr>
          <w:p>
            <w:pPr>
              <w:ind w:left="300"/>
              <w:spacing w:after="0"/>
              <w:rPr>
                <w:sz w:val="20"/>
                <w:szCs w:val="20"/>
                <w:color w:val="auto"/>
              </w:rPr>
            </w:pPr>
            <w:r>
              <w:rPr>
                <w:rFonts w:ascii="Calibri" w:cs="Calibri" w:eastAsia="Calibri" w:hAnsi="Calibri"/>
                <w:sz w:val="13"/>
                <w:szCs w:val="13"/>
                <w:b w:val="1"/>
                <w:bCs w:val="1"/>
                <w:color w:val="FFFFFF"/>
              </w:rPr>
              <w:t>QoQ</w:t>
            </w:r>
          </w:p>
        </w:tc>
        <w:tc>
          <w:tcPr>
            <w:tcW w:w="1180" w:type="dxa"/>
            <w:vAlign w:val="bottom"/>
            <w:tcBorders>
              <w:bottom w:val="single" w:sz="8" w:color="33CCCC"/>
              <w:right w:val="single" w:sz="8" w:color="auto"/>
            </w:tcBorders>
            <w:shd w:val="clear" w:color="auto" w:fill="33CCCC"/>
          </w:tcPr>
          <w:p>
            <w:pPr>
              <w:ind w:left="620"/>
              <w:spacing w:after="0"/>
              <w:rPr>
                <w:sz w:val="20"/>
                <w:szCs w:val="20"/>
                <w:color w:val="auto"/>
              </w:rPr>
            </w:pPr>
            <w:r>
              <w:rPr>
                <w:rFonts w:ascii="Calibri" w:cs="Calibri" w:eastAsia="Calibri" w:hAnsi="Calibri"/>
                <w:sz w:val="13"/>
                <w:szCs w:val="13"/>
                <w:b w:val="1"/>
                <w:bCs w:val="1"/>
                <w:color w:val="FFFFFF"/>
              </w:rPr>
              <w:t>YoY</w:t>
            </w:r>
          </w:p>
        </w:tc>
        <w:tc>
          <w:tcPr>
            <w:tcW w:w="740" w:type="dxa"/>
            <w:vAlign w:val="bottom"/>
            <w:tcBorders>
              <w:bottom w:val="single" w:sz="8" w:color="33CCCC"/>
            </w:tcBorders>
            <w:shd w:val="clear" w:color="auto" w:fill="33CCCC"/>
          </w:tcPr>
          <w:p>
            <w:pPr>
              <w:jc w:val="center"/>
              <w:ind w:left="54"/>
              <w:spacing w:after="0"/>
              <w:rPr>
                <w:sz w:val="20"/>
                <w:szCs w:val="20"/>
                <w:color w:val="auto"/>
              </w:rPr>
            </w:pPr>
            <w:r>
              <w:rPr>
                <w:rFonts w:ascii="Calibri" w:cs="Calibri" w:eastAsia="Calibri" w:hAnsi="Calibri"/>
                <w:sz w:val="13"/>
                <w:szCs w:val="13"/>
                <w:b w:val="1"/>
                <w:bCs w:val="1"/>
                <w:color w:val="FFFFFF"/>
                <w:w w:val="98"/>
              </w:rPr>
              <w:t>2023</w:t>
            </w:r>
          </w:p>
        </w:tc>
        <w:tc>
          <w:tcPr>
            <w:tcW w:w="1040" w:type="dxa"/>
            <w:vAlign w:val="bottom"/>
            <w:tcBorders>
              <w:bottom w:val="single" w:sz="8" w:color="33CCCC"/>
              <w:right w:val="single" w:sz="8" w:color="auto"/>
            </w:tcBorders>
            <w:shd w:val="clear" w:color="auto" w:fill="33CCCC"/>
          </w:tcPr>
          <w:p>
            <w:pPr>
              <w:jc w:val="center"/>
              <w:ind w:left="54"/>
              <w:spacing w:after="0"/>
              <w:rPr>
                <w:sz w:val="20"/>
                <w:szCs w:val="20"/>
                <w:color w:val="auto"/>
              </w:rPr>
            </w:pPr>
            <w:r>
              <w:rPr>
                <w:rFonts w:ascii="Calibri" w:cs="Calibri" w:eastAsia="Calibri" w:hAnsi="Calibri"/>
                <w:sz w:val="13"/>
                <w:szCs w:val="13"/>
                <w:b w:val="1"/>
                <w:bCs w:val="1"/>
                <w:color w:val="FFFFFF"/>
              </w:rPr>
              <w:t>2024</w:t>
            </w:r>
          </w:p>
        </w:tc>
        <w:tc>
          <w:tcPr>
            <w:tcW w:w="132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9"/>
              </w:rPr>
              <w:t>2024 / 2023</w:t>
            </w:r>
          </w:p>
        </w:tc>
      </w:tr>
      <w:tr>
        <w:trPr>
          <w:trHeight w:val="149"/>
        </w:trPr>
        <w:tc>
          <w:tcPr>
            <w:tcW w:w="3620" w:type="dxa"/>
            <w:vAlign w:val="bottom"/>
            <w:tcBorders>
              <w:top w:val="single" w:sz="8" w:color="auto"/>
              <w:left w:val="single" w:sz="8" w:color="auto"/>
              <w:right w:val="single" w:sz="8" w:color="auto"/>
            </w:tcBorders>
          </w:tcPr>
          <w:p>
            <w:pPr>
              <w:ind w:left="20"/>
              <w:spacing w:after="0" w:line="150" w:lineRule="exact"/>
              <w:rPr>
                <w:sz w:val="20"/>
                <w:szCs w:val="20"/>
                <w:color w:val="auto"/>
              </w:rPr>
            </w:pPr>
            <w:r>
              <w:rPr>
                <w:rFonts w:ascii="Calibri" w:cs="Calibri" w:eastAsia="Calibri" w:hAnsi="Calibri"/>
                <w:sz w:val="13"/>
                <w:szCs w:val="13"/>
                <w:color w:val="auto"/>
              </w:rPr>
              <w:t>Salaries and employees benefts</w:t>
            </w:r>
          </w:p>
        </w:tc>
        <w:tc>
          <w:tcPr>
            <w:tcW w:w="880" w:type="dxa"/>
            <w:vAlign w:val="bottom"/>
            <w:tcBorders>
              <w:top w:val="single" w:sz="8" w:color="auto"/>
            </w:tcBorders>
          </w:tcPr>
          <w:p>
            <w:pPr>
              <w:jc w:val="center"/>
              <w:spacing w:after="0" w:line="150" w:lineRule="exact"/>
              <w:rPr>
                <w:sz w:val="20"/>
                <w:szCs w:val="20"/>
                <w:color w:val="auto"/>
              </w:rPr>
            </w:pPr>
            <w:r>
              <w:rPr>
                <w:rFonts w:ascii="Calibri" w:cs="Calibri" w:eastAsia="Calibri" w:hAnsi="Calibri"/>
                <w:sz w:val="13"/>
                <w:szCs w:val="13"/>
                <w:color w:val="auto"/>
                <w:w w:val="98"/>
              </w:rPr>
              <w:t>1,119,758</w:t>
            </w:r>
          </w:p>
        </w:tc>
        <w:tc>
          <w:tcPr>
            <w:tcW w:w="900" w:type="dxa"/>
            <w:vAlign w:val="bottom"/>
            <w:tcBorders>
              <w:top w:val="single" w:sz="8" w:color="auto"/>
            </w:tcBorders>
          </w:tcPr>
          <w:p>
            <w:pPr>
              <w:jc w:val="center"/>
              <w:spacing w:after="0" w:line="150" w:lineRule="exact"/>
              <w:rPr>
                <w:sz w:val="20"/>
                <w:szCs w:val="20"/>
                <w:color w:val="auto"/>
              </w:rPr>
            </w:pPr>
            <w:r>
              <w:rPr>
                <w:rFonts w:ascii="Calibri" w:cs="Calibri" w:eastAsia="Calibri" w:hAnsi="Calibri"/>
                <w:sz w:val="13"/>
                <w:szCs w:val="13"/>
                <w:color w:val="auto"/>
              </w:rPr>
              <w:t>1,155,966</w:t>
            </w:r>
          </w:p>
        </w:tc>
        <w:tc>
          <w:tcPr>
            <w:tcW w:w="940" w:type="dxa"/>
            <w:vAlign w:val="bottom"/>
            <w:tcBorders>
              <w:top w:val="single" w:sz="8" w:color="auto"/>
              <w:right w:val="single" w:sz="8" w:color="auto"/>
            </w:tcBorders>
          </w:tcPr>
          <w:p>
            <w:pPr>
              <w:jc w:val="center"/>
              <w:spacing w:after="0" w:line="150" w:lineRule="exact"/>
              <w:rPr>
                <w:sz w:val="20"/>
                <w:szCs w:val="20"/>
                <w:color w:val="auto"/>
              </w:rPr>
            </w:pPr>
            <w:r>
              <w:rPr>
                <w:rFonts w:ascii="Calibri" w:cs="Calibri" w:eastAsia="Calibri" w:hAnsi="Calibri"/>
                <w:sz w:val="13"/>
                <w:szCs w:val="13"/>
                <w:color w:val="auto"/>
                <w:w w:val="98"/>
              </w:rPr>
              <w:t>1,271,578</w:t>
            </w:r>
          </w:p>
        </w:tc>
        <w:tc>
          <w:tcPr>
            <w:tcW w:w="620" w:type="dxa"/>
            <w:vAlign w:val="bottom"/>
            <w:tcBorders>
              <w:top w:val="single" w:sz="8" w:color="auto"/>
            </w:tcBorders>
          </w:tcPr>
          <w:p>
            <w:pPr>
              <w:jc w:val="center"/>
              <w:ind w:left="174"/>
              <w:spacing w:after="0" w:line="150" w:lineRule="exact"/>
              <w:rPr>
                <w:sz w:val="20"/>
                <w:szCs w:val="20"/>
                <w:color w:val="auto"/>
              </w:rPr>
            </w:pPr>
            <w:r>
              <w:rPr>
                <w:rFonts w:ascii="Calibri" w:cs="Calibri" w:eastAsia="Calibri" w:hAnsi="Calibri"/>
                <w:sz w:val="13"/>
                <w:szCs w:val="13"/>
                <w:color w:val="auto"/>
              </w:rPr>
              <w:t>10.0%</w:t>
            </w:r>
          </w:p>
        </w:tc>
        <w:tc>
          <w:tcPr>
            <w:tcW w:w="1180" w:type="dxa"/>
            <w:vAlign w:val="bottom"/>
            <w:tcBorders>
              <w:top w:val="single" w:sz="8" w:color="auto"/>
              <w:right w:val="single" w:sz="8" w:color="auto"/>
            </w:tcBorders>
          </w:tcPr>
          <w:p>
            <w:pPr>
              <w:jc w:val="center"/>
              <w:ind w:left="174"/>
              <w:spacing w:after="0" w:line="150" w:lineRule="exact"/>
              <w:rPr>
                <w:sz w:val="20"/>
                <w:szCs w:val="20"/>
                <w:color w:val="auto"/>
              </w:rPr>
            </w:pPr>
            <w:r>
              <w:rPr>
                <w:rFonts w:ascii="Calibri" w:cs="Calibri" w:eastAsia="Calibri" w:hAnsi="Calibri"/>
                <w:sz w:val="13"/>
                <w:szCs w:val="13"/>
                <w:color w:val="auto"/>
              </w:rPr>
              <w:t>13.6%</w:t>
            </w:r>
          </w:p>
        </w:tc>
        <w:tc>
          <w:tcPr>
            <w:tcW w:w="740" w:type="dxa"/>
            <w:vAlign w:val="bottom"/>
            <w:tcBorders>
              <w:top w:val="single" w:sz="8" w:color="auto"/>
            </w:tcBorders>
          </w:tcPr>
          <w:p>
            <w:pPr>
              <w:jc w:val="center"/>
              <w:ind w:left="54"/>
              <w:spacing w:after="0" w:line="150" w:lineRule="exact"/>
              <w:rPr>
                <w:sz w:val="20"/>
                <w:szCs w:val="20"/>
                <w:color w:val="auto"/>
              </w:rPr>
            </w:pPr>
            <w:r>
              <w:rPr>
                <w:rFonts w:ascii="Calibri" w:cs="Calibri" w:eastAsia="Calibri" w:hAnsi="Calibri"/>
                <w:sz w:val="13"/>
                <w:szCs w:val="13"/>
                <w:color w:val="auto"/>
              </w:rPr>
              <w:t>4,265,453</w:t>
            </w:r>
          </w:p>
        </w:tc>
        <w:tc>
          <w:tcPr>
            <w:tcW w:w="1040" w:type="dxa"/>
            <w:vAlign w:val="bottom"/>
            <w:tcBorders>
              <w:top w:val="single" w:sz="8" w:color="auto"/>
              <w:right w:val="single" w:sz="8" w:color="auto"/>
            </w:tcBorders>
          </w:tcPr>
          <w:p>
            <w:pPr>
              <w:jc w:val="center"/>
              <w:ind w:left="54"/>
              <w:spacing w:after="0" w:line="150" w:lineRule="exact"/>
              <w:rPr>
                <w:sz w:val="20"/>
                <w:szCs w:val="20"/>
                <w:color w:val="auto"/>
              </w:rPr>
            </w:pPr>
            <w:r>
              <w:rPr>
                <w:rFonts w:ascii="Calibri" w:cs="Calibri" w:eastAsia="Calibri" w:hAnsi="Calibri"/>
                <w:sz w:val="13"/>
                <w:szCs w:val="13"/>
                <w:color w:val="auto"/>
                <w:w w:val="98"/>
              </w:rPr>
              <w:t>4,676,436</w:t>
            </w:r>
          </w:p>
        </w:tc>
        <w:tc>
          <w:tcPr>
            <w:tcW w:w="1320" w:type="dxa"/>
            <w:vAlign w:val="bottom"/>
            <w:tcBorders>
              <w:top w:val="single" w:sz="8" w:color="auto"/>
              <w:right w:val="single" w:sz="8" w:color="auto"/>
            </w:tcBorders>
          </w:tcPr>
          <w:p>
            <w:pPr>
              <w:jc w:val="center"/>
              <w:spacing w:after="0" w:line="150" w:lineRule="exact"/>
              <w:rPr>
                <w:sz w:val="20"/>
                <w:szCs w:val="20"/>
                <w:color w:val="auto"/>
              </w:rPr>
            </w:pPr>
            <w:r>
              <w:rPr>
                <w:rFonts w:ascii="Calibri" w:cs="Calibri" w:eastAsia="Calibri" w:hAnsi="Calibri"/>
                <w:sz w:val="13"/>
                <w:szCs w:val="13"/>
                <w:color w:val="auto"/>
              </w:rPr>
              <w:t>9.6%</w:t>
            </w:r>
          </w:p>
        </w:tc>
      </w:tr>
      <w:tr>
        <w:trPr>
          <w:trHeight w:val="164"/>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Administratve, general and tax expenses</w:t>
            </w:r>
          </w:p>
        </w:tc>
        <w:tc>
          <w:tcPr>
            <w:tcW w:w="880" w:type="dxa"/>
            <w:vAlign w:val="bottom"/>
          </w:tcPr>
          <w:p>
            <w:pPr>
              <w:jc w:val="center"/>
              <w:spacing w:after="0"/>
              <w:rPr>
                <w:sz w:val="20"/>
                <w:szCs w:val="20"/>
                <w:color w:val="auto"/>
              </w:rPr>
            </w:pPr>
            <w:r>
              <w:rPr>
                <w:rFonts w:ascii="Calibri" w:cs="Calibri" w:eastAsia="Calibri" w:hAnsi="Calibri"/>
                <w:sz w:val="13"/>
                <w:szCs w:val="13"/>
                <w:color w:val="auto"/>
                <w:w w:val="98"/>
              </w:rPr>
              <w:t>1,089,203</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1,047,386</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1,230,099</w:t>
            </w:r>
          </w:p>
        </w:tc>
        <w:tc>
          <w:tcPr>
            <w:tcW w:w="620" w:type="dxa"/>
            <w:vAlign w:val="bottom"/>
          </w:tcPr>
          <w:p>
            <w:pPr>
              <w:jc w:val="center"/>
              <w:ind w:left="174"/>
              <w:spacing w:after="0"/>
              <w:rPr>
                <w:sz w:val="20"/>
                <w:szCs w:val="20"/>
                <w:color w:val="auto"/>
              </w:rPr>
            </w:pPr>
            <w:r>
              <w:rPr>
                <w:rFonts w:ascii="Calibri" w:cs="Calibri" w:eastAsia="Calibri" w:hAnsi="Calibri"/>
                <w:sz w:val="13"/>
                <w:szCs w:val="13"/>
                <w:color w:val="auto"/>
              </w:rPr>
              <w:t>17.4%</w:t>
            </w:r>
          </w:p>
        </w:tc>
        <w:tc>
          <w:tcPr>
            <w:tcW w:w="1180" w:type="dxa"/>
            <w:vAlign w:val="bottom"/>
            <w:tcBorders>
              <w:right w:val="single" w:sz="8" w:color="auto"/>
            </w:tcBorders>
          </w:tcPr>
          <w:p>
            <w:pPr>
              <w:jc w:val="center"/>
              <w:ind w:left="174"/>
              <w:spacing w:after="0"/>
              <w:rPr>
                <w:sz w:val="20"/>
                <w:szCs w:val="20"/>
                <w:color w:val="auto"/>
              </w:rPr>
            </w:pPr>
            <w:r>
              <w:rPr>
                <w:rFonts w:ascii="Calibri" w:cs="Calibri" w:eastAsia="Calibri" w:hAnsi="Calibri"/>
                <w:sz w:val="13"/>
                <w:szCs w:val="13"/>
                <w:color w:val="auto"/>
              </w:rPr>
              <w:t>12.9%</w:t>
            </w:r>
          </w:p>
        </w:tc>
        <w:tc>
          <w:tcPr>
            <w:tcW w:w="740" w:type="dxa"/>
            <w:vAlign w:val="bottom"/>
          </w:tcPr>
          <w:p>
            <w:pPr>
              <w:jc w:val="center"/>
              <w:ind w:left="54"/>
              <w:spacing w:after="0"/>
              <w:rPr>
                <w:sz w:val="20"/>
                <w:szCs w:val="20"/>
                <w:color w:val="auto"/>
              </w:rPr>
            </w:pPr>
            <w:r>
              <w:rPr>
                <w:rFonts w:ascii="Calibri" w:cs="Calibri" w:eastAsia="Calibri" w:hAnsi="Calibri"/>
                <w:sz w:val="13"/>
                <w:szCs w:val="13"/>
                <w:color w:val="auto"/>
              </w:rPr>
              <w:t>3,803,203</w:t>
            </w:r>
          </w:p>
        </w:tc>
        <w:tc>
          <w:tcPr>
            <w:tcW w:w="1040" w:type="dxa"/>
            <w:vAlign w:val="bottom"/>
            <w:tcBorders>
              <w:right w:val="single" w:sz="8" w:color="auto"/>
            </w:tcBorders>
          </w:tcPr>
          <w:p>
            <w:pPr>
              <w:jc w:val="center"/>
              <w:ind w:left="54"/>
              <w:spacing w:after="0"/>
              <w:rPr>
                <w:sz w:val="20"/>
                <w:szCs w:val="20"/>
                <w:color w:val="auto"/>
              </w:rPr>
            </w:pPr>
            <w:r>
              <w:rPr>
                <w:rFonts w:ascii="Calibri" w:cs="Calibri" w:eastAsia="Calibri" w:hAnsi="Calibri"/>
                <w:sz w:val="13"/>
                <w:szCs w:val="13"/>
                <w:color w:val="auto"/>
                <w:w w:val="98"/>
              </w:rPr>
              <w:t>4,183,775</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10.0%</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Depreciaton and amortzaton</w:t>
            </w:r>
          </w:p>
        </w:tc>
        <w:tc>
          <w:tcPr>
            <w:tcW w:w="880" w:type="dxa"/>
            <w:vAlign w:val="bottom"/>
          </w:tcPr>
          <w:p>
            <w:pPr>
              <w:jc w:val="center"/>
              <w:spacing w:after="0"/>
              <w:rPr>
                <w:sz w:val="20"/>
                <w:szCs w:val="20"/>
                <w:color w:val="auto"/>
              </w:rPr>
            </w:pPr>
            <w:r>
              <w:rPr>
                <w:rFonts w:ascii="Calibri" w:cs="Calibri" w:eastAsia="Calibri" w:hAnsi="Calibri"/>
                <w:sz w:val="13"/>
                <w:szCs w:val="13"/>
                <w:color w:val="auto"/>
              </w:rPr>
              <w:t>177,618</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179,495</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186,625</w:t>
            </w:r>
          </w:p>
        </w:tc>
        <w:tc>
          <w:tcPr>
            <w:tcW w:w="620" w:type="dxa"/>
            <w:vAlign w:val="bottom"/>
          </w:tcPr>
          <w:p>
            <w:pPr>
              <w:jc w:val="center"/>
              <w:ind w:left="174"/>
              <w:spacing w:after="0"/>
              <w:rPr>
                <w:sz w:val="20"/>
                <w:szCs w:val="20"/>
                <w:color w:val="auto"/>
              </w:rPr>
            </w:pPr>
            <w:r>
              <w:rPr>
                <w:rFonts w:ascii="Calibri" w:cs="Calibri" w:eastAsia="Calibri" w:hAnsi="Calibri"/>
                <w:sz w:val="13"/>
                <w:szCs w:val="13"/>
                <w:color w:val="auto"/>
              </w:rPr>
              <w:t>4.0%</w:t>
            </w:r>
          </w:p>
        </w:tc>
        <w:tc>
          <w:tcPr>
            <w:tcW w:w="1180" w:type="dxa"/>
            <w:vAlign w:val="bottom"/>
            <w:tcBorders>
              <w:right w:val="single" w:sz="8" w:color="auto"/>
            </w:tcBorders>
          </w:tcPr>
          <w:p>
            <w:pPr>
              <w:jc w:val="center"/>
              <w:ind w:left="174"/>
              <w:spacing w:after="0"/>
              <w:rPr>
                <w:sz w:val="20"/>
                <w:szCs w:val="20"/>
                <w:color w:val="auto"/>
              </w:rPr>
            </w:pPr>
            <w:r>
              <w:rPr>
                <w:rFonts w:ascii="Calibri" w:cs="Calibri" w:eastAsia="Calibri" w:hAnsi="Calibri"/>
                <w:sz w:val="13"/>
                <w:szCs w:val="13"/>
                <w:color w:val="auto"/>
              </w:rPr>
              <w:t>5.1%</w:t>
            </w:r>
          </w:p>
        </w:tc>
        <w:tc>
          <w:tcPr>
            <w:tcW w:w="740" w:type="dxa"/>
            <w:vAlign w:val="bottom"/>
          </w:tcPr>
          <w:p>
            <w:pPr>
              <w:jc w:val="center"/>
              <w:ind w:left="74"/>
              <w:spacing w:after="0"/>
              <w:rPr>
                <w:sz w:val="20"/>
                <w:szCs w:val="20"/>
                <w:color w:val="auto"/>
              </w:rPr>
            </w:pPr>
            <w:r>
              <w:rPr>
                <w:rFonts w:ascii="Calibri" w:cs="Calibri" w:eastAsia="Calibri" w:hAnsi="Calibri"/>
                <w:sz w:val="13"/>
                <w:szCs w:val="13"/>
                <w:color w:val="auto"/>
              </w:rPr>
              <w:t>659,007</w:t>
            </w:r>
          </w:p>
        </w:tc>
        <w:tc>
          <w:tcPr>
            <w:tcW w:w="1040" w:type="dxa"/>
            <w:vAlign w:val="bottom"/>
            <w:tcBorders>
              <w:right w:val="single" w:sz="8" w:color="auto"/>
            </w:tcBorders>
          </w:tcPr>
          <w:p>
            <w:pPr>
              <w:jc w:val="center"/>
              <w:ind w:left="54"/>
              <w:spacing w:after="0"/>
              <w:rPr>
                <w:sz w:val="20"/>
                <w:szCs w:val="20"/>
                <w:color w:val="auto"/>
              </w:rPr>
            </w:pPr>
            <w:r>
              <w:rPr>
                <w:rFonts w:ascii="Calibri" w:cs="Calibri" w:eastAsia="Calibri" w:hAnsi="Calibri"/>
                <w:sz w:val="13"/>
                <w:szCs w:val="13"/>
                <w:color w:val="auto"/>
              </w:rPr>
              <w:t>713,470</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rPr>
              <w:t>8.3%</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3"/>
                <w:szCs w:val="13"/>
                <w:color w:val="auto"/>
              </w:rPr>
              <w:t>Associaton in partcipaton</w:t>
            </w:r>
          </w:p>
        </w:tc>
        <w:tc>
          <w:tcPr>
            <w:tcW w:w="880" w:type="dxa"/>
            <w:vAlign w:val="bottom"/>
          </w:tcPr>
          <w:p>
            <w:pPr>
              <w:jc w:val="center"/>
              <w:spacing w:after="0"/>
              <w:rPr>
                <w:sz w:val="20"/>
                <w:szCs w:val="20"/>
                <w:color w:val="auto"/>
              </w:rPr>
            </w:pPr>
            <w:r>
              <w:rPr>
                <w:rFonts w:ascii="Calibri" w:cs="Calibri" w:eastAsia="Calibri" w:hAnsi="Calibri"/>
                <w:sz w:val="13"/>
                <w:szCs w:val="13"/>
                <w:color w:val="auto"/>
              </w:rPr>
              <w:t>9,109</w:t>
            </w:r>
          </w:p>
        </w:tc>
        <w:tc>
          <w:tcPr>
            <w:tcW w:w="900" w:type="dxa"/>
            <w:vAlign w:val="bottom"/>
          </w:tcPr>
          <w:p>
            <w:pPr>
              <w:jc w:val="center"/>
              <w:spacing w:after="0"/>
              <w:rPr>
                <w:sz w:val="20"/>
                <w:szCs w:val="20"/>
                <w:color w:val="auto"/>
              </w:rPr>
            </w:pPr>
            <w:r>
              <w:rPr>
                <w:rFonts w:ascii="Calibri" w:cs="Calibri" w:eastAsia="Calibri" w:hAnsi="Calibri"/>
                <w:sz w:val="13"/>
                <w:szCs w:val="13"/>
                <w:color w:val="auto"/>
              </w:rPr>
              <w:t>6,414</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4"/>
              </w:rPr>
              <w:t>3,808</w:t>
            </w:r>
          </w:p>
        </w:tc>
        <w:tc>
          <w:tcPr>
            <w:tcW w:w="620" w:type="dxa"/>
            <w:vAlign w:val="bottom"/>
          </w:tcPr>
          <w:p>
            <w:pPr>
              <w:jc w:val="center"/>
              <w:ind w:left="174"/>
              <w:spacing w:after="0"/>
              <w:rPr>
                <w:sz w:val="20"/>
                <w:szCs w:val="20"/>
                <w:color w:val="auto"/>
              </w:rPr>
            </w:pPr>
            <w:r>
              <w:rPr>
                <w:rFonts w:ascii="Calibri" w:cs="Calibri" w:eastAsia="Calibri" w:hAnsi="Calibri"/>
                <w:sz w:val="13"/>
                <w:szCs w:val="13"/>
                <w:color w:val="auto"/>
              </w:rPr>
              <w:t>-40.6%</w:t>
            </w:r>
          </w:p>
        </w:tc>
        <w:tc>
          <w:tcPr>
            <w:tcW w:w="1180" w:type="dxa"/>
            <w:vAlign w:val="bottom"/>
            <w:tcBorders>
              <w:right w:val="single" w:sz="8" w:color="auto"/>
            </w:tcBorders>
          </w:tcPr>
          <w:p>
            <w:pPr>
              <w:jc w:val="center"/>
              <w:ind w:left="174"/>
              <w:spacing w:after="0"/>
              <w:rPr>
                <w:sz w:val="20"/>
                <w:szCs w:val="20"/>
                <w:color w:val="auto"/>
              </w:rPr>
            </w:pPr>
            <w:r>
              <w:rPr>
                <w:rFonts w:ascii="Calibri" w:cs="Calibri" w:eastAsia="Calibri" w:hAnsi="Calibri"/>
                <w:sz w:val="13"/>
                <w:szCs w:val="13"/>
                <w:color w:val="auto"/>
              </w:rPr>
              <w:t>-58.2%</w:t>
            </w:r>
          </w:p>
        </w:tc>
        <w:tc>
          <w:tcPr>
            <w:tcW w:w="740" w:type="dxa"/>
            <w:vAlign w:val="bottom"/>
          </w:tcPr>
          <w:p>
            <w:pPr>
              <w:jc w:val="center"/>
              <w:ind w:left="74"/>
              <w:spacing w:after="0"/>
              <w:rPr>
                <w:sz w:val="20"/>
                <w:szCs w:val="20"/>
                <w:color w:val="auto"/>
              </w:rPr>
            </w:pPr>
            <w:r>
              <w:rPr>
                <w:rFonts w:ascii="Calibri" w:cs="Calibri" w:eastAsia="Calibri" w:hAnsi="Calibri"/>
                <w:sz w:val="13"/>
                <w:szCs w:val="13"/>
                <w:color w:val="auto"/>
                <w:w w:val="99"/>
              </w:rPr>
              <w:t>53,097</w:t>
            </w:r>
          </w:p>
        </w:tc>
        <w:tc>
          <w:tcPr>
            <w:tcW w:w="1040" w:type="dxa"/>
            <w:vAlign w:val="bottom"/>
            <w:tcBorders>
              <w:right w:val="single" w:sz="8" w:color="auto"/>
            </w:tcBorders>
          </w:tcPr>
          <w:p>
            <w:pPr>
              <w:jc w:val="center"/>
              <w:ind w:left="54"/>
              <w:spacing w:after="0"/>
              <w:rPr>
                <w:sz w:val="20"/>
                <w:szCs w:val="20"/>
                <w:color w:val="auto"/>
              </w:rPr>
            </w:pPr>
            <w:r>
              <w:rPr>
                <w:rFonts w:ascii="Calibri" w:cs="Calibri" w:eastAsia="Calibri" w:hAnsi="Calibri"/>
                <w:sz w:val="13"/>
                <w:szCs w:val="13"/>
                <w:color w:val="auto"/>
                <w:w w:val="99"/>
              </w:rPr>
              <w:t>28,269</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3"/>
                <w:szCs w:val="13"/>
                <w:color w:val="auto"/>
                <w:w w:val="98"/>
              </w:rPr>
              <w:t>-46.8%</w:t>
            </w:r>
          </w:p>
        </w:tc>
      </w:tr>
      <w:tr>
        <w:trPr>
          <w:trHeight w:val="3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157"/>
        </w:trPr>
        <w:tc>
          <w:tcPr>
            <w:tcW w:w="3620" w:type="dxa"/>
            <w:vAlign w:val="bottom"/>
            <w:tcBorders>
              <w:left w:val="single" w:sz="8" w:color="auto"/>
              <w:bottom w:val="single" w:sz="8" w:color="auto"/>
              <w:right w:val="single" w:sz="8" w:color="auto"/>
            </w:tcBorders>
          </w:tcPr>
          <w:p>
            <w:pPr>
              <w:ind w:left="20"/>
              <w:spacing w:after="0" w:line="157" w:lineRule="exact"/>
              <w:rPr>
                <w:sz w:val="20"/>
                <w:szCs w:val="20"/>
                <w:color w:val="auto"/>
              </w:rPr>
            </w:pPr>
            <w:r>
              <w:rPr>
                <w:rFonts w:ascii="Calibri" w:cs="Calibri" w:eastAsia="Calibri" w:hAnsi="Calibri"/>
                <w:sz w:val="13"/>
                <w:szCs w:val="13"/>
                <w:b w:val="1"/>
                <w:bCs w:val="1"/>
                <w:color w:val="auto"/>
              </w:rPr>
              <w:t>Operatng expenses</w:t>
            </w:r>
          </w:p>
        </w:tc>
        <w:tc>
          <w:tcPr>
            <w:tcW w:w="880" w:type="dxa"/>
            <w:vAlign w:val="bottom"/>
            <w:tcBorders>
              <w:bottom w:val="single" w:sz="8" w:color="auto"/>
            </w:tcBorders>
          </w:tcPr>
          <w:p>
            <w:pPr>
              <w:jc w:val="center"/>
              <w:spacing w:after="0" w:line="157" w:lineRule="exact"/>
              <w:rPr>
                <w:sz w:val="20"/>
                <w:szCs w:val="20"/>
                <w:color w:val="auto"/>
              </w:rPr>
            </w:pPr>
            <w:r>
              <w:rPr>
                <w:rFonts w:ascii="Calibri" w:cs="Calibri" w:eastAsia="Calibri" w:hAnsi="Calibri"/>
                <w:sz w:val="13"/>
                <w:szCs w:val="13"/>
                <w:b w:val="1"/>
                <w:bCs w:val="1"/>
                <w:color w:val="auto"/>
                <w:w w:val="98"/>
              </w:rPr>
              <w:t>2,395,688</w:t>
            </w:r>
          </w:p>
        </w:tc>
        <w:tc>
          <w:tcPr>
            <w:tcW w:w="900" w:type="dxa"/>
            <w:vAlign w:val="bottom"/>
            <w:tcBorders>
              <w:bottom w:val="single" w:sz="8" w:color="auto"/>
            </w:tcBorders>
          </w:tcPr>
          <w:p>
            <w:pPr>
              <w:jc w:val="center"/>
              <w:spacing w:after="0" w:line="157" w:lineRule="exact"/>
              <w:rPr>
                <w:sz w:val="20"/>
                <w:szCs w:val="20"/>
                <w:color w:val="auto"/>
              </w:rPr>
            </w:pPr>
            <w:r>
              <w:rPr>
                <w:rFonts w:ascii="Calibri" w:cs="Calibri" w:eastAsia="Calibri" w:hAnsi="Calibri"/>
                <w:sz w:val="13"/>
                <w:szCs w:val="13"/>
                <w:b w:val="1"/>
                <w:bCs w:val="1"/>
                <w:color w:val="auto"/>
              </w:rPr>
              <w:t>2,389,261</w:t>
            </w:r>
          </w:p>
        </w:tc>
        <w:tc>
          <w:tcPr>
            <w:tcW w:w="940" w:type="dxa"/>
            <w:vAlign w:val="bottom"/>
            <w:tcBorders>
              <w:bottom w:val="single" w:sz="8" w:color="auto"/>
              <w:right w:val="single" w:sz="8" w:color="auto"/>
            </w:tcBorders>
          </w:tcPr>
          <w:p>
            <w:pPr>
              <w:jc w:val="center"/>
              <w:spacing w:after="0" w:line="157" w:lineRule="exact"/>
              <w:rPr>
                <w:sz w:val="20"/>
                <w:szCs w:val="20"/>
                <w:color w:val="auto"/>
              </w:rPr>
            </w:pPr>
            <w:r>
              <w:rPr>
                <w:rFonts w:ascii="Calibri" w:cs="Calibri" w:eastAsia="Calibri" w:hAnsi="Calibri"/>
                <w:sz w:val="13"/>
                <w:szCs w:val="13"/>
                <w:b w:val="1"/>
                <w:bCs w:val="1"/>
                <w:color w:val="auto"/>
                <w:w w:val="98"/>
              </w:rPr>
              <w:t>2,692,110</w:t>
            </w:r>
          </w:p>
        </w:tc>
        <w:tc>
          <w:tcPr>
            <w:tcW w:w="620" w:type="dxa"/>
            <w:vAlign w:val="bottom"/>
            <w:tcBorders>
              <w:bottom w:val="single" w:sz="8" w:color="auto"/>
            </w:tcBorders>
          </w:tcPr>
          <w:p>
            <w:pPr>
              <w:jc w:val="center"/>
              <w:ind w:left="174"/>
              <w:spacing w:after="0" w:line="157" w:lineRule="exact"/>
              <w:rPr>
                <w:sz w:val="20"/>
                <w:szCs w:val="20"/>
                <w:color w:val="auto"/>
              </w:rPr>
            </w:pPr>
            <w:r>
              <w:rPr>
                <w:rFonts w:ascii="Calibri" w:cs="Calibri" w:eastAsia="Calibri" w:hAnsi="Calibri"/>
                <w:sz w:val="13"/>
                <w:szCs w:val="13"/>
                <w:b w:val="1"/>
                <w:bCs w:val="1"/>
                <w:color w:val="auto"/>
              </w:rPr>
              <w:t>12.7%</w:t>
            </w:r>
          </w:p>
        </w:tc>
        <w:tc>
          <w:tcPr>
            <w:tcW w:w="1180" w:type="dxa"/>
            <w:vAlign w:val="bottom"/>
            <w:tcBorders>
              <w:bottom w:val="single" w:sz="8" w:color="auto"/>
              <w:right w:val="single" w:sz="8" w:color="auto"/>
            </w:tcBorders>
          </w:tcPr>
          <w:p>
            <w:pPr>
              <w:jc w:val="center"/>
              <w:ind w:left="174"/>
              <w:spacing w:after="0" w:line="157" w:lineRule="exact"/>
              <w:rPr>
                <w:sz w:val="20"/>
                <w:szCs w:val="20"/>
                <w:color w:val="auto"/>
              </w:rPr>
            </w:pPr>
            <w:r>
              <w:rPr>
                <w:rFonts w:ascii="Calibri" w:cs="Calibri" w:eastAsia="Calibri" w:hAnsi="Calibri"/>
                <w:sz w:val="13"/>
                <w:szCs w:val="13"/>
                <w:b w:val="1"/>
                <w:bCs w:val="1"/>
                <w:color w:val="auto"/>
              </w:rPr>
              <w:t>12.4%</w:t>
            </w:r>
          </w:p>
        </w:tc>
        <w:tc>
          <w:tcPr>
            <w:tcW w:w="740" w:type="dxa"/>
            <w:vAlign w:val="bottom"/>
            <w:tcBorders>
              <w:bottom w:val="single" w:sz="8" w:color="auto"/>
            </w:tcBorders>
          </w:tcPr>
          <w:p>
            <w:pPr>
              <w:jc w:val="center"/>
              <w:ind w:left="54"/>
              <w:spacing w:after="0" w:line="157" w:lineRule="exact"/>
              <w:rPr>
                <w:sz w:val="20"/>
                <w:szCs w:val="20"/>
                <w:color w:val="auto"/>
              </w:rPr>
            </w:pPr>
            <w:r>
              <w:rPr>
                <w:rFonts w:ascii="Calibri" w:cs="Calibri" w:eastAsia="Calibri" w:hAnsi="Calibri"/>
                <w:sz w:val="13"/>
                <w:szCs w:val="13"/>
                <w:b w:val="1"/>
                <w:bCs w:val="1"/>
                <w:color w:val="auto"/>
              </w:rPr>
              <w:t>8,780,760</w:t>
            </w:r>
          </w:p>
        </w:tc>
        <w:tc>
          <w:tcPr>
            <w:tcW w:w="1040" w:type="dxa"/>
            <w:vAlign w:val="bottom"/>
            <w:tcBorders>
              <w:bottom w:val="single" w:sz="8" w:color="auto"/>
              <w:right w:val="single" w:sz="8" w:color="auto"/>
            </w:tcBorders>
          </w:tcPr>
          <w:p>
            <w:pPr>
              <w:jc w:val="center"/>
              <w:ind w:left="54"/>
              <w:spacing w:after="0" w:line="157" w:lineRule="exact"/>
              <w:rPr>
                <w:sz w:val="20"/>
                <w:szCs w:val="20"/>
                <w:color w:val="auto"/>
              </w:rPr>
            </w:pPr>
            <w:r>
              <w:rPr>
                <w:rFonts w:ascii="Calibri" w:cs="Calibri" w:eastAsia="Calibri" w:hAnsi="Calibri"/>
                <w:sz w:val="13"/>
                <w:szCs w:val="13"/>
                <w:b w:val="1"/>
                <w:bCs w:val="1"/>
                <w:color w:val="auto"/>
                <w:w w:val="98"/>
              </w:rPr>
              <w:t>9,601,950</w:t>
            </w:r>
          </w:p>
        </w:tc>
        <w:tc>
          <w:tcPr>
            <w:tcW w:w="1320" w:type="dxa"/>
            <w:vAlign w:val="bottom"/>
            <w:tcBorders>
              <w:bottom w:val="single" w:sz="8" w:color="auto"/>
              <w:right w:val="single" w:sz="8" w:color="auto"/>
            </w:tcBorders>
          </w:tcPr>
          <w:p>
            <w:pPr>
              <w:jc w:val="center"/>
              <w:spacing w:after="0" w:line="157" w:lineRule="exact"/>
              <w:rPr>
                <w:sz w:val="20"/>
                <w:szCs w:val="20"/>
                <w:color w:val="auto"/>
              </w:rPr>
            </w:pPr>
            <w:r>
              <w:rPr>
                <w:rFonts w:ascii="Calibri" w:cs="Calibri" w:eastAsia="Calibri" w:hAnsi="Calibri"/>
                <w:sz w:val="13"/>
                <w:szCs w:val="13"/>
                <w:b w:val="1"/>
                <w:bCs w:val="1"/>
                <w:color w:val="auto"/>
                <w:w w:val="99"/>
              </w:rPr>
              <w:t>9.4%</w:t>
            </w:r>
          </w:p>
        </w:tc>
      </w:tr>
    </w:tbl>
    <w:p>
      <w:pPr>
        <w:spacing w:after="0" w:line="71" w:lineRule="exact"/>
        <w:rPr>
          <w:sz w:val="20"/>
          <w:szCs w:val="20"/>
          <w:color w:val="auto"/>
        </w:rPr>
      </w:pPr>
    </w:p>
    <w:p>
      <w:pPr>
        <w:spacing w:after="0"/>
        <w:rPr>
          <w:sz w:val="20"/>
          <w:szCs w:val="20"/>
          <w:color w:val="auto"/>
        </w:rPr>
      </w:pPr>
      <w:r>
        <w:rPr>
          <w:rFonts w:ascii="Calibri" w:cs="Calibri" w:eastAsia="Calibri" w:hAnsi="Calibri"/>
          <w:sz w:val="17"/>
          <w:szCs w:val="17"/>
          <w:color w:val="auto"/>
        </w:rPr>
        <w:t>The analysis of expenses will focus on YTD movements to eliminate the impact of seasonality across quarters.</w:t>
      </w:r>
    </w:p>
    <w:p>
      <w:pPr>
        <w:spacing w:after="0" w:line="94" w:lineRule="exact"/>
        <w:rPr>
          <w:sz w:val="20"/>
          <w:szCs w:val="20"/>
          <w:color w:val="auto"/>
        </w:rPr>
      </w:pPr>
    </w:p>
    <w:p>
      <w:pPr>
        <w:spacing w:after="0"/>
        <w:rPr>
          <w:sz w:val="20"/>
          <w:szCs w:val="20"/>
          <w:color w:val="auto"/>
        </w:rPr>
      </w:pPr>
      <w:r>
        <w:rPr>
          <w:rFonts w:ascii="Calibri" w:cs="Calibri" w:eastAsia="Calibri" w:hAnsi="Calibri"/>
          <w:sz w:val="17"/>
          <w:szCs w:val="17"/>
          <w:color w:val="auto"/>
        </w:rPr>
        <w:t>Operatng expenses rose 9.4% YTD due to:</w:t>
      </w:r>
    </w:p>
    <w:p>
      <w:pPr>
        <w:spacing w:after="0" w:line="186" w:lineRule="exact"/>
        <w:rPr>
          <w:sz w:val="20"/>
          <w:szCs w:val="20"/>
          <w:color w:val="auto"/>
        </w:rPr>
      </w:pPr>
    </w:p>
    <w:p>
      <w:pPr>
        <w:ind w:left="240" w:right="580" w:hanging="235"/>
        <w:spacing w:after="0" w:line="242" w:lineRule="auto"/>
        <w:tabs>
          <w:tab w:leader="none" w:pos="240" w:val="left"/>
        </w:tabs>
        <w:numPr>
          <w:ilvl w:val="0"/>
          <w:numId w:val="41"/>
        </w:numPr>
        <w:rPr>
          <w:rFonts w:ascii="Arial" w:cs="Arial" w:eastAsia="Arial" w:hAnsi="Arial"/>
          <w:sz w:val="17"/>
          <w:szCs w:val="17"/>
          <w:color w:val="auto"/>
        </w:rPr>
      </w:pPr>
      <w:r>
        <w:rPr>
          <w:rFonts w:ascii="Calibri" w:cs="Calibri" w:eastAsia="Calibri" w:hAnsi="Calibri"/>
          <w:sz w:val="17"/>
          <w:szCs w:val="17"/>
          <w:color w:val="auto"/>
        </w:rPr>
        <w:t>Growth in Salaries and Employee Benefts, which was fueled mainly by an increase in personnel for both the traditonal business and specialized IT, and secondarily by an uptck in expenses for provisions for variable compensaton.</w:t>
      </w:r>
    </w:p>
    <w:p>
      <w:pPr>
        <w:spacing w:after="0" w:line="1" w:lineRule="exact"/>
        <w:rPr>
          <w:rFonts w:ascii="Arial" w:cs="Arial" w:eastAsia="Arial" w:hAnsi="Arial"/>
          <w:sz w:val="17"/>
          <w:szCs w:val="17"/>
          <w:color w:val="auto"/>
        </w:rPr>
      </w:pPr>
    </w:p>
    <w:p>
      <w:pPr>
        <w:ind w:left="240" w:right="80" w:hanging="235"/>
        <w:spacing w:after="0" w:line="242" w:lineRule="auto"/>
        <w:tabs>
          <w:tab w:leader="none" w:pos="240" w:val="left"/>
        </w:tabs>
        <w:numPr>
          <w:ilvl w:val="0"/>
          <w:numId w:val="41"/>
        </w:numPr>
        <w:rPr>
          <w:rFonts w:ascii="Arial" w:cs="Arial" w:eastAsia="Arial" w:hAnsi="Arial"/>
          <w:sz w:val="17"/>
          <w:szCs w:val="17"/>
          <w:color w:val="auto"/>
        </w:rPr>
      </w:pPr>
      <w:r>
        <w:rPr>
          <w:rFonts w:ascii="Calibri" w:cs="Calibri" w:eastAsia="Calibri" w:hAnsi="Calibri"/>
          <w:sz w:val="17"/>
          <w:szCs w:val="17"/>
          <w:color w:val="auto"/>
        </w:rPr>
        <w:t>An increase in Administratve, general and tax expenses, driven by growth in transactons via digital channels, which led to a subsequent uptck in expenses for cloud use and other IT-related actvites.</w:t>
      </w:r>
    </w:p>
    <w:p>
      <w:pPr>
        <w:spacing w:after="0" w:line="22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Administratve, general and tax expenses</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62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Administratve, general and tax expenses</w:t>
            </w:r>
          </w:p>
        </w:tc>
        <w:tc>
          <w:tcPr>
            <w:tcW w:w="880" w:type="dxa"/>
            <w:vAlign w:val="bottom"/>
            <w:tcBorders>
              <w:top w:val="single" w:sz="8" w:color="auto"/>
            </w:tcBorders>
            <w:shd w:val="clear" w:color="auto" w:fill="33CCCC"/>
          </w:tcPr>
          <w:p>
            <w:pPr>
              <w:spacing w:after="0"/>
              <w:rPr>
                <w:sz w:val="15"/>
                <w:szCs w:val="15"/>
                <w:color w:val="auto"/>
              </w:rPr>
            </w:pPr>
          </w:p>
        </w:tc>
        <w:tc>
          <w:tcPr>
            <w:tcW w:w="900" w:type="dxa"/>
            <w:vAlign w:val="bottom"/>
            <w:tcBorders>
              <w:top w:val="single" w:sz="8" w:color="auto"/>
            </w:tcBorders>
            <w:shd w:val="clear" w:color="auto" w:fill="33CCCC"/>
          </w:tcPr>
          <w:p>
            <w:pPr>
              <w:ind w:left="240"/>
              <w:spacing w:after="0"/>
              <w:rPr>
                <w:sz w:val="20"/>
                <w:szCs w:val="20"/>
                <w:color w:val="auto"/>
              </w:rPr>
            </w:pPr>
            <w:r>
              <w:rPr>
                <w:rFonts w:ascii="Calibri" w:cs="Calibri" w:eastAsia="Calibri" w:hAnsi="Calibri"/>
                <w:sz w:val="14"/>
                <w:szCs w:val="14"/>
                <w:b w:val="1"/>
                <w:bCs w:val="1"/>
                <w:color w:val="FFFFFF"/>
              </w:rPr>
              <w:t>Quarter</w:t>
            </w:r>
          </w:p>
        </w:tc>
        <w:tc>
          <w:tcPr>
            <w:tcW w:w="940" w:type="dxa"/>
            <w:vAlign w:val="bottom"/>
            <w:tcBorders>
              <w:top w:val="single" w:sz="8" w:color="auto"/>
              <w:right w:val="single" w:sz="8" w:color="auto"/>
            </w:tcBorders>
            <w:shd w:val="clear" w:color="auto" w:fill="33CCCC"/>
          </w:tcPr>
          <w:p>
            <w:pPr>
              <w:spacing w:after="0"/>
              <w:rPr>
                <w:sz w:val="15"/>
                <w:szCs w:val="15"/>
                <w:color w:val="auto"/>
              </w:rPr>
            </w:pPr>
          </w:p>
        </w:tc>
        <w:tc>
          <w:tcPr>
            <w:tcW w:w="1800" w:type="dxa"/>
            <w:vAlign w:val="bottom"/>
            <w:tcBorders>
              <w:top w:val="single" w:sz="8" w:color="auto"/>
              <w:right w:val="single" w:sz="8" w:color="auto"/>
            </w:tcBorders>
            <w:gridSpan w:val="2"/>
            <w:shd w:val="clear" w:color="auto" w:fill="33CCCC"/>
          </w:tcPr>
          <w:p>
            <w:pPr>
              <w:ind w:left="620"/>
              <w:spacing w:after="0"/>
              <w:rPr>
                <w:sz w:val="20"/>
                <w:szCs w:val="20"/>
                <w:color w:val="auto"/>
              </w:rPr>
            </w:pPr>
            <w:r>
              <w:rPr>
                <w:rFonts w:ascii="Calibri" w:cs="Calibri" w:eastAsia="Calibri" w:hAnsi="Calibri"/>
                <w:sz w:val="14"/>
                <w:szCs w:val="14"/>
                <w:b w:val="1"/>
                <w:bCs w:val="1"/>
                <w:color w:val="FFFFFF"/>
              </w:rPr>
              <w:t>% change</w:t>
            </w:r>
          </w:p>
        </w:tc>
        <w:tc>
          <w:tcPr>
            <w:tcW w:w="740" w:type="dxa"/>
            <w:vAlign w:val="bottom"/>
            <w:tcBorders>
              <w:top w:val="single" w:sz="8" w:color="auto"/>
            </w:tcBorders>
            <w:shd w:val="clear" w:color="auto" w:fill="33CCCC"/>
          </w:tcPr>
          <w:p>
            <w:pPr>
              <w:spacing w:after="0"/>
              <w:rPr>
                <w:sz w:val="15"/>
                <w:szCs w:val="15"/>
                <w:color w:val="auto"/>
              </w:rPr>
            </w:pPr>
          </w:p>
        </w:tc>
        <w:tc>
          <w:tcPr>
            <w:tcW w:w="1040" w:type="dxa"/>
            <w:vAlign w:val="bottom"/>
            <w:tcBorders>
              <w:top w:val="single" w:sz="8" w:color="auto"/>
              <w:right w:val="single" w:sz="8" w:color="auto"/>
            </w:tcBorders>
            <w:shd w:val="clear" w:color="auto" w:fill="33CCCC"/>
          </w:tcPr>
          <w:p>
            <w:pPr>
              <w:ind w:left="20"/>
              <w:spacing w:after="0"/>
              <w:rPr>
                <w:sz w:val="20"/>
                <w:szCs w:val="20"/>
                <w:color w:val="auto"/>
              </w:rPr>
            </w:pPr>
            <w:r>
              <w:rPr>
                <w:rFonts w:ascii="Calibri" w:cs="Calibri" w:eastAsia="Calibri" w:hAnsi="Calibri"/>
                <w:sz w:val="14"/>
                <w:szCs w:val="14"/>
                <w:b w:val="1"/>
                <w:bCs w:val="1"/>
                <w:color w:val="FFFFFF"/>
              </w:rPr>
              <w:t>Year</w:t>
            </w:r>
          </w:p>
        </w:tc>
        <w:tc>
          <w:tcPr>
            <w:tcW w:w="1320" w:type="dxa"/>
            <w:vAlign w:val="bottom"/>
            <w:tcBorders>
              <w:top w:val="single" w:sz="8" w:color="auto"/>
              <w:right w:val="single" w:sz="8" w:color="auto"/>
            </w:tcBorders>
            <w:shd w:val="clear" w:color="auto" w:fill="33CCCC"/>
          </w:tcPr>
          <w:p>
            <w:pPr>
              <w:ind w:left="380"/>
              <w:spacing w:after="0"/>
              <w:rPr>
                <w:sz w:val="20"/>
                <w:szCs w:val="20"/>
                <w:color w:val="auto"/>
              </w:rPr>
            </w:pPr>
            <w:r>
              <w:rPr>
                <w:rFonts w:ascii="Calibri" w:cs="Calibri" w:eastAsia="Calibri" w:hAnsi="Calibri"/>
                <w:sz w:val="14"/>
                <w:szCs w:val="14"/>
                <w:b w:val="1"/>
                <w:bCs w:val="1"/>
                <w:color w:val="FFFFFF"/>
              </w:rPr>
              <w:t>% change</w:t>
            </w:r>
          </w:p>
        </w:tc>
      </w:tr>
      <w:tr>
        <w:trPr>
          <w:trHeight w:val="170"/>
        </w:trPr>
        <w:tc>
          <w:tcPr>
            <w:tcW w:w="3620" w:type="dxa"/>
            <w:vAlign w:val="bottom"/>
            <w:tcBorders>
              <w:left w:val="single" w:sz="8" w:color="auto"/>
              <w:bottom w:val="single" w:sz="8" w:color="auto"/>
              <w:right w:val="single" w:sz="8" w:color="auto"/>
            </w:tcBorders>
            <w:shd w:val="clear" w:color="auto" w:fill="33CCCC"/>
          </w:tcPr>
          <w:p>
            <w:pPr>
              <w:ind w:left="20"/>
              <w:spacing w:after="0" w:line="167" w:lineRule="exact"/>
              <w:rPr>
                <w:sz w:val="20"/>
                <w:szCs w:val="20"/>
                <w:color w:val="auto"/>
              </w:rPr>
            </w:pPr>
            <w:r>
              <w:rPr>
                <w:rFonts w:ascii="Calibri" w:cs="Calibri" w:eastAsia="Calibri" w:hAnsi="Calibri"/>
                <w:sz w:val="14"/>
                <w:szCs w:val="14"/>
                <w:b w:val="1"/>
                <w:bCs w:val="1"/>
                <w:color w:val="FFFFFF"/>
              </w:rPr>
              <w:t>S/000</w:t>
            </w:r>
          </w:p>
        </w:tc>
        <w:tc>
          <w:tcPr>
            <w:tcW w:w="880" w:type="dxa"/>
            <w:vAlign w:val="bottom"/>
            <w:tcBorders>
              <w:bottom w:val="single" w:sz="8" w:color="auto"/>
            </w:tcBorders>
            <w:shd w:val="clear" w:color="auto" w:fill="33CCCC"/>
          </w:tcPr>
          <w:p>
            <w:pPr>
              <w:jc w:val="center"/>
              <w:spacing w:after="0" w:line="167" w:lineRule="exact"/>
              <w:rPr>
                <w:sz w:val="20"/>
                <w:szCs w:val="20"/>
                <w:color w:val="auto"/>
              </w:rPr>
            </w:pPr>
            <w:r>
              <w:rPr>
                <w:rFonts w:ascii="Calibri" w:cs="Calibri" w:eastAsia="Calibri" w:hAnsi="Calibri"/>
                <w:sz w:val="14"/>
                <w:szCs w:val="14"/>
                <w:b w:val="1"/>
                <w:bCs w:val="1"/>
                <w:color w:val="FFFFFF"/>
              </w:rPr>
              <w:t>4Q23</w:t>
            </w:r>
          </w:p>
        </w:tc>
        <w:tc>
          <w:tcPr>
            <w:tcW w:w="900" w:type="dxa"/>
            <w:vAlign w:val="bottom"/>
            <w:tcBorders>
              <w:bottom w:val="single" w:sz="8" w:color="auto"/>
            </w:tcBorders>
            <w:shd w:val="clear" w:color="auto" w:fill="33CCCC"/>
          </w:tcPr>
          <w:p>
            <w:pPr>
              <w:jc w:val="center"/>
              <w:spacing w:after="0" w:line="167" w:lineRule="exact"/>
              <w:rPr>
                <w:sz w:val="20"/>
                <w:szCs w:val="20"/>
                <w:color w:val="auto"/>
              </w:rPr>
            </w:pPr>
            <w:r>
              <w:rPr>
                <w:rFonts w:ascii="Calibri" w:cs="Calibri" w:eastAsia="Calibri" w:hAnsi="Calibri"/>
                <w:sz w:val="14"/>
                <w:szCs w:val="14"/>
                <w:b w:val="1"/>
                <w:bCs w:val="1"/>
                <w:color w:val="FFFFFF"/>
                <w:w w:val="96"/>
              </w:rPr>
              <w:t>3Q24</w:t>
            </w:r>
          </w:p>
        </w:tc>
        <w:tc>
          <w:tcPr>
            <w:tcW w:w="940" w:type="dxa"/>
            <w:vAlign w:val="bottom"/>
            <w:tcBorders>
              <w:bottom w:val="single" w:sz="8" w:color="auto"/>
              <w:right w:val="single" w:sz="8" w:color="auto"/>
            </w:tcBorders>
            <w:shd w:val="clear" w:color="auto" w:fill="33CCCC"/>
          </w:tcPr>
          <w:p>
            <w:pPr>
              <w:jc w:val="center"/>
              <w:spacing w:after="0" w:line="167" w:lineRule="exact"/>
              <w:rPr>
                <w:sz w:val="20"/>
                <w:szCs w:val="20"/>
                <w:color w:val="auto"/>
              </w:rPr>
            </w:pPr>
            <w:r>
              <w:rPr>
                <w:rFonts w:ascii="Calibri" w:cs="Calibri" w:eastAsia="Calibri" w:hAnsi="Calibri"/>
                <w:sz w:val="14"/>
                <w:szCs w:val="14"/>
                <w:b w:val="1"/>
                <w:bCs w:val="1"/>
                <w:color w:val="FFFFFF"/>
              </w:rPr>
              <w:t>4Q24</w:t>
            </w:r>
          </w:p>
        </w:tc>
        <w:tc>
          <w:tcPr>
            <w:tcW w:w="880" w:type="dxa"/>
            <w:vAlign w:val="bottom"/>
            <w:tcBorders>
              <w:bottom w:val="single" w:sz="8" w:color="auto"/>
            </w:tcBorders>
            <w:shd w:val="clear" w:color="auto" w:fill="33CCCC"/>
          </w:tcPr>
          <w:p>
            <w:pPr>
              <w:ind w:left="300"/>
              <w:spacing w:after="0" w:line="167" w:lineRule="exact"/>
              <w:rPr>
                <w:sz w:val="20"/>
                <w:szCs w:val="20"/>
                <w:color w:val="auto"/>
              </w:rPr>
            </w:pPr>
            <w:r>
              <w:rPr>
                <w:rFonts w:ascii="Calibri" w:cs="Calibri" w:eastAsia="Calibri" w:hAnsi="Calibri"/>
                <w:sz w:val="14"/>
                <w:szCs w:val="14"/>
                <w:b w:val="1"/>
                <w:bCs w:val="1"/>
                <w:color w:val="FFFFFF"/>
              </w:rPr>
              <w:t>QoQ</w:t>
            </w:r>
          </w:p>
        </w:tc>
        <w:tc>
          <w:tcPr>
            <w:tcW w:w="920" w:type="dxa"/>
            <w:vAlign w:val="bottom"/>
            <w:tcBorders>
              <w:bottom w:val="single" w:sz="8" w:color="auto"/>
              <w:right w:val="single" w:sz="8" w:color="auto"/>
            </w:tcBorders>
            <w:shd w:val="clear" w:color="auto" w:fill="33CCCC"/>
          </w:tcPr>
          <w:p>
            <w:pPr>
              <w:ind w:left="340"/>
              <w:spacing w:after="0" w:line="167" w:lineRule="exact"/>
              <w:rPr>
                <w:sz w:val="20"/>
                <w:szCs w:val="20"/>
                <w:color w:val="auto"/>
              </w:rPr>
            </w:pPr>
            <w:r>
              <w:rPr>
                <w:rFonts w:ascii="Calibri" w:cs="Calibri" w:eastAsia="Calibri" w:hAnsi="Calibri"/>
                <w:sz w:val="14"/>
                <w:szCs w:val="14"/>
                <w:b w:val="1"/>
                <w:bCs w:val="1"/>
                <w:color w:val="FFFFFF"/>
              </w:rPr>
              <w:t>YoY</w:t>
            </w:r>
          </w:p>
        </w:tc>
        <w:tc>
          <w:tcPr>
            <w:tcW w:w="740" w:type="dxa"/>
            <w:vAlign w:val="bottom"/>
            <w:tcBorders>
              <w:bottom w:val="single" w:sz="8" w:color="auto"/>
            </w:tcBorders>
            <w:shd w:val="clear" w:color="auto" w:fill="33CCCC"/>
          </w:tcPr>
          <w:p>
            <w:pPr>
              <w:jc w:val="center"/>
              <w:ind w:left="70"/>
              <w:spacing w:after="0" w:line="167" w:lineRule="exact"/>
              <w:rPr>
                <w:sz w:val="20"/>
                <w:szCs w:val="20"/>
                <w:color w:val="auto"/>
              </w:rPr>
            </w:pPr>
            <w:r>
              <w:rPr>
                <w:rFonts w:ascii="Calibri" w:cs="Calibri" w:eastAsia="Calibri" w:hAnsi="Calibri"/>
                <w:sz w:val="14"/>
                <w:szCs w:val="14"/>
                <w:b w:val="1"/>
                <w:bCs w:val="1"/>
                <w:color w:val="FFFFFF"/>
                <w:w w:val="98"/>
              </w:rPr>
              <w:t>2023</w:t>
            </w:r>
          </w:p>
        </w:tc>
        <w:tc>
          <w:tcPr>
            <w:tcW w:w="1040" w:type="dxa"/>
            <w:vAlign w:val="bottom"/>
            <w:tcBorders>
              <w:bottom w:val="single" w:sz="8" w:color="auto"/>
              <w:right w:val="single" w:sz="8" w:color="auto"/>
            </w:tcBorders>
            <w:shd w:val="clear" w:color="auto" w:fill="33CCCC"/>
          </w:tcPr>
          <w:p>
            <w:pPr>
              <w:jc w:val="center"/>
              <w:ind w:left="50"/>
              <w:spacing w:after="0" w:line="167" w:lineRule="exact"/>
              <w:rPr>
                <w:sz w:val="20"/>
                <w:szCs w:val="20"/>
                <w:color w:val="auto"/>
              </w:rPr>
            </w:pPr>
            <w:r>
              <w:rPr>
                <w:rFonts w:ascii="Calibri" w:cs="Calibri" w:eastAsia="Calibri" w:hAnsi="Calibri"/>
                <w:sz w:val="14"/>
                <w:szCs w:val="14"/>
                <w:b w:val="1"/>
                <w:bCs w:val="1"/>
                <w:color w:val="FFFFFF"/>
                <w:w w:val="98"/>
              </w:rPr>
              <w:t>2024</w:t>
            </w:r>
          </w:p>
        </w:tc>
        <w:tc>
          <w:tcPr>
            <w:tcW w:w="1320" w:type="dxa"/>
            <w:vAlign w:val="bottom"/>
            <w:tcBorders>
              <w:bottom w:val="single" w:sz="8" w:color="auto"/>
              <w:right w:val="single" w:sz="8" w:color="auto"/>
            </w:tcBorders>
            <w:shd w:val="clear" w:color="auto" w:fill="33CCCC"/>
          </w:tcPr>
          <w:p>
            <w:pPr>
              <w:jc w:val="center"/>
              <w:spacing w:after="0" w:line="167" w:lineRule="exact"/>
              <w:rPr>
                <w:sz w:val="20"/>
                <w:szCs w:val="20"/>
                <w:color w:val="auto"/>
              </w:rPr>
            </w:pPr>
            <w:r>
              <w:rPr>
                <w:rFonts w:ascii="Calibri" w:cs="Calibri" w:eastAsia="Calibri" w:hAnsi="Calibri"/>
                <w:sz w:val="14"/>
                <w:szCs w:val="14"/>
                <w:b w:val="1"/>
                <w:bCs w:val="1"/>
                <w:color w:val="FFFFFF"/>
              </w:rPr>
              <w:t>2024 / 2023</w:t>
            </w:r>
          </w:p>
        </w:tc>
      </w:tr>
      <w:tr>
        <w:trPr>
          <w:trHeight w:val="152"/>
        </w:trPr>
        <w:tc>
          <w:tcPr>
            <w:tcW w:w="3620" w:type="dxa"/>
            <w:vAlign w:val="bottom"/>
            <w:tcBorders>
              <w:left w:val="single" w:sz="8" w:color="auto"/>
              <w:right w:val="single" w:sz="8" w:color="auto"/>
            </w:tcBorders>
          </w:tcPr>
          <w:p>
            <w:pPr>
              <w:ind w:left="20"/>
              <w:spacing w:after="0" w:line="153" w:lineRule="exact"/>
              <w:rPr>
                <w:sz w:val="20"/>
                <w:szCs w:val="20"/>
                <w:color w:val="auto"/>
              </w:rPr>
            </w:pPr>
            <w:r>
              <w:rPr>
                <w:rFonts w:ascii="Calibri" w:cs="Calibri" w:eastAsia="Calibri" w:hAnsi="Calibri"/>
                <w:sz w:val="14"/>
                <w:szCs w:val="14"/>
                <w:color w:val="auto"/>
              </w:rPr>
              <w:t>IT expenses and IT third-party services</w:t>
            </w:r>
          </w:p>
        </w:tc>
        <w:tc>
          <w:tcPr>
            <w:tcW w:w="880" w:type="dxa"/>
            <w:vAlign w:val="bottom"/>
          </w:tcPr>
          <w:p>
            <w:pPr>
              <w:jc w:val="center"/>
              <w:spacing w:after="0" w:line="153" w:lineRule="exact"/>
              <w:rPr>
                <w:sz w:val="20"/>
                <w:szCs w:val="20"/>
                <w:color w:val="auto"/>
              </w:rPr>
            </w:pPr>
            <w:r>
              <w:rPr>
                <w:rFonts w:ascii="Calibri" w:cs="Calibri" w:eastAsia="Calibri" w:hAnsi="Calibri"/>
                <w:sz w:val="14"/>
                <w:szCs w:val="14"/>
                <w:color w:val="auto"/>
                <w:w w:val="99"/>
              </w:rPr>
              <w:t>311,417</w:t>
            </w:r>
          </w:p>
        </w:tc>
        <w:tc>
          <w:tcPr>
            <w:tcW w:w="900" w:type="dxa"/>
            <w:vAlign w:val="bottom"/>
          </w:tcPr>
          <w:p>
            <w:pPr>
              <w:jc w:val="center"/>
              <w:spacing w:after="0" w:line="153" w:lineRule="exact"/>
              <w:rPr>
                <w:sz w:val="20"/>
                <w:szCs w:val="20"/>
                <w:color w:val="auto"/>
              </w:rPr>
            </w:pPr>
            <w:r>
              <w:rPr>
                <w:rFonts w:ascii="Calibri" w:cs="Calibri" w:eastAsia="Calibri" w:hAnsi="Calibri"/>
                <w:sz w:val="14"/>
                <w:szCs w:val="14"/>
                <w:color w:val="auto"/>
                <w:w w:val="99"/>
              </w:rPr>
              <w:t>287,372</w:t>
            </w:r>
          </w:p>
        </w:tc>
        <w:tc>
          <w:tcPr>
            <w:tcW w:w="94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4"/>
                <w:szCs w:val="14"/>
                <w:color w:val="auto"/>
                <w:w w:val="99"/>
              </w:rPr>
              <w:t>386,150</w:t>
            </w:r>
          </w:p>
        </w:tc>
        <w:tc>
          <w:tcPr>
            <w:tcW w:w="880" w:type="dxa"/>
            <w:vAlign w:val="bottom"/>
          </w:tcPr>
          <w:p>
            <w:pPr>
              <w:jc w:val="center"/>
              <w:spacing w:after="0" w:line="153" w:lineRule="exact"/>
              <w:rPr>
                <w:sz w:val="20"/>
                <w:szCs w:val="20"/>
                <w:color w:val="auto"/>
              </w:rPr>
            </w:pPr>
            <w:r>
              <w:rPr>
                <w:rFonts w:ascii="Calibri" w:cs="Calibri" w:eastAsia="Calibri" w:hAnsi="Calibri"/>
                <w:sz w:val="14"/>
                <w:szCs w:val="14"/>
                <w:color w:val="auto"/>
                <w:w w:val="97"/>
              </w:rPr>
              <w:t>34.4%</w:t>
            </w:r>
          </w:p>
        </w:tc>
        <w:tc>
          <w:tcPr>
            <w:tcW w:w="92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4"/>
                <w:szCs w:val="14"/>
                <w:color w:val="auto"/>
                <w:w w:val="97"/>
              </w:rPr>
              <w:t>24.0%</w:t>
            </w:r>
          </w:p>
        </w:tc>
        <w:tc>
          <w:tcPr>
            <w:tcW w:w="740" w:type="dxa"/>
            <w:vAlign w:val="bottom"/>
          </w:tcPr>
          <w:p>
            <w:pPr>
              <w:jc w:val="center"/>
              <w:ind w:left="70"/>
              <w:spacing w:after="0" w:line="153" w:lineRule="exact"/>
              <w:rPr>
                <w:sz w:val="20"/>
                <w:szCs w:val="20"/>
                <w:color w:val="auto"/>
              </w:rPr>
            </w:pPr>
            <w:r>
              <w:rPr>
                <w:rFonts w:ascii="Calibri" w:cs="Calibri" w:eastAsia="Calibri" w:hAnsi="Calibri"/>
                <w:sz w:val="14"/>
                <w:szCs w:val="14"/>
                <w:color w:val="auto"/>
                <w:w w:val="98"/>
              </w:rPr>
              <w:t>1,080,001</w:t>
            </w:r>
          </w:p>
        </w:tc>
        <w:tc>
          <w:tcPr>
            <w:tcW w:w="1040" w:type="dxa"/>
            <w:vAlign w:val="bottom"/>
            <w:tcBorders>
              <w:right w:val="single" w:sz="8" w:color="auto"/>
            </w:tcBorders>
          </w:tcPr>
          <w:p>
            <w:pPr>
              <w:jc w:val="center"/>
              <w:ind w:left="50"/>
              <w:spacing w:after="0" w:line="153" w:lineRule="exact"/>
              <w:rPr>
                <w:sz w:val="20"/>
                <w:szCs w:val="20"/>
                <w:color w:val="auto"/>
              </w:rPr>
            </w:pPr>
            <w:r>
              <w:rPr>
                <w:rFonts w:ascii="Calibri" w:cs="Calibri" w:eastAsia="Calibri" w:hAnsi="Calibri"/>
                <w:sz w:val="14"/>
                <w:szCs w:val="14"/>
                <w:color w:val="auto"/>
                <w:w w:val="98"/>
              </w:rPr>
              <w:t>1,251,424</w:t>
            </w:r>
          </w:p>
        </w:tc>
        <w:tc>
          <w:tcPr>
            <w:tcW w:w="1320" w:type="dxa"/>
            <w:vAlign w:val="bottom"/>
            <w:tcBorders>
              <w:right w:val="single" w:sz="8" w:color="auto"/>
            </w:tcBorders>
          </w:tcPr>
          <w:p>
            <w:pPr>
              <w:jc w:val="center"/>
              <w:spacing w:after="0" w:line="153" w:lineRule="exact"/>
              <w:rPr>
                <w:sz w:val="20"/>
                <w:szCs w:val="20"/>
                <w:color w:val="auto"/>
              </w:rPr>
            </w:pPr>
            <w:r>
              <w:rPr>
                <w:rFonts w:ascii="Calibri" w:cs="Calibri" w:eastAsia="Calibri" w:hAnsi="Calibri"/>
                <w:sz w:val="14"/>
                <w:szCs w:val="14"/>
                <w:color w:val="auto"/>
                <w:w w:val="97"/>
              </w:rPr>
              <w:t>15.9%</w:t>
            </w:r>
          </w:p>
        </w:tc>
      </w:tr>
      <w:tr>
        <w:trPr>
          <w:trHeight w:val="167"/>
        </w:trPr>
        <w:tc>
          <w:tcPr>
            <w:tcW w:w="3620" w:type="dxa"/>
            <w:vAlign w:val="bottom"/>
            <w:tcBorders>
              <w:left w:val="single" w:sz="8" w:color="auto"/>
              <w:right w:val="single" w:sz="8" w:color="auto"/>
            </w:tcBorders>
          </w:tcPr>
          <w:p>
            <w:pPr>
              <w:ind w:left="20"/>
              <w:spacing w:after="0" w:line="167" w:lineRule="exact"/>
              <w:rPr>
                <w:sz w:val="20"/>
                <w:szCs w:val="20"/>
                <w:color w:val="auto"/>
              </w:rPr>
            </w:pPr>
            <w:r>
              <w:rPr>
                <w:rFonts w:ascii="Calibri" w:cs="Calibri" w:eastAsia="Calibri" w:hAnsi="Calibri"/>
                <w:sz w:val="14"/>
                <w:szCs w:val="14"/>
                <w:color w:val="auto"/>
              </w:rPr>
              <w:t>Advertsing and customer loyalty programs</w:t>
            </w:r>
          </w:p>
        </w:tc>
        <w:tc>
          <w:tcPr>
            <w:tcW w:w="880" w:type="dxa"/>
            <w:vAlign w:val="bottom"/>
          </w:tcPr>
          <w:p>
            <w:pPr>
              <w:jc w:val="center"/>
              <w:spacing w:after="0" w:line="167" w:lineRule="exact"/>
              <w:rPr>
                <w:sz w:val="20"/>
                <w:szCs w:val="20"/>
                <w:color w:val="auto"/>
              </w:rPr>
            </w:pPr>
            <w:r>
              <w:rPr>
                <w:rFonts w:ascii="Calibri" w:cs="Calibri" w:eastAsia="Calibri" w:hAnsi="Calibri"/>
                <w:sz w:val="14"/>
                <w:szCs w:val="14"/>
                <w:color w:val="auto"/>
                <w:w w:val="99"/>
              </w:rPr>
              <w:t>239,028</w:t>
            </w:r>
          </w:p>
        </w:tc>
        <w:tc>
          <w:tcPr>
            <w:tcW w:w="900" w:type="dxa"/>
            <w:vAlign w:val="bottom"/>
          </w:tcPr>
          <w:p>
            <w:pPr>
              <w:jc w:val="center"/>
              <w:spacing w:after="0" w:line="167" w:lineRule="exact"/>
              <w:rPr>
                <w:sz w:val="20"/>
                <w:szCs w:val="20"/>
                <w:color w:val="auto"/>
              </w:rPr>
            </w:pPr>
            <w:r>
              <w:rPr>
                <w:rFonts w:ascii="Calibri" w:cs="Calibri" w:eastAsia="Calibri" w:hAnsi="Calibri"/>
                <w:sz w:val="14"/>
                <w:szCs w:val="14"/>
                <w:color w:val="auto"/>
                <w:w w:val="99"/>
              </w:rPr>
              <w:t>199,111</w:t>
            </w:r>
          </w:p>
        </w:tc>
        <w:tc>
          <w:tcPr>
            <w:tcW w:w="94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w w:val="99"/>
              </w:rPr>
              <w:t>243,129</w:t>
            </w:r>
          </w:p>
        </w:tc>
        <w:tc>
          <w:tcPr>
            <w:tcW w:w="880" w:type="dxa"/>
            <w:vAlign w:val="bottom"/>
          </w:tcPr>
          <w:p>
            <w:pPr>
              <w:jc w:val="center"/>
              <w:spacing w:after="0" w:line="167" w:lineRule="exact"/>
              <w:rPr>
                <w:sz w:val="20"/>
                <w:szCs w:val="20"/>
                <w:color w:val="auto"/>
              </w:rPr>
            </w:pPr>
            <w:r>
              <w:rPr>
                <w:rFonts w:ascii="Calibri" w:cs="Calibri" w:eastAsia="Calibri" w:hAnsi="Calibri"/>
                <w:sz w:val="14"/>
                <w:szCs w:val="14"/>
                <w:color w:val="auto"/>
                <w:w w:val="97"/>
              </w:rPr>
              <w:t>22.1%</w:t>
            </w:r>
          </w:p>
        </w:tc>
        <w:tc>
          <w:tcPr>
            <w:tcW w:w="92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w w:val="93"/>
              </w:rPr>
              <w:t>1.7%</w:t>
            </w:r>
          </w:p>
        </w:tc>
        <w:tc>
          <w:tcPr>
            <w:tcW w:w="740" w:type="dxa"/>
            <w:vAlign w:val="bottom"/>
          </w:tcPr>
          <w:p>
            <w:pPr>
              <w:jc w:val="center"/>
              <w:ind w:left="50"/>
              <w:spacing w:after="0" w:line="167" w:lineRule="exact"/>
              <w:rPr>
                <w:sz w:val="20"/>
                <w:szCs w:val="20"/>
                <w:color w:val="auto"/>
              </w:rPr>
            </w:pPr>
            <w:r>
              <w:rPr>
                <w:rFonts w:ascii="Calibri" w:cs="Calibri" w:eastAsia="Calibri" w:hAnsi="Calibri"/>
                <w:sz w:val="14"/>
                <w:szCs w:val="14"/>
                <w:color w:val="auto"/>
                <w:w w:val="99"/>
              </w:rPr>
              <w:t>720,718</w:t>
            </w:r>
          </w:p>
        </w:tc>
        <w:tc>
          <w:tcPr>
            <w:tcW w:w="1040" w:type="dxa"/>
            <w:vAlign w:val="bottom"/>
            <w:tcBorders>
              <w:right w:val="single" w:sz="8" w:color="auto"/>
            </w:tcBorders>
          </w:tcPr>
          <w:p>
            <w:pPr>
              <w:jc w:val="center"/>
              <w:ind w:left="30"/>
              <w:spacing w:after="0" w:line="167" w:lineRule="exact"/>
              <w:rPr>
                <w:sz w:val="20"/>
                <w:szCs w:val="20"/>
                <w:color w:val="auto"/>
              </w:rPr>
            </w:pPr>
            <w:r>
              <w:rPr>
                <w:rFonts w:ascii="Calibri" w:cs="Calibri" w:eastAsia="Calibri" w:hAnsi="Calibri"/>
                <w:sz w:val="14"/>
                <w:szCs w:val="14"/>
                <w:color w:val="auto"/>
                <w:w w:val="99"/>
              </w:rPr>
              <w:t>770,965</w:t>
            </w:r>
          </w:p>
        </w:tc>
        <w:tc>
          <w:tcPr>
            <w:tcW w:w="132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4"/>
                <w:szCs w:val="14"/>
                <w:color w:val="auto"/>
              </w:rPr>
              <w:t>7.0%</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Taxes and contributons</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93,090</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90,080</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105,296</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16.9%</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13.1%</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9"/>
              </w:rPr>
              <w:t>264,326</w:t>
            </w:r>
          </w:p>
        </w:tc>
        <w:tc>
          <w:tcPr>
            <w:tcW w:w="1040" w:type="dxa"/>
            <w:vAlign w:val="bottom"/>
            <w:tcBorders>
              <w:right w:val="single" w:sz="8" w:color="auto"/>
            </w:tcBorders>
          </w:tcPr>
          <w:p>
            <w:pPr>
              <w:jc w:val="center"/>
              <w:ind w:left="30"/>
              <w:spacing w:after="0"/>
              <w:rPr>
                <w:sz w:val="20"/>
                <w:szCs w:val="20"/>
                <w:color w:val="auto"/>
              </w:rPr>
            </w:pPr>
            <w:r>
              <w:rPr>
                <w:rFonts w:ascii="Calibri" w:cs="Calibri" w:eastAsia="Calibri" w:hAnsi="Calibri"/>
                <w:sz w:val="14"/>
                <w:szCs w:val="14"/>
                <w:color w:val="auto"/>
                <w:w w:val="99"/>
              </w:rPr>
              <w:t>382,711</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44.8%</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Audit Services, Consultng and professional fees</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9"/>
              </w:rPr>
              <w:t>105,340</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9"/>
              </w:rPr>
              <w:t>101,570</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171,101</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68.5%</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62.4%</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9"/>
              </w:rPr>
              <w:t>336,715</w:t>
            </w:r>
          </w:p>
        </w:tc>
        <w:tc>
          <w:tcPr>
            <w:tcW w:w="1040" w:type="dxa"/>
            <w:vAlign w:val="bottom"/>
            <w:tcBorders>
              <w:right w:val="single" w:sz="8" w:color="auto"/>
            </w:tcBorders>
          </w:tcPr>
          <w:p>
            <w:pPr>
              <w:jc w:val="center"/>
              <w:ind w:left="30"/>
              <w:spacing w:after="0"/>
              <w:rPr>
                <w:sz w:val="20"/>
                <w:szCs w:val="20"/>
                <w:color w:val="auto"/>
              </w:rPr>
            </w:pPr>
            <w:r>
              <w:rPr>
                <w:rFonts w:ascii="Calibri" w:cs="Calibri" w:eastAsia="Calibri" w:hAnsi="Calibri"/>
                <w:sz w:val="14"/>
                <w:szCs w:val="14"/>
                <w:color w:val="auto"/>
                <w:w w:val="99"/>
              </w:rPr>
              <w:t>407,508</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21.0%</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Transport and communicatons</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60,869</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62,568</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67,398</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3"/>
              </w:rPr>
              <w:t>7.7%</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10.7%</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9"/>
              </w:rPr>
              <w:t>226,860</w:t>
            </w:r>
          </w:p>
        </w:tc>
        <w:tc>
          <w:tcPr>
            <w:tcW w:w="1040" w:type="dxa"/>
            <w:vAlign w:val="bottom"/>
            <w:tcBorders>
              <w:right w:val="single" w:sz="8" w:color="auto"/>
            </w:tcBorders>
          </w:tcPr>
          <w:p>
            <w:pPr>
              <w:jc w:val="center"/>
              <w:ind w:left="30"/>
              <w:spacing w:after="0"/>
              <w:rPr>
                <w:sz w:val="20"/>
                <w:szCs w:val="20"/>
                <w:color w:val="auto"/>
              </w:rPr>
            </w:pPr>
            <w:r>
              <w:rPr>
                <w:rFonts w:ascii="Calibri" w:cs="Calibri" w:eastAsia="Calibri" w:hAnsi="Calibri"/>
                <w:sz w:val="14"/>
                <w:szCs w:val="14"/>
                <w:color w:val="auto"/>
                <w:w w:val="99"/>
              </w:rPr>
              <w:t>244,255</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7.7%</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Repair and maintenance</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49,698</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36,316</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50,981</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40.4%</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3"/>
              </w:rPr>
              <w:t>2.6%</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9"/>
              </w:rPr>
              <w:t>157,127</w:t>
            </w:r>
          </w:p>
        </w:tc>
        <w:tc>
          <w:tcPr>
            <w:tcW w:w="1040" w:type="dxa"/>
            <w:vAlign w:val="bottom"/>
            <w:tcBorders>
              <w:right w:val="single" w:sz="8" w:color="auto"/>
            </w:tcBorders>
          </w:tcPr>
          <w:p>
            <w:pPr>
              <w:jc w:val="center"/>
              <w:ind w:left="30"/>
              <w:spacing w:after="0"/>
              <w:rPr>
                <w:sz w:val="20"/>
                <w:szCs w:val="20"/>
                <w:color w:val="auto"/>
              </w:rPr>
            </w:pPr>
            <w:r>
              <w:rPr>
                <w:rFonts w:ascii="Calibri" w:cs="Calibri" w:eastAsia="Calibri" w:hAnsi="Calibri"/>
                <w:sz w:val="14"/>
                <w:szCs w:val="14"/>
                <w:color w:val="auto"/>
                <w:w w:val="99"/>
              </w:rPr>
              <w:t>154,533</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-1.7%</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Agents' Fees</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31,911</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29,957</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31,436</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3"/>
              </w:rPr>
              <w:t>4.9%</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-1.5%</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9"/>
              </w:rPr>
              <w:t>115,120</w:t>
            </w:r>
          </w:p>
        </w:tc>
        <w:tc>
          <w:tcPr>
            <w:tcW w:w="1040" w:type="dxa"/>
            <w:vAlign w:val="bottom"/>
            <w:tcBorders>
              <w:right w:val="single" w:sz="8" w:color="auto"/>
            </w:tcBorders>
          </w:tcPr>
          <w:p>
            <w:pPr>
              <w:jc w:val="center"/>
              <w:ind w:left="30"/>
              <w:spacing w:after="0"/>
              <w:rPr>
                <w:sz w:val="20"/>
                <w:szCs w:val="20"/>
                <w:color w:val="auto"/>
              </w:rPr>
            </w:pPr>
            <w:r>
              <w:rPr>
                <w:rFonts w:ascii="Calibri" w:cs="Calibri" w:eastAsia="Calibri" w:hAnsi="Calibri"/>
                <w:sz w:val="14"/>
                <w:szCs w:val="14"/>
                <w:color w:val="auto"/>
                <w:w w:val="99"/>
              </w:rPr>
              <w:t>118,156</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2.6%</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Services by third-party</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43,936</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36,689</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6,220</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-83.0%</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-85.8%</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9"/>
              </w:rPr>
              <w:t>144,534</w:t>
            </w:r>
          </w:p>
        </w:tc>
        <w:tc>
          <w:tcPr>
            <w:tcW w:w="1040" w:type="dxa"/>
            <w:vAlign w:val="bottom"/>
            <w:tcBorders>
              <w:right w:val="single" w:sz="8" w:color="auto"/>
            </w:tcBorders>
          </w:tcPr>
          <w:p>
            <w:pPr>
              <w:jc w:val="center"/>
              <w:ind w:left="30"/>
              <w:spacing w:after="0"/>
              <w:rPr>
                <w:sz w:val="20"/>
                <w:szCs w:val="20"/>
                <w:color w:val="auto"/>
              </w:rPr>
            </w:pPr>
            <w:r>
              <w:rPr>
                <w:rFonts w:ascii="Calibri" w:cs="Calibri" w:eastAsia="Calibri" w:hAnsi="Calibri"/>
                <w:sz w:val="14"/>
                <w:szCs w:val="14"/>
                <w:color w:val="auto"/>
                <w:w w:val="99"/>
              </w:rPr>
              <w:t>107,274</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-25.8%</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Leases of low value and short-term</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30,205</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26,378</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36,936</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40.0%</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22.3%</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9"/>
              </w:rPr>
              <w:t>108,357</w:t>
            </w:r>
          </w:p>
        </w:tc>
        <w:tc>
          <w:tcPr>
            <w:tcW w:w="1040" w:type="dxa"/>
            <w:vAlign w:val="bottom"/>
            <w:tcBorders>
              <w:right w:val="single" w:sz="8" w:color="auto"/>
            </w:tcBorders>
          </w:tcPr>
          <w:p>
            <w:pPr>
              <w:jc w:val="center"/>
              <w:ind w:left="30"/>
              <w:spacing w:after="0"/>
              <w:rPr>
                <w:sz w:val="20"/>
                <w:szCs w:val="20"/>
                <w:color w:val="auto"/>
              </w:rPr>
            </w:pPr>
            <w:r>
              <w:rPr>
                <w:rFonts w:ascii="Calibri" w:cs="Calibri" w:eastAsia="Calibri" w:hAnsi="Calibri"/>
                <w:sz w:val="14"/>
                <w:szCs w:val="14"/>
                <w:color w:val="auto"/>
                <w:w w:val="99"/>
              </w:rPr>
              <w:t>124,781</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15.2%</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Miscellaneous supplies</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30,589</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23,552</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24,864</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3"/>
              </w:rPr>
              <w:t>5.6%</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-18.7%</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9"/>
              </w:rPr>
              <w:t>118,510</w:t>
            </w:r>
          </w:p>
        </w:tc>
        <w:tc>
          <w:tcPr>
            <w:tcW w:w="1040" w:type="dxa"/>
            <w:vAlign w:val="bottom"/>
            <w:tcBorders>
              <w:right w:val="single" w:sz="8" w:color="auto"/>
            </w:tcBorders>
          </w:tcPr>
          <w:p>
            <w:pPr>
              <w:jc w:val="center"/>
              <w:ind w:left="50"/>
              <w:spacing w:after="0"/>
              <w:rPr>
                <w:sz w:val="20"/>
                <w:szCs w:val="20"/>
                <w:color w:val="auto"/>
              </w:rPr>
            </w:pPr>
            <w:r>
              <w:rPr>
                <w:rFonts w:ascii="Calibri" w:cs="Calibri" w:eastAsia="Calibri" w:hAnsi="Calibri"/>
                <w:sz w:val="14"/>
                <w:szCs w:val="14"/>
                <w:color w:val="auto"/>
              </w:rPr>
              <w:t>91,769</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-22.6%</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Security and protecton</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16,575</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16,909</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16,614</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9"/>
              </w:rPr>
              <w:t>-1.7%</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3"/>
              </w:rPr>
              <w:t>0.2%</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7"/>
              </w:rPr>
              <w:t>64,432</w:t>
            </w:r>
          </w:p>
        </w:tc>
        <w:tc>
          <w:tcPr>
            <w:tcW w:w="1040" w:type="dxa"/>
            <w:vAlign w:val="bottom"/>
            <w:tcBorders>
              <w:right w:val="single" w:sz="8" w:color="auto"/>
            </w:tcBorders>
          </w:tcPr>
          <w:p>
            <w:pPr>
              <w:jc w:val="center"/>
              <w:ind w:left="50"/>
              <w:spacing w:after="0"/>
              <w:rPr>
                <w:sz w:val="20"/>
                <w:szCs w:val="20"/>
                <w:color w:val="auto"/>
              </w:rPr>
            </w:pPr>
            <w:r>
              <w:rPr>
                <w:rFonts w:ascii="Calibri" w:cs="Calibri" w:eastAsia="Calibri" w:hAnsi="Calibri"/>
                <w:sz w:val="14"/>
                <w:szCs w:val="14"/>
                <w:color w:val="auto"/>
              </w:rPr>
              <w:t>65,970</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2.4%</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Subscriptons and quotes</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18,444</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18,349</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14,261</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-22.3%</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-22.7%</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7"/>
              </w:rPr>
              <w:t>61,945</w:t>
            </w:r>
          </w:p>
        </w:tc>
        <w:tc>
          <w:tcPr>
            <w:tcW w:w="1040" w:type="dxa"/>
            <w:vAlign w:val="bottom"/>
            <w:tcBorders>
              <w:right w:val="single" w:sz="8" w:color="auto"/>
            </w:tcBorders>
          </w:tcPr>
          <w:p>
            <w:pPr>
              <w:jc w:val="center"/>
              <w:ind w:left="50"/>
              <w:spacing w:after="0"/>
              <w:rPr>
                <w:sz w:val="20"/>
                <w:szCs w:val="20"/>
                <w:color w:val="auto"/>
              </w:rPr>
            </w:pPr>
            <w:r>
              <w:rPr>
                <w:rFonts w:ascii="Calibri" w:cs="Calibri" w:eastAsia="Calibri" w:hAnsi="Calibri"/>
                <w:sz w:val="14"/>
                <w:szCs w:val="14"/>
                <w:color w:val="auto"/>
              </w:rPr>
              <w:t>74,002</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19.5%</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Electricity and water</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16,316</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11,857</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15,053</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27.0%</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-7.7%</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7"/>
              </w:rPr>
              <w:t>56,359</w:t>
            </w:r>
          </w:p>
        </w:tc>
        <w:tc>
          <w:tcPr>
            <w:tcW w:w="1040" w:type="dxa"/>
            <w:vAlign w:val="bottom"/>
            <w:tcBorders>
              <w:right w:val="single" w:sz="8" w:color="auto"/>
            </w:tcBorders>
          </w:tcPr>
          <w:p>
            <w:pPr>
              <w:jc w:val="center"/>
              <w:ind w:left="50"/>
              <w:spacing w:after="0"/>
              <w:rPr>
                <w:sz w:val="20"/>
                <w:szCs w:val="20"/>
                <w:color w:val="auto"/>
              </w:rPr>
            </w:pPr>
            <w:r>
              <w:rPr>
                <w:rFonts w:ascii="Calibri" w:cs="Calibri" w:eastAsia="Calibri" w:hAnsi="Calibri"/>
                <w:sz w:val="14"/>
                <w:szCs w:val="14"/>
                <w:color w:val="auto"/>
              </w:rPr>
              <w:t>52,260</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-7.3%</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Electronic processing</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11,284</w:t>
            </w:r>
          </w:p>
        </w:tc>
        <w:tc>
          <w:tcPr>
            <w:tcW w:w="900" w:type="dxa"/>
            <w:vAlign w:val="bottom"/>
          </w:tcPr>
          <w:p>
            <w:pPr>
              <w:jc w:val="center"/>
              <w:spacing w:after="0"/>
              <w:rPr>
                <w:sz w:val="20"/>
                <w:szCs w:val="20"/>
                <w:color w:val="auto"/>
              </w:rPr>
            </w:pPr>
            <w:r>
              <w:rPr>
                <w:rFonts w:ascii="Calibri" w:cs="Calibri" w:eastAsia="Calibri" w:hAnsi="Calibri"/>
                <w:sz w:val="14"/>
                <w:szCs w:val="14"/>
                <w:color w:val="auto"/>
              </w:rPr>
              <w:t>7,578</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8,124</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3"/>
              </w:rPr>
              <w:t>7.2%</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-28.0%</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7"/>
              </w:rPr>
              <w:t>39,764</w:t>
            </w:r>
          </w:p>
        </w:tc>
        <w:tc>
          <w:tcPr>
            <w:tcW w:w="1040" w:type="dxa"/>
            <w:vAlign w:val="bottom"/>
            <w:tcBorders>
              <w:right w:val="single" w:sz="8" w:color="auto"/>
            </w:tcBorders>
          </w:tcPr>
          <w:p>
            <w:pPr>
              <w:jc w:val="center"/>
              <w:ind w:left="50"/>
              <w:spacing w:after="0"/>
              <w:rPr>
                <w:sz w:val="20"/>
                <w:szCs w:val="20"/>
                <w:color w:val="auto"/>
              </w:rPr>
            </w:pPr>
            <w:r>
              <w:rPr>
                <w:rFonts w:ascii="Calibri" w:cs="Calibri" w:eastAsia="Calibri" w:hAnsi="Calibri"/>
                <w:sz w:val="14"/>
                <w:szCs w:val="14"/>
                <w:color w:val="auto"/>
              </w:rPr>
              <w:t>29,466</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-25.9%</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Insurance</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4,518</w:t>
            </w:r>
          </w:p>
        </w:tc>
        <w:tc>
          <w:tcPr>
            <w:tcW w:w="900" w:type="dxa"/>
            <w:vAlign w:val="bottom"/>
          </w:tcPr>
          <w:p>
            <w:pPr>
              <w:jc w:val="center"/>
              <w:spacing w:after="0"/>
              <w:rPr>
                <w:sz w:val="20"/>
                <w:szCs w:val="20"/>
                <w:color w:val="auto"/>
              </w:rPr>
            </w:pPr>
            <w:r>
              <w:rPr>
                <w:rFonts w:ascii="Calibri" w:cs="Calibri" w:eastAsia="Calibri" w:hAnsi="Calibri"/>
                <w:sz w:val="14"/>
                <w:szCs w:val="14"/>
                <w:color w:val="auto"/>
                <w:w w:val="97"/>
              </w:rPr>
              <w:t>28,296</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14,312</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-49.4%</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216.8%</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7"/>
              </w:rPr>
              <w:t>56,324</w:t>
            </w:r>
          </w:p>
        </w:tc>
        <w:tc>
          <w:tcPr>
            <w:tcW w:w="1040" w:type="dxa"/>
            <w:vAlign w:val="bottom"/>
            <w:tcBorders>
              <w:right w:val="single" w:sz="8" w:color="auto"/>
            </w:tcBorders>
          </w:tcPr>
          <w:p>
            <w:pPr>
              <w:jc w:val="center"/>
              <w:ind w:left="50"/>
              <w:spacing w:after="0"/>
              <w:rPr>
                <w:sz w:val="20"/>
                <w:szCs w:val="20"/>
                <w:color w:val="auto"/>
              </w:rPr>
            </w:pPr>
            <w:r>
              <w:rPr>
                <w:rFonts w:ascii="Calibri" w:cs="Calibri" w:eastAsia="Calibri" w:hAnsi="Calibri"/>
                <w:sz w:val="14"/>
                <w:szCs w:val="14"/>
                <w:color w:val="auto"/>
              </w:rPr>
              <w:t>55,150</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9"/>
              </w:rPr>
              <w:t>-2.1%</w:t>
            </w:r>
          </w:p>
        </w:tc>
      </w:tr>
      <w:tr>
        <w:trPr>
          <w:trHeight w:val="170"/>
        </w:trPr>
        <w:tc>
          <w:tcPr>
            <w:tcW w:w="362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Cleaning</w:t>
            </w:r>
          </w:p>
        </w:tc>
        <w:tc>
          <w:tcPr>
            <w:tcW w:w="880" w:type="dxa"/>
            <w:vAlign w:val="bottom"/>
          </w:tcPr>
          <w:p>
            <w:pPr>
              <w:jc w:val="center"/>
              <w:spacing w:after="0"/>
              <w:rPr>
                <w:sz w:val="20"/>
                <w:szCs w:val="20"/>
                <w:color w:val="auto"/>
              </w:rPr>
            </w:pPr>
            <w:r>
              <w:rPr>
                <w:rFonts w:ascii="Calibri" w:cs="Calibri" w:eastAsia="Calibri" w:hAnsi="Calibri"/>
                <w:sz w:val="14"/>
                <w:szCs w:val="14"/>
                <w:color w:val="auto"/>
              </w:rPr>
              <w:t>6,122</w:t>
            </w:r>
          </w:p>
        </w:tc>
        <w:tc>
          <w:tcPr>
            <w:tcW w:w="900" w:type="dxa"/>
            <w:vAlign w:val="bottom"/>
          </w:tcPr>
          <w:p>
            <w:pPr>
              <w:jc w:val="center"/>
              <w:spacing w:after="0"/>
              <w:rPr>
                <w:sz w:val="20"/>
                <w:szCs w:val="20"/>
                <w:color w:val="auto"/>
              </w:rPr>
            </w:pPr>
            <w:r>
              <w:rPr>
                <w:rFonts w:ascii="Calibri" w:cs="Calibri" w:eastAsia="Calibri" w:hAnsi="Calibri"/>
                <w:sz w:val="14"/>
                <w:szCs w:val="14"/>
                <w:color w:val="auto"/>
              </w:rPr>
              <w:t>5,761</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rPr>
              <w:t>8,415</w:t>
            </w:r>
          </w:p>
        </w:tc>
        <w:tc>
          <w:tcPr>
            <w:tcW w:w="880" w:type="dxa"/>
            <w:vAlign w:val="bottom"/>
          </w:tcPr>
          <w:p>
            <w:pPr>
              <w:jc w:val="center"/>
              <w:spacing w:after="0"/>
              <w:rPr>
                <w:sz w:val="20"/>
                <w:szCs w:val="20"/>
                <w:color w:val="auto"/>
              </w:rPr>
            </w:pPr>
            <w:r>
              <w:rPr>
                <w:rFonts w:ascii="Calibri" w:cs="Calibri" w:eastAsia="Calibri" w:hAnsi="Calibri"/>
                <w:sz w:val="14"/>
                <w:szCs w:val="14"/>
                <w:color w:val="auto"/>
                <w:w w:val="97"/>
              </w:rPr>
              <w:t>46.1%</w:t>
            </w:r>
          </w:p>
        </w:tc>
        <w:tc>
          <w:tcPr>
            <w:tcW w:w="9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37.5%</w:t>
            </w:r>
          </w:p>
        </w:tc>
        <w:tc>
          <w:tcPr>
            <w:tcW w:w="740" w:type="dxa"/>
            <w:vAlign w:val="bottom"/>
          </w:tcPr>
          <w:p>
            <w:pPr>
              <w:jc w:val="center"/>
              <w:ind w:left="50"/>
              <w:spacing w:after="0"/>
              <w:rPr>
                <w:sz w:val="20"/>
                <w:szCs w:val="20"/>
                <w:color w:val="auto"/>
              </w:rPr>
            </w:pPr>
            <w:r>
              <w:rPr>
                <w:rFonts w:ascii="Calibri" w:cs="Calibri" w:eastAsia="Calibri" w:hAnsi="Calibri"/>
                <w:sz w:val="14"/>
                <w:szCs w:val="14"/>
                <w:color w:val="auto"/>
                <w:w w:val="97"/>
              </w:rPr>
              <w:t>22,677</w:t>
            </w:r>
          </w:p>
        </w:tc>
        <w:tc>
          <w:tcPr>
            <w:tcW w:w="1040" w:type="dxa"/>
            <w:vAlign w:val="bottom"/>
            <w:tcBorders>
              <w:right w:val="single" w:sz="8" w:color="auto"/>
            </w:tcBorders>
          </w:tcPr>
          <w:p>
            <w:pPr>
              <w:jc w:val="center"/>
              <w:ind w:left="50"/>
              <w:spacing w:after="0"/>
              <w:rPr>
                <w:sz w:val="20"/>
                <w:szCs w:val="20"/>
                <w:color w:val="auto"/>
              </w:rPr>
            </w:pPr>
            <w:r>
              <w:rPr>
                <w:rFonts w:ascii="Calibri" w:cs="Calibri" w:eastAsia="Calibri" w:hAnsi="Calibri"/>
                <w:sz w:val="14"/>
                <w:szCs w:val="14"/>
                <w:color w:val="auto"/>
              </w:rPr>
              <w:t>25,549</w:t>
            </w:r>
          </w:p>
        </w:tc>
        <w:tc>
          <w:tcPr>
            <w:tcW w:w="1320" w:type="dxa"/>
            <w:vAlign w:val="bottom"/>
            <w:tcBorders>
              <w:right w:val="single" w:sz="8" w:color="auto"/>
            </w:tcBorders>
          </w:tcPr>
          <w:p>
            <w:pPr>
              <w:jc w:val="center"/>
              <w:spacing w:after="0"/>
              <w:rPr>
                <w:sz w:val="20"/>
                <w:szCs w:val="20"/>
                <w:color w:val="auto"/>
              </w:rPr>
            </w:pPr>
            <w:r>
              <w:rPr>
                <w:rFonts w:ascii="Calibri" w:cs="Calibri" w:eastAsia="Calibri" w:hAnsi="Calibri"/>
                <w:sz w:val="14"/>
                <w:szCs w:val="14"/>
                <w:color w:val="auto"/>
                <w:w w:val="97"/>
              </w:rPr>
              <w:t>12.7%</w:t>
            </w:r>
          </w:p>
        </w:tc>
      </w:tr>
      <w:tr>
        <w:trPr>
          <w:trHeight w:val="182"/>
        </w:trPr>
        <w:tc>
          <w:tcPr>
            <w:tcW w:w="362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4"/>
                <w:szCs w:val="14"/>
                <w:color w:val="auto"/>
              </w:rPr>
              <w:t>Others</w:t>
            </w:r>
          </w:p>
        </w:tc>
        <w:tc>
          <w:tcPr>
            <w:tcW w:w="8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rPr>
              <w:t>19,861</w:t>
            </w:r>
          </w:p>
        </w:tc>
        <w:tc>
          <w:tcPr>
            <w:tcW w:w="9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w w:val="97"/>
              </w:rPr>
              <w:t>65,043</w:t>
            </w:r>
          </w:p>
        </w:tc>
        <w:tc>
          <w:tcPr>
            <w:tcW w:w="9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rPr>
              <w:t>29,809</w:t>
            </w:r>
          </w:p>
        </w:tc>
        <w:tc>
          <w:tcPr>
            <w:tcW w:w="8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w w:val="97"/>
              </w:rPr>
              <w:t>-54.2%</w:t>
            </w:r>
          </w:p>
        </w:tc>
        <w:tc>
          <w:tcPr>
            <w:tcW w:w="9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w w:val="97"/>
              </w:rPr>
              <w:t>50.1%</w:t>
            </w:r>
          </w:p>
        </w:tc>
        <w:tc>
          <w:tcPr>
            <w:tcW w:w="740" w:type="dxa"/>
            <w:vAlign w:val="bottom"/>
            <w:tcBorders>
              <w:bottom w:val="single" w:sz="8" w:color="auto"/>
            </w:tcBorders>
          </w:tcPr>
          <w:p>
            <w:pPr>
              <w:jc w:val="center"/>
              <w:ind w:left="50"/>
              <w:spacing w:after="0"/>
              <w:rPr>
                <w:sz w:val="20"/>
                <w:szCs w:val="20"/>
                <w:color w:val="auto"/>
              </w:rPr>
            </w:pPr>
            <w:r>
              <w:rPr>
                <w:rFonts w:ascii="Calibri" w:cs="Calibri" w:eastAsia="Calibri" w:hAnsi="Calibri"/>
                <w:sz w:val="14"/>
                <w:szCs w:val="14"/>
                <w:color w:val="auto"/>
                <w:w w:val="99"/>
              </w:rPr>
              <w:t>229,434</w:t>
            </w:r>
          </w:p>
        </w:tc>
        <w:tc>
          <w:tcPr>
            <w:tcW w:w="1040" w:type="dxa"/>
            <w:vAlign w:val="bottom"/>
            <w:tcBorders>
              <w:bottom w:val="single" w:sz="8" w:color="auto"/>
              <w:right w:val="single" w:sz="8" w:color="auto"/>
            </w:tcBorders>
          </w:tcPr>
          <w:p>
            <w:pPr>
              <w:jc w:val="center"/>
              <w:ind w:left="30"/>
              <w:spacing w:after="0"/>
              <w:rPr>
                <w:sz w:val="20"/>
                <w:szCs w:val="20"/>
                <w:color w:val="auto"/>
              </w:rPr>
            </w:pPr>
            <w:r>
              <w:rPr>
                <w:rFonts w:ascii="Calibri" w:cs="Calibri" w:eastAsia="Calibri" w:hAnsi="Calibri"/>
                <w:sz w:val="14"/>
                <w:szCs w:val="14"/>
                <w:color w:val="auto"/>
                <w:w w:val="99"/>
              </w:rPr>
              <w:t>228,002</w:t>
            </w:r>
          </w:p>
        </w:tc>
        <w:tc>
          <w:tcPr>
            <w:tcW w:w="13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4"/>
                <w:szCs w:val="14"/>
                <w:color w:val="auto"/>
                <w:w w:val="99"/>
              </w:rPr>
              <w:t>-0.6%</w:t>
            </w:r>
          </w:p>
        </w:tc>
      </w:tr>
      <w:tr>
        <w:trPr>
          <w:trHeight w:val="169"/>
        </w:trPr>
        <w:tc>
          <w:tcPr>
            <w:tcW w:w="3620" w:type="dxa"/>
            <w:vAlign w:val="bottom"/>
            <w:tcBorders>
              <w:left w:val="single" w:sz="8" w:color="auto"/>
              <w:bottom w:val="single" w:sz="8" w:color="auto"/>
              <w:right w:val="single" w:sz="8" w:color="auto"/>
            </w:tcBorders>
          </w:tcPr>
          <w:p>
            <w:pPr>
              <w:ind w:left="20"/>
              <w:spacing w:after="0" w:line="167" w:lineRule="exact"/>
              <w:rPr>
                <w:sz w:val="20"/>
                <w:szCs w:val="20"/>
                <w:color w:val="auto"/>
              </w:rPr>
            </w:pPr>
            <w:r>
              <w:rPr>
                <w:rFonts w:ascii="Calibri" w:cs="Calibri" w:eastAsia="Calibri" w:hAnsi="Calibri"/>
                <w:sz w:val="14"/>
                <w:szCs w:val="14"/>
                <w:b w:val="1"/>
                <w:bCs w:val="1"/>
                <w:color w:val="auto"/>
              </w:rPr>
              <w:t>Total</w:t>
            </w:r>
          </w:p>
        </w:tc>
        <w:tc>
          <w:tcPr>
            <w:tcW w:w="880" w:type="dxa"/>
            <w:vAlign w:val="bottom"/>
            <w:tcBorders>
              <w:bottom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w w:val="98"/>
              </w:rPr>
              <w:t>1,089,203</w:t>
            </w:r>
          </w:p>
        </w:tc>
        <w:tc>
          <w:tcPr>
            <w:tcW w:w="900" w:type="dxa"/>
            <w:vAlign w:val="bottom"/>
            <w:tcBorders>
              <w:bottom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w w:val="98"/>
              </w:rPr>
              <w:t>1,047,386</w:t>
            </w:r>
          </w:p>
        </w:tc>
        <w:tc>
          <w:tcPr>
            <w:tcW w:w="940" w:type="dxa"/>
            <w:vAlign w:val="bottom"/>
            <w:tcBorders>
              <w:bottom w:val="single" w:sz="8" w:color="auto"/>
              <w:right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w w:val="98"/>
              </w:rPr>
              <w:t>1,230,099</w:t>
            </w:r>
          </w:p>
        </w:tc>
        <w:tc>
          <w:tcPr>
            <w:tcW w:w="880" w:type="dxa"/>
            <w:vAlign w:val="bottom"/>
            <w:tcBorders>
              <w:bottom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w w:val="96"/>
              </w:rPr>
              <w:t>17.4%</w:t>
            </w:r>
          </w:p>
        </w:tc>
        <w:tc>
          <w:tcPr>
            <w:tcW w:w="920" w:type="dxa"/>
            <w:vAlign w:val="bottom"/>
            <w:tcBorders>
              <w:bottom w:val="single" w:sz="8" w:color="auto"/>
              <w:right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w w:val="96"/>
              </w:rPr>
              <w:t>12.9%</w:t>
            </w:r>
          </w:p>
        </w:tc>
        <w:tc>
          <w:tcPr>
            <w:tcW w:w="740" w:type="dxa"/>
            <w:vAlign w:val="bottom"/>
            <w:tcBorders>
              <w:bottom w:val="single" w:sz="8" w:color="auto"/>
            </w:tcBorders>
          </w:tcPr>
          <w:p>
            <w:pPr>
              <w:jc w:val="center"/>
              <w:ind w:left="70"/>
              <w:spacing w:after="0" w:line="167" w:lineRule="exact"/>
              <w:rPr>
                <w:sz w:val="20"/>
                <w:szCs w:val="20"/>
                <w:color w:val="auto"/>
              </w:rPr>
            </w:pPr>
            <w:r>
              <w:rPr>
                <w:rFonts w:ascii="Calibri" w:cs="Calibri" w:eastAsia="Calibri" w:hAnsi="Calibri"/>
                <w:sz w:val="14"/>
                <w:szCs w:val="14"/>
                <w:b w:val="1"/>
                <w:bCs w:val="1"/>
                <w:color w:val="auto"/>
                <w:w w:val="98"/>
              </w:rPr>
              <w:t>3,803,203</w:t>
            </w:r>
          </w:p>
        </w:tc>
        <w:tc>
          <w:tcPr>
            <w:tcW w:w="1040" w:type="dxa"/>
            <w:vAlign w:val="bottom"/>
            <w:tcBorders>
              <w:bottom w:val="single" w:sz="8" w:color="auto"/>
              <w:right w:val="single" w:sz="8" w:color="auto"/>
            </w:tcBorders>
          </w:tcPr>
          <w:p>
            <w:pPr>
              <w:jc w:val="center"/>
              <w:ind w:left="50"/>
              <w:spacing w:after="0" w:line="167" w:lineRule="exact"/>
              <w:rPr>
                <w:sz w:val="20"/>
                <w:szCs w:val="20"/>
                <w:color w:val="auto"/>
              </w:rPr>
            </w:pPr>
            <w:r>
              <w:rPr>
                <w:rFonts w:ascii="Calibri" w:cs="Calibri" w:eastAsia="Calibri" w:hAnsi="Calibri"/>
                <w:sz w:val="14"/>
                <w:szCs w:val="14"/>
                <w:b w:val="1"/>
                <w:bCs w:val="1"/>
                <w:color w:val="auto"/>
                <w:w w:val="98"/>
              </w:rPr>
              <w:t>4,183,775</w:t>
            </w:r>
          </w:p>
        </w:tc>
        <w:tc>
          <w:tcPr>
            <w:tcW w:w="1320" w:type="dxa"/>
            <w:vAlign w:val="bottom"/>
            <w:tcBorders>
              <w:bottom w:val="single" w:sz="8" w:color="auto"/>
              <w:right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rPr>
              <w:t>10.0%</w:t>
            </w:r>
          </w:p>
        </w:tc>
      </w:tr>
    </w:tbl>
    <w:p>
      <w:pPr>
        <w:spacing w:after="0" w:line="163"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YTD, Administratve and general expenses rose 10.0%. The increase in operatng expenses was driven by higher expenses at BCP for IT expenses and third-party services, and by disruptve initatves at Credicorp.</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9" w:name="page40"/>
    <w:bookmarkEnd w:id="39"/>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49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44958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36130" cy="2165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317"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FFFFFF"/>
        </w:rPr>
        <w:t>08. Operatng Expenses</w:t>
      </w:r>
    </w:p>
    <w:p>
      <w:pPr>
        <w:spacing w:after="0" w:line="9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Operatng expenses at Core Business and Disrupton </w:t>
      </w:r>
      <w:r>
        <w:rPr>
          <w:rFonts w:ascii="Calibri" w:cs="Calibri" w:eastAsia="Calibri" w:hAnsi="Calibri"/>
          <w:sz w:val="29"/>
          <w:szCs w:val="29"/>
          <w:b w:val="1"/>
          <w:bCs w:val="1"/>
          <w:color w:val="auto"/>
          <w:vertAlign w:val="superscript"/>
        </w:rPr>
        <w:t>(1)</w:t>
      </w:r>
    </w:p>
    <w:tbl>
      <w:tblPr>
        <w:tblLayout w:type="fixed"/>
        <w:tblInd w:w="0" w:type="dxa"/>
        <w:tblCellMar>
          <w:top w:w="0" w:type="dxa"/>
          <w:left w:w="0" w:type="dxa"/>
          <w:bottom w:w="0" w:type="dxa"/>
          <w:right w:w="0" w:type="dxa"/>
        </w:tblCellMar>
      </w:tblPr>
      <w:tr>
        <w:trPr>
          <w:trHeight w:val="126"/>
        </w:trPr>
        <w:tc>
          <w:tcPr>
            <w:tcW w:w="40" w:type="dxa"/>
            <w:vAlign w:val="bottom"/>
            <w:tcBorders>
              <w:top w:val="single" w:sz="8" w:color="646464"/>
              <w:right w:val="single" w:sz="8" w:color="646464"/>
            </w:tcBorders>
            <w:shd w:val="clear" w:color="auto" w:fill="646464"/>
          </w:tcPr>
          <w:p>
            <w:pPr>
              <w:spacing w:after="0"/>
              <w:rPr>
                <w:sz w:val="10"/>
                <w:szCs w:val="10"/>
                <w:color w:val="auto"/>
              </w:rPr>
            </w:pPr>
          </w:p>
        </w:tc>
        <w:tc>
          <w:tcPr>
            <w:tcW w:w="2580" w:type="dxa"/>
            <w:vAlign w:val="bottom"/>
            <w:tcBorders>
              <w:top w:val="single" w:sz="8" w:color="auto"/>
              <w:right w:val="single" w:sz="8" w:color="auto"/>
            </w:tcBorders>
            <w:shd w:val="clear" w:color="auto" w:fill="33CCCC"/>
          </w:tcPr>
          <w:p>
            <w:pPr>
              <w:spacing w:after="0"/>
              <w:rPr>
                <w:sz w:val="20"/>
                <w:szCs w:val="20"/>
                <w:color w:val="auto"/>
              </w:rPr>
            </w:pPr>
            <w:r>
              <w:rPr>
                <w:rFonts w:ascii="Calibri" w:cs="Calibri" w:eastAsia="Calibri" w:hAnsi="Calibri"/>
                <w:sz w:val="10"/>
                <w:szCs w:val="10"/>
                <w:b w:val="1"/>
                <w:bCs w:val="1"/>
                <w:color w:val="FFFFFF"/>
              </w:rPr>
              <w:t>Operatng Expenses</w:t>
            </w:r>
          </w:p>
        </w:tc>
        <w:tc>
          <w:tcPr>
            <w:tcW w:w="1020" w:type="dxa"/>
            <w:vAlign w:val="bottom"/>
            <w:tcBorders>
              <w:top w:val="single" w:sz="8" w:color="auto"/>
            </w:tcBorders>
            <w:shd w:val="clear" w:color="auto" w:fill="33CCCC"/>
          </w:tcPr>
          <w:p>
            <w:pPr>
              <w:spacing w:after="0"/>
              <w:rPr>
                <w:sz w:val="10"/>
                <w:szCs w:val="10"/>
                <w:color w:val="auto"/>
              </w:rPr>
            </w:pPr>
          </w:p>
        </w:tc>
        <w:tc>
          <w:tcPr>
            <w:tcW w:w="1040" w:type="dxa"/>
            <w:vAlign w:val="bottom"/>
            <w:tcBorders>
              <w:top w:val="single" w:sz="8" w:color="auto"/>
            </w:tcBorders>
            <w:shd w:val="clear" w:color="auto" w:fill="33CCCC"/>
          </w:tcPr>
          <w:p>
            <w:pPr>
              <w:ind w:left="360"/>
              <w:spacing w:after="0"/>
              <w:rPr>
                <w:sz w:val="20"/>
                <w:szCs w:val="20"/>
                <w:color w:val="auto"/>
              </w:rPr>
            </w:pPr>
            <w:r>
              <w:rPr>
                <w:rFonts w:ascii="Calibri" w:cs="Calibri" w:eastAsia="Calibri" w:hAnsi="Calibri"/>
                <w:sz w:val="10"/>
                <w:szCs w:val="10"/>
                <w:b w:val="1"/>
                <w:bCs w:val="1"/>
                <w:color w:val="FFFFFF"/>
              </w:rPr>
              <w:t>Quarter</w:t>
            </w:r>
          </w:p>
        </w:tc>
        <w:tc>
          <w:tcPr>
            <w:tcW w:w="1040" w:type="dxa"/>
            <w:vAlign w:val="bottom"/>
            <w:tcBorders>
              <w:top w:val="single" w:sz="8" w:color="auto"/>
              <w:right w:val="single" w:sz="8" w:color="auto"/>
            </w:tcBorders>
            <w:shd w:val="clear" w:color="auto" w:fill="33CCCC"/>
          </w:tcPr>
          <w:p>
            <w:pPr>
              <w:spacing w:after="0"/>
              <w:rPr>
                <w:sz w:val="10"/>
                <w:szCs w:val="10"/>
                <w:color w:val="auto"/>
              </w:rPr>
            </w:pPr>
          </w:p>
        </w:tc>
        <w:tc>
          <w:tcPr>
            <w:tcW w:w="740" w:type="dxa"/>
            <w:vAlign w:val="bottom"/>
            <w:tcBorders>
              <w:top w:val="single" w:sz="8" w:color="auto"/>
            </w:tcBorders>
            <w:shd w:val="clear" w:color="auto" w:fill="33CCCC"/>
          </w:tcPr>
          <w:p>
            <w:pPr>
              <w:spacing w:after="0"/>
              <w:rPr>
                <w:sz w:val="10"/>
                <w:szCs w:val="10"/>
                <w:color w:val="auto"/>
              </w:rPr>
            </w:pPr>
          </w:p>
        </w:tc>
        <w:tc>
          <w:tcPr>
            <w:tcW w:w="132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0"/>
                <w:szCs w:val="10"/>
                <w:b w:val="1"/>
                <w:bCs w:val="1"/>
                <w:color w:val="FFFFFF"/>
              </w:rPr>
              <w:t>% change</w:t>
            </w:r>
          </w:p>
        </w:tc>
        <w:tc>
          <w:tcPr>
            <w:tcW w:w="820" w:type="dxa"/>
            <w:vAlign w:val="bottom"/>
            <w:tcBorders>
              <w:top w:val="single" w:sz="8" w:color="auto"/>
            </w:tcBorders>
            <w:shd w:val="clear" w:color="auto" w:fill="33CCCC"/>
          </w:tcPr>
          <w:p>
            <w:pPr>
              <w:spacing w:after="0"/>
              <w:rPr>
                <w:sz w:val="10"/>
                <w:szCs w:val="10"/>
                <w:color w:val="auto"/>
              </w:rPr>
            </w:pPr>
          </w:p>
        </w:tc>
        <w:tc>
          <w:tcPr>
            <w:tcW w:w="1240" w:type="dxa"/>
            <w:vAlign w:val="bottom"/>
            <w:tcBorders>
              <w:top w:val="single" w:sz="8" w:color="auto"/>
              <w:right w:val="single" w:sz="8" w:color="auto"/>
            </w:tcBorders>
            <w:shd w:val="clear" w:color="auto" w:fill="33CCCC"/>
          </w:tcPr>
          <w:p>
            <w:pPr>
              <w:ind w:left="100"/>
              <w:spacing w:after="0"/>
              <w:rPr>
                <w:sz w:val="20"/>
                <w:szCs w:val="20"/>
                <w:color w:val="auto"/>
              </w:rPr>
            </w:pPr>
            <w:r>
              <w:rPr>
                <w:rFonts w:ascii="Calibri" w:cs="Calibri" w:eastAsia="Calibri" w:hAnsi="Calibri"/>
                <w:sz w:val="10"/>
                <w:szCs w:val="10"/>
                <w:b w:val="1"/>
                <w:bCs w:val="1"/>
                <w:color w:val="FFFFFF"/>
              </w:rPr>
              <w:t>Year</w:t>
            </w:r>
          </w:p>
        </w:tc>
        <w:tc>
          <w:tcPr>
            <w:tcW w:w="1400" w:type="dxa"/>
            <w:vAlign w:val="bottom"/>
            <w:tcBorders>
              <w:top w:val="single" w:sz="8" w:color="auto"/>
              <w:right w:val="single" w:sz="8" w:color="auto"/>
            </w:tcBorders>
            <w:shd w:val="clear" w:color="auto" w:fill="33CCCC"/>
          </w:tcPr>
          <w:p>
            <w:pPr>
              <w:ind w:left="480"/>
              <w:spacing w:after="0"/>
              <w:rPr>
                <w:sz w:val="20"/>
                <w:szCs w:val="20"/>
                <w:color w:val="auto"/>
              </w:rPr>
            </w:pPr>
            <w:r>
              <w:rPr>
                <w:rFonts w:ascii="Calibri" w:cs="Calibri" w:eastAsia="Calibri" w:hAnsi="Calibri"/>
                <w:sz w:val="10"/>
                <w:szCs w:val="10"/>
                <w:b w:val="1"/>
                <w:bCs w:val="1"/>
                <w:color w:val="FFFFFF"/>
              </w:rPr>
              <w:t>% change</w:t>
            </w:r>
          </w:p>
        </w:tc>
      </w:tr>
      <w:tr>
        <w:trPr>
          <w:trHeight w:val="127"/>
        </w:trPr>
        <w:tc>
          <w:tcPr>
            <w:tcW w:w="40" w:type="dxa"/>
            <w:vAlign w:val="bottom"/>
            <w:tcBorders>
              <w:right w:val="single" w:sz="8" w:color="auto"/>
            </w:tcBorders>
          </w:tcPr>
          <w:p>
            <w:pPr>
              <w:spacing w:after="0"/>
              <w:rPr>
                <w:sz w:val="11"/>
                <w:szCs w:val="11"/>
                <w:color w:val="auto"/>
              </w:rPr>
            </w:pPr>
          </w:p>
        </w:tc>
        <w:tc>
          <w:tcPr>
            <w:tcW w:w="2580" w:type="dxa"/>
            <w:vAlign w:val="bottom"/>
            <w:tcBorders>
              <w:bottom w:val="single" w:sz="8" w:color="auto"/>
              <w:right w:val="single" w:sz="8" w:color="auto"/>
            </w:tcBorders>
            <w:shd w:val="clear" w:color="auto" w:fill="33CCCC"/>
          </w:tcPr>
          <w:p>
            <w:pPr>
              <w:spacing w:after="0"/>
              <w:rPr>
                <w:sz w:val="20"/>
                <w:szCs w:val="20"/>
                <w:color w:val="auto"/>
              </w:rPr>
            </w:pPr>
            <w:r>
              <w:rPr>
                <w:rFonts w:ascii="Calibri" w:cs="Calibri" w:eastAsia="Calibri" w:hAnsi="Calibri"/>
                <w:sz w:val="10"/>
                <w:szCs w:val="10"/>
                <w:b w:val="1"/>
                <w:bCs w:val="1"/>
                <w:color w:val="FFFFFF"/>
              </w:rPr>
              <w:t>S/000</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9"/>
              </w:rPr>
              <w:t>4Q23</w:t>
            </w:r>
          </w:p>
        </w:tc>
        <w:tc>
          <w:tcPr>
            <w:tcW w:w="104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3Q24</w:t>
            </w:r>
          </w:p>
        </w:tc>
        <w:tc>
          <w:tcPr>
            <w:tcW w:w="10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w w:val="99"/>
              </w:rPr>
              <w:t>4Q24</w:t>
            </w:r>
          </w:p>
        </w:tc>
        <w:tc>
          <w:tcPr>
            <w:tcW w:w="740" w:type="dxa"/>
            <w:vAlign w:val="bottom"/>
            <w:tcBorders>
              <w:bottom w:val="single" w:sz="8" w:color="auto"/>
            </w:tcBorders>
            <w:shd w:val="clear" w:color="auto" w:fill="33CCCC"/>
          </w:tcPr>
          <w:p>
            <w:pPr>
              <w:ind w:left="420"/>
              <w:spacing w:after="0"/>
              <w:rPr>
                <w:sz w:val="20"/>
                <w:szCs w:val="20"/>
                <w:color w:val="auto"/>
              </w:rPr>
            </w:pPr>
            <w:r>
              <w:rPr>
                <w:rFonts w:ascii="Calibri" w:cs="Calibri" w:eastAsia="Calibri" w:hAnsi="Calibri"/>
                <w:sz w:val="10"/>
                <w:szCs w:val="10"/>
                <w:b w:val="1"/>
                <w:bCs w:val="1"/>
                <w:color w:val="FFFFFF"/>
              </w:rPr>
              <w:t>QoQ</w:t>
            </w:r>
          </w:p>
        </w:tc>
        <w:tc>
          <w:tcPr>
            <w:tcW w:w="1320" w:type="dxa"/>
            <w:vAlign w:val="bottom"/>
            <w:tcBorders>
              <w:bottom w:val="single" w:sz="8" w:color="auto"/>
              <w:right w:val="single" w:sz="8" w:color="auto"/>
            </w:tcBorders>
            <w:shd w:val="clear" w:color="auto" w:fill="33CCCC"/>
          </w:tcPr>
          <w:p>
            <w:pPr>
              <w:ind w:left="720"/>
              <w:spacing w:after="0"/>
              <w:rPr>
                <w:sz w:val="20"/>
                <w:szCs w:val="20"/>
                <w:color w:val="auto"/>
              </w:rPr>
            </w:pPr>
            <w:r>
              <w:rPr>
                <w:rFonts w:ascii="Calibri" w:cs="Calibri" w:eastAsia="Calibri" w:hAnsi="Calibri"/>
                <w:sz w:val="10"/>
                <w:szCs w:val="10"/>
                <w:b w:val="1"/>
                <w:bCs w:val="1"/>
                <w:color w:val="FFFFFF"/>
              </w:rPr>
              <w:t>YoY</w:t>
            </w:r>
          </w:p>
        </w:tc>
        <w:tc>
          <w:tcPr>
            <w:tcW w:w="820" w:type="dxa"/>
            <w:vAlign w:val="bottom"/>
            <w:tcBorders>
              <w:bottom w:val="single" w:sz="8" w:color="auto"/>
            </w:tcBorders>
            <w:shd w:val="clear" w:color="auto" w:fill="33CCCC"/>
          </w:tcPr>
          <w:p>
            <w:pPr>
              <w:jc w:val="center"/>
              <w:ind w:left="148"/>
              <w:spacing w:after="0"/>
              <w:rPr>
                <w:sz w:val="20"/>
                <w:szCs w:val="20"/>
                <w:color w:val="auto"/>
              </w:rPr>
            </w:pPr>
            <w:r>
              <w:rPr>
                <w:rFonts w:ascii="Calibri" w:cs="Calibri" w:eastAsia="Calibri" w:hAnsi="Calibri"/>
                <w:sz w:val="10"/>
                <w:szCs w:val="10"/>
                <w:b w:val="1"/>
                <w:bCs w:val="1"/>
                <w:color w:val="FFFFFF"/>
              </w:rPr>
              <w:t>2023</w:t>
            </w:r>
          </w:p>
        </w:tc>
        <w:tc>
          <w:tcPr>
            <w:tcW w:w="1240" w:type="dxa"/>
            <w:vAlign w:val="bottom"/>
            <w:tcBorders>
              <w:bottom w:val="single" w:sz="8" w:color="auto"/>
              <w:right w:val="single" w:sz="8" w:color="auto"/>
            </w:tcBorders>
            <w:shd w:val="clear" w:color="auto" w:fill="33CCCC"/>
          </w:tcPr>
          <w:p>
            <w:pPr>
              <w:jc w:val="center"/>
              <w:ind w:left="108"/>
              <w:spacing w:after="0"/>
              <w:rPr>
                <w:sz w:val="20"/>
                <w:szCs w:val="20"/>
                <w:color w:val="auto"/>
              </w:rPr>
            </w:pPr>
            <w:r>
              <w:rPr>
                <w:rFonts w:ascii="Calibri" w:cs="Calibri" w:eastAsia="Calibri" w:hAnsi="Calibri"/>
                <w:sz w:val="10"/>
                <w:szCs w:val="10"/>
                <w:b w:val="1"/>
                <w:bCs w:val="1"/>
                <w:color w:val="FFFFFF"/>
                <w:w w:val="98"/>
              </w:rPr>
              <w:t>2024</w:t>
            </w:r>
          </w:p>
        </w:tc>
        <w:tc>
          <w:tcPr>
            <w:tcW w:w="14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0"/>
                <w:szCs w:val="10"/>
                <w:b w:val="1"/>
                <w:bCs w:val="1"/>
                <w:color w:val="FFFFFF"/>
              </w:rPr>
              <w:t>2024 / 2023</w:t>
            </w:r>
          </w:p>
        </w:tc>
      </w:tr>
      <w:tr>
        <w:trPr>
          <w:trHeight w:val="121"/>
        </w:trPr>
        <w:tc>
          <w:tcPr>
            <w:tcW w:w="4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tcPr>
          <w:p>
            <w:pPr>
              <w:spacing w:after="0"/>
              <w:rPr>
                <w:sz w:val="20"/>
                <w:szCs w:val="20"/>
                <w:color w:val="auto"/>
              </w:rPr>
            </w:pPr>
            <w:r>
              <w:rPr>
                <w:rFonts w:ascii="Calibri" w:cs="Calibri" w:eastAsia="Calibri" w:hAnsi="Calibri"/>
                <w:sz w:val="10"/>
                <w:szCs w:val="10"/>
                <w:color w:val="auto"/>
              </w:rPr>
              <w:t>Core Business BCP</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1,359,738</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1,316,399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1,536,314</w:t>
            </w:r>
          </w:p>
        </w:tc>
        <w:tc>
          <w:tcPr>
            <w:tcW w:w="740" w:type="dxa"/>
            <w:vAlign w:val="bottom"/>
          </w:tcPr>
          <w:p>
            <w:pPr>
              <w:jc w:val="center"/>
              <w:ind w:left="228"/>
              <w:spacing w:after="0"/>
              <w:rPr>
                <w:sz w:val="20"/>
                <w:szCs w:val="20"/>
                <w:color w:val="auto"/>
              </w:rPr>
            </w:pPr>
            <w:r>
              <w:rPr>
                <w:rFonts w:ascii="Calibri" w:cs="Calibri" w:eastAsia="Calibri" w:hAnsi="Calibri"/>
                <w:sz w:val="10"/>
                <w:szCs w:val="10"/>
                <w:color w:val="auto"/>
              </w:rPr>
              <w:t>16.7%</w:t>
            </w:r>
          </w:p>
        </w:tc>
        <w:tc>
          <w:tcPr>
            <w:tcW w:w="132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color w:val="auto"/>
              </w:rPr>
              <w:t>13.0%</w:t>
            </w:r>
          </w:p>
        </w:tc>
        <w:tc>
          <w:tcPr>
            <w:tcW w:w="820" w:type="dxa"/>
            <w:vAlign w:val="bottom"/>
          </w:tcPr>
          <w:p>
            <w:pPr>
              <w:jc w:val="center"/>
              <w:ind w:left="148"/>
              <w:spacing w:after="0"/>
              <w:rPr>
                <w:sz w:val="20"/>
                <w:szCs w:val="20"/>
                <w:color w:val="auto"/>
              </w:rPr>
            </w:pPr>
            <w:r>
              <w:rPr>
                <w:rFonts w:ascii="Calibri" w:cs="Calibri" w:eastAsia="Calibri" w:hAnsi="Calibri"/>
                <w:sz w:val="10"/>
                <w:szCs w:val="10"/>
                <w:color w:val="auto"/>
              </w:rPr>
              <w:t>4,901,001</w:t>
            </w:r>
          </w:p>
        </w:tc>
        <w:tc>
          <w:tcPr>
            <w:tcW w:w="124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5,357,641</w:t>
            </w:r>
          </w:p>
        </w:tc>
        <w:tc>
          <w:tcPr>
            <w:tcW w:w="14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9.3%</w:t>
            </w:r>
          </w:p>
        </w:tc>
      </w:tr>
      <w:tr>
        <w:trPr>
          <w:trHeight w:val="125"/>
        </w:trPr>
        <w:tc>
          <w:tcPr>
            <w:tcW w:w="4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tcPr>
          <w:p>
            <w:pPr>
              <w:spacing w:after="0"/>
              <w:rPr>
                <w:sz w:val="20"/>
                <w:szCs w:val="20"/>
                <w:color w:val="auto"/>
              </w:rPr>
            </w:pPr>
            <w:r>
              <w:rPr>
                <w:rFonts w:ascii="Calibri" w:cs="Calibri" w:eastAsia="Calibri" w:hAnsi="Calibri"/>
                <w:sz w:val="10"/>
                <w:szCs w:val="10"/>
                <w:color w:val="auto"/>
              </w:rPr>
              <w:t>Core Business Mibanco</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149,437</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315,089</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313,667</w:t>
            </w:r>
          </w:p>
        </w:tc>
        <w:tc>
          <w:tcPr>
            <w:tcW w:w="740" w:type="dxa"/>
            <w:vAlign w:val="bottom"/>
          </w:tcPr>
          <w:p>
            <w:pPr>
              <w:jc w:val="center"/>
              <w:ind w:left="248"/>
              <w:spacing w:after="0"/>
              <w:rPr>
                <w:sz w:val="20"/>
                <w:szCs w:val="20"/>
                <w:color w:val="auto"/>
              </w:rPr>
            </w:pPr>
            <w:r>
              <w:rPr>
                <w:rFonts w:ascii="Calibri" w:cs="Calibri" w:eastAsia="Calibri" w:hAnsi="Calibri"/>
                <w:sz w:val="10"/>
                <w:szCs w:val="10"/>
                <w:color w:val="auto"/>
              </w:rPr>
              <w:t>-0.5%</w:t>
            </w:r>
          </w:p>
        </w:tc>
        <w:tc>
          <w:tcPr>
            <w:tcW w:w="1320" w:type="dxa"/>
            <w:vAlign w:val="bottom"/>
            <w:tcBorders>
              <w:right w:val="single" w:sz="8" w:color="auto"/>
            </w:tcBorders>
          </w:tcPr>
          <w:p>
            <w:pPr>
              <w:jc w:val="center"/>
              <w:ind w:left="228"/>
              <w:spacing w:after="0"/>
              <w:rPr>
                <w:sz w:val="20"/>
                <w:szCs w:val="20"/>
                <w:color w:val="auto"/>
              </w:rPr>
            </w:pPr>
            <w:r>
              <w:rPr>
                <w:rFonts w:ascii="Calibri" w:cs="Calibri" w:eastAsia="Calibri" w:hAnsi="Calibri"/>
                <w:sz w:val="10"/>
                <w:szCs w:val="10"/>
                <w:color w:val="auto"/>
              </w:rPr>
              <w:t>109.9%</w:t>
            </w:r>
          </w:p>
        </w:tc>
        <w:tc>
          <w:tcPr>
            <w:tcW w:w="820" w:type="dxa"/>
            <w:vAlign w:val="bottom"/>
          </w:tcPr>
          <w:p>
            <w:pPr>
              <w:jc w:val="center"/>
              <w:ind w:left="148"/>
              <w:spacing w:after="0"/>
              <w:rPr>
                <w:sz w:val="20"/>
                <w:szCs w:val="20"/>
                <w:color w:val="auto"/>
              </w:rPr>
            </w:pPr>
            <w:r>
              <w:rPr>
                <w:rFonts w:ascii="Calibri" w:cs="Calibri" w:eastAsia="Calibri" w:hAnsi="Calibri"/>
                <w:sz w:val="10"/>
                <w:szCs w:val="10"/>
                <w:color w:val="auto"/>
              </w:rPr>
              <w:t>1,200,445</w:t>
            </w:r>
          </w:p>
        </w:tc>
        <w:tc>
          <w:tcPr>
            <w:tcW w:w="124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1,228,873</w:t>
            </w:r>
          </w:p>
        </w:tc>
        <w:tc>
          <w:tcPr>
            <w:tcW w:w="14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2.4%</w:t>
            </w:r>
          </w:p>
        </w:tc>
      </w:tr>
      <w:tr>
        <w:trPr>
          <w:trHeight w:val="129"/>
        </w:trPr>
        <w:tc>
          <w:tcPr>
            <w:tcW w:w="40" w:type="dxa"/>
            <w:vAlign w:val="bottom"/>
            <w:tcBorders>
              <w:right w:val="single" w:sz="8" w:color="auto"/>
            </w:tcBorders>
          </w:tcPr>
          <w:p>
            <w:pPr>
              <w:spacing w:after="0"/>
              <w:rPr>
                <w:sz w:val="11"/>
                <w:szCs w:val="11"/>
                <w:color w:val="auto"/>
              </w:rPr>
            </w:pPr>
          </w:p>
        </w:tc>
        <w:tc>
          <w:tcPr>
            <w:tcW w:w="2580" w:type="dxa"/>
            <w:vAlign w:val="bottom"/>
            <w:tcBorders>
              <w:right w:val="single" w:sz="8" w:color="auto"/>
            </w:tcBorders>
          </w:tcPr>
          <w:p>
            <w:pPr>
              <w:spacing w:after="0"/>
              <w:rPr>
                <w:sz w:val="20"/>
                <w:szCs w:val="20"/>
                <w:color w:val="auto"/>
              </w:rPr>
            </w:pPr>
            <w:r>
              <w:rPr>
                <w:rFonts w:ascii="Calibri" w:cs="Calibri" w:eastAsia="Calibri" w:hAnsi="Calibri"/>
                <w:sz w:val="10"/>
                <w:szCs w:val="10"/>
                <w:color w:val="auto"/>
              </w:rPr>
              <w:t>Core Business Pacifco</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85,485</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64,306</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84,896</w:t>
            </w:r>
          </w:p>
        </w:tc>
        <w:tc>
          <w:tcPr>
            <w:tcW w:w="740" w:type="dxa"/>
            <w:vAlign w:val="bottom"/>
          </w:tcPr>
          <w:p>
            <w:pPr>
              <w:jc w:val="center"/>
              <w:ind w:left="228"/>
              <w:spacing w:after="0"/>
              <w:rPr>
                <w:sz w:val="20"/>
                <w:szCs w:val="20"/>
                <w:color w:val="auto"/>
              </w:rPr>
            </w:pPr>
            <w:r>
              <w:rPr>
                <w:rFonts w:ascii="Calibri" w:cs="Calibri" w:eastAsia="Calibri" w:hAnsi="Calibri"/>
                <w:sz w:val="10"/>
                <w:szCs w:val="10"/>
                <w:color w:val="auto"/>
              </w:rPr>
              <w:t>32.0%</w:t>
            </w:r>
          </w:p>
        </w:tc>
        <w:tc>
          <w:tcPr>
            <w:tcW w:w="1320" w:type="dxa"/>
            <w:vAlign w:val="bottom"/>
            <w:tcBorders>
              <w:right w:val="single" w:sz="8" w:color="auto"/>
            </w:tcBorders>
          </w:tcPr>
          <w:p>
            <w:pPr>
              <w:jc w:val="center"/>
              <w:ind w:left="228"/>
              <w:spacing w:after="0"/>
              <w:rPr>
                <w:sz w:val="20"/>
                <w:szCs w:val="20"/>
                <w:color w:val="auto"/>
              </w:rPr>
            </w:pPr>
            <w:r>
              <w:rPr>
                <w:rFonts w:ascii="Calibri" w:cs="Calibri" w:eastAsia="Calibri" w:hAnsi="Calibri"/>
                <w:sz w:val="10"/>
                <w:szCs w:val="10"/>
                <w:color w:val="auto"/>
              </w:rPr>
              <w:t>-0.7%</w:t>
            </w:r>
          </w:p>
        </w:tc>
        <w:tc>
          <w:tcPr>
            <w:tcW w:w="820" w:type="dxa"/>
            <w:vAlign w:val="bottom"/>
          </w:tcPr>
          <w:p>
            <w:pPr>
              <w:jc w:val="center"/>
              <w:ind w:left="148"/>
              <w:spacing w:after="0"/>
              <w:rPr>
                <w:sz w:val="20"/>
                <w:szCs w:val="20"/>
                <w:color w:val="auto"/>
              </w:rPr>
            </w:pPr>
            <w:r>
              <w:rPr>
                <w:rFonts w:ascii="Calibri" w:cs="Calibri" w:eastAsia="Calibri" w:hAnsi="Calibri"/>
                <w:sz w:val="10"/>
                <w:szCs w:val="10"/>
                <w:color w:val="auto"/>
              </w:rPr>
              <w:t>301,816</w:t>
            </w:r>
          </w:p>
        </w:tc>
        <w:tc>
          <w:tcPr>
            <w:tcW w:w="124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300,773</w:t>
            </w:r>
          </w:p>
        </w:tc>
        <w:tc>
          <w:tcPr>
            <w:tcW w:w="14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-0.3%</w:t>
            </w:r>
          </w:p>
        </w:tc>
      </w:tr>
      <w:tr>
        <w:trPr>
          <w:trHeight w:val="131"/>
        </w:trPr>
        <w:tc>
          <w:tcPr>
            <w:tcW w:w="40" w:type="dxa"/>
            <w:vAlign w:val="bottom"/>
            <w:tcBorders>
              <w:right w:val="single" w:sz="8" w:color="auto"/>
            </w:tcBorders>
          </w:tcPr>
          <w:p>
            <w:pPr>
              <w:spacing w:after="0"/>
              <w:rPr>
                <w:sz w:val="11"/>
                <w:szCs w:val="11"/>
                <w:color w:val="auto"/>
              </w:rPr>
            </w:pPr>
          </w:p>
        </w:tc>
        <w:tc>
          <w:tcPr>
            <w:tcW w:w="2580" w:type="dxa"/>
            <w:vAlign w:val="bottom"/>
            <w:tcBorders>
              <w:right w:val="single" w:sz="8" w:color="auto"/>
            </w:tcBorders>
          </w:tcPr>
          <w:p>
            <w:pPr>
              <w:spacing w:after="0" w:line="132" w:lineRule="exact"/>
              <w:rPr>
                <w:sz w:val="20"/>
                <w:szCs w:val="20"/>
                <w:color w:val="auto"/>
              </w:rPr>
            </w:pPr>
            <w:r>
              <w:rPr>
                <w:rFonts w:ascii="Calibri" w:cs="Calibri" w:eastAsia="Calibri" w:hAnsi="Calibri"/>
                <w:sz w:val="9"/>
                <w:szCs w:val="9"/>
                <w:color w:val="auto"/>
              </w:rPr>
              <w:t xml:space="preserve">Disrupton </w:t>
            </w:r>
            <w:r>
              <w:rPr>
                <w:rFonts w:ascii="Calibri" w:cs="Calibri" w:eastAsia="Calibri" w:hAnsi="Calibri"/>
                <w:sz w:val="14"/>
                <w:szCs w:val="14"/>
                <w:color w:val="auto"/>
                <w:vertAlign w:val="superscript"/>
              </w:rPr>
              <w:t>(2)</w:t>
            </w:r>
          </w:p>
        </w:tc>
        <w:tc>
          <w:tcPr>
            <w:tcW w:w="1020" w:type="dxa"/>
            <w:vAlign w:val="bottom"/>
          </w:tcPr>
          <w:p>
            <w:pPr>
              <w:jc w:val="center"/>
              <w:spacing w:after="0"/>
              <w:rPr>
                <w:sz w:val="20"/>
                <w:szCs w:val="20"/>
                <w:color w:val="auto"/>
              </w:rPr>
            </w:pPr>
            <w:r>
              <w:rPr>
                <w:rFonts w:ascii="Calibri" w:cs="Calibri" w:eastAsia="Calibri" w:hAnsi="Calibri"/>
                <w:sz w:val="10"/>
                <w:szCs w:val="10"/>
                <w:color w:val="auto"/>
              </w:rPr>
              <w:t>331,673</w:t>
            </w:r>
          </w:p>
        </w:tc>
        <w:tc>
          <w:tcPr>
            <w:tcW w:w="1040" w:type="dxa"/>
            <w:vAlign w:val="bottom"/>
          </w:tcPr>
          <w:p>
            <w:pPr>
              <w:jc w:val="center"/>
              <w:spacing w:after="0"/>
              <w:rPr>
                <w:sz w:val="20"/>
                <w:szCs w:val="20"/>
                <w:color w:val="auto"/>
              </w:rPr>
            </w:pPr>
            <w:r>
              <w:rPr>
                <w:rFonts w:ascii="Calibri" w:cs="Calibri" w:eastAsia="Calibri" w:hAnsi="Calibri"/>
                <w:sz w:val="10"/>
                <w:szCs w:val="10"/>
                <w:color w:val="auto"/>
              </w:rPr>
              <w:t>295,848</w:t>
            </w:r>
          </w:p>
        </w:tc>
        <w:tc>
          <w:tcPr>
            <w:tcW w:w="10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416,970</w:t>
            </w:r>
          </w:p>
        </w:tc>
        <w:tc>
          <w:tcPr>
            <w:tcW w:w="740" w:type="dxa"/>
            <w:vAlign w:val="bottom"/>
          </w:tcPr>
          <w:p>
            <w:pPr>
              <w:jc w:val="center"/>
              <w:ind w:left="228"/>
              <w:spacing w:after="0"/>
              <w:rPr>
                <w:sz w:val="20"/>
                <w:szCs w:val="20"/>
                <w:color w:val="auto"/>
              </w:rPr>
            </w:pPr>
            <w:r>
              <w:rPr>
                <w:rFonts w:ascii="Calibri" w:cs="Calibri" w:eastAsia="Calibri" w:hAnsi="Calibri"/>
                <w:sz w:val="10"/>
                <w:szCs w:val="10"/>
                <w:color w:val="auto"/>
              </w:rPr>
              <w:t>40.9%</w:t>
            </w:r>
          </w:p>
        </w:tc>
        <w:tc>
          <w:tcPr>
            <w:tcW w:w="1320" w:type="dxa"/>
            <w:vAlign w:val="bottom"/>
            <w:tcBorders>
              <w:right w:val="single" w:sz="8" w:color="auto"/>
            </w:tcBorders>
          </w:tcPr>
          <w:p>
            <w:pPr>
              <w:jc w:val="center"/>
              <w:ind w:left="208"/>
              <w:spacing w:after="0"/>
              <w:rPr>
                <w:sz w:val="20"/>
                <w:szCs w:val="20"/>
                <w:color w:val="auto"/>
              </w:rPr>
            </w:pPr>
            <w:r>
              <w:rPr>
                <w:rFonts w:ascii="Calibri" w:cs="Calibri" w:eastAsia="Calibri" w:hAnsi="Calibri"/>
                <w:sz w:val="10"/>
                <w:szCs w:val="10"/>
                <w:color w:val="auto"/>
              </w:rPr>
              <w:t>25.7%</w:t>
            </w:r>
          </w:p>
        </w:tc>
        <w:tc>
          <w:tcPr>
            <w:tcW w:w="820" w:type="dxa"/>
            <w:vAlign w:val="bottom"/>
          </w:tcPr>
          <w:p>
            <w:pPr>
              <w:jc w:val="center"/>
              <w:ind w:left="148"/>
              <w:spacing w:after="0"/>
              <w:rPr>
                <w:sz w:val="20"/>
                <w:szCs w:val="20"/>
                <w:color w:val="auto"/>
              </w:rPr>
            </w:pPr>
            <w:r>
              <w:rPr>
                <w:rFonts w:ascii="Calibri" w:cs="Calibri" w:eastAsia="Calibri" w:hAnsi="Calibri"/>
                <w:sz w:val="10"/>
                <w:szCs w:val="10"/>
                <w:color w:val="auto"/>
              </w:rPr>
              <w:t>976,598</w:t>
            </w:r>
          </w:p>
        </w:tc>
        <w:tc>
          <w:tcPr>
            <w:tcW w:w="1240" w:type="dxa"/>
            <w:vAlign w:val="bottom"/>
            <w:tcBorders>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1,243,401</w:t>
            </w:r>
          </w:p>
        </w:tc>
        <w:tc>
          <w:tcPr>
            <w:tcW w:w="140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27.3%</w:t>
            </w:r>
          </w:p>
        </w:tc>
      </w:tr>
      <w:tr>
        <w:trPr>
          <w:trHeight w:val="147"/>
        </w:trPr>
        <w:tc>
          <w:tcPr>
            <w:tcW w:w="40" w:type="dxa"/>
            <w:vAlign w:val="bottom"/>
            <w:tcBorders>
              <w:right w:val="single" w:sz="8" w:color="auto"/>
            </w:tcBorders>
          </w:tcPr>
          <w:p>
            <w:pPr>
              <w:spacing w:after="0"/>
              <w:rPr>
                <w:sz w:val="12"/>
                <w:szCs w:val="12"/>
                <w:color w:val="auto"/>
              </w:rPr>
            </w:pPr>
          </w:p>
        </w:tc>
        <w:tc>
          <w:tcPr>
            <w:tcW w:w="2580" w:type="dxa"/>
            <w:vAlign w:val="bottom"/>
            <w:tcBorders>
              <w:bottom w:val="single" w:sz="8" w:color="auto"/>
              <w:right w:val="single" w:sz="8" w:color="auto"/>
            </w:tcBorders>
          </w:tcPr>
          <w:p>
            <w:pPr>
              <w:spacing w:after="0" w:line="147" w:lineRule="exact"/>
              <w:rPr>
                <w:sz w:val="20"/>
                <w:szCs w:val="20"/>
                <w:color w:val="auto"/>
              </w:rPr>
            </w:pPr>
            <w:r>
              <w:rPr>
                <w:rFonts w:ascii="Calibri" w:cs="Calibri" w:eastAsia="Calibri" w:hAnsi="Calibri"/>
                <w:sz w:val="10"/>
                <w:szCs w:val="10"/>
                <w:color w:val="auto"/>
              </w:rPr>
              <w:t xml:space="preserve">Others </w:t>
            </w:r>
            <w:r>
              <w:rPr>
                <w:rFonts w:ascii="Calibri" w:cs="Calibri" w:eastAsia="Calibri" w:hAnsi="Calibri"/>
                <w:sz w:val="16"/>
                <w:szCs w:val="16"/>
                <w:color w:val="auto"/>
                <w:vertAlign w:val="superscript"/>
              </w:rPr>
              <w:t>(3)</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469,355</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color w:val="auto"/>
              </w:rPr>
              <w:t>397,619</w:t>
            </w:r>
          </w:p>
        </w:tc>
        <w:tc>
          <w:tcPr>
            <w:tcW w:w="10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340,263</w:t>
            </w:r>
          </w:p>
        </w:tc>
        <w:tc>
          <w:tcPr>
            <w:tcW w:w="740" w:type="dxa"/>
            <w:vAlign w:val="bottom"/>
            <w:tcBorders>
              <w:bottom w:val="single" w:sz="8" w:color="auto"/>
            </w:tcBorders>
          </w:tcPr>
          <w:p>
            <w:pPr>
              <w:jc w:val="center"/>
              <w:ind w:left="228"/>
              <w:spacing w:after="0"/>
              <w:rPr>
                <w:sz w:val="20"/>
                <w:szCs w:val="20"/>
                <w:color w:val="auto"/>
              </w:rPr>
            </w:pPr>
            <w:r>
              <w:rPr>
                <w:rFonts w:ascii="Calibri" w:cs="Calibri" w:eastAsia="Calibri" w:hAnsi="Calibri"/>
                <w:sz w:val="10"/>
                <w:szCs w:val="10"/>
                <w:color w:val="auto"/>
              </w:rPr>
              <w:t>-14.4%</w:t>
            </w:r>
          </w:p>
        </w:tc>
        <w:tc>
          <w:tcPr>
            <w:tcW w:w="1320" w:type="dxa"/>
            <w:vAlign w:val="bottom"/>
            <w:tcBorders>
              <w:bottom w:val="single" w:sz="8" w:color="auto"/>
              <w:right w:val="single" w:sz="8" w:color="auto"/>
            </w:tcBorders>
          </w:tcPr>
          <w:p>
            <w:pPr>
              <w:jc w:val="center"/>
              <w:ind w:left="228"/>
              <w:spacing w:after="0"/>
              <w:rPr>
                <w:sz w:val="20"/>
                <w:szCs w:val="20"/>
                <w:color w:val="auto"/>
              </w:rPr>
            </w:pPr>
            <w:r>
              <w:rPr>
                <w:rFonts w:ascii="Calibri" w:cs="Calibri" w:eastAsia="Calibri" w:hAnsi="Calibri"/>
                <w:sz w:val="10"/>
                <w:szCs w:val="10"/>
                <w:color w:val="auto"/>
              </w:rPr>
              <w:t>-27.5%</w:t>
            </w:r>
          </w:p>
        </w:tc>
        <w:tc>
          <w:tcPr>
            <w:tcW w:w="820" w:type="dxa"/>
            <w:vAlign w:val="bottom"/>
            <w:tcBorders>
              <w:bottom w:val="single" w:sz="8" w:color="auto"/>
            </w:tcBorders>
          </w:tcPr>
          <w:p>
            <w:pPr>
              <w:jc w:val="center"/>
              <w:ind w:left="148"/>
              <w:spacing w:after="0"/>
              <w:rPr>
                <w:sz w:val="20"/>
                <w:szCs w:val="20"/>
                <w:color w:val="auto"/>
              </w:rPr>
            </w:pPr>
            <w:r>
              <w:rPr>
                <w:rFonts w:ascii="Calibri" w:cs="Calibri" w:eastAsia="Calibri" w:hAnsi="Calibri"/>
                <w:sz w:val="10"/>
                <w:szCs w:val="10"/>
                <w:color w:val="auto"/>
              </w:rPr>
              <w:t>1,400,900</w:t>
            </w:r>
          </w:p>
        </w:tc>
        <w:tc>
          <w:tcPr>
            <w:tcW w:w="1240" w:type="dxa"/>
            <w:vAlign w:val="bottom"/>
            <w:tcBorders>
              <w:bottom w:val="single" w:sz="8" w:color="auto"/>
              <w:right w:val="single" w:sz="8" w:color="auto"/>
            </w:tcBorders>
          </w:tcPr>
          <w:p>
            <w:pPr>
              <w:jc w:val="center"/>
              <w:ind w:left="128"/>
              <w:spacing w:after="0"/>
              <w:rPr>
                <w:sz w:val="20"/>
                <w:szCs w:val="20"/>
                <w:color w:val="auto"/>
              </w:rPr>
            </w:pPr>
            <w:r>
              <w:rPr>
                <w:rFonts w:ascii="Calibri" w:cs="Calibri" w:eastAsia="Calibri" w:hAnsi="Calibri"/>
                <w:sz w:val="10"/>
                <w:szCs w:val="10"/>
                <w:color w:val="auto"/>
              </w:rPr>
              <w:t>1,471,261</w:t>
            </w:r>
          </w:p>
        </w:tc>
        <w:tc>
          <w:tcPr>
            <w:tcW w:w="14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5.0%</w:t>
            </w:r>
          </w:p>
        </w:tc>
      </w:tr>
      <w:tr>
        <w:trPr>
          <w:trHeight w:val="121"/>
        </w:trPr>
        <w:tc>
          <w:tcPr>
            <w:tcW w:w="40" w:type="dxa"/>
            <w:vAlign w:val="bottom"/>
            <w:tcBorders>
              <w:right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line="121" w:lineRule="exact"/>
              <w:rPr>
                <w:sz w:val="20"/>
                <w:szCs w:val="20"/>
                <w:color w:val="auto"/>
              </w:rPr>
            </w:pPr>
            <w:r>
              <w:rPr>
                <w:rFonts w:ascii="Calibri" w:cs="Calibri" w:eastAsia="Calibri" w:hAnsi="Calibri"/>
                <w:sz w:val="10"/>
                <w:szCs w:val="10"/>
                <w:b w:val="1"/>
                <w:bCs w:val="1"/>
                <w:color w:val="auto"/>
              </w:rPr>
              <w:t>Total</w:t>
            </w:r>
          </w:p>
        </w:tc>
        <w:tc>
          <w:tcPr>
            <w:tcW w:w="102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2,395,688</w:t>
            </w:r>
          </w:p>
        </w:tc>
        <w:tc>
          <w:tcPr>
            <w:tcW w:w="1040" w:type="dxa"/>
            <w:vAlign w:val="bottom"/>
            <w:tcBorders>
              <w:bottom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2,389,261</w:t>
            </w:r>
          </w:p>
        </w:tc>
        <w:tc>
          <w:tcPr>
            <w:tcW w:w="104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2,692,110</w:t>
            </w:r>
          </w:p>
        </w:tc>
        <w:tc>
          <w:tcPr>
            <w:tcW w:w="740" w:type="dxa"/>
            <w:vAlign w:val="bottom"/>
            <w:tcBorders>
              <w:bottom w:val="single" w:sz="8" w:color="auto"/>
            </w:tcBorders>
          </w:tcPr>
          <w:p>
            <w:pPr>
              <w:jc w:val="center"/>
              <w:ind w:left="228"/>
              <w:spacing w:after="0" w:line="121" w:lineRule="exact"/>
              <w:rPr>
                <w:sz w:val="20"/>
                <w:szCs w:val="20"/>
                <w:color w:val="auto"/>
              </w:rPr>
            </w:pPr>
            <w:r>
              <w:rPr>
                <w:rFonts w:ascii="Calibri" w:cs="Calibri" w:eastAsia="Calibri" w:hAnsi="Calibri"/>
                <w:sz w:val="10"/>
                <w:szCs w:val="10"/>
                <w:b w:val="1"/>
                <w:bCs w:val="1"/>
                <w:color w:val="auto"/>
              </w:rPr>
              <w:t>12.7%</w:t>
            </w:r>
          </w:p>
        </w:tc>
        <w:tc>
          <w:tcPr>
            <w:tcW w:w="1320" w:type="dxa"/>
            <w:vAlign w:val="bottom"/>
            <w:tcBorders>
              <w:bottom w:val="single" w:sz="8" w:color="auto"/>
              <w:right w:val="single" w:sz="8" w:color="auto"/>
            </w:tcBorders>
          </w:tcPr>
          <w:p>
            <w:pPr>
              <w:jc w:val="center"/>
              <w:ind w:left="208"/>
              <w:spacing w:after="0" w:line="121" w:lineRule="exact"/>
              <w:rPr>
                <w:sz w:val="20"/>
                <w:szCs w:val="20"/>
                <w:color w:val="auto"/>
              </w:rPr>
            </w:pPr>
            <w:r>
              <w:rPr>
                <w:rFonts w:ascii="Calibri" w:cs="Calibri" w:eastAsia="Calibri" w:hAnsi="Calibri"/>
                <w:sz w:val="10"/>
                <w:szCs w:val="10"/>
                <w:b w:val="1"/>
                <w:bCs w:val="1"/>
                <w:color w:val="auto"/>
              </w:rPr>
              <w:t>12.4%</w:t>
            </w:r>
          </w:p>
        </w:tc>
        <w:tc>
          <w:tcPr>
            <w:tcW w:w="820" w:type="dxa"/>
            <w:vAlign w:val="bottom"/>
            <w:tcBorders>
              <w:bottom w:val="single" w:sz="8" w:color="auto"/>
            </w:tcBorders>
          </w:tcPr>
          <w:p>
            <w:pPr>
              <w:jc w:val="center"/>
              <w:ind w:left="148"/>
              <w:spacing w:after="0" w:line="121" w:lineRule="exact"/>
              <w:rPr>
                <w:sz w:val="20"/>
                <w:szCs w:val="20"/>
                <w:color w:val="auto"/>
              </w:rPr>
            </w:pPr>
            <w:r>
              <w:rPr>
                <w:rFonts w:ascii="Calibri" w:cs="Calibri" w:eastAsia="Calibri" w:hAnsi="Calibri"/>
                <w:sz w:val="10"/>
                <w:szCs w:val="10"/>
                <w:b w:val="1"/>
                <w:bCs w:val="1"/>
                <w:color w:val="auto"/>
              </w:rPr>
              <w:t>8,780,760</w:t>
            </w:r>
          </w:p>
        </w:tc>
        <w:tc>
          <w:tcPr>
            <w:tcW w:w="1240" w:type="dxa"/>
            <w:vAlign w:val="bottom"/>
            <w:tcBorders>
              <w:bottom w:val="single" w:sz="8" w:color="auto"/>
              <w:right w:val="single" w:sz="8" w:color="auto"/>
            </w:tcBorders>
          </w:tcPr>
          <w:p>
            <w:pPr>
              <w:jc w:val="center"/>
              <w:ind w:left="108"/>
              <w:spacing w:after="0" w:line="121" w:lineRule="exact"/>
              <w:rPr>
                <w:sz w:val="20"/>
                <w:szCs w:val="20"/>
                <w:color w:val="auto"/>
              </w:rPr>
            </w:pPr>
            <w:r>
              <w:rPr>
                <w:rFonts w:ascii="Calibri" w:cs="Calibri" w:eastAsia="Calibri" w:hAnsi="Calibri"/>
                <w:sz w:val="10"/>
                <w:szCs w:val="10"/>
                <w:b w:val="1"/>
                <w:bCs w:val="1"/>
                <w:color w:val="auto"/>
              </w:rPr>
              <w:t>9,601,950</w:t>
            </w:r>
          </w:p>
        </w:tc>
        <w:tc>
          <w:tcPr>
            <w:tcW w:w="1400" w:type="dxa"/>
            <w:vAlign w:val="bottom"/>
            <w:tcBorders>
              <w:bottom w:val="single" w:sz="8" w:color="auto"/>
              <w:right w:val="single" w:sz="8" w:color="auto"/>
            </w:tcBorders>
          </w:tcPr>
          <w:p>
            <w:pPr>
              <w:jc w:val="center"/>
              <w:spacing w:after="0" w:line="121" w:lineRule="exact"/>
              <w:rPr>
                <w:sz w:val="20"/>
                <w:szCs w:val="20"/>
                <w:color w:val="auto"/>
              </w:rPr>
            </w:pPr>
            <w:r>
              <w:rPr>
                <w:rFonts w:ascii="Calibri" w:cs="Calibri" w:eastAsia="Calibri" w:hAnsi="Calibri"/>
                <w:sz w:val="10"/>
                <w:szCs w:val="10"/>
                <w:b w:val="1"/>
                <w:bCs w:val="1"/>
                <w:color w:val="auto"/>
              </w:rPr>
              <w:t>9.4%</w:t>
            </w:r>
          </w:p>
        </w:tc>
      </w:tr>
    </w:tbl>
    <w:p>
      <w:pPr>
        <w:ind w:left="240" w:hanging="235"/>
        <w:spacing w:after="0" w:line="214" w:lineRule="auto"/>
        <w:tabs>
          <w:tab w:leader="none" w:pos="240" w:val="left"/>
        </w:tabs>
        <w:numPr>
          <w:ilvl w:val="0"/>
          <w:numId w:val="42"/>
        </w:numPr>
        <w:rPr>
          <w:rFonts w:ascii="Calibri" w:cs="Calibri" w:eastAsia="Calibri" w:hAnsi="Calibri"/>
          <w:sz w:val="11"/>
          <w:szCs w:val="11"/>
          <w:color w:val="auto"/>
        </w:rPr>
      </w:pPr>
      <w:r>
        <w:rPr>
          <w:rFonts w:ascii="Calibri" w:cs="Calibri" w:eastAsia="Calibri" w:hAnsi="Calibri"/>
          <w:sz w:val="11"/>
          <w:szCs w:val="11"/>
          <w:color w:val="auto"/>
        </w:rPr>
        <w:t>Management fgures.</w:t>
      </w:r>
    </w:p>
    <w:p>
      <w:pPr>
        <w:ind w:left="240" w:hanging="235"/>
        <w:spacing w:after="0" w:line="234" w:lineRule="auto"/>
        <w:tabs>
          <w:tab w:leader="none" w:pos="240" w:val="left"/>
        </w:tabs>
        <w:numPr>
          <w:ilvl w:val="0"/>
          <w:numId w:val="42"/>
        </w:numPr>
        <w:rPr>
          <w:rFonts w:ascii="Calibri" w:cs="Calibri" w:eastAsia="Calibri" w:hAnsi="Calibri"/>
          <w:sz w:val="11"/>
          <w:szCs w:val="11"/>
          <w:color w:val="auto"/>
        </w:rPr>
      </w:pPr>
      <w:r>
        <w:rPr>
          <w:rFonts w:ascii="Calibri" w:cs="Calibri" w:eastAsia="Calibri" w:hAnsi="Calibri"/>
          <w:sz w:val="11"/>
          <w:szCs w:val="11"/>
          <w:color w:val="auto"/>
        </w:rPr>
        <w:t>Includes disruptve initatves at the subsidiaries and Krealo.</w:t>
      </w:r>
    </w:p>
    <w:p>
      <w:pPr>
        <w:ind w:left="240" w:hanging="235"/>
        <w:spacing w:after="0" w:line="234" w:lineRule="auto"/>
        <w:tabs>
          <w:tab w:leader="none" w:pos="240" w:val="left"/>
        </w:tabs>
        <w:numPr>
          <w:ilvl w:val="0"/>
          <w:numId w:val="42"/>
        </w:numPr>
        <w:rPr>
          <w:rFonts w:ascii="Calibri" w:cs="Calibri" w:eastAsia="Calibri" w:hAnsi="Calibri"/>
          <w:sz w:val="11"/>
          <w:szCs w:val="11"/>
          <w:color w:val="auto"/>
        </w:rPr>
      </w:pPr>
      <w:r>
        <w:rPr>
          <w:rFonts w:ascii="Calibri" w:cs="Calibri" w:eastAsia="Calibri" w:hAnsi="Calibri"/>
          <w:sz w:val="11"/>
          <w:szCs w:val="11"/>
          <w:color w:val="auto"/>
        </w:rPr>
        <w:t>Includes Credicorp Capital, ASB, Prima, BCP Bolivia, Mibanco Colombia, and other enttes within the Group.</w:t>
      </w:r>
    </w:p>
    <w:p>
      <w:pPr>
        <w:spacing w:after="0" w:line="135" w:lineRule="exact"/>
        <w:rPr>
          <w:sz w:val="20"/>
          <w:szCs w:val="20"/>
          <w:color w:val="auto"/>
        </w:rPr>
      </w:pPr>
    </w:p>
    <w:p>
      <w:pPr>
        <w:ind w:right="500"/>
        <w:spacing w:after="0" w:line="242" w:lineRule="auto"/>
        <w:rPr>
          <w:sz w:val="20"/>
          <w:szCs w:val="20"/>
          <w:color w:val="auto"/>
        </w:rPr>
      </w:pPr>
      <w:r>
        <w:rPr>
          <w:rFonts w:ascii="Calibri" w:cs="Calibri" w:eastAsia="Calibri" w:hAnsi="Calibri"/>
          <w:sz w:val="17"/>
          <w:szCs w:val="17"/>
          <w:color w:val="auto"/>
        </w:rPr>
        <w:t>Operatng expenses were up 9.4% YTD, driven primarily by core business at BCP and by disruptve initatves at Credicorp, which represent 56.0% and 32.7% respectvely of the total rise reported for the period.</w:t>
      </w:r>
    </w:p>
    <w:p>
      <w:pPr>
        <w:spacing w:after="0" w:line="184" w:lineRule="exact"/>
        <w:rPr>
          <w:sz w:val="20"/>
          <w:szCs w:val="20"/>
          <w:color w:val="auto"/>
        </w:rPr>
      </w:pPr>
    </w:p>
    <w:p>
      <w:pPr>
        <w:spacing w:after="0"/>
        <w:rPr>
          <w:sz w:val="20"/>
          <w:szCs w:val="20"/>
          <w:color w:val="auto"/>
        </w:rPr>
      </w:pPr>
      <w:r>
        <w:rPr>
          <w:rFonts w:ascii="Calibri" w:cs="Calibri" w:eastAsia="Calibri" w:hAnsi="Calibri"/>
          <w:sz w:val="17"/>
          <w:szCs w:val="17"/>
          <w:color w:val="auto"/>
        </w:rPr>
        <w:t>Growth in core business expenses at BCP corresponds to:</w:t>
      </w:r>
    </w:p>
    <w:p>
      <w:pPr>
        <w:spacing w:after="0" w:line="212" w:lineRule="exact"/>
        <w:rPr>
          <w:sz w:val="20"/>
          <w:szCs w:val="20"/>
          <w:color w:val="auto"/>
        </w:rPr>
      </w:pPr>
    </w:p>
    <w:p>
      <w:pPr>
        <w:ind w:left="560" w:hanging="240"/>
        <w:spacing w:after="0"/>
        <w:tabs>
          <w:tab w:leader="none" w:pos="560" w:val="left"/>
        </w:tabs>
        <w:numPr>
          <w:ilvl w:val="0"/>
          <w:numId w:val="43"/>
        </w:numPr>
        <w:rPr>
          <w:rFonts w:ascii="Arial" w:cs="Arial" w:eastAsia="Arial" w:hAnsi="Arial"/>
          <w:sz w:val="17"/>
          <w:szCs w:val="17"/>
          <w:b w:val="1"/>
          <w:bCs w:val="1"/>
          <w:color w:val="auto"/>
        </w:rPr>
      </w:pPr>
      <w:r>
        <w:rPr>
          <w:rFonts w:ascii="Calibri" w:cs="Calibri" w:eastAsia="Calibri" w:hAnsi="Calibri"/>
          <w:sz w:val="17"/>
          <w:szCs w:val="17"/>
          <w:b w:val="1"/>
          <w:bCs w:val="1"/>
          <w:color w:val="auto"/>
        </w:rPr>
        <w:t>Core business expenses excluding IT</w:t>
      </w:r>
    </w:p>
    <w:p>
      <w:pPr>
        <w:spacing w:after="0" w:line="35" w:lineRule="exact"/>
        <w:rPr>
          <w:rFonts w:ascii="Arial" w:cs="Arial" w:eastAsia="Arial" w:hAnsi="Arial"/>
          <w:sz w:val="17"/>
          <w:szCs w:val="17"/>
          <w:b w:val="1"/>
          <w:bCs w:val="1"/>
          <w:color w:val="auto"/>
        </w:rPr>
      </w:pPr>
    </w:p>
    <w:p>
      <w:pPr>
        <w:ind w:left="1180" w:right="180" w:hanging="231"/>
        <w:spacing w:after="0" w:line="222" w:lineRule="auto"/>
        <w:tabs>
          <w:tab w:leader="none" w:pos="1180" w:val="left"/>
        </w:tabs>
        <w:numPr>
          <w:ilvl w:val="1"/>
          <w:numId w:val="43"/>
        </w:numPr>
        <w:rPr>
          <w:rFonts w:ascii="Arial" w:cs="Arial" w:eastAsia="Arial" w:hAnsi="Arial"/>
          <w:sz w:val="17"/>
          <w:szCs w:val="17"/>
          <w:color w:val="auto"/>
        </w:rPr>
      </w:pPr>
      <w:r>
        <w:rPr>
          <w:rFonts w:ascii="Calibri" w:cs="Calibri" w:eastAsia="Calibri" w:hAnsi="Calibri"/>
          <w:sz w:val="17"/>
          <w:szCs w:val="17"/>
          <w:color w:val="auto"/>
        </w:rPr>
        <w:t>Higher expenses for salaries and employee benefts; this refected an increase in hiring and provisioning for variable compensaton, which went hand-in-hand with an improvement in results.</w:t>
      </w:r>
    </w:p>
    <w:p>
      <w:pPr>
        <w:spacing w:after="0" w:line="2" w:lineRule="exact"/>
        <w:rPr>
          <w:rFonts w:ascii="Arial" w:cs="Arial" w:eastAsia="Arial" w:hAnsi="Arial"/>
          <w:sz w:val="17"/>
          <w:szCs w:val="17"/>
          <w:color w:val="auto"/>
        </w:rPr>
      </w:pPr>
    </w:p>
    <w:p>
      <w:pPr>
        <w:ind w:left="560" w:hanging="240"/>
        <w:spacing w:after="0"/>
        <w:tabs>
          <w:tab w:leader="none" w:pos="560" w:val="left"/>
        </w:tabs>
        <w:numPr>
          <w:ilvl w:val="0"/>
          <w:numId w:val="43"/>
        </w:numPr>
        <w:rPr>
          <w:rFonts w:ascii="Arial" w:cs="Arial" w:eastAsia="Arial" w:hAnsi="Arial"/>
          <w:sz w:val="17"/>
          <w:szCs w:val="17"/>
          <w:b w:val="1"/>
          <w:bCs w:val="1"/>
          <w:color w:val="auto"/>
        </w:rPr>
      </w:pPr>
      <w:r>
        <w:rPr>
          <w:rFonts w:ascii="Calibri" w:cs="Calibri" w:eastAsia="Calibri" w:hAnsi="Calibri"/>
          <w:sz w:val="17"/>
          <w:szCs w:val="17"/>
          <w:b w:val="1"/>
          <w:bCs w:val="1"/>
          <w:color w:val="auto"/>
        </w:rPr>
        <w:t>Technology Expenses (IT)</w:t>
      </w:r>
    </w:p>
    <w:p>
      <w:pPr>
        <w:spacing w:after="0" w:line="35" w:lineRule="exact"/>
        <w:rPr>
          <w:rFonts w:ascii="Arial" w:cs="Arial" w:eastAsia="Arial" w:hAnsi="Arial"/>
          <w:sz w:val="17"/>
          <w:szCs w:val="17"/>
          <w:b w:val="1"/>
          <w:bCs w:val="1"/>
          <w:color w:val="auto"/>
        </w:rPr>
      </w:pPr>
    </w:p>
    <w:p>
      <w:pPr>
        <w:ind w:left="1180" w:right="780" w:hanging="231"/>
        <w:spacing w:after="0" w:line="222" w:lineRule="auto"/>
        <w:tabs>
          <w:tab w:leader="none" w:pos="1180" w:val="left"/>
        </w:tabs>
        <w:numPr>
          <w:ilvl w:val="1"/>
          <w:numId w:val="43"/>
        </w:numPr>
        <w:rPr>
          <w:rFonts w:ascii="Arial" w:cs="Arial" w:eastAsia="Arial" w:hAnsi="Arial"/>
          <w:sz w:val="17"/>
          <w:szCs w:val="17"/>
          <w:color w:val="auto"/>
        </w:rPr>
      </w:pPr>
      <w:r>
        <w:rPr>
          <w:rFonts w:ascii="Calibri" w:cs="Calibri" w:eastAsia="Calibri" w:hAnsi="Calibri"/>
          <w:sz w:val="17"/>
          <w:szCs w:val="17"/>
          <w:color w:val="auto"/>
        </w:rPr>
        <w:t>Growth in expenses for server use, which was driven by an uptck in transactons among increasingly digitalized clients. Total monetary transactons and transactons through digital channels rose 84.2% and 104.8%, respectvely.</w:t>
      </w:r>
    </w:p>
    <w:p>
      <w:pPr>
        <w:spacing w:after="0" w:line="2" w:lineRule="exact"/>
        <w:rPr>
          <w:rFonts w:ascii="Arial" w:cs="Arial" w:eastAsia="Arial" w:hAnsi="Arial"/>
          <w:sz w:val="17"/>
          <w:szCs w:val="17"/>
          <w:color w:val="auto"/>
        </w:rPr>
      </w:pPr>
    </w:p>
    <w:p>
      <w:pPr>
        <w:ind w:left="1180" w:hanging="231"/>
        <w:spacing w:after="0"/>
        <w:tabs>
          <w:tab w:leader="none" w:pos="1180" w:val="left"/>
        </w:tabs>
        <w:numPr>
          <w:ilvl w:val="1"/>
          <w:numId w:val="43"/>
        </w:numPr>
        <w:rPr>
          <w:rFonts w:ascii="Arial" w:cs="Arial" w:eastAsia="Arial" w:hAnsi="Arial"/>
          <w:sz w:val="17"/>
          <w:szCs w:val="17"/>
          <w:color w:val="auto"/>
        </w:rPr>
      </w:pPr>
      <w:r>
        <w:rPr>
          <w:rFonts w:ascii="Calibri" w:cs="Calibri" w:eastAsia="Calibri" w:hAnsi="Calibri"/>
          <w:sz w:val="17"/>
          <w:szCs w:val="17"/>
          <w:color w:val="auto"/>
        </w:rPr>
        <w:t>More digital talent personnel was hired with comparatvely higher average salaries, which refects advances in strategic project development.</w:t>
      </w:r>
    </w:p>
    <w:p>
      <w:pPr>
        <w:spacing w:after="0" w:line="213" w:lineRule="exact"/>
        <w:rPr>
          <w:sz w:val="20"/>
          <w:szCs w:val="20"/>
          <w:color w:val="auto"/>
        </w:rPr>
      </w:pPr>
    </w:p>
    <w:p>
      <w:pPr>
        <w:ind w:right="600"/>
        <w:spacing w:after="0" w:line="242" w:lineRule="auto"/>
        <w:rPr>
          <w:sz w:val="20"/>
          <w:szCs w:val="20"/>
          <w:color w:val="auto"/>
        </w:rPr>
      </w:pPr>
      <w:r>
        <w:rPr>
          <w:rFonts w:ascii="Calibri" w:cs="Calibri" w:eastAsia="Calibri" w:hAnsi="Calibri"/>
          <w:sz w:val="17"/>
          <w:szCs w:val="17"/>
          <w:color w:val="auto"/>
        </w:rPr>
        <w:t>Disrupton expenses represented 13.0% of total expenses and rose 27.3% YTD. For the FY24, Yape, Tenpo and Culqi were the main consumers of expenses, representng 61% of total expenses for disruptve initatves.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40" w:name="page41"/>
    <w:bookmarkEnd w:id="40"/>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49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44958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09 </w:t>
      </w:r>
      <w:r>
        <w:rPr>
          <w:rFonts w:ascii="Arial" w:cs="Arial" w:eastAsia="Arial" w:hAnsi="Arial"/>
          <w:sz w:val="31"/>
          <w:szCs w:val="31"/>
          <w:color w:val="E93BAB"/>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26670</wp:posOffset>
            </wp:positionV>
            <wp:extent cx="6561455" cy="516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61455" cy="516255"/>
                    </a:xfrm>
                    <a:prstGeom prst="rect">
                      <a:avLst/>
                    </a:prstGeom>
                    <a:noFill/>
                  </pic:spPr>
                </pic:pic>
              </a:graphicData>
            </a:graphic>
          </wp:anchor>
        </w:drawing>
      </w:r>
    </w:p>
    <w:p>
      <w:pPr>
        <w:spacing w:after="0" w:line="94" w:lineRule="exact"/>
        <w:rPr>
          <w:sz w:val="20"/>
          <w:szCs w:val="20"/>
          <w:color w:val="auto"/>
        </w:rPr>
      </w:pPr>
    </w:p>
    <w:p>
      <w:pPr>
        <w:jc w:val="both"/>
        <w:ind w:left="580" w:right="560"/>
        <w:spacing w:after="0" w:line="236" w:lineRule="auto"/>
        <w:rPr>
          <w:sz w:val="20"/>
          <w:szCs w:val="20"/>
          <w:color w:val="auto"/>
        </w:rPr>
      </w:pPr>
      <w:r>
        <w:rPr>
          <w:rFonts w:ascii="Calibri" w:cs="Calibri" w:eastAsia="Calibri" w:hAnsi="Calibri"/>
          <w:sz w:val="17"/>
          <w:szCs w:val="17"/>
          <w:color w:val="FFFFFF"/>
        </w:rPr>
        <w:t>The efciency rato improved 30 bps YTD, afer growth in income outstripped the increase in expenses. This evoluton was driven by growth in core income, which was fueled by (i) a rise in net interest income, which rose on the back of higher contributon from the retail segments and (ii) growth in fee income, led by Yape and core transactonal actvity.</w:t>
      </w:r>
    </w:p>
    <w:p>
      <w:pPr>
        <w:spacing w:after="0" w:line="27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Efciency rato </w:t>
      </w:r>
      <w:r>
        <w:rPr>
          <w:rFonts w:ascii="Calibri" w:cs="Calibri" w:eastAsia="Calibri" w:hAnsi="Calibri"/>
          <w:sz w:val="29"/>
          <w:szCs w:val="29"/>
          <w:b w:val="1"/>
          <w:bCs w:val="1"/>
          <w:color w:val="auto"/>
          <w:vertAlign w:val="superscript"/>
        </w:rPr>
        <w:t>(1)</w:t>
      </w:r>
      <w:r>
        <w:rPr>
          <w:rFonts w:ascii="Calibri" w:cs="Calibri" w:eastAsia="Calibri" w:hAnsi="Calibri"/>
          <w:sz w:val="17"/>
          <w:szCs w:val="17"/>
          <w:b w:val="1"/>
          <w:bCs w:val="1"/>
          <w:color w:val="auto"/>
        </w:rPr>
        <w:t xml:space="preserve"> reported by subsidiary</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880" w:type="dxa"/>
            <w:vAlign w:val="bottom"/>
            <w:tcBorders>
              <w:top w:val="single" w:sz="8" w:color="auto"/>
              <w:left w:val="single" w:sz="8" w:color="auto"/>
              <w:right w:val="single" w:sz="8" w:color="auto"/>
            </w:tcBorders>
            <w:shd w:val="clear" w:color="auto" w:fill="33CCCC"/>
          </w:tcPr>
          <w:p>
            <w:pPr>
              <w:ind w:left="560"/>
              <w:spacing w:after="0"/>
              <w:rPr>
                <w:sz w:val="20"/>
                <w:szCs w:val="20"/>
                <w:color w:val="auto"/>
              </w:rPr>
            </w:pPr>
            <w:r>
              <w:rPr>
                <w:rFonts w:ascii="Calibri" w:cs="Calibri" w:eastAsia="Calibri" w:hAnsi="Calibri"/>
                <w:sz w:val="17"/>
                <w:szCs w:val="17"/>
                <w:b w:val="1"/>
                <w:bCs w:val="1"/>
                <w:color w:val="FFFFFF"/>
              </w:rPr>
              <w:t>Subsidiary</w:t>
            </w:r>
          </w:p>
        </w:tc>
        <w:tc>
          <w:tcPr>
            <w:tcW w:w="1060" w:type="dxa"/>
            <w:vAlign w:val="bottom"/>
            <w:tcBorders>
              <w:top w:val="single" w:sz="8" w:color="auto"/>
            </w:tcBorders>
            <w:shd w:val="clear" w:color="auto" w:fill="33CCCC"/>
          </w:tcPr>
          <w:p>
            <w:pPr>
              <w:spacing w:after="0"/>
              <w:rPr>
                <w:sz w:val="19"/>
                <w:szCs w:val="19"/>
                <w:color w:val="auto"/>
              </w:rPr>
            </w:pPr>
          </w:p>
        </w:tc>
        <w:tc>
          <w:tcPr>
            <w:tcW w:w="1160" w:type="dxa"/>
            <w:vAlign w:val="bottom"/>
            <w:tcBorders>
              <w:top w:val="single" w:sz="8" w:color="auto"/>
            </w:tcBorders>
            <w:shd w:val="clear" w:color="auto" w:fill="33CCCC"/>
          </w:tcPr>
          <w:p>
            <w:pPr>
              <w:ind w:left="300"/>
              <w:spacing w:after="0"/>
              <w:rPr>
                <w:sz w:val="20"/>
                <w:szCs w:val="20"/>
                <w:color w:val="auto"/>
              </w:rPr>
            </w:pPr>
            <w:r>
              <w:rPr>
                <w:rFonts w:ascii="Calibri" w:cs="Calibri" w:eastAsia="Calibri" w:hAnsi="Calibri"/>
                <w:sz w:val="17"/>
                <w:szCs w:val="17"/>
                <w:b w:val="1"/>
                <w:bCs w:val="1"/>
                <w:color w:val="FFFFFF"/>
              </w:rPr>
              <w:t>Quarter</w:t>
            </w:r>
          </w:p>
        </w:tc>
        <w:tc>
          <w:tcPr>
            <w:tcW w:w="1080" w:type="dxa"/>
            <w:vAlign w:val="bottom"/>
            <w:tcBorders>
              <w:top w:val="single" w:sz="8" w:color="auto"/>
              <w:right w:val="single" w:sz="8" w:color="auto"/>
            </w:tcBorders>
            <w:shd w:val="clear" w:color="auto" w:fill="33CCCC"/>
          </w:tcPr>
          <w:p>
            <w:pPr>
              <w:spacing w:after="0"/>
              <w:rPr>
                <w:sz w:val="19"/>
                <w:szCs w:val="19"/>
                <w:color w:val="auto"/>
              </w:rPr>
            </w:pPr>
          </w:p>
        </w:tc>
        <w:tc>
          <w:tcPr>
            <w:tcW w:w="2220" w:type="dxa"/>
            <w:vAlign w:val="bottom"/>
            <w:tcBorders>
              <w:top w:val="single" w:sz="8" w:color="auto"/>
              <w:right w:val="single" w:sz="8" w:color="auto"/>
            </w:tcBorders>
            <w:gridSpan w:val="2"/>
            <w:shd w:val="clear" w:color="auto" w:fill="33CCCC"/>
          </w:tcPr>
          <w:p>
            <w:pPr>
              <w:ind w:left="760"/>
              <w:spacing w:after="0"/>
              <w:rPr>
                <w:sz w:val="20"/>
                <w:szCs w:val="20"/>
                <w:color w:val="auto"/>
              </w:rPr>
            </w:pPr>
            <w:r>
              <w:rPr>
                <w:rFonts w:ascii="Calibri" w:cs="Calibri" w:eastAsia="Calibri" w:hAnsi="Calibri"/>
                <w:sz w:val="17"/>
                <w:szCs w:val="17"/>
                <w:b w:val="1"/>
                <w:bCs w:val="1"/>
                <w:color w:val="FFFFFF"/>
              </w:rPr>
              <w:t>% change</w:t>
            </w:r>
          </w:p>
        </w:tc>
        <w:tc>
          <w:tcPr>
            <w:tcW w:w="860" w:type="dxa"/>
            <w:vAlign w:val="bottom"/>
            <w:tcBorders>
              <w:top w:val="single" w:sz="8" w:color="auto"/>
            </w:tcBorders>
            <w:shd w:val="clear" w:color="auto" w:fill="33CCCC"/>
          </w:tcPr>
          <w:p>
            <w:pPr>
              <w:spacing w:after="0"/>
              <w:rPr>
                <w:sz w:val="19"/>
                <w:szCs w:val="19"/>
                <w:color w:val="auto"/>
              </w:rPr>
            </w:pPr>
          </w:p>
        </w:tc>
        <w:tc>
          <w:tcPr>
            <w:tcW w:w="1380" w:type="dxa"/>
            <w:vAlign w:val="bottom"/>
            <w:tcBorders>
              <w:top w:val="single" w:sz="8" w:color="auto"/>
              <w:right w:val="single" w:sz="8" w:color="auto"/>
            </w:tcBorders>
            <w:shd w:val="clear" w:color="auto" w:fill="33CCCC"/>
          </w:tcPr>
          <w:p>
            <w:pPr>
              <w:ind w:left="80"/>
              <w:spacing w:after="0"/>
              <w:rPr>
                <w:sz w:val="20"/>
                <w:szCs w:val="20"/>
                <w:color w:val="auto"/>
              </w:rPr>
            </w:pPr>
            <w:r>
              <w:rPr>
                <w:rFonts w:ascii="Calibri" w:cs="Calibri" w:eastAsia="Calibri" w:hAnsi="Calibri"/>
                <w:sz w:val="17"/>
                <w:szCs w:val="17"/>
                <w:b w:val="1"/>
                <w:bCs w:val="1"/>
                <w:color w:val="FFFFFF"/>
              </w:rPr>
              <w:t>As of</w:t>
            </w:r>
          </w:p>
        </w:tc>
        <w:tc>
          <w:tcPr>
            <w:tcW w:w="16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9"/>
              </w:rPr>
              <w:t>% change</w:t>
            </w:r>
          </w:p>
        </w:tc>
      </w:tr>
      <w:tr>
        <w:trPr>
          <w:trHeight w:val="219"/>
        </w:trPr>
        <w:tc>
          <w:tcPr>
            <w:tcW w:w="1880" w:type="dxa"/>
            <w:vAlign w:val="bottom"/>
            <w:tcBorders>
              <w:left w:val="single" w:sz="8" w:color="auto"/>
              <w:bottom w:val="single" w:sz="8" w:color="auto"/>
              <w:right w:val="single" w:sz="8" w:color="auto"/>
            </w:tcBorders>
            <w:shd w:val="clear" w:color="auto" w:fill="33CCCC"/>
          </w:tcPr>
          <w:p>
            <w:pPr>
              <w:spacing w:after="0"/>
              <w:rPr>
                <w:sz w:val="19"/>
                <w:szCs w:val="19"/>
                <w:color w:val="auto"/>
              </w:rPr>
            </w:pPr>
          </w:p>
        </w:tc>
        <w:tc>
          <w:tcPr>
            <w:tcW w:w="106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4Q23</w:t>
            </w:r>
          </w:p>
        </w:tc>
        <w:tc>
          <w:tcPr>
            <w:tcW w:w="116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3Q24</w:t>
            </w:r>
          </w:p>
        </w:tc>
        <w:tc>
          <w:tcPr>
            <w:tcW w:w="10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4Q24</w:t>
            </w:r>
          </w:p>
        </w:tc>
        <w:tc>
          <w:tcPr>
            <w:tcW w:w="1120" w:type="dxa"/>
            <w:vAlign w:val="bottom"/>
            <w:tcBorders>
              <w:bottom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QoQ</w:t>
            </w:r>
          </w:p>
        </w:tc>
        <w:tc>
          <w:tcPr>
            <w:tcW w:w="11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6"/>
              </w:rPr>
              <w:t>YoY</w:t>
            </w:r>
          </w:p>
        </w:tc>
        <w:tc>
          <w:tcPr>
            <w:tcW w:w="860" w:type="dxa"/>
            <w:vAlign w:val="bottom"/>
            <w:tcBorders>
              <w:bottom w:val="single" w:sz="8" w:color="auto"/>
            </w:tcBorders>
            <w:shd w:val="clear" w:color="auto" w:fill="33CCCC"/>
          </w:tcPr>
          <w:p>
            <w:pPr>
              <w:jc w:val="center"/>
              <w:ind w:left="173"/>
              <w:spacing w:after="0"/>
              <w:rPr>
                <w:sz w:val="20"/>
                <w:szCs w:val="20"/>
                <w:color w:val="auto"/>
              </w:rPr>
            </w:pPr>
            <w:r>
              <w:rPr>
                <w:rFonts w:ascii="Calibri" w:cs="Calibri" w:eastAsia="Calibri" w:hAnsi="Calibri"/>
                <w:sz w:val="17"/>
                <w:szCs w:val="17"/>
                <w:b w:val="1"/>
                <w:bCs w:val="1"/>
                <w:color w:val="FFFFFF"/>
              </w:rPr>
              <w:t>Dec 23</w:t>
            </w:r>
          </w:p>
        </w:tc>
        <w:tc>
          <w:tcPr>
            <w:tcW w:w="1380" w:type="dxa"/>
            <w:vAlign w:val="bottom"/>
            <w:tcBorders>
              <w:bottom w:val="single" w:sz="8" w:color="auto"/>
              <w:right w:val="single" w:sz="8" w:color="auto"/>
            </w:tcBorders>
            <w:shd w:val="clear" w:color="auto" w:fill="33CCCC"/>
          </w:tcPr>
          <w:p>
            <w:pPr>
              <w:jc w:val="center"/>
              <w:ind w:left="133"/>
              <w:spacing w:after="0"/>
              <w:rPr>
                <w:sz w:val="20"/>
                <w:szCs w:val="20"/>
                <w:color w:val="auto"/>
              </w:rPr>
            </w:pPr>
            <w:r>
              <w:rPr>
                <w:rFonts w:ascii="Calibri" w:cs="Calibri" w:eastAsia="Calibri" w:hAnsi="Calibri"/>
                <w:sz w:val="17"/>
                <w:szCs w:val="17"/>
                <w:b w:val="1"/>
                <w:bCs w:val="1"/>
                <w:color w:val="FFFFFF"/>
              </w:rPr>
              <w:t>Dec 24</w:t>
            </w:r>
          </w:p>
        </w:tc>
        <w:tc>
          <w:tcPr>
            <w:tcW w:w="16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Dec 24 / Dec 23</w:t>
            </w:r>
          </w:p>
        </w:tc>
      </w:tr>
      <w:tr>
        <w:trPr>
          <w:trHeight w:val="189"/>
        </w:trPr>
        <w:tc>
          <w:tcPr>
            <w:tcW w:w="1880" w:type="dxa"/>
            <w:vAlign w:val="bottom"/>
            <w:tcBorders>
              <w:left w:val="single" w:sz="8" w:color="auto"/>
              <w:right w:val="single" w:sz="8" w:color="auto"/>
            </w:tcBorders>
          </w:tcPr>
          <w:p>
            <w:pPr>
              <w:ind w:left="20"/>
              <w:spacing w:after="0" w:line="189" w:lineRule="exact"/>
              <w:rPr>
                <w:sz w:val="20"/>
                <w:szCs w:val="20"/>
                <w:color w:val="auto"/>
              </w:rPr>
            </w:pPr>
            <w:r>
              <w:rPr>
                <w:rFonts w:ascii="Calibri" w:cs="Calibri" w:eastAsia="Calibri" w:hAnsi="Calibri"/>
                <w:sz w:val="17"/>
                <w:szCs w:val="17"/>
                <w:color w:val="auto"/>
              </w:rPr>
              <w:t>BCP</w:t>
            </w:r>
          </w:p>
        </w:tc>
        <w:tc>
          <w:tcPr>
            <w:tcW w:w="1060" w:type="dxa"/>
            <w:vAlign w:val="bottom"/>
          </w:tcPr>
          <w:p>
            <w:pPr>
              <w:jc w:val="center"/>
              <w:spacing w:after="0" w:line="189" w:lineRule="exact"/>
              <w:rPr>
                <w:sz w:val="20"/>
                <w:szCs w:val="20"/>
                <w:color w:val="auto"/>
              </w:rPr>
            </w:pPr>
            <w:r>
              <w:rPr>
                <w:rFonts w:ascii="Calibri" w:cs="Calibri" w:eastAsia="Calibri" w:hAnsi="Calibri"/>
                <w:sz w:val="17"/>
                <w:szCs w:val="17"/>
                <w:color w:val="auto"/>
                <w:w w:val="99"/>
              </w:rPr>
              <w:t>41.8%</w:t>
            </w:r>
          </w:p>
        </w:tc>
        <w:tc>
          <w:tcPr>
            <w:tcW w:w="1160" w:type="dxa"/>
            <w:vAlign w:val="bottom"/>
          </w:tcPr>
          <w:p>
            <w:pPr>
              <w:jc w:val="center"/>
              <w:spacing w:after="0" w:line="189" w:lineRule="exact"/>
              <w:rPr>
                <w:sz w:val="20"/>
                <w:szCs w:val="20"/>
                <w:color w:val="auto"/>
              </w:rPr>
            </w:pPr>
            <w:r>
              <w:rPr>
                <w:rFonts w:ascii="Calibri" w:cs="Calibri" w:eastAsia="Calibri" w:hAnsi="Calibri"/>
                <w:sz w:val="17"/>
                <w:szCs w:val="17"/>
                <w:color w:val="auto"/>
                <w:w w:val="99"/>
              </w:rPr>
              <w:t>37.6%</w:t>
            </w:r>
          </w:p>
        </w:tc>
        <w:tc>
          <w:tcPr>
            <w:tcW w:w="10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7"/>
                <w:szCs w:val="17"/>
                <w:color w:val="auto"/>
                <w:w w:val="99"/>
              </w:rPr>
              <w:t>44.8%</w:t>
            </w:r>
          </w:p>
        </w:tc>
        <w:tc>
          <w:tcPr>
            <w:tcW w:w="1120" w:type="dxa"/>
            <w:vAlign w:val="bottom"/>
          </w:tcPr>
          <w:p>
            <w:pPr>
              <w:jc w:val="center"/>
              <w:spacing w:after="0" w:line="189" w:lineRule="exact"/>
              <w:rPr>
                <w:sz w:val="20"/>
                <w:szCs w:val="20"/>
                <w:color w:val="auto"/>
              </w:rPr>
            </w:pPr>
            <w:r>
              <w:rPr>
                <w:rFonts w:ascii="Calibri" w:cs="Calibri" w:eastAsia="Calibri" w:hAnsi="Calibri"/>
                <w:sz w:val="17"/>
                <w:szCs w:val="17"/>
                <w:color w:val="auto"/>
                <w:w w:val="99"/>
              </w:rPr>
              <w:t>720 bps</w:t>
            </w:r>
          </w:p>
        </w:tc>
        <w:tc>
          <w:tcPr>
            <w:tcW w:w="110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7"/>
                <w:szCs w:val="17"/>
                <w:color w:val="auto"/>
                <w:w w:val="99"/>
              </w:rPr>
              <w:t>300 bps</w:t>
            </w:r>
          </w:p>
        </w:tc>
        <w:tc>
          <w:tcPr>
            <w:tcW w:w="860" w:type="dxa"/>
            <w:vAlign w:val="bottom"/>
          </w:tcPr>
          <w:p>
            <w:pPr>
              <w:jc w:val="center"/>
              <w:ind w:left="153"/>
              <w:spacing w:after="0" w:line="189" w:lineRule="exact"/>
              <w:rPr>
                <w:sz w:val="20"/>
                <w:szCs w:val="20"/>
                <w:color w:val="auto"/>
              </w:rPr>
            </w:pPr>
            <w:r>
              <w:rPr>
                <w:rFonts w:ascii="Calibri" w:cs="Calibri" w:eastAsia="Calibri" w:hAnsi="Calibri"/>
                <w:sz w:val="17"/>
                <w:szCs w:val="17"/>
                <w:color w:val="auto"/>
                <w:w w:val="99"/>
              </w:rPr>
              <w:t>38.8%</w:t>
            </w:r>
          </w:p>
        </w:tc>
        <w:tc>
          <w:tcPr>
            <w:tcW w:w="1380" w:type="dxa"/>
            <w:vAlign w:val="bottom"/>
            <w:tcBorders>
              <w:right w:val="single" w:sz="8" w:color="auto"/>
            </w:tcBorders>
          </w:tcPr>
          <w:p>
            <w:pPr>
              <w:jc w:val="center"/>
              <w:ind w:left="133"/>
              <w:spacing w:after="0" w:line="189" w:lineRule="exact"/>
              <w:rPr>
                <w:sz w:val="20"/>
                <w:szCs w:val="20"/>
                <w:color w:val="auto"/>
              </w:rPr>
            </w:pPr>
            <w:r>
              <w:rPr>
                <w:rFonts w:ascii="Calibri" w:cs="Calibri" w:eastAsia="Calibri" w:hAnsi="Calibri"/>
                <w:sz w:val="17"/>
                <w:szCs w:val="17"/>
                <w:color w:val="auto"/>
              </w:rPr>
              <w:t>39.3%</w:t>
            </w:r>
          </w:p>
        </w:tc>
        <w:tc>
          <w:tcPr>
            <w:tcW w:w="160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7"/>
                <w:szCs w:val="17"/>
                <w:color w:val="auto"/>
              </w:rPr>
              <w:t>48 bps</w:t>
            </w:r>
          </w:p>
        </w:tc>
      </w:tr>
      <w:tr>
        <w:trPr>
          <w:trHeight w:val="207"/>
        </w:trPr>
        <w:tc>
          <w:tcPr>
            <w:tcW w:w="1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BCP Bolivia</w:t>
            </w:r>
          </w:p>
        </w:tc>
        <w:tc>
          <w:tcPr>
            <w:tcW w:w="1060" w:type="dxa"/>
            <w:vAlign w:val="bottom"/>
          </w:tcPr>
          <w:p>
            <w:pPr>
              <w:jc w:val="center"/>
              <w:spacing w:after="0"/>
              <w:rPr>
                <w:sz w:val="20"/>
                <w:szCs w:val="20"/>
                <w:color w:val="auto"/>
              </w:rPr>
            </w:pPr>
            <w:r>
              <w:rPr>
                <w:rFonts w:ascii="Calibri" w:cs="Calibri" w:eastAsia="Calibri" w:hAnsi="Calibri"/>
                <w:sz w:val="17"/>
                <w:szCs w:val="17"/>
                <w:color w:val="auto"/>
                <w:w w:val="99"/>
              </w:rPr>
              <w:t>59.0%</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9"/>
              </w:rPr>
              <w:t>80.3%</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63.0%</w:t>
            </w:r>
          </w:p>
        </w:tc>
        <w:tc>
          <w:tcPr>
            <w:tcW w:w="1120" w:type="dxa"/>
            <w:vAlign w:val="bottom"/>
          </w:tcPr>
          <w:p>
            <w:pPr>
              <w:jc w:val="center"/>
              <w:spacing w:after="0"/>
              <w:rPr>
                <w:sz w:val="20"/>
                <w:szCs w:val="20"/>
                <w:color w:val="auto"/>
              </w:rPr>
            </w:pPr>
            <w:r>
              <w:rPr>
                <w:rFonts w:ascii="Calibri" w:cs="Calibri" w:eastAsia="Calibri" w:hAnsi="Calibri"/>
                <w:sz w:val="17"/>
                <w:szCs w:val="17"/>
                <w:color w:val="auto"/>
                <w:w w:val="99"/>
              </w:rPr>
              <w:t>-1730 bps</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400 bps</w:t>
            </w:r>
          </w:p>
        </w:tc>
        <w:tc>
          <w:tcPr>
            <w:tcW w:w="860" w:type="dxa"/>
            <w:vAlign w:val="bottom"/>
          </w:tcPr>
          <w:p>
            <w:pPr>
              <w:jc w:val="center"/>
              <w:ind w:left="153"/>
              <w:spacing w:after="0"/>
              <w:rPr>
                <w:sz w:val="20"/>
                <w:szCs w:val="20"/>
                <w:color w:val="auto"/>
              </w:rPr>
            </w:pPr>
            <w:r>
              <w:rPr>
                <w:rFonts w:ascii="Calibri" w:cs="Calibri" w:eastAsia="Calibri" w:hAnsi="Calibri"/>
                <w:sz w:val="17"/>
                <w:szCs w:val="17"/>
                <w:color w:val="auto"/>
                <w:w w:val="99"/>
              </w:rPr>
              <w:t>61.3%</w:t>
            </w:r>
          </w:p>
        </w:tc>
        <w:tc>
          <w:tcPr>
            <w:tcW w:w="1380" w:type="dxa"/>
            <w:vAlign w:val="bottom"/>
            <w:tcBorders>
              <w:right w:val="single" w:sz="8" w:color="auto"/>
            </w:tcBorders>
          </w:tcPr>
          <w:p>
            <w:pPr>
              <w:jc w:val="center"/>
              <w:ind w:left="133"/>
              <w:spacing w:after="0"/>
              <w:rPr>
                <w:sz w:val="20"/>
                <w:szCs w:val="20"/>
                <w:color w:val="auto"/>
              </w:rPr>
            </w:pPr>
            <w:r>
              <w:rPr>
                <w:rFonts w:ascii="Calibri" w:cs="Calibri" w:eastAsia="Calibri" w:hAnsi="Calibri"/>
                <w:sz w:val="17"/>
                <w:szCs w:val="17"/>
                <w:color w:val="auto"/>
              </w:rPr>
              <w:t>63.9%</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260 bps</w:t>
            </w:r>
          </w:p>
        </w:tc>
      </w:tr>
      <w:tr>
        <w:trPr>
          <w:trHeight w:val="210"/>
        </w:trPr>
        <w:tc>
          <w:tcPr>
            <w:tcW w:w="1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Mibanco Perú</w:t>
            </w:r>
          </w:p>
        </w:tc>
        <w:tc>
          <w:tcPr>
            <w:tcW w:w="1060" w:type="dxa"/>
            <w:vAlign w:val="bottom"/>
          </w:tcPr>
          <w:p>
            <w:pPr>
              <w:jc w:val="center"/>
              <w:spacing w:after="0"/>
              <w:rPr>
                <w:sz w:val="20"/>
                <w:szCs w:val="20"/>
                <w:color w:val="auto"/>
              </w:rPr>
            </w:pPr>
            <w:r>
              <w:rPr>
                <w:rFonts w:ascii="Calibri" w:cs="Calibri" w:eastAsia="Calibri" w:hAnsi="Calibri"/>
                <w:sz w:val="17"/>
                <w:szCs w:val="17"/>
                <w:color w:val="auto"/>
                <w:w w:val="99"/>
              </w:rPr>
              <w:t>52.9%</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9"/>
              </w:rPr>
              <w:t>54.2%</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52.2%</w:t>
            </w:r>
          </w:p>
        </w:tc>
        <w:tc>
          <w:tcPr>
            <w:tcW w:w="1120" w:type="dxa"/>
            <w:vAlign w:val="bottom"/>
          </w:tcPr>
          <w:p>
            <w:pPr>
              <w:jc w:val="center"/>
              <w:spacing w:after="0"/>
              <w:rPr>
                <w:sz w:val="20"/>
                <w:szCs w:val="20"/>
                <w:color w:val="auto"/>
              </w:rPr>
            </w:pPr>
            <w:r>
              <w:rPr>
                <w:rFonts w:ascii="Calibri" w:cs="Calibri" w:eastAsia="Calibri" w:hAnsi="Calibri"/>
                <w:sz w:val="17"/>
                <w:szCs w:val="17"/>
                <w:color w:val="auto"/>
              </w:rPr>
              <w:t>-200 bps</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-70 bps</w:t>
            </w:r>
          </w:p>
        </w:tc>
        <w:tc>
          <w:tcPr>
            <w:tcW w:w="860" w:type="dxa"/>
            <w:vAlign w:val="bottom"/>
          </w:tcPr>
          <w:p>
            <w:pPr>
              <w:jc w:val="center"/>
              <w:ind w:left="153"/>
              <w:spacing w:after="0"/>
              <w:rPr>
                <w:sz w:val="20"/>
                <w:szCs w:val="20"/>
                <w:color w:val="auto"/>
              </w:rPr>
            </w:pPr>
            <w:r>
              <w:rPr>
                <w:rFonts w:ascii="Calibri" w:cs="Calibri" w:eastAsia="Calibri" w:hAnsi="Calibri"/>
                <w:sz w:val="17"/>
                <w:szCs w:val="17"/>
                <w:color w:val="auto"/>
                <w:w w:val="99"/>
              </w:rPr>
              <w:t>52.7%</w:t>
            </w:r>
          </w:p>
        </w:tc>
        <w:tc>
          <w:tcPr>
            <w:tcW w:w="1380" w:type="dxa"/>
            <w:vAlign w:val="bottom"/>
            <w:tcBorders>
              <w:right w:val="single" w:sz="8" w:color="auto"/>
            </w:tcBorders>
          </w:tcPr>
          <w:p>
            <w:pPr>
              <w:jc w:val="center"/>
              <w:ind w:left="133"/>
              <w:spacing w:after="0"/>
              <w:rPr>
                <w:sz w:val="20"/>
                <w:szCs w:val="20"/>
                <w:color w:val="auto"/>
              </w:rPr>
            </w:pPr>
            <w:r>
              <w:rPr>
                <w:rFonts w:ascii="Calibri" w:cs="Calibri" w:eastAsia="Calibri" w:hAnsi="Calibri"/>
                <w:sz w:val="17"/>
                <w:szCs w:val="17"/>
                <w:color w:val="auto"/>
              </w:rPr>
              <w:t>52.7%</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 bps</w:t>
            </w:r>
          </w:p>
        </w:tc>
      </w:tr>
      <w:tr>
        <w:trPr>
          <w:trHeight w:val="210"/>
        </w:trPr>
        <w:tc>
          <w:tcPr>
            <w:tcW w:w="1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Mibanco Colombia</w:t>
            </w:r>
          </w:p>
        </w:tc>
        <w:tc>
          <w:tcPr>
            <w:tcW w:w="1060" w:type="dxa"/>
            <w:vAlign w:val="bottom"/>
          </w:tcPr>
          <w:p>
            <w:pPr>
              <w:jc w:val="center"/>
              <w:spacing w:after="0"/>
              <w:rPr>
                <w:sz w:val="20"/>
                <w:szCs w:val="20"/>
                <w:color w:val="auto"/>
              </w:rPr>
            </w:pPr>
            <w:r>
              <w:rPr>
                <w:rFonts w:ascii="Calibri" w:cs="Calibri" w:eastAsia="Calibri" w:hAnsi="Calibri"/>
                <w:sz w:val="17"/>
                <w:szCs w:val="17"/>
                <w:color w:val="auto"/>
                <w:w w:val="99"/>
              </w:rPr>
              <w:t>98.2%</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9"/>
              </w:rPr>
              <w:t>72.0%</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69.5%</w:t>
            </w:r>
          </w:p>
        </w:tc>
        <w:tc>
          <w:tcPr>
            <w:tcW w:w="1120" w:type="dxa"/>
            <w:vAlign w:val="bottom"/>
          </w:tcPr>
          <w:p>
            <w:pPr>
              <w:jc w:val="center"/>
              <w:spacing w:after="0"/>
              <w:rPr>
                <w:sz w:val="20"/>
                <w:szCs w:val="20"/>
                <w:color w:val="auto"/>
              </w:rPr>
            </w:pPr>
            <w:r>
              <w:rPr>
                <w:rFonts w:ascii="Calibri" w:cs="Calibri" w:eastAsia="Calibri" w:hAnsi="Calibri"/>
                <w:sz w:val="17"/>
                <w:szCs w:val="17"/>
                <w:color w:val="auto"/>
              </w:rPr>
              <w:t>-260 bps</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-2870 bps</w:t>
            </w:r>
          </w:p>
        </w:tc>
        <w:tc>
          <w:tcPr>
            <w:tcW w:w="860" w:type="dxa"/>
            <w:vAlign w:val="bottom"/>
          </w:tcPr>
          <w:p>
            <w:pPr>
              <w:jc w:val="center"/>
              <w:ind w:left="153"/>
              <w:spacing w:after="0"/>
              <w:rPr>
                <w:sz w:val="20"/>
                <w:szCs w:val="20"/>
                <w:color w:val="auto"/>
              </w:rPr>
            </w:pPr>
            <w:r>
              <w:rPr>
                <w:rFonts w:ascii="Calibri" w:cs="Calibri" w:eastAsia="Calibri" w:hAnsi="Calibri"/>
                <w:sz w:val="17"/>
                <w:szCs w:val="17"/>
                <w:color w:val="auto"/>
                <w:w w:val="99"/>
              </w:rPr>
              <w:t>91.6%</w:t>
            </w:r>
          </w:p>
        </w:tc>
        <w:tc>
          <w:tcPr>
            <w:tcW w:w="1380" w:type="dxa"/>
            <w:vAlign w:val="bottom"/>
            <w:tcBorders>
              <w:right w:val="single" w:sz="8" w:color="auto"/>
            </w:tcBorders>
          </w:tcPr>
          <w:p>
            <w:pPr>
              <w:jc w:val="center"/>
              <w:ind w:left="133"/>
              <w:spacing w:after="0"/>
              <w:rPr>
                <w:sz w:val="20"/>
                <w:szCs w:val="20"/>
                <w:color w:val="auto"/>
              </w:rPr>
            </w:pPr>
            <w:r>
              <w:rPr>
                <w:rFonts w:ascii="Calibri" w:cs="Calibri" w:eastAsia="Calibri" w:hAnsi="Calibri"/>
                <w:sz w:val="17"/>
                <w:szCs w:val="17"/>
                <w:color w:val="auto"/>
              </w:rPr>
              <w:t>76.2%</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-1540 bps</w:t>
            </w:r>
          </w:p>
        </w:tc>
      </w:tr>
      <w:tr>
        <w:trPr>
          <w:trHeight w:val="210"/>
        </w:trPr>
        <w:tc>
          <w:tcPr>
            <w:tcW w:w="1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Pacífco</w:t>
            </w:r>
          </w:p>
        </w:tc>
        <w:tc>
          <w:tcPr>
            <w:tcW w:w="1060" w:type="dxa"/>
            <w:vAlign w:val="bottom"/>
          </w:tcPr>
          <w:p>
            <w:pPr>
              <w:jc w:val="center"/>
              <w:spacing w:after="0"/>
              <w:rPr>
                <w:sz w:val="20"/>
                <w:szCs w:val="20"/>
                <w:color w:val="auto"/>
              </w:rPr>
            </w:pPr>
            <w:r>
              <w:rPr>
                <w:rFonts w:ascii="Calibri" w:cs="Calibri" w:eastAsia="Calibri" w:hAnsi="Calibri"/>
                <w:sz w:val="17"/>
                <w:szCs w:val="17"/>
                <w:color w:val="auto"/>
                <w:w w:val="99"/>
              </w:rPr>
              <w:t>34.9%</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9"/>
              </w:rPr>
              <w:t>25.5%</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29.6%</w:t>
            </w:r>
          </w:p>
        </w:tc>
        <w:tc>
          <w:tcPr>
            <w:tcW w:w="1120" w:type="dxa"/>
            <w:vAlign w:val="bottom"/>
          </w:tcPr>
          <w:p>
            <w:pPr>
              <w:jc w:val="center"/>
              <w:spacing w:after="0"/>
              <w:rPr>
                <w:sz w:val="20"/>
                <w:szCs w:val="20"/>
                <w:color w:val="auto"/>
              </w:rPr>
            </w:pPr>
            <w:r>
              <w:rPr>
                <w:rFonts w:ascii="Calibri" w:cs="Calibri" w:eastAsia="Calibri" w:hAnsi="Calibri"/>
                <w:sz w:val="17"/>
                <w:szCs w:val="17"/>
                <w:color w:val="auto"/>
                <w:w w:val="99"/>
              </w:rPr>
              <w:t>410 bps</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-530 bps</w:t>
            </w:r>
          </w:p>
        </w:tc>
        <w:tc>
          <w:tcPr>
            <w:tcW w:w="860" w:type="dxa"/>
            <w:vAlign w:val="bottom"/>
          </w:tcPr>
          <w:p>
            <w:pPr>
              <w:jc w:val="center"/>
              <w:ind w:left="153"/>
              <w:spacing w:after="0"/>
              <w:rPr>
                <w:sz w:val="20"/>
                <w:szCs w:val="20"/>
                <w:color w:val="auto"/>
              </w:rPr>
            </w:pPr>
            <w:r>
              <w:rPr>
                <w:rFonts w:ascii="Calibri" w:cs="Calibri" w:eastAsia="Calibri" w:hAnsi="Calibri"/>
                <w:sz w:val="17"/>
                <w:szCs w:val="17"/>
                <w:color w:val="auto"/>
                <w:w w:val="99"/>
              </w:rPr>
              <w:t>26.5%</w:t>
            </w:r>
          </w:p>
        </w:tc>
        <w:tc>
          <w:tcPr>
            <w:tcW w:w="1380" w:type="dxa"/>
            <w:vAlign w:val="bottom"/>
            <w:tcBorders>
              <w:right w:val="single" w:sz="8" w:color="auto"/>
            </w:tcBorders>
          </w:tcPr>
          <w:p>
            <w:pPr>
              <w:jc w:val="center"/>
              <w:ind w:left="133"/>
              <w:spacing w:after="0"/>
              <w:rPr>
                <w:sz w:val="20"/>
                <w:szCs w:val="20"/>
                <w:color w:val="auto"/>
              </w:rPr>
            </w:pPr>
            <w:r>
              <w:rPr>
                <w:rFonts w:ascii="Calibri" w:cs="Calibri" w:eastAsia="Calibri" w:hAnsi="Calibri"/>
                <w:sz w:val="17"/>
                <w:szCs w:val="17"/>
                <w:color w:val="auto"/>
              </w:rPr>
              <w:t>27.6%</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110 bps</w:t>
            </w:r>
          </w:p>
        </w:tc>
      </w:tr>
      <w:tr>
        <w:trPr>
          <w:trHeight w:val="210"/>
        </w:trPr>
        <w:tc>
          <w:tcPr>
            <w:tcW w:w="188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color w:val="auto"/>
              </w:rPr>
              <w:t>Prima AFP</w:t>
            </w:r>
          </w:p>
        </w:tc>
        <w:tc>
          <w:tcPr>
            <w:tcW w:w="1060" w:type="dxa"/>
            <w:vAlign w:val="bottom"/>
          </w:tcPr>
          <w:p>
            <w:pPr>
              <w:jc w:val="center"/>
              <w:spacing w:after="0"/>
              <w:rPr>
                <w:sz w:val="20"/>
                <w:szCs w:val="20"/>
                <w:color w:val="auto"/>
              </w:rPr>
            </w:pPr>
            <w:r>
              <w:rPr>
                <w:rFonts w:ascii="Calibri" w:cs="Calibri" w:eastAsia="Calibri" w:hAnsi="Calibri"/>
                <w:sz w:val="17"/>
                <w:szCs w:val="17"/>
                <w:color w:val="auto"/>
                <w:w w:val="99"/>
              </w:rPr>
              <w:t>54.2%</w:t>
            </w:r>
          </w:p>
        </w:tc>
        <w:tc>
          <w:tcPr>
            <w:tcW w:w="1160" w:type="dxa"/>
            <w:vAlign w:val="bottom"/>
          </w:tcPr>
          <w:p>
            <w:pPr>
              <w:jc w:val="center"/>
              <w:spacing w:after="0"/>
              <w:rPr>
                <w:sz w:val="20"/>
                <w:szCs w:val="20"/>
                <w:color w:val="auto"/>
              </w:rPr>
            </w:pPr>
            <w:r>
              <w:rPr>
                <w:rFonts w:ascii="Calibri" w:cs="Calibri" w:eastAsia="Calibri" w:hAnsi="Calibri"/>
                <w:sz w:val="17"/>
                <w:szCs w:val="17"/>
                <w:color w:val="auto"/>
                <w:w w:val="99"/>
              </w:rPr>
              <w:t>50.7%</w:t>
            </w:r>
          </w:p>
        </w:tc>
        <w:tc>
          <w:tcPr>
            <w:tcW w:w="10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64.2%</w:t>
            </w:r>
          </w:p>
        </w:tc>
        <w:tc>
          <w:tcPr>
            <w:tcW w:w="1120" w:type="dxa"/>
            <w:vAlign w:val="bottom"/>
          </w:tcPr>
          <w:p>
            <w:pPr>
              <w:jc w:val="center"/>
              <w:spacing w:after="0"/>
              <w:rPr>
                <w:sz w:val="20"/>
                <w:szCs w:val="20"/>
                <w:color w:val="auto"/>
              </w:rPr>
            </w:pPr>
            <w:r>
              <w:rPr>
                <w:rFonts w:ascii="Calibri" w:cs="Calibri" w:eastAsia="Calibri" w:hAnsi="Calibri"/>
                <w:sz w:val="17"/>
                <w:szCs w:val="17"/>
                <w:color w:val="auto"/>
              </w:rPr>
              <w:t>1348 bps</w:t>
            </w:r>
          </w:p>
        </w:tc>
        <w:tc>
          <w:tcPr>
            <w:tcW w:w="11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410 bps</w:t>
            </w:r>
          </w:p>
        </w:tc>
        <w:tc>
          <w:tcPr>
            <w:tcW w:w="860" w:type="dxa"/>
            <w:vAlign w:val="bottom"/>
          </w:tcPr>
          <w:p>
            <w:pPr>
              <w:jc w:val="center"/>
              <w:ind w:left="153"/>
              <w:spacing w:after="0"/>
              <w:rPr>
                <w:sz w:val="20"/>
                <w:szCs w:val="20"/>
                <w:color w:val="auto"/>
              </w:rPr>
            </w:pPr>
            <w:r>
              <w:rPr>
                <w:rFonts w:ascii="Calibri" w:cs="Calibri" w:eastAsia="Calibri" w:hAnsi="Calibri"/>
                <w:sz w:val="17"/>
                <w:szCs w:val="17"/>
                <w:color w:val="auto"/>
                <w:w w:val="99"/>
              </w:rPr>
              <w:t>51.3%</w:t>
            </w:r>
          </w:p>
        </w:tc>
        <w:tc>
          <w:tcPr>
            <w:tcW w:w="1380" w:type="dxa"/>
            <w:vAlign w:val="bottom"/>
            <w:tcBorders>
              <w:right w:val="single" w:sz="8" w:color="auto"/>
            </w:tcBorders>
          </w:tcPr>
          <w:p>
            <w:pPr>
              <w:jc w:val="center"/>
              <w:ind w:left="133"/>
              <w:spacing w:after="0"/>
              <w:rPr>
                <w:sz w:val="20"/>
                <w:szCs w:val="20"/>
                <w:color w:val="auto"/>
              </w:rPr>
            </w:pPr>
            <w:r>
              <w:rPr>
                <w:rFonts w:ascii="Calibri" w:cs="Calibri" w:eastAsia="Calibri" w:hAnsi="Calibri"/>
                <w:sz w:val="17"/>
                <w:szCs w:val="17"/>
                <w:color w:val="auto"/>
              </w:rPr>
              <w:t>54.2%</w:t>
            </w:r>
          </w:p>
        </w:tc>
        <w:tc>
          <w:tcPr>
            <w:tcW w:w="16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292 bps</w:t>
            </w:r>
          </w:p>
        </w:tc>
      </w:tr>
      <w:tr>
        <w:trPr>
          <w:trHeight w:val="24"/>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02"/>
        </w:trPr>
        <w:tc>
          <w:tcPr>
            <w:tcW w:w="1880" w:type="dxa"/>
            <w:vAlign w:val="bottom"/>
            <w:tcBorders>
              <w:left w:val="single" w:sz="8" w:color="auto"/>
              <w:bottom w:val="single" w:sz="8" w:color="auto"/>
              <w:right w:val="single" w:sz="8" w:color="auto"/>
            </w:tcBorders>
          </w:tcPr>
          <w:p>
            <w:pPr>
              <w:ind w:left="20"/>
              <w:spacing w:after="0" w:line="202" w:lineRule="exact"/>
              <w:rPr>
                <w:sz w:val="20"/>
                <w:szCs w:val="20"/>
                <w:color w:val="auto"/>
              </w:rPr>
            </w:pPr>
            <w:r>
              <w:rPr>
                <w:rFonts w:ascii="Calibri" w:cs="Calibri" w:eastAsia="Calibri" w:hAnsi="Calibri"/>
                <w:sz w:val="17"/>
                <w:szCs w:val="17"/>
                <w:b w:val="1"/>
                <w:bCs w:val="1"/>
                <w:color w:val="auto"/>
              </w:rPr>
              <w:t>Credicorp</w:t>
            </w:r>
          </w:p>
        </w:tc>
        <w:tc>
          <w:tcPr>
            <w:tcW w:w="10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8"/>
              </w:rPr>
              <w:t>49.0%</w:t>
            </w:r>
          </w:p>
        </w:tc>
        <w:tc>
          <w:tcPr>
            <w:tcW w:w="11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8"/>
              </w:rPr>
              <w:t>45.2%</w:t>
            </w:r>
          </w:p>
        </w:tc>
        <w:tc>
          <w:tcPr>
            <w:tcW w:w="108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8"/>
              </w:rPr>
              <w:t>49.2%</w:t>
            </w:r>
          </w:p>
        </w:tc>
        <w:tc>
          <w:tcPr>
            <w:tcW w:w="112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398 bps</w:t>
            </w:r>
          </w:p>
        </w:tc>
        <w:tc>
          <w:tcPr>
            <w:tcW w:w="110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21 bps</w:t>
            </w:r>
          </w:p>
        </w:tc>
        <w:tc>
          <w:tcPr>
            <w:tcW w:w="860" w:type="dxa"/>
            <w:vAlign w:val="bottom"/>
            <w:tcBorders>
              <w:bottom w:val="single" w:sz="8" w:color="auto"/>
            </w:tcBorders>
          </w:tcPr>
          <w:p>
            <w:pPr>
              <w:jc w:val="center"/>
              <w:ind w:left="153"/>
              <w:spacing w:after="0" w:line="202" w:lineRule="exact"/>
              <w:rPr>
                <w:sz w:val="20"/>
                <w:szCs w:val="20"/>
                <w:color w:val="auto"/>
              </w:rPr>
            </w:pPr>
            <w:r>
              <w:rPr>
                <w:rFonts w:ascii="Calibri" w:cs="Calibri" w:eastAsia="Calibri" w:hAnsi="Calibri"/>
                <w:sz w:val="17"/>
                <w:szCs w:val="17"/>
                <w:b w:val="1"/>
                <w:bCs w:val="1"/>
                <w:color w:val="auto"/>
                <w:w w:val="98"/>
              </w:rPr>
              <w:t>46.1%</w:t>
            </w:r>
          </w:p>
        </w:tc>
        <w:tc>
          <w:tcPr>
            <w:tcW w:w="1380" w:type="dxa"/>
            <w:vAlign w:val="bottom"/>
            <w:tcBorders>
              <w:bottom w:val="single" w:sz="8" w:color="auto"/>
              <w:right w:val="single" w:sz="8" w:color="auto"/>
            </w:tcBorders>
          </w:tcPr>
          <w:p>
            <w:pPr>
              <w:jc w:val="center"/>
              <w:ind w:left="133"/>
              <w:spacing w:after="0" w:line="202" w:lineRule="exact"/>
              <w:rPr>
                <w:sz w:val="20"/>
                <w:szCs w:val="20"/>
                <w:color w:val="auto"/>
              </w:rPr>
            </w:pPr>
            <w:r>
              <w:rPr>
                <w:rFonts w:ascii="Calibri" w:cs="Calibri" w:eastAsia="Calibri" w:hAnsi="Calibri"/>
                <w:sz w:val="17"/>
                <w:szCs w:val="17"/>
                <w:b w:val="1"/>
                <w:bCs w:val="1"/>
                <w:color w:val="auto"/>
              </w:rPr>
              <w:t>45.8%</w:t>
            </w:r>
          </w:p>
        </w:tc>
        <w:tc>
          <w:tcPr>
            <w:tcW w:w="160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7"/>
              </w:rPr>
              <w:t>-30 bps</w:t>
            </w:r>
          </w:p>
        </w:tc>
      </w:tr>
    </w:tbl>
    <w:p>
      <w:pPr>
        <w:spacing w:after="0" w:line="15" w:lineRule="exact"/>
        <w:rPr>
          <w:sz w:val="20"/>
          <w:szCs w:val="20"/>
          <w:color w:val="auto"/>
        </w:rPr>
      </w:pPr>
    </w:p>
    <w:p>
      <w:pPr>
        <w:ind w:right="40" w:firstLine="5"/>
        <w:spacing w:after="0" w:line="237" w:lineRule="auto"/>
        <w:tabs>
          <w:tab w:leader="none" w:pos="164" w:val="left"/>
        </w:tabs>
        <w:numPr>
          <w:ilvl w:val="0"/>
          <w:numId w:val="44"/>
        </w:numPr>
        <w:rPr>
          <w:rFonts w:ascii="Calibri" w:cs="Calibri" w:eastAsia="Calibri" w:hAnsi="Calibri"/>
          <w:sz w:val="12"/>
          <w:szCs w:val="12"/>
          <w:color w:val="auto"/>
        </w:rPr>
      </w:pPr>
      <w:r>
        <w:rPr>
          <w:rFonts w:ascii="Calibri" w:cs="Calibri" w:eastAsia="Calibri" w:hAnsi="Calibri"/>
          <w:sz w:val="12"/>
          <w:szCs w:val="12"/>
          <w:color w:val="auto"/>
        </w:rPr>
        <w:t>Operatng expenses / Operatng income (under IFRS 17). Operatng expenses = Salaries and employee’s benefts + Administratve expenses + Depreciaton and amortzaton + Associaton in partcipaton + Acquisiton cost. Operatng income = Net interest, similar income, and expenses + Fee income + Net gain on foreign exchange transactons + Net gain from associates +Net gain on derivatves held for trading + Net gain from exchange diferences + Net Insurance Underwritng Results</w:t>
      </w:r>
    </w:p>
    <w:p>
      <w:pPr>
        <w:spacing w:after="0" w:line="172" w:lineRule="exact"/>
        <w:rPr>
          <w:sz w:val="20"/>
          <w:szCs w:val="20"/>
          <w:color w:val="auto"/>
        </w:rPr>
      </w:pPr>
    </w:p>
    <w:p>
      <w:pPr>
        <w:spacing w:after="0"/>
        <w:rPr>
          <w:sz w:val="20"/>
          <w:szCs w:val="20"/>
          <w:color w:val="auto"/>
        </w:rPr>
      </w:pPr>
      <w:r>
        <w:rPr>
          <w:rFonts w:ascii="Calibri" w:cs="Calibri" w:eastAsia="Calibri" w:hAnsi="Calibri"/>
          <w:sz w:val="17"/>
          <w:szCs w:val="17"/>
          <w:color w:val="auto"/>
        </w:rPr>
        <w:t>To analysis the evoluton of the efciency rato, we will use YTD movements to eliminate seasonal impacts between quarters.</w:t>
      </w:r>
    </w:p>
    <w:p>
      <w:pPr>
        <w:spacing w:after="0" w:line="186"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The efciency rato improved 30 bps YTD, driven mainly by growth in core income via (i) an uptck in Net interest income, boosted by a higher contributon form retail segment, and (ii) growth in fee income, which was fueled by an uptck in use of digital channels, led by Yape. The rise in income this quarter was supported by cost control.</w:t>
      </w:r>
    </w:p>
    <w:p>
      <w:pPr>
        <w:spacing w:after="0" w:line="212"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As of 1Q25, there will be a change in the accountng lines that impact the efciency rato. In Operatng Income, the Fee Income line will include the net expense associated with the credit card loyalty program, which has historically been reported in the General and Administratve Expenses line. It is important to note that our efciency rato of 45.8% for the full year in 2024 would be 45.0% if we were to utlize the new form of accountng.</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41" w:name="page42"/>
    <w:bookmarkEnd w:id="41"/>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51"/>
          <w:szCs w:val="51"/>
          <w:b w:val="1"/>
          <w:bCs w:val="1"/>
          <w:color w:val="E93BAC"/>
        </w:rPr>
        <w:t xml:space="preserve">10 </w:t>
      </w:r>
      <w:r>
        <w:rPr>
          <w:rFonts w:ascii="Arial" w:cs="Arial" w:eastAsia="Arial" w:hAnsi="Arial"/>
          <w:sz w:val="31"/>
          <w:szCs w:val="31"/>
          <w:color w:val="E93BAB"/>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26670</wp:posOffset>
            </wp:positionV>
            <wp:extent cx="6561455" cy="907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61455" cy="907415"/>
                    </a:xfrm>
                    <a:prstGeom prst="rect">
                      <a:avLst/>
                    </a:prstGeom>
                    <a:noFill/>
                  </pic:spPr>
                </pic:pic>
              </a:graphicData>
            </a:graphic>
          </wp:anchor>
        </w:drawing>
      </w:r>
    </w:p>
    <w:p>
      <w:pPr>
        <w:spacing w:after="0" w:line="1" w:lineRule="exact"/>
        <w:rPr>
          <w:sz w:val="20"/>
          <w:szCs w:val="20"/>
          <w:color w:val="auto"/>
        </w:rPr>
      </w:pPr>
    </w:p>
    <w:p>
      <w:pPr>
        <w:ind w:left="580"/>
        <w:spacing w:after="0"/>
        <w:rPr>
          <w:sz w:val="20"/>
          <w:szCs w:val="20"/>
          <w:color w:val="auto"/>
        </w:rPr>
      </w:pPr>
      <w:r>
        <w:rPr>
          <w:rFonts w:ascii="Calibri" w:cs="Calibri" w:eastAsia="Calibri" w:hAnsi="Calibri"/>
          <w:sz w:val="17"/>
          <w:szCs w:val="17"/>
          <w:color w:val="FFFFFF"/>
        </w:rPr>
        <w:t>The Regulatory Capital Rato at Credicorp stood 1.37 tmes above the regulatory limit.</w:t>
      </w:r>
    </w:p>
    <w:p>
      <w:pPr>
        <w:spacing w:after="0" w:line="160" w:lineRule="exact"/>
        <w:rPr>
          <w:sz w:val="20"/>
          <w:szCs w:val="20"/>
          <w:color w:val="auto"/>
        </w:rPr>
      </w:pPr>
    </w:p>
    <w:p>
      <w:pPr>
        <w:ind w:left="580" w:right="560"/>
        <w:spacing w:after="0" w:line="242" w:lineRule="auto"/>
        <w:rPr>
          <w:sz w:val="20"/>
          <w:szCs w:val="20"/>
          <w:color w:val="auto"/>
        </w:rPr>
      </w:pPr>
      <w:r>
        <w:rPr>
          <w:rFonts w:ascii="Calibri" w:cs="Calibri" w:eastAsia="Calibri" w:hAnsi="Calibri"/>
          <w:sz w:val="17"/>
          <w:szCs w:val="17"/>
          <w:color w:val="FFFFFF"/>
        </w:rPr>
        <w:t>The IFRS CET1 rato at BCP Stand-alone increased 12 bps YoY to stand at 13.32%, driven by growth in the balance of Retained Earnings (+21.2%) and partally ofset by an uptck in the RWA level (+5.2%).</w:t>
      </w:r>
    </w:p>
    <w:p>
      <w:pPr>
        <w:spacing w:after="0" w:line="132" w:lineRule="exact"/>
        <w:rPr>
          <w:sz w:val="20"/>
          <w:szCs w:val="20"/>
          <w:color w:val="auto"/>
        </w:rPr>
      </w:pPr>
    </w:p>
    <w:p>
      <w:pPr>
        <w:ind w:left="580" w:right="540"/>
        <w:spacing w:after="0" w:line="242" w:lineRule="auto"/>
        <w:rPr>
          <w:sz w:val="20"/>
          <w:szCs w:val="20"/>
          <w:color w:val="auto"/>
        </w:rPr>
      </w:pPr>
      <w:r>
        <w:rPr>
          <w:rFonts w:ascii="Calibri" w:cs="Calibri" w:eastAsia="Calibri" w:hAnsi="Calibri"/>
          <w:sz w:val="17"/>
          <w:szCs w:val="17"/>
          <w:color w:val="FFFFFF"/>
        </w:rPr>
        <w:t>The IFRS CET1 rato at Mibanco dropped 84 bps YoY, situatng at 17.53%. The decrease in Retained Earnings (-109.3%) due to dividend payments, partally ofset by a drop in the RWA level (6.3%), drove this dynamic.</w:t>
      </w:r>
    </w:p>
    <w:p>
      <w:pPr>
        <w:spacing w:after="0" w:line="27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10.1 Regulatory Capital at Credicorp</w:t>
      </w:r>
    </w:p>
    <w:p>
      <w:pPr>
        <w:spacing w:after="0" w:line="22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Capital analysis of Financial Group.</w:t>
      </w:r>
    </w:p>
    <w:p>
      <w:pPr>
        <w:spacing w:after="0" w:line="239"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In 2022, the Superintendency of Banking, Insurance, and AFP (SBS) established the legal bases to align the country’s regulatory framework with the capital standards set by Basel III. The entty issued resolutons that modifed both the structure and compositon of regulatory capital and capital requirements for companies in the fnancial system. Most of these changes were implemented at the beginning of 2023. For more details, we suggest you refer to our 1Q23 Quarterly Report.</w:t>
      </w:r>
    </w:p>
    <w:p>
      <w:pPr>
        <w:spacing w:after="0" w:line="212" w:lineRule="exact"/>
        <w:rPr>
          <w:sz w:val="20"/>
          <w:szCs w:val="20"/>
          <w:color w:val="auto"/>
        </w:rPr>
      </w:pPr>
    </w:p>
    <w:p>
      <w:pPr>
        <w:jc w:val="both"/>
        <w:spacing w:after="0" w:line="198" w:lineRule="auto"/>
        <w:rPr>
          <w:sz w:val="20"/>
          <w:szCs w:val="20"/>
          <w:color w:val="auto"/>
        </w:rPr>
      </w:pPr>
      <w:r>
        <w:rPr>
          <w:rFonts w:ascii="Calibri" w:cs="Calibri" w:eastAsia="Calibri" w:hAnsi="Calibri"/>
          <w:sz w:val="17"/>
          <w:szCs w:val="17"/>
          <w:color w:val="auto"/>
        </w:rPr>
        <w:t>In 2024, with the objectve to contnue aligning local regulaton with Basel III, the SBS modifed the structure and compositon of Total Regulatory Capital for fnancial conglomerates. These changes included incorporatng the following elements in the calculaton of Total Regulatory Capital: (i) Retained Earnings</w:t>
      </w:r>
      <w:r>
        <w:rPr>
          <w:rFonts w:ascii="Calibri" w:cs="Calibri" w:eastAsia="Calibri" w:hAnsi="Calibri"/>
          <w:sz w:val="29"/>
          <w:szCs w:val="29"/>
          <w:color w:val="auto"/>
          <w:vertAlign w:val="superscript"/>
        </w:rPr>
        <w:t>1</w:t>
      </w:r>
      <w:r>
        <w:rPr>
          <w:rFonts w:ascii="Calibri" w:cs="Calibri" w:eastAsia="Calibri" w:hAnsi="Calibri"/>
          <w:sz w:val="17"/>
          <w:szCs w:val="17"/>
          <w:color w:val="auto"/>
        </w:rPr>
        <w:t xml:space="preserve"> and (ii) Unrealized Gains/Losses</w:t>
      </w:r>
      <w:r>
        <w:rPr>
          <w:rFonts w:ascii="Calibri" w:cs="Calibri" w:eastAsia="Calibri" w:hAnsi="Calibri"/>
          <w:sz w:val="29"/>
          <w:szCs w:val="29"/>
          <w:color w:val="auto"/>
          <w:vertAlign w:val="superscript"/>
        </w:rPr>
        <w:t>2</w:t>
      </w:r>
      <w:r>
        <w:rPr>
          <w:rFonts w:ascii="Calibri" w:cs="Calibri" w:eastAsia="Calibri" w:hAnsi="Calibri"/>
          <w:sz w:val="17"/>
          <w:szCs w:val="17"/>
          <w:color w:val="auto"/>
        </w:rPr>
        <w:t>, as well as deductons of Net Intangible Assets &amp; DTAs.</w:t>
      </w:r>
    </w:p>
    <w:p>
      <w:pPr>
        <w:spacing w:after="0" w:line="3" w:lineRule="exact"/>
        <w:rPr>
          <w:sz w:val="20"/>
          <w:szCs w:val="20"/>
          <w:color w:val="auto"/>
        </w:rPr>
      </w:pPr>
    </w:p>
    <w:p>
      <w:pPr>
        <w:ind w:right="480"/>
        <w:spacing w:after="0" w:line="227" w:lineRule="auto"/>
        <w:rPr>
          <w:sz w:val="20"/>
          <w:szCs w:val="20"/>
          <w:color w:val="auto"/>
        </w:rPr>
      </w:pPr>
      <w:r>
        <w:rPr>
          <w:rFonts w:ascii="Calibri" w:cs="Calibri" w:eastAsia="Calibri" w:hAnsi="Calibri"/>
          <w:sz w:val="17"/>
          <w:szCs w:val="17"/>
          <w:color w:val="auto"/>
        </w:rPr>
        <w:t>Additonally, two minimum capital requirements have been included: minimum required for Common Equity Tier 1 Capital (CET 1) and minimum Tier 1 Total Regulatory Capital (Tier 1).</w:t>
      </w:r>
    </w:p>
    <w:p>
      <w:pPr>
        <w:spacing w:after="0" w:line="3" w:lineRule="exact"/>
        <w:rPr>
          <w:sz w:val="20"/>
          <w:szCs w:val="20"/>
          <w:color w:val="auto"/>
        </w:rPr>
      </w:pPr>
    </w:p>
    <w:p>
      <w:pPr>
        <w:ind w:left="240" w:hanging="235"/>
        <w:spacing w:after="0"/>
        <w:tabs>
          <w:tab w:leader="none" w:pos="240" w:val="left"/>
        </w:tabs>
        <w:numPr>
          <w:ilvl w:val="0"/>
          <w:numId w:val="45"/>
        </w:numPr>
        <w:rPr>
          <w:rFonts w:ascii="Arial" w:cs="Arial" w:eastAsia="Arial" w:hAnsi="Arial"/>
          <w:sz w:val="17"/>
          <w:szCs w:val="17"/>
          <w:color w:val="auto"/>
        </w:rPr>
      </w:pPr>
      <w:r>
        <w:rPr>
          <w:rFonts w:ascii="Calibri" w:cs="Calibri" w:eastAsia="Calibri" w:hAnsi="Calibri"/>
          <w:sz w:val="17"/>
          <w:szCs w:val="17"/>
          <w:color w:val="auto"/>
        </w:rPr>
        <w:t>Minimum required for CET 1: 45% of Credicorp’s capital requirement and 100% of the conservaton, economic cycle and risk concentraton bufers.</w:t>
      </w:r>
    </w:p>
    <w:p>
      <w:pPr>
        <w:spacing w:after="0" w:line="27" w:lineRule="exact"/>
        <w:rPr>
          <w:rFonts w:ascii="Arial" w:cs="Arial" w:eastAsia="Arial" w:hAnsi="Arial"/>
          <w:sz w:val="17"/>
          <w:szCs w:val="17"/>
          <w:color w:val="auto"/>
        </w:rPr>
      </w:pPr>
    </w:p>
    <w:p>
      <w:pPr>
        <w:ind w:left="240" w:hanging="235"/>
        <w:spacing w:after="0" w:line="211" w:lineRule="auto"/>
        <w:tabs>
          <w:tab w:leader="none" w:pos="240" w:val="left"/>
        </w:tabs>
        <w:numPr>
          <w:ilvl w:val="0"/>
          <w:numId w:val="45"/>
        </w:numPr>
        <w:rPr>
          <w:rFonts w:ascii="Arial" w:cs="Arial" w:eastAsia="Arial" w:hAnsi="Arial"/>
          <w:sz w:val="17"/>
          <w:szCs w:val="17"/>
          <w:color w:val="auto"/>
        </w:rPr>
      </w:pPr>
      <w:r>
        <w:rPr>
          <w:rFonts w:ascii="Calibri" w:cs="Calibri" w:eastAsia="Calibri" w:hAnsi="Calibri"/>
          <w:sz w:val="17"/>
          <w:szCs w:val="17"/>
          <w:color w:val="auto"/>
        </w:rPr>
        <w:t>Minimum required for Tier 1: 60% of Credicorp’s capital requirement and 100% of the conservaton, economic cycle and risk concentraton bufers.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40" w:type="dxa"/>
            <w:vAlign w:val="bottom"/>
          </w:tcPr>
          <w:p>
            <w:pPr>
              <w:spacing w:after="0"/>
              <w:rPr>
                <w:sz w:val="20"/>
                <w:szCs w:val="20"/>
                <w:color w:val="auto"/>
              </w:rPr>
            </w:pPr>
            <w:r>
              <w:rPr>
                <w:rFonts w:ascii="Calibri" w:cs="Calibri" w:eastAsia="Calibri" w:hAnsi="Calibri"/>
                <w:sz w:val="17"/>
                <w:szCs w:val="17"/>
                <w:color w:val="auto"/>
              </w:rPr>
              <w:t>At Credicorp, the Regulatory Capital Rato stood at 1.37 at the end of 4Q24.</w:t>
            </w:r>
          </w:p>
        </w:tc>
        <w:tc>
          <w:tcPr>
            <w:tcW w:w="2860" w:type="dxa"/>
            <w:vAlign w:val="bottom"/>
          </w:tcPr>
          <w:p>
            <w:pPr>
              <w:ind w:left="1060"/>
              <w:spacing w:after="0"/>
              <w:rPr>
                <w:sz w:val="20"/>
                <w:szCs w:val="20"/>
                <w:color w:val="auto"/>
              </w:rPr>
            </w:pPr>
            <w:r>
              <w:rPr>
                <w:rFonts w:ascii="Arial" w:cs="Arial" w:eastAsia="Arial" w:hAnsi="Arial"/>
                <w:sz w:val="16"/>
                <w:szCs w:val="16"/>
                <w:b w:val="1"/>
                <w:bCs w:val="1"/>
                <w:color w:val="auto"/>
                <w:w w:val="96"/>
              </w:rPr>
              <w:t>Capital Coverage Ratios</w:t>
            </w:r>
          </w:p>
        </w:tc>
      </w:tr>
      <w:tr>
        <w:trPr>
          <w:trHeight w:val="210"/>
        </w:trPr>
        <w:tc>
          <w:tcPr>
            <w:tcW w:w="6540" w:type="dxa"/>
            <w:vAlign w:val="bottom"/>
          </w:tcPr>
          <w:p>
            <w:pPr>
              <w:spacing w:after="0"/>
              <w:rPr>
                <w:sz w:val="20"/>
                <w:szCs w:val="20"/>
                <w:color w:val="auto"/>
              </w:rPr>
            </w:pPr>
            <w:r>
              <w:rPr>
                <w:rFonts w:ascii="Calibri" w:cs="Calibri" w:eastAsia="Calibri" w:hAnsi="Calibri"/>
                <w:sz w:val="17"/>
                <w:szCs w:val="17"/>
                <w:color w:val="auto"/>
              </w:rPr>
              <w:t>This atests to the Group’s fnancial strenght and stability. The rato dropped 6</w:t>
            </w:r>
          </w:p>
        </w:tc>
        <w:tc>
          <w:tcPr>
            <w:tcW w:w="2860" w:type="dxa"/>
            <w:vAlign w:val="bottom"/>
          </w:tcPr>
          <w:p>
            <w:pPr>
              <w:spacing w:after="0"/>
              <w:rPr>
                <w:sz w:val="18"/>
                <w:szCs w:val="18"/>
                <w:color w:val="auto"/>
              </w:rPr>
            </w:pPr>
          </w:p>
        </w:tc>
      </w:tr>
      <w:tr>
        <w:trPr>
          <w:trHeight w:val="226"/>
        </w:trPr>
        <w:tc>
          <w:tcPr>
            <w:tcW w:w="6540" w:type="dxa"/>
            <w:vAlign w:val="bottom"/>
          </w:tcPr>
          <w:p>
            <w:pPr>
              <w:spacing w:after="0"/>
              <w:rPr>
                <w:sz w:val="20"/>
                <w:szCs w:val="20"/>
                <w:color w:val="auto"/>
              </w:rPr>
            </w:pPr>
            <w:r>
              <w:rPr>
                <w:rFonts w:ascii="Calibri" w:cs="Calibri" w:eastAsia="Calibri" w:hAnsi="Calibri"/>
                <w:sz w:val="17"/>
                <w:szCs w:val="17"/>
                <w:color w:val="auto"/>
              </w:rPr>
              <w:t xml:space="preserve">bps </w:t>
            </w:r>
            <w:r>
              <w:rPr>
                <w:rFonts w:ascii="Calibri" w:cs="Calibri" w:eastAsia="Calibri" w:hAnsi="Calibri"/>
                <w:sz w:val="17"/>
                <w:szCs w:val="17"/>
                <w:b w:val="1"/>
                <w:bCs w:val="1"/>
                <w:color w:val="auto"/>
              </w:rPr>
              <w:t>QoQ</w:t>
            </w:r>
            <w:r>
              <w:rPr>
                <w:rFonts w:ascii="Times New Roman" w:cs="Times New Roman" w:eastAsia="Times New Roman" w:hAnsi="Times New Roman"/>
                <w:sz w:val="17"/>
                <w:szCs w:val="17"/>
                <w:color w:val="auto"/>
              </w:rPr>
              <w:t>,</w:t>
            </w:r>
            <w:r>
              <w:rPr>
                <w:rFonts w:ascii="Calibri" w:cs="Calibri" w:eastAsia="Calibri" w:hAnsi="Calibri"/>
                <w:sz w:val="17"/>
                <w:szCs w:val="17"/>
                <w:color w:val="auto"/>
              </w:rPr>
              <w:t xml:space="preserve"> driven by an increase in Regulatory Capital requirement, which rose</w:t>
            </w:r>
          </w:p>
        </w:tc>
        <w:tc>
          <w:tcPr>
            <w:tcW w:w="2860" w:type="dxa"/>
            <w:vAlign w:val="bottom"/>
          </w:tcPr>
          <w:p>
            <w:pPr>
              <w:spacing w:after="0"/>
              <w:rPr>
                <w:sz w:val="19"/>
                <w:szCs w:val="19"/>
                <w:color w:val="auto"/>
              </w:rPr>
            </w:pPr>
          </w:p>
        </w:tc>
      </w:tr>
      <w:tr>
        <w:trPr>
          <w:trHeight w:val="207"/>
        </w:trPr>
        <w:tc>
          <w:tcPr>
            <w:tcW w:w="6540" w:type="dxa"/>
            <w:vAlign w:val="bottom"/>
          </w:tcPr>
          <w:p>
            <w:pPr>
              <w:spacing w:after="0"/>
              <w:rPr>
                <w:sz w:val="20"/>
                <w:szCs w:val="20"/>
                <w:color w:val="auto"/>
              </w:rPr>
            </w:pPr>
            <w:r>
              <w:rPr>
                <w:rFonts w:ascii="Calibri" w:cs="Calibri" w:eastAsia="Calibri" w:hAnsi="Calibri"/>
                <w:sz w:val="17"/>
                <w:szCs w:val="17"/>
                <w:color w:val="auto"/>
              </w:rPr>
              <w:t>on the back of loan growth at the subsidiaries, and an increase in the combined</w:t>
            </w:r>
          </w:p>
        </w:tc>
        <w:tc>
          <w:tcPr>
            <w:tcW w:w="2860" w:type="dxa"/>
            <w:vAlign w:val="bottom"/>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Calibri" w:cs="Calibri" w:eastAsia="Calibri" w:hAnsi="Calibri"/>
                <w:sz w:val="17"/>
                <w:szCs w:val="17"/>
                <w:color w:val="auto"/>
              </w:rPr>
              <w:t>bufers requirements according to the established schedule. The decline in the</w:t>
            </w:r>
          </w:p>
        </w:tc>
        <w:tc>
          <w:tcPr>
            <w:tcW w:w="2860" w:type="dxa"/>
            <w:vAlign w:val="bottom"/>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Calibri" w:cs="Calibri" w:eastAsia="Calibri" w:hAnsi="Calibri"/>
                <w:sz w:val="17"/>
                <w:szCs w:val="17"/>
                <w:color w:val="auto"/>
              </w:rPr>
              <w:t>rato was ofset by growth in Total Regulatory Capital, which rose on the back of</w:t>
            </w:r>
          </w:p>
        </w:tc>
        <w:tc>
          <w:tcPr>
            <w:tcW w:w="2860" w:type="dxa"/>
            <w:vAlign w:val="bottom"/>
          </w:tcPr>
          <w:p>
            <w:pPr>
              <w:spacing w:after="0"/>
              <w:rPr>
                <w:sz w:val="18"/>
                <w:szCs w:val="18"/>
                <w:color w:val="auto"/>
              </w:rPr>
            </w:pPr>
          </w:p>
        </w:tc>
      </w:tr>
      <w:tr>
        <w:trPr>
          <w:trHeight w:val="233"/>
        </w:trPr>
        <w:tc>
          <w:tcPr>
            <w:tcW w:w="6540" w:type="dxa"/>
            <w:vAlign w:val="bottom"/>
          </w:tcPr>
          <w:p>
            <w:pPr>
              <w:spacing w:after="0"/>
              <w:rPr>
                <w:sz w:val="20"/>
                <w:szCs w:val="20"/>
                <w:color w:val="auto"/>
              </w:rPr>
            </w:pPr>
            <w:r>
              <w:rPr>
                <w:rFonts w:ascii="Calibri" w:cs="Calibri" w:eastAsia="Calibri" w:hAnsi="Calibri"/>
                <w:sz w:val="17"/>
                <w:szCs w:val="17"/>
                <w:color w:val="auto"/>
              </w:rPr>
              <w:t xml:space="preserve">growth in Earnings and Accumlated Results, partcularly via </w:t>
            </w:r>
            <w:r>
              <w:rPr>
                <w:rFonts w:ascii="Calibri" w:cs="Calibri" w:eastAsia="Calibri" w:hAnsi="Calibri"/>
                <w:sz w:val="17"/>
                <w:szCs w:val="17"/>
                <w:b w:val="1"/>
                <w:bCs w:val="1"/>
                <w:color w:val="auto"/>
              </w:rPr>
              <w:t>BCP Stand-alone</w:t>
            </w:r>
            <w:r>
              <w:rPr>
                <w:rFonts w:ascii="Times New Roman" w:cs="Times New Roman" w:eastAsia="Times New Roman" w:hAnsi="Times New Roman"/>
                <w:sz w:val="17"/>
                <w:szCs w:val="17"/>
                <w:color w:val="auto"/>
              </w:rPr>
              <w:t>.</w:t>
            </w:r>
          </w:p>
        </w:tc>
        <w:tc>
          <w:tcPr>
            <w:tcW w:w="2860" w:type="dxa"/>
            <w:vAlign w:val="bottom"/>
          </w:tcPr>
          <w:p>
            <w:pPr>
              <w:spacing w:after="0"/>
              <w:rPr>
                <w:sz w:val="20"/>
                <w:szCs w:val="20"/>
                <w:color w:val="auto"/>
              </w:rPr>
            </w:pPr>
          </w:p>
        </w:tc>
      </w:tr>
      <w:tr>
        <w:trPr>
          <w:trHeight w:val="462"/>
        </w:trPr>
        <w:tc>
          <w:tcPr>
            <w:tcW w:w="6540" w:type="dxa"/>
            <w:vAlign w:val="bottom"/>
          </w:tcPr>
          <w:p>
            <w:pPr>
              <w:spacing w:after="0"/>
              <w:rPr>
                <w:sz w:val="20"/>
                <w:szCs w:val="20"/>
                <w:color w:val="auto"/>
              </w:rPr>
            </w:pPr>
            <w:r>
              <w:rPr>
                <w:rFonts w:ascii="Calibri" w:cs="Calibri" w:eastAsia="Calibri" w:hAnsi="Calibri"/>
                <w:sz w:val="17"/>
                <w:szCs w:val="17"/>
                <w:color w:val="auto"/>
              </w:rPr>
              <w:t>Regulatory Tier 1 stood at 1.67 (-12 bps QoQ) while the CET1 rato situated at</w:t>
            </w:r>
          </w:p>
        </w:tc>
        <w:tc>
          <w:tcPr>
            <w:tcW w:w="2860" w:type="dxa"/>
            <w:vAlign w:val="bottom"/>
          </w:tcPr>
          <w:p>
            <w:pPr>
              <w:spacing w:after="0"/>
              <w:rPr>
                <w:sz w:val="24"/>
                <w:szCs w:val="24"/>
                <w:color w:val="auto"/>
              </w:rPr>
            </w:pPr>
          </w:p>
        </w:tc>
      </w:tr>
      <w:tr>
        <w:trPr>
          <w:trHeight w:val="210"/>
        </w:trPr>
        <w:tc>
          <w:tcPr>
            <w:tcW w:w="6540" w:type="dxa"/>
            <w:vAlign w:val="bottom"/>
          </w:tcPr>
          <w:p>
            <w:pPr>
              <w:spacing w:after="0"/>
              <w:rPr>
                <w:sz w:val="20"/>
                <w:szCs w:val="20"/>
                <w:color w:val="auto"/>
              </w:rPr>
            </w:pPr>
            <w:r>
              <w:rPr>
                <w:rFonts w:ascii="Calibri" w:cs="Calibri" w:eastAsia="Calibri" w:hAnsi="Calibri"/>
                <w:sz w:val="17"/>
                <w:szCs w:val="17"/>
                <w:color w:val="auto"/>
              </w:rPr>
              <w:t>2.02 (-17 bps QoQ), both above the minimum required. Growth in both was</w:t>
            </w:r>
          </w:p>
        </w:tc>
        <w:tc>
          <w:tcPr>
            <w:tcW w:w="2860" w:type="dxa"/>
            <w:vAlign w:val="bottom"/>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Calibri" w:cs="Calibri" w:eastAsia="Calibri" w:hAnsi="Calibri"/>
                <w:sz w:val="17"/>
                <w:szCs w:val="17"/>
                <w:color w:val="auto"/>
              </w:rPr>
              <w:t>driven by the same dynamics as those that drove the Regulatory Capital Rato</w:t>
            </w:r>
          </w:p>
        </w:tc>
        <w:tc>
          <w:tcPr>
            <w:tcW w:w="2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14236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236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-1299845</wp:posOffset>
            </wp:positionV>
            <wp:extent cx="3330575" cy="1498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30575" cy="14986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 w:hanging="95"/>
        <w:spacing w:after="0"/>
        <w:tabs>
          <w:tab w:leader="none" w:pos="100" w:val="left"/>
        </w:tabs>
        <w:numPr>
          <w:ilvl w:val="0"/>
          <w:numId w:val="46"/>
        </w:numPr>
        <w:rPr>
          <w:rFonts w:ascii="Calibri" w:cs="Calibri" w:eastAsia="Calibri" w:hAnsi="Calibri"/>
          <w:sz w:val="23"/>
          <w:szCs w:val="23"/>
          <w:color w:val="auto"/>
          <w:vertAlign w:val="superscript"/>
        </w:rPr>
      </w:pPr>
      <w:r>
        <w:rPr>
          <w:rFonts w:ascii="Calibri" w:cs="Calibri" w:eastAsia="Calibri" w:hAnsi="Calibri"/>
          <w:sz w:val="14"/>
          <w:szCs w:val="14"/>
          <w:color w:val="auto"/>
        </w:rPr>
        <w:t>Includes Accumulated Earnings solely from Financial Enttes Supervised by the SBS, according to the current regulaton.</w:t>
      </w:r>
    </w:p>
    <w:p>
      <w:pPr>
        <w:spacing w:after="0" w:line="187" w:lineRule="exact"/>
        <w:rPr>
          <w:sz w:val="20"/>
          <w:szCs w:val="20"/>
          <w:color w:val="auto"/>
        </w:rPr>
      </w:pPr>
    </w:p>
    <w:p>
      <w:pPr>
        <w:ind w:right="80" w:firstLine="5"/>
        <w:spacing w:after="0" w:line="189" w:lineRule="auto"/>
        <w:tabs>
          <w:tab w:leader="none" w:pos="90" w:val="left"/>
        </w:tabs>
        <w:numPr>
          <w:ilvl w:val="0"/>
          <w:numId w:val="47"/>
        </w:numPr>
        <w:rPr>
          <w:rFonts w:ascii="Calibri" w:cs="Calibri" w:eastAsia="Calibri" w:hAnsi="Calibri"/>
          <w:sz w:val="22"/>
          <w:szCs w:val="22"/>
          <w:color w:val="auto"/>
          <w:vertAlign w:val="superscript"/>
        </w:rPr>
      </w:pPr>
      <w:r>
        <w:rPr>
          <w:rFonts w:ascii="Calibri" w:cs="Calibri" w:eastAsia="Calibri" w:hAnsi="Calibri"/>
          <w:sz w:val="13"/>
          <w:szCs w:val="13"/>
          <w:color w:val="auto"/>
        </w:rPr>
        <w:t>Includes Unrealized Losses atributable to Available-For-Sale Investments in debt instruments issued by the Peruvian Government, other Governments with Investment Grade Ratngs, the Peruvian Central Bank and other instruments, in accordance with current regulaton.</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65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291"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FFFFFF"/>
        </w:rPr>
        <w:t>10. Regulatory Capital</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10.2 Analysis of Capital at BCP Stand-alone</w:t>
      </w:r>
    </w:p>
    <w:p>
      <w:pPr>
        <w:spacing w:after="0" w:line="196" w:lineRule="exact"/>
        <w:rPr>
          <w:sz w:val="20"/>
          <w:szCs w:val="20"/>
          <w:color w:val="auto"/>
        </w:rPr>
      </w:pPr>
    </w:p>
    <w:p>
      <w:pPr>
        <w:ind w:left="5840"/>
        <w:spacing w:after="0" w:line="242" w:lineRule="auto"/>
        <w:rPr>
          <w:sz w:val="20"/>
          <w:szCs w:val="20"/>
          <w:color w:val="auto"/>
        </w:rPr>
      </w:pPr>
      <w:r>
        <w:rPr>
          <w:rFonts w:ascii="Calibri" w:cs="Calibri" w:eastAsia="Calibri" w:hAnsi="Calibri"/>
          <w:sz w:val="17"/>
          <w:szCs w:val="17"/>
          <w:color w:val="auto"/>
        </w:rPr>
        <w:t xml:space="preserve">The IFRS CET 1 Rato dropped 10 bps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to stand at 13.32% at the end of 4Q24, which is above our internal risk appette of 11%. This decline was driven by growth in RWAs, which were impacted by loan growth in th wholesale banking segment. The decline of the rato was partally ofset by Retained Earnings, which registered a rise on the back of business growth that was ofset by a decline in Reserves due to dividend payments. YoY, the IFRS CET 1 Rato rose 12 bps, driven by an increase in Retained Earnings, ofset by higher credit RWAs, which rose due to loan growth, and in RWAs for operatng risk, which increased alongside an uptck in the bank’s fnancial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-1181735</wp:posOffset>
            </wp:positionV>
            <wp:extent cx="3330575" cy="21564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30575" cy="215646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left="5840"/>
        <w:spacing w:after="0" w:line="242" w:lineRule="auto"/>
        <w:rPr>
          <w:sz w:val="20"/>
          <w:szCs w:val="20"/>
          <w:color w:val="auto"/>
        </w:rPr>
      </w:pPr>
      <w:r>
        <w:rPr>
          <w:rFonts w:ascii="Calibri" w:cs="Calibri" w:eastAsia="Calibri" w:hAnsi="Calibri"/>
          <w:sz w:val="17"/>
          <w:szCs w:val="17"/>
          <w:color w:val="auto"/>
        </w:rPr>
        <w:t>Finally, under the parameters of current regulaton, the Regulatory Capital Global Rato stood at 18.71% (-25 bps QoQ, +125 bps YoY). This rato is above the 13.76% minimum required by the regulator as of</w:t>
      </w:r>
    </w:p>
    <w:p>
      <w:pPr>
        <w:spacing w:after="0" w:line="200" w:lineRule="exact"/>
        <w:rPr>
          <w:sz w:val="20"/>
          <w:szCs w:val="20"/>
          <w:color w:val="auto"/>
        </w:rPr>
      </w:pPr>
    </w:p>
    <w:p>
      <w:pPr>
        <w:spacing w:after="0" w:line="300"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 xml:space="preserve">December 2024, which atests to our prudent management of solvency. </w:t>
      </w:r>
      <w:r>
        <w:rPr>
          <w:rFonts w:ascii="Calibri" w:cs="Calibri" w:eastAsia="Calibri" w:hAnsi="Calibri"/>
          <w:sz w:val="17"/>
          <w:szCs w:val="17"/>
          <w:b w:val="1"/>
          <w:bCs w:val="1"/>
          <w:color w:val="auto"/>
        </w:rPr>
        <w:t>QoQ</w:t>
      </w:r>
      <w:r>
        <w:rPr>
          <w:rFonts w:ascii="Calibri" w:cs="Calibri" w:eastAsia="Calibri" w:hAnsi="Calibri"/>
          <w:sz w:val="17"/>
          <w:szCs w:val="17"/>
          <w:color w:val="auto"/>
        </w:rPr>
        <w:t xml:space="preserve">, the decline in the rato was driven by the same dynamics in play for IFRS CET1 while </w:t>
      </w:r>
      <w:r>
        <w:rPr>
          <w:rFonts w:ascii="Calibri" w:cs="Calibri" w:eastAsia="Calibri" w:hAnsi="Calibri"/>
          <w:sz w:val="17"/>
          <w:szCs w:val="17"/>
          <w:b w:val="1"/>
          <w:bCs w:val="1"/>
          <w:color w:val="auto"/>
        </w:rPr>
        <w:t>YoY</w:t>
      </w:r>
      <w:r>
        <w:rPr>
          <w:rFonts w:ascii="Times New Roman" w:cs="Times New Roman" w:eastAsia="Times New Roman" w:hAnsi="Times New Roman"/>
          <w:sz w:val="17"/>
          <w:szCs w:val="17"/>
          <w:color w:val="auto"/>
        </w:rPr>
        <w: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rise in the rato was atributable to growth in Subordinated Debt due to a bond issuance in September and to growth in the balance for Retained Earnings,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which was partally ofset by dividend payments and growth in RWAs.</w:t>
      </w:r>
    </w:p>
    <w:p>
      <w:pPr>
        <w:spacing w:after="0" w:line="232" w:lineRule="exact"/>
        <w:rPr>
          <w:sz w:val="20"/>
          <w:szCs w:val="20"/>
          <w:color w:val="auto"/>
        </w:rPr>
      </w:pPr>
    </w:p>
    <w:p>
      <w:pPr>
        <w:spacing w:after="0"/>
        <w:rPr>
          <w:sz w:val="20"/>
          <w:szCs w:val="20"/>
          <w:color w:val="auto"/>
        </w:rPr>
      </w:pPr>
      <w:r>
        <w:rPr>
          <w:rFonts w:ascii="Calibri" w:cs="Calibri" w:eastAsia="Calibri" w:hAnsi="Calibri"/>
          <w:sz w:val="17"/>
          <w:szCs w:val="17"/>
          <w:color w:val="auto"/>
        </w:rPr>
        <w:t>The local CET 1 rato stood at 13.08%, well above the minimum requirement of 7.53% to December 2024.</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10.3 Analysis of Capital at Mibanco</w:t>
      </w:r>
    </w:p>
    <w:p>
      <w:pPr>
        <w:spacing w:after="0" w:line="209"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 xml:space="preserve">At the end of 4Q24, the IFRS CET 1 Rato at </w:t>
      </w:r>
      <w:r>
        <w:rPr>
          <w:rFonts w:ascii="Calibri" w:cs="Calibri" w:eastAsia="Calibri" w:hAnsi="Calibri"/>
          <w:sz w:val="17"/>
          <w:szCs w:val="17"/>
          <w:b w:val="1"/>
          <w:bCs w:val="1"/>
          <w:color w:val="auto"/>
        </w:rPr>
        <w:t>Mibanco</w:t>
      </w:r>
      <w:r>
        <w:rPr>
          <w:rFonts w:ascii="Calibri" w:cs="Calibri" w:eastAsia="Calibri" w:hAnsi="Calibri"/>
          <w:sz w:val="17"/>
          <w:szCs w:val="17"/>
          <w:color w:val="auto"/>
        </w:rPr>
        <w:t xml:space="preserve"> stood at 17.53%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-117475</wp:posOffset>
            </wp:positionV>
            <wp:extent cx="3330575" cy="2273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30575" cy="2273300"/>
                    </a:xfrm>
                    <a:prstGeom prst="rect">
                      <a:avLst/>
                    </a:prstGeom>
                    <a:noFill/>
                  </pic:spPr>
                </pic:pic>
              </a:graphicData>
            </a:graphic>
          </wp:anchor>
        </w:drawing>
      </w:r>
    </w:p>
    <w:p>
      <w:pPr>
        <w:ind w:left="5840"/>
        <w:spacing w:after="0"/>
        <w:rPr>
          <w:sz w:val="20"/>
          <w:szCs w:val="20"/>
          <w:color w:val="auto"/>
        </w:rPr>
      </w:pPr>
      <w:r>
        <w:rPr>
          <w:rFonts w:ascii="Calibri" w:cs="Calibri" w:eastAsia="Calibri" w:hAnsi="Calibri"/>
          <w:sz w:val="17"/>
          <w:szCs w:val="17"/>
          <w:color w:val="auto"/>
        </w:rPr>
        <w:t>bps QoQ), which exceeded our internal appette of 15%. This reducton was</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driven by an increase in the RWA level, which was fueled by loan growth. The</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decrease in Retained Earnings, which was associated with dividend payments,</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also infuenced the IFRS CET1 Result. YoY, this rato dropped 84 bps due to a</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reducton in Retained earnings, which fell via the same dynamics seen QoQ.</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The decrease in the rato was partally ofset by a decrease in the RWA level,</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which was fueled by a contracton in loans afer credit guidelines were</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tghtened</w:t>
      </w:r>
    </w:p>
    <w:p>
      <w:pPr>
        <w:spacing w:after="0" w:line="2" w:lineRule="exact"/>
        <w:rPr>
          <w:sz w:val="20"/>
          <w:szCs w:val="20"/>
          <w:color w:val="auto"/>
        </w:rPr>
      </w:pPr>
    </w:p>
    <w:p>
      <w:pPr>
        <w:ind w:left="5840"/>
        <w:spacing w:after="0"/>
        <w:rPr>
          <w:sz w:val="20"/>
          <w:szCs w:val="20"/>
          <w:color w:val="auto"/>
        </w:rPr>
      </w:pPr>
      <w:r>
        <w:rPr>
          <w:rFonts w:ascii="Calibri" w:cs="Calibri" w:eastAsia="Calibri" w:hAnsi="Calibri"/>
          <w:sz w:val="17"/>
          <w:szCs w:val="17"/>
          <w:color w:val="auto"/>
        </w:rPr>
        <w:t>throughout the year.</w:t>
      </w:r>
    </w:p>
    <w:p>
      <w:pPr>
        <w:spacing w:after="0" w:line="239" w:lineRule="exact"/>
        <w:rPr>
          <w:sz w:val="20"/>
          <w:szCs w:val="20"/>
          <w:color w:val="auto"/>
        </w:rPr>
      </w:pPr>
    </w:p>
    <w:p>
      <w:pPr>
        <w:jc w:val="both"/>
        <w:ind w:left="5840"/>
        <w:spacing w:after="0" w:line="242" w:lineRule="auto"/>
        <w:rPr>
          <w:sz w:val="20"/>
          <w:szCs w:val="20"/>
          <w:color w:val="auto"/>
        </w:rPr>
      </w:pPr>
      <w:r>
        <w:rPr>
          <w:rFonts w:ascii="Calibri" w:cs="Calibri" w:eastAsia="Calibri" w:hAnsi="Calibri"/>
          <w:sz w:val="17"/>
          <w:szCs w:val="17"/>
          <w:color w:val="auto"/>
        </w:rPr>
        <w:t>The Regulatory Capital Global Rato stood at 19.42% (-80 bps QoQ), which is comfortably above the 14.14% minimum required by the regulator. This variaton was driven by the same dynamics that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0"/>
        <w:spacing w:after="0" w:line="242" w:lineRule="auto"/>
        <w:rPr>
          <w:sz w:val="20"/>
          <w:szCs w:val="20"/>
          <w:color w:val="auto"/>
        </w:rPr>
      </w:pPr>
      <w:r>
        <w:rPr>
          <w:rFonts w:ascii="Calibri" w:cs="Calibri" w:eastAsia="Calibri" w:hAnsi="Calibri"/>
          <w:sz w:val="17"/>
          <w:szCs w:val="17"/>
          <w:color w:val="auto"/>
        </w:rPr>
        <w:t>impacted the evoluton of the IFRS CET 1 Rato. The local CET 1 rato stood at 17.07%, which compares favorably with the minimum of 7.53% required as of December 2024.</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3" w:name="page44"/>
    <w:bookmarkEnd w:id="43"/>
    <w:p>
      <w:pPr>
        <w:ind w:left="2520"/>
        <w:spacing w:after="0"/>
        <w:tabs>
          <w:tab w:leader="none" w:pos="2800" w:val="left"/>
          <w:tab w:leader="none" w:pos="748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49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44958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51"/>
          <w:szCs w:val="51"/>
          <w:b w:val="1"/>
          <w:bCs w:val="1"/>
          <w:color w:val="E93BAB"/>
        </w:rPr>
        <w:t xml:space="preserve">11 </w:t>
      </w:r>
      <w:r>
        <w:rPr>
          <w:rFonts w:ascii="Arial" w:cs="Arial" w:eastAsia="Arial" w:hAnsi="Arial"/>
          <w:sz w:val="31"/>
          <w:szCs w:val="31"/>
          <w:color w:val="E93BAB"/>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127000</wp:posOffset>
            </wp:positionV>
            <wp:extent cx="6703060" cy="13404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03060" cy="1340485"/>
                    </a:xfrm>
                    <a:prstGeom prst="rect">
                      <a:avLst/>
                    </a:prstGeom>
                    <a:noFill/>
                  </pic:spPr>
                </pic:pic>
              </a:graphicData>
            </a:graphic>
          </wp:anchor>
        </w:drawing>
      </w:r>
    </w:p>
    <w:p>
      <w:pPr>
        <w:spacing w:after="0" w:line="264" w:lineRule="exact"/>
        <w:rPr>
          <w:sz w:val="20"/>
          <w:szCs w:val="20"/>
          <w:color w:val="auto"/>
        </w:rPr>
      </w:pPr>
    </w:p>
    <w:p>
      <w:pPr>
        <w:jc w:val="both"/>
        <w:ind w:left="380" w:right="600"/>
        <w:spacing w:after="0" w:line="242" w:lineRule="auto"/>
        <w:rPr>
          <w:sz w:val="20"/>
          <w:szCs w:val="20"/>
          <w:color w:val="auto"/>
        </w:rPr>
      </w:pPr>
      <w:r>
        <w:rPr>
          <w:rFonts w:ascii="Calibri" w:cs="Calibri" w:eastAsia="Calibri" w:hAnsi="Calibri"/>
          <w:sz w:val="17"/>
          <w:szCs w:val="17"/>
          <w:color w:val="FFFFFF"/>
        </w:rPr>
        <w:t>In 4Q24, the Peruvian economy is expected to have grown around 4% YoY. Primary sectors are estmated to have expanded 4.7% YoY, driven by the fshing and agriculture sectors, while non-primary sectors are projected to have slowed approximately 4.0%. At the end of 2024, GDP grew around 3.2%, amid a cyclical and gradual recovery.</w:t>
      </w:r>
    </w:p>
    <w:p>
      <w:pPr>
        <w:spacing w:after="0" w:line="212" w:lineRule="exact"/>
        <w:rPr>
          <w:sz w:val="20"/>
          <w:szCs w:val="20"/>
          <w:color w:val="auto"/>
        </w:rPr>
      </w:pPr>
    </w:p>
    <w:p>
      <w:pPr>
        <w:ind w:left="380" w:right="620"/>
        <w:spacing w:after="0" w:line="242" w:lineRule="auto"/>
        <w:rPr>
          <w:sz w:val="20"/>
          <w:szCs w:val="20"/>
          <w:color w:val="auto"/>
        </w:rPr>
      </w:pPr>
      <w:r>
        <w:rPr>
          <w:rFonts w:ascii="Calibri" w:cs="Calibri" w:eastAsia="Calibri" w:hAnsi="Calibri"/>
          <w:sz w:val="17"/>
          <w:szCs w:val="17"/>
          <w:color w:val="FFFFFF"/>
        </w:rPr>
        <w:t>The annual infaton rate increased marginally, closing the quarter at 2.0% YoY (1.8% YoY in 3Q24). In January 2025, BCRP cut its reference rate 25bps to 4.75%, afer closing 2024 at 5.00%.</w:t>
      </w:r>
    </w:p>
    <w:p>
      <w:pPr>
        <w:spacing w:after="0" w:line="224" w:lineRule="exact"/>
        <w:rPr>
          <w:sz w:val="20"/>
          <w:szCs w:val="20"/>
          <w:color w:val="auto"/>
        </w:rPr>
      </w:pPr>
    </w:p>
    <w:p>
      <w:pPr>
        <w:ind w:left="380" w:right="900"/>
        <w:spacing w:after="0" w:line="242" w:lineRule="auto"/>
        <w:rPr>
          <w:sz w:val="20"/>
          <w:szCs w:val="20"/>
          <w:color w:val="auto"/>
        </w:rPr>
      </w:pPr>
      <w:r>
        <w:rPr>
          <w:rFonts w:ascii="Calibri" w:cs="Calibri" w:eastAsia="Calibri" w:hAnsi="Calibri"/>
          <w:sz w:val="17"/>
          <w:szCs w:val="17"/>
          <w:color w:val="FFFFFF"/>
        </w:rPr>
        <w:t>BCRP has indicated that the exchange rate closed at USDPEN 3.76 in 4Q24, deppreciatng 1.6% over the fgure of 3Q24. This result situates the Peruvian Sol among the best-performing emerging market currencies.</w:t>
      </w: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4340" w:type="dxa"/>
            <w:vAlign w:val="bottom"/>
            <w:gridSpan w:val="2"/>
          </w:tcPr>
          <w:p>
            <w:pPr>
              <w:spacing w:after="0"/>
              <w:rPr>
                <w:sz w:val="20"/>
                <w:szCs w:val="20"/>
                <w:color w:val="auto"/>
              </w:rPr>
            </w:pPr>
            <w:r>
              <w:rPr>
                <w:rFonts w:ascii="Arial" w:cs="Arial" w:eastAsia="Arial" w:hAnsi="Arial"/>
                <w:sz w:val="17"/>
                <w:szCs w:val="17"/>
                <w:color w:val="auto"/>
              </w:rPr>
              <w:t>Peru: Economic Forecast</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33CCCC"/>
          </w:tcPr>
          <w:p>
            <w:pPr>
              <w:spacing w:after="0"/>
              <w:rPr>
                <w:sz w:val="18"/>
                <w:szCs w:val="18"/>
                <w:color w:val="auto"/>
              </w:rPr>
            </w:pPr>
          </w:p>
        </w:tc>
        <w:tc>
          <w:tcPr>
            <w:tcW w:w="900" w:type="dxa"/>
            <w:vAlign w:val="bottom"/>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2019</w:t>
            </w:r>
          </w:p>
        </w:tc>
        <w:tc>
          <w:tcPr>
            <w:tcW w:w="880" w:type="dxa"/>
            <w:vAlign w:val="bottom"/>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2020</w:t>
            </w:r>
          </w:p>
        </w:tc>
        <w:tc>
          <w:tcPr>
            <w:tcW w:w="900" w:type="dxa"/>
            <w:vAlign w:val="bottom"/>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2021</w:t>
            </w:r>
          </w:p>
        </w:tc>
        <w:tc>
          <w:tcPr>
            <w:tcW w:w="880" w:type="dxa"/>
            <w:vAlign w:val="bottom"/>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2022</w:t>
            </w:r>
          </w:p>
        </w:tc>
        <w:tc>
          <w:tcPr>
            <w:tcW w:w="900" w:type="dxa"/>
            <w:vAlign w:val="bottom"/>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2023</w:t>
            </w:r>
          </w:p>
        </w:tc>
        <w:tc>
          <w:tcPr>
            <w:tcW w:w="900" w:type="dxa"/>
            <w:vAlign w:val="bottom"/>
            <w:shd w:val="clear" w:color="auto" w:fill="33CCCC"/>
          </w:tcPr>
          <w:p>
            <w:pPr>
              <w:jc w:val="center"/>
              <w:spacing w:after="0" w:line="210" w:lineRule="exact"/>
              <w:rPr>
                <w:sz w:val="20"/>
                <w:szCs w:val="20"/>
                <w:color w:val="auto"/>
              </w:rPr>
            </w:pPr>
            <w:r>
              <w:rPr>
                <w:rFonts w:ascii="Calibri" w:cs="Calibri" w:eastAsia="Calibri" w:hAnsi="Calibri"/>
                <w:sz w:val="14"/>
                <w:szCs w:val="14"/>
                <w:b w:val="1"/>
                <w:bCs w:val="1"/>
                <w:color w:val="FFFFFF"/>
              </w:rPr>
              <w:t xml:space="preserve">2024 </w:t>
            </w:r>
            <w:r>
              <w:rPr>
                <w:rFonts w:ascii="Calibri" w:cs="Calibri" w:eastAsia="Calibri" w:hAnsi="Calibri"/>
                <w:sz w:val="22"/>
                <w:szCs w:val="22"/>
                <w:b w:val="1"/>
                <w:bCs w:val="1"/>
                <w:color w:val="FFFFFF"/>
                <w:vertAlign w:val="superscript"/>
              </w:rPr>
              <w:t>(4)</w:t>
            </w:r>
          </w:p>
        </w:tc>
        <w:tc>
          <w:tcPr>
            <w:tcW w:w="900" w:type="dxa"/>
            <w:vAlign w:val="bottom"/>
            <w:shd w:val="clear" w:color="auto" w:fill="33CCCC"/>
          </w:tcPr>
          <w:p>
            <w:pPr>
              <w:jc w:val="center"/>
              <w:spacing w:after="0" w:line="210" w:lineRule="exact"/>
              <w:rPr>
                <w:sz w:val="20"/>
                <w:szCs w:val="20"/>
                <w:color w:val="auto"/>
              </w:rPr>
            </w:pPr>
            <w:r>
              <w:rPr>
                <w:rFonts w:ascii="Calibri" w:cs="Calibri" w:eastAsia="Calibri" w:hAnsi="Calibri"/>
                <w:sz w:val="14"/>
                <w:szCs w:val="14"/>
                <w:b w:val="1"/>
                <w:bCs w:val="1"/>
                <w:color w:val="FFFFFF"/>
              </w:rPr>
              <w:t xml:space="preserve">2025 </w:t>
            </w:r>
            <w:r>
              <w:rPr>
                <w:rFonts w:ascii="Calibri" w:cs="Calibri" w:eastAsia="Calibri" w:hAnsi="Calibri"/>
                <w:sz w:val="22"/>
                <w:szCs w:val="22"/>
                <w:b w:val="1"/>
                <w:bCs w:val="1"/>
                <w:color w:val="FFFFFF"/>
                <w:vertAlign w:val="superscript"/>
              </w:rPr>
              <w:t>(4)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4320" w:type="dxa"/>
            <w:vAlign w:val="bottom"/>
            <w:shd w:val="clear" w:color="auto" w:fill="33CCCC"/>
          </w:tcPr>
          <w:p>
            <w:pPr>
              <w:spacing w:after="0"/>
              <w:rPr>
                <w:sz w:val="15"/>
                <w:szCs w:val="15"/>
                <w:color w:val="auto"/>
              </w:rPr>
            </w:pPr>
          </w:p>
        </w:tc>
        <w:tc>
          <w:tcPr>
            <w:tcW w:w="900" w:type="dxa"/>
            <w:vAlign w:val="bottom"/>
            <w:shd w:val="clear" w:color="auto" w:fill="33CCCC"/>
          </w:tcPr>
          <w:p>
            <w:pPr>
              <w:spacing w:after="0"/>
              <w:rPr>
                <w:sz w:val="15"/>
                <w:szCs w:val="15"/>
                <w:color w:val="auto"/>
              </w:rPr>
            </w:pPr>
          </w:p>
        </w:tc>
        <w:tc>
          <w:tcPr>
            <w:tcW w:w="880" w:type="dxa"/>
            <w:vAlign w:val="bottom"/>
            <w:shd w:val="clear" w:color="auto" w:fill="33CCCC"/>
          </w:tcPr>
          <w:p>
            <w:pPr>
              <w:spacing w:after="0"/>
              <w:rPr>
                <w:sz w:val="15"/>
                <w:szCs w:val="15"/>
                <w:color w:val="auto"/>
              </w:rPr>
            </w:pPr>
          </w:p>
        </w:tc>
        <w:tc>
          <w:tcPr>
            <w:tcW w:w="900" w:type="dxa"/>
            <w:vAlign w:val="bottom"/>
            <w:shd w:val="clear" w:color="auto" w:fill="33CCCC"/>
          </w:tcPr>
          <w:p>
            <w:pPr>
              <w:spacing w:after="0"/>
              <w:rPr>
                <w:sz w:val="15"/>
                <w:szCs w:val="15"/>
                <w:color w:val="auto"/>
              </w:rPr>
            </w:pPr>
          </w:p>
        </w:tc>
        <w:tc>
          <w:tcPr>
            <w:tcW w:w="880" w:type="dxa"/>
            <w:vAlign w:val="bottom"/>
            <w:shd w:val="clear" w:color="auto" w:fill="33CCCC"/>
          </w:tcPr>
          <w:p>
            <w:pPr>
              <w:spacing w:after="0"/>
              <w:rPr>
                <w:sz w:val="15"/>
                <w:szCs w:val="15"/>
                <w:color w:val="auto"/>
              </w:rPr>
            </w:pPr>
          </w:p>
        </w:tc>
        <w:tc>
          <w:tcPr>
            <w:tcW w:w="900" w:type="dxa"/>
            <w:vAlign w:val="bottom"/>
            <w:shd w:val="clear" w:color="auto" w:fill="33CCCC"/>
          </w:tcPr>
          <w:p>
            <w:pPr>
              <w:spacing w:after="0"/>
              <w:rPr>
                <w:sz w:val="15"/>
                <w:szCs w:val="15"/>
                <w:color w:val="auto"/>
              </w:rPr>
            </w:pPr>
          </w:p>
        </w:tc>
        <w:tc>
          <w:tcPr>
            <w:tcW w:w="900" w:type="dxa"/>
            <w:vAlign w:val="bottom"/>
            <w:shd w:val="clear" w:color="auto" w:fill="33CCCC"/>
          </w:tcPr>
          <w:p>
            <w:pPr>
              <w:spacing w:after="0"/>
              <w:rPr>
                <w:sz w:val="15"/>
                <w:szCs w:val="15"/>
                <w:color w:val="auto"/>
              </w:rPr>
            </w:pPr>
          </w:p>
        </w:tc>
        <w:tc>
          <w:tcPr>
            <w:tcW w:w="900" w:type="dxa"/>
            <w:vAlign w:val="bottom"/>
            <w:shd w:val="clear" w:color="auto" w:fill="33CCCC"/>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Calibri" w:cs="Calibri" w:eastAsia="Calibri" w:hAnsi="Calibri"/>
                <w:sz w:val="17"/>
                <w:szCs w:val="17"/>
                <w:color w:val="auto"/>
              </w:rPr>
              <w:t>GDP (US$ Millions)</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232,447</w:t>
            </w:r>
          </w:p>
        </w:tc>
        <w:tc>
          <w:tcPr>
            <w:tcW w:w="880" w:type="dxa"/>
            <w:vAlign w:val="bottom"/>
          </w:tcPr>
          <w:p>
            <w:pPr>
              <w:jc w:val="center"/>
              <w:spacing w:after="0"/>
              <w:rPr>
                <w:sz w:val="20"/>
                <w:szCs w:val="20"/>
                <w:color w:val="auto"/>
              </w:rPr>
            </w:pPr>
            <w:r>
              <w:rPr>
                <w:rFonts w:ascii="Calibri" w:cs="Calibri" w:eastAsia="Calibri" w:hAnsi="Calibri"/>
                <w:sz w:val="17"/>
                <w:szCs w:val="17"/>
                <w:color w:val="auto"/>
                <w:w w:val="99"/>
              </w:rPr>
              <w:t>205,689</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225,433</w:t>
            </w:r>
          </w:p>
        </w:tc>
        <w:tc>
          <w:tcPr>
            <w:tcW w:w="880" w:type="dxa"/>
            <w:vAlign w:val="bottom"/>
          </w:tcPr>
          <w:p>
            <w:pPr>
              <w:jc w:val="center"/>
              <w:spacing w:after="0"/>
              <w:rPr>
                <w:sz w:val="20"/>
                <w:szCs w:val="20"/>
                <w:color w:val="auto"/>
              </w:rPr>
            </w:pPr>
            <w:r>
              <w:rPr>
                <w:rFonts w:ascii="Calibri" w:cs="Calibri" w:eastAsia="Calibri" w:hAnsi="Calibri"/>
                <w:sz w:val="17"/>
                <w:szCs w:val="17"/>
                <w:color w:val="auto"/>
                <w:w w:val="99"/>
              </w:rPr>
              <w:t>244,465</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267,346</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w w:val="99"/>
              </w:rPr>
              <w:t>280,326</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w w:val="99"/>
              </w:rPr>
              <w:t>295,521</w:t>
            </w:r>
          </w:p>
        </w:tc>
        <w:tc>
          <w:tcPr>
            <w:tcW w:w="0" w:type="dxa"/>
            <w:vAlign w:val="bottom"/>
          </w:tcPr>
          <w:p>
            <w:pPr>
              <w:spacing w:after="0"/>
              <w:rPr>
                <w:sz w:val="1"/>
                <w:szCs w:val="1"/>
                <w:color w:val="auto"/>
              </w:rPr>
            </w:pPr>
          </w:p>
        </w:tc>
      </w:tr>
      <w:tr>
        <w:trPr>
          <w:trHeight w:val="192"/>
        </w:trPr>
        <w:tc>
          <w:tcPr>
            <w:tcW w:w="4340" w:type="dxa"/>
            <w:vAlign w:val="bottom"/>
            <w:gridSpan w:val="2"/>
          </w:tcPr>
          <w:p>
            <w:pPr>
              <w:spacing w:after="0" w:line="192" w:lineRule="exact"/>
              <w:rPr>
                <w:sz w:val="20"/>
                <w:szCs w:val="20"/>
                <w:color w:val="auto"/>
              </w:rPr>
            </w:pPr>
            <w:r>
              <w:rPr>
                <w:rFonts w:ascii="Calibri" w:cs="Calibri" w:eastAsia="Calibri" w:hAnsi="Calibri"/>
                <w:sz w:val="17"/>
                <w:szCs w:val="17"/>
                <w:color w:val="auto"/>
              </w:rPr>
              <w:t>Real GDP (% change)</w:t>
            </w:r>
          </w:p>
        </w:tc>
        <w:tc>
          <w:tcPr>
            <w:tcW w:w="900" w:type="dxa"/>
            <w:vAlign w:val="bottom"/>
          </w:tcPr>
          <w:p>
            <w:pPr>
              <w:jc w:val="center"/>
              <w:spacing w:after="0" w:line="192" w:lineRule="exact"/>
              <w:rPr>
                <w:sz w:val="20"/>
                <w:szCs w:val="20"/>
                <w:color w:val="auto"/>
              </w:rPr>
            </w:pPr>
            <w:r>
              <w:rPr>
                <w:rFonts w:ascii="Calibri" w:cs="Calibri" w:eastAsia="Calibri" w:hAnsi="Calibri"/>
                <w:sz w:val="17"/>
                <w:szCs w:val="17"/>
                <w:color w:val="auto"/>
              </w:rPr>
              <w:t>2.2</w:t>
            </w:r>
          </w:p>
        </w:tc>
        <w:tc>
          <w:tcPr>
            <w:tcW w:w="880" w:type="dxa"/>
            <w:vAlign w:val="bottom"/>
          </w:tcPr>
          <w:p>
            <w:pPr>
              <w:jc w:val="center"/>
              <w:spacing w:after="0" w:line="192" w:lineRule="exact"/>
              <w:rPr>
                <w:sz w:val="20"/>
                <w:szCs w:val="20"/>
                <w:color w:val="auto"/>
              </w:rPr>
            </w:pPr>
            <w:r>
              <w:rPr>
                <w:rFonts w:ascii="Calibri" w:cs="Calibri" w:eastAsia="Calibri" w:hAnsi="Calibri"/>
                <w:sz w:val="17"/>
                <w:szCs w:val="17"/>
                <w:color w:val="auto"/>
                <w:w w:val="98"/>
              </w:rPr>
              <w:t>(10.9)</w:t>
            </w:r>
          </w:p>
        </w:tc>
        <w:tc>
          <w:tcPr>
            <w:tcW w:w="900" w:type="dxa"/>
            <w:vAlign w:val="bottom"/>
          </w:tcPr>
          <w:p>
            <w:pPr>
              <w:jc w:val="center"/>
              <w:spacing w:after="0" w:line="192" w:lineRule="exact"/>
              <w:rPr>
                <w:sz w:val="20"/>
                <w:szCs w:val="20"/>
                <w:color w:val="auto"/>
              </w:rPr>
            </w:pPr>
            <w:r>
              <w:rPr>
                <w:rFonts w:ascii="Calibri" w:cs="Calibri" w:eastAsia="Calibri" w:hAnsi="Calibri"/>
                <w:sz w:val="17"/>
                <w:szCs w:val="17"/>
                <w:color w:val="auto"/>
                <w:w w:val="99"/>
              </w:rPr>
              <w:t>13.4</w:t>
            </w:r>
          </w:p>
        </w:tc>
        <w:tc>
          <w:tcPr>
            <w:tcW w:w="880" w:type="dxa"/>
            <w:vAlign w:val="bottom"/>
          </w:tcPr>
          <w:p>
            <w:pPr>
              <w:jc w:val="center"/>
              <w:spacing w:after="0" w:line="192" w:lineRule="exact"/>
              <w:rPr>
                <w:sz w:val="20"/>
                <w:szCs w:val="20"/>
                <w:color w:val="auto"/>
              </w:rPr>
            </w:pPr>
            <w:r>
              <w:rPr>
                <w:rFonts w:ascii="Calibri" w:cs="Calibri" w:eastAsia="Calibri" w:hAnsi="Calibri"/>
                <w:sz w:val="17"/>
                <w:szCs w:val="17"/>
                <w:color w:val="auto"/>
              </w:rPr>
              <w:t>2.7</w:t>
            </w:r>
          </w:p>
        </w:tc>
        <w:tc>
          <w:tcPr>
            <w:tcW w:w="900" w:type="dxa"/>
            <w:vAlign w:val="bottom"/>
          </w:tcPr>
          <w:p>
            <w:pPr>
              <w:jc w:val="center"/>
              <w:spacing w:after="0" w:line="192" w:lineRule="exact"/>
              <w:rPr>
                <w:sz w:val="20"/>
                <w:szCs w:val="20"/>
                <w:color w:val="auto"/>
              </w:rPr>
            </w:pPr>
            <w:r>
              <w:rPr>
                <w:rFonts w:ascii="Calibri" w:cs="Calibri" w:eastAsia="Calibri" w:hAnsi="Calibri"/>
                <w:sz w:val="17"/>
                <w:szCs w:val="17"/>
                <w:color w:val="auto"/>
              </w:rPr>
              <w:t>(0.6)</w:t>
            </w:r>
          </w:p>
        </w:tc>
        <w:tc>
          <w:tcPr>
            <w:tcW w:w="900" w:type="dxa"/>
            <w:vAlign w:val="bottom"/>
            <w:shd w:val="clear" w:color="auto" w:fill="F2F2F2"/>
          </w:tcPr>
          <w:p>
            <w:pPr>
              <w:jc w:val="center"/>
              <w:spacing w:after="0" w:line="192" w:lineRule="exact"/>
              <w:rPr>
                <w:sz w:val="20"/>
                <w:szCs w:val="20"/>
                <w:color w:val="auto"/>
              </w:rPr>
            </w:pPr>
            <w:r>
              <w:rPr>
                <w:rFonts w:ascii="Calibri" w:cs="Calibri" w:eastAsia="Calibri" w:hAnsi="Calibri"/>
                <w:sz w:val="17"/>
                <w:szCs w:val="17"/>
                <w:color w:val="auto"/>
              </w:rPr>
              <w:t>3.2</w:t>
            </w:r>
          </w:p>
        </w:tc>
        <w:tc>
          <w:tcPr>
            <w:tcW w:w="900" w:type="dxa"/>
            <w:vAlign w:val="bottom"/>
            <w:shd w:val="clear" w:color="auto" w:fill="F2F2F2"/>
          </w:tcPr>
          <w:p>
            <w:pPr>
              <w:jc w:val="center"/>
              <w:spacing w:after="0" w:line="192" w:lineRule="exact"/>
              <w:rPr>
                <w:sz w:val="20"/>
                <w:szCs w:val="20"/>
                <w:color w:val="auto"/>
              </w:rPr>
            </w:pPr>
            <w:r>
              <w:rPr>
                <w:rFonts w:ascii="Calibri" w:cs="Calibri" w:eastAsia="Calibri" w:hAnsi="Calibri"/>
                <w:sz w:val="17"/>
                <w:szCs w:val="17"/>
                <w:color w:val="auto"/>
              </w:rPr>
              <w:t>2.8</w:t>
            </w:r>
          </w:p>
        </w:tc>
        <w:tc>
          <w:tcPr>
            <w:tcW w:w="0" w:type="dxa"/>
            <w:vAlign w:val="bottom"/>
          </w:tcPr>
          <w:p>
            <w:pPr>
              <w:spacing w:after="0"/>
              <w:rPr>
                <w:sz w:val="1"/>
                <w:szCs w:val="1"/>
                <w:color w:val="auto"/>
              </w:rPr>
            </w:pPr>
          </w:p>
        </w:tc>
      </w:tr>
      <w:tr>
        <w:trPr>
          <w:trHeight w:val="207"/>
        </w:trPr>
        <w:tc>
          <w:tcPr>
            <w:tcW w:w="4340" w:type="dxa"/>
            <w:vAlign w:val="bottom"/>
            <w:gridSpan w:val="2"/>
          </w:tcPr>
          <w:p>
            <w:pPr>
              <w:spacing w:after="0"/>
              <w:rPr>
                <w:sz w:val="20"/>
                <w:szCs w:val="20"/>
                <w:color w:val="auto"/>
              </w:rPr>
            </w:pPr>
            <w:r>
              <w:rPr>
                <w:rFonts w:ascii="Calibri" w:cs="Calibri" w:eastAsia="Calibri" w:hAnsi="Calibri"/>
                <w:sz w:val="17"/>
                <w:szCs w:val="17"/>
                <w:color w:val="auto"/>
              </w:rPr>
              <w:t>GDP per capita (US$)</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7,234</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6,304</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6,824</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7,320</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7,927</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w w:val="97"/>
              </w:rPr>
              <w:t>8,220</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8,588</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Calibri" w:cs="Calibri" w:eastAsia="Calibri" w:hAnsi="Calibri"/>
                <w:sz w:val="17"/>
                <w:szCs w:val="17"/>
                <w:color w:val="auto"/>
              </w:rPr>
              <w:t>Domestc demand (% change)</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2.2</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(9.6)</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14.5</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2.4</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(2.1)</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3.6</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2.9</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Calibri" w:cs="Calibri" w:eastAsia="Calibri" w:hAnsi="Calibri"/>
                <w:sz w:val="17"/>
                <w:szCs w:val="17"/>
                <w:color w:val="auto"/>
              </w:rPr>
              <w:t>Gross fxed investment (as % GDP)</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22.5</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21.0</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25.1</w:t>
            </w:r>
          </w:p>
        </w:tc>
        <w:tc>
          <w:tcPr>
            <w:tcW w:w="880" w:type="dxa"/>
            <w:vAlign w:val="bottom"/>
          </w:tcPr>
          <w:p>
            <w:pPr>
              <w:jc w:val="center"/>
              <w:spacing w:after="0"/>
              <w:rPr>
                <w:sz w:val="20"/>
                <w:szCs w:val="20"/>
                <w:color w:val="auto"/>
              </w:rPr>
            </w:pPr>
            <w:r>
              <w:rPr>
                <w:rFonts w:ascii="Calibri" w:cs="Calibri" w:eastAsia="Calibri" w:hAnsi="Calibri"/>
                <w:sz w:val="17"/>
                <w:szCs w:val="17"/>
                <w:color w:val="auto"/>
                <w:w w:val="99"/>
              </w:rPr>
              <w:t>25.2</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22.9</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w w:val="99"/>
              </w:rPr>
              <w:t>23.2</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w w:val="99"/>
              </w:rPr>
              <w:t>23.2</w:t>
            </w:r>
          </w:p>
        </w:tc>
        <w:tc>
          <w:tcPr>
            <w:tcW w:w="0" w:type="dxa"/>
            <w:vAlign w:val="bottom"/>
          </w:tcPr>
          <w:p>
            <w:pPr>
              <w:spacing w:after="0"/>
              <w:rPr>
                <w:sz w:val="1"/>
                <w:szCs w:val="1"/>
                <w:color w:val="auto"/>
              </w:rPr>
            </w:pPr>
          </w:p>
        </w:tc>
      </w:tr>
      <w:tr>
        <w:trPr>
          <w:trHeight w:val="233"/>
        </w:trPr>
        <w:tc>
          <w:tcPr>
            <w:tcW w:w="4340" w:type="dxa"/>
            <w:vAlign w:val="bottom"/>
            <w:tcBorders>
              <w:bottom w:val="single" w:sz="8" w:color="33CCCC"/>
            </w:tcBorders>
            <w:gridSpan w:val="2"/>
          </w:tcPr>
          <w:p>
            <w:pPr>
              <w:spacing w:after="0" w:line="233" w:lineRule="exact"/>
              <w:rPr>
                <w:sz w:val="20"/>
                <w:szCs w:val="20"/>
                <w:color w:val="auto"/>
              </w:rPr>
            </w:pPr>
            <w:r>
              <w:rPr>
                <w:rFonts w:ascii="Calibri" w:cs="Calibri" w:eastAsia="Calibri" w:hAnsi="Calibri"/>
                <w:sz w:val="16"/>
                <w:szCs w:val="16"/>
                <w:color w:val="auto"/>
              </w:rPr>
              <w:t xml:space="preserve">Financial system loan without Reactva (% change) </w:t>
            </w:r>
            <w:r>
              <w:rPr>
                <w:rFonts w:ascii="Calibri" w:cs="Calibri" w:eastAsia="Calibri" w:hAnsi="Calibri"/>
                <w:sz w:val="25"/>
                <w:szCs w:val="25"/>
                <w:color w:val="auto"/>
                <w:vertAlign w:val="superscript"/>
              </w:rPr>
              <w:t>(1)</w:t>
            </w:r>
          </w:p>
        </w:tc>
        <w:tc>
          <w:tcPr>
            <w:tcW w:w="900" w:type="dxa"/>
            <w:vAlign w:val="bottom"/>
            <w:tcBorders>
              <w:bottom w:val="single" w:sz="8" w:color="33CCCC"/>
            </w:tcBorders>
          </w:tcPr>
          <w:p>
            <w:pPr>
              <w:jc w:val="center"/>
              <w:spacing w:after="0"/>
              <w:rPr>
                <w:sz w:val="20"/>
                <w:szCs w:val="20"/>
                <w:color w:val="auto"/>
              </w:rPr>
            </w:pPr>
            <w:r>
              <w:rPr>
                <w:rFonts w:ascii="Calibri" w:cs="Calibri" w:eastAsia="Calibri" w:hAnsi="Calibri"/>
                <w:sz w:val="17"/>
                <w:szCs w:val="17"/>
                <w:color w:val="auto"/>
              </w:rPr>
              <w:t>6.4</w:t>
            </w:r>
          </w:p>
        </w:tc>
        <w:tc>
          <w:tcPr>
            <w:tcW w:w="880" w:type="dxa"/>
            <w:vAlign w:val="bottom"/>
            <w:tcBorders>
              <w:bottom w:val="single" w:sz="8" w:color="33CCCC"/>
            </w:tcBorders>
          </w:tcPr>
          <w:p>
            <w:pPr>
              <w:jc w:val="center"/>
              <w:spacing w:after="0"/>
              <w:rPr>
                <w:sz w:val="20"/>
                <w:szCs w:val="20"/>
                <w:color w:val="auto"/>
              </w:rPr>
            </w:pPr>
            <w:r>
              <w:rPr>
                <w:rFonts w:ascii="Calibri" w:cs="Calibri" w:eastAsia="Calibri" w:hAnsi="Calibri"/>
                <w:sz w:val="17"/>
                <w:szCs w:val="17"/>
                <w:color w:val="auto"/>
              </w:rPr>
              <w:t>(4.3)</w:t>
            </w:r>
          </w:p>
        </w:tc>
        <w:tc>
          <w:tcPr>
            <w:tcW w:w="900" w:type="dxa"/>
            <w:vAlign w:val="bottom"/>
            <w:tcBorders>
              <w:bottom w:val="single" w:sz="8" w:color="33CCCC"/>
            </w:tcBorders>
          </w:tcPr>
          <w:p>
            <w:pPr>
              <w:jc w:val="center"/>
              <w:spacing w:after="0"/>
              <w:rPr>
                <w:sz w:val="20"/>
                <w:szCs w:val="20"/>
                <w:color w:val="auto"/>
              </w:rPr>
            </w:pPr>
            <w:r>
              <w:rPr>
                <w:rFonts w:ascii="Calibri" w:cs="Calibri" w:eastAsia="Calibri" w:hAnsi="Calibri"/>
                <w:sz w:val="17"/>
                <w:szCs w:val="17"/>
                <w:color w:val="auto"/>
                <w:w w:val="99"/>
              </w:rPr>
              <w:t>12.6</w:t>
            </w:r>
          </w:p>
        </w:tc>
        <w:tc>
          <w:tcPr>
            <w:tcW w:w="880" w:type="dxa"/>
            <w:vAlign w:val="bottom"/>
            <w:tcBorders>
              <w:bottom w:val="single" w:sz="8" w:color="33CCCC"/>
            </w:tcBorders>
          </w:tcPr>
          <w:p>
            <w:pPr>
              <w:jc w:val="center"/>
              <w:spacing w:after="0"/>
              <w:rPr>
                <w:sz w:val="20"/>
                <w:szCs w:val="20"/>
                <w:color w:val="auto"/>
              </w:rPr>
            </w:pPr>
            <w:r>
              <w:rPr>
                <w:rFonts w:ascii="Calibri" w:cs="Calibri" w:eastAsia="Calibri" w:hAnsi="Calibri"/>
                <w:sz w:val="17"/>
                <w:szCs w:val="17"/>
                <w:color w:val="auto"/>
              </w:rPr>
              <w:t>9.7</w:t>
            </w:r>
          </w:p>
        </w:tc>
        <w:tc>
          <w:tcPr>
            <w:tcW w:w="900" w:type="dxa"/>
            <w:vAlign w:val="bottom"/>
            <w:tcBorders>
              <w:bottom w:val="single" w:sz="8" w:color="33CCCC"/>
            </w:tcBorders>
          </w:tcPr>
          <w:p>
            <w:pPr>
              <w:jc w:val="center"/>
              <w:spacing w:after="0"/>
              <w:rPr>
                <w:sz w:val="20"/>
                <w:szCs w:val="20"/>
                <w:color w:val="auto"/>
              </w:rPr>
            </w:pPr>
            <w:r>
              <w:rPr>
                <w:rFonts w:ascii="Calibri" w:cs="Calibri" w:eastAsia="Calibri" w:hAnsi="Calibri"/>
                <w:sz w:val="17"/>
                <w:szCs w:val="17"/>
                <w:color w:val="auto"/>
              </w:rPr>
              <w:t>2.8</w:t>
            </w:r>
          </w:p>
        </w:tc>
        <w:tc>
          <w:tcPr>
            <w:tcW w:w="900" w:type="dxa"/>
            <w:vAlign w:val="bottom"/>
            <w:tcBorders>
              <w:bottom w:val="single" w:sz="8" w:color="33CCCC"/>
            </w:tcBorders>
            <w:shd w:val="clear" w:color="auto" w:fill="F2F2F2"/>
          </w:tcPr>
          <w:p>
            <w:pPr>
              <w:jc w:val="center"/>
              <w:spacing w:after="0"/>
              <w:rPr>
                <w:sz w:val="20"/>
                <w:szCs w:val="20"/>
                <w:color w:val="auto"/>
              </w:rPr>
            </w:pPr>
            <w:r>
              <w:rPr>
                <w:rFonts w:ascii="Calibri" w:cs="Calibri" w:eastAsia="Calibri" w:hAnsi="Calibri"/>
                <w:sz w:val="17"/>
                <w:szCs w:val="17"/>
                <w:color w:val="auto"/>
              </w:rPr>
              <w:t>1.3</w:t>
            </w:r>
          </w:p>
        </w:tc>
        <w:tc>
          <w:tcPr>
            <w:tcW w:w="900" w:type="dxa"/>
            <w:vAlign w:val="bottom"/>
            <w:tcBorders>
              <w:bottom w:val="single" w:sz="8" w:color="33CCCC"/>
            </w:tcBorders>
            <w:shd w:val="clear" w:color="auto" w:fill="F2F2F2"/>
          </w:tcPr>
          <w:p>
            <w:pPr>
              <w:jc w:val="center"/>
              <w:spacing w:after="0"/>
              <w:rPr>
                <w:sz w:val="20"/>
                <w:szCs w:val="20"/>
                <w:color w:val="auto"/>
              </w:rPr>
            </w:pPr>
            <w:r>
              <w:rPr>
                <w:rFonts w:ascii="Calibri" w:cs="Calibri" w:eastAsia="Calibri" w:hAnsi="Calibri"/>
                <w:sz w:val="17"/>
                <w:szCs w:val="17"/>
                <w:color w:val="auto"/>
              </w:rPr>
              <w:t>5.5</w:t>
            </w:r>
          </w:p>
        </w:tc>
        <w:tc>
          <w:tcPr>
            <w:tcW w:w="0" w:type="dxa"/>
            <w:vAlign w:val="bottom"/>
          </w:tcPr>
          <w:p>
            <w:pPr>
              <w:spacing w:after="0"/>
              <w:rPr>
                <w:sz w:val="1"/>
                <w:szCs w:val="1"/>
                <w:color w:val="auto"/>
              </w:rPr>
            </w:pPr>
          </w:p>
        </w:tc>
      </w:tr>
      <w:tr>
        <w:trPr>
          <w:trHeight w:val="203"/>
        </w:trPr>
        <w:tc>
          <w:tcPr>
            <w:tcW w:w="4340" w:type="dxa"/>
            <w:vAlign w:val="bottom"/>
            <w:tcBorders>
              <w:bottom w:val="single" w:sz="8" w:color="33CCCC"/>
            </w:tcBorders>
            <w:gridSpan w:val="2"/>
          </w:tcPr>
          <w:p>
            <w:pPr>
              <w:spacing w:after="0" w:line="203" w:lineRule="exact"/>
              <w:rPr>
                <w:sz w:val="20"/>
                <w:szCs w:val="20"/>
                <w:color w:val="auto"/>
              </w:rPr>
            </w:pPr>
            <w:r>
              <w:rPr>
                <w:rFonts w:ascii="Calibri" w:cs="Calibri" w:eastAsia="Calibri" w:hAnsi="Calibri"/>
                <w:sz w:val="14"/>
                <w:szCs w:val="14"/>
                <w:color w:val="auto"/>
              </w:rPr>
              <w:t>Infaton, end of period</w:t>
            </w:r>
            <w:r>
              <w:rPr>
                <w:rFonts w:ascii="Calibri" w:cs="Calibri" w:eastAsia="Calibri" w:hAnsi="Calibri"/>
                <w:sz w:val="22"/>
                <w:szCs w:val="22"/>
                <w:color w:val="auto"/>
                <w:vertAlign w:val="superscript"/>
              </w:rPr>
              <w:t>(2)</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rPr>
              <w:t>1.9</w:t>
            </w:r>
          </w:p>
        </w:tc>
        <w:tc>
          <w:tcPr>
            <w:tcW w:w="88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rPr>
              <w:t>2.0</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rPr>
              <w:t>6.4</w:t>
            </w:r>
          </w:p>
        </w:tc>
        <w:tc>
          <w:tcPr>
            <w:tcW w:w="88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rPr>
              <w:t>8.5</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rPr>
              <w:t>3.2</w:t>
            </w:r>
          </w:p>
        </w:tc>
        <w:tc>
          <w:tcPr>
            <w:tcW w:w="900" w:type="dxa"/>
            <w:vAlign w:val="bottom"/>
            <w:tcBorders>
              <w:bottom w:val="single" w:sz="8" w:color="33CCCC"/>
            </w:tcBorders>
            <w:shd w:val="clear" w:color="auto" w:fill="F2F2F2"/>
          </w:tcPr>
          <w:p>
            <w:pPr>
              <w:jc w:val="center"/>
              <w:spacing w:after="0" w:line="203" w:lineRule="exact"/>
              <w:rPr>
                <w:sz w:val="20"/>
                <w:szCs w:val="20"/>
                <w:color w:val="auto"/>
              </w:rPr>
            </w:pPr>
            <w:r>
              <w:rPr>
                <w:rFonts w:ascii="Calibri" w:cs="Calibri" w:eastAsia="Calibri" w:hAnsi="Calibri"/>
                <w:sz w:val="17"/>
                <w:szCs w:val="17"/>
                <w:color w:val="auto"/>
              </w:rPr>
              <w:t>2.0</w:t>
            </w:r>
          </w:p>
        </w:tc>
        <w:tc>
          <w:tcPr>
            <w:tcW w:w="900" w:type="dxa"/>
            <w:vAlign w:val="bottom"/>
            <w:tcBorders>
              <w:bottom w:val="single" w:sz="8" w:color="33CCCC"/>
            </w:tcBorders>
            <w:shd w:val="clear" w:color="auto" w:fill="F2F2F2"/>
          </w:tcPr>
          <w:p>
            <w:pPr>
              <w:jc w:val="center"/>
              <w:spacing w:after="0" w:line="203" w:lineRule="exact"/>
              <w:rPr>
                <w:sz w:val="20"/>
                <w:szCs w:val="20"/>
                <w:color w:val="auto"/>
              </w:rPr>
            </w:pPr>
            <w:r>
              <w:rPr>
                <w:rFonts w:ascii="Calibri" w:cs="Calibri" w:eastAsia="Calibri" w:hAnsi="Calibri"/>
                <w:sz w:val="17"/>
                <w:szCs w:val="17"/>
                <w:color w:val="auto"/>
              </w:rPr>
              <w:t>2.5</w:t>
            </w:r>
          </w:p>
        </w:tc>
        <w:tc>
          <w:tcPr>
            <w:tcW w:w="0" w:type="dxa"/>
            <w:vAlign w:val="bottom"/>
          </w:tcPr>
          <w:p>
            <w:pPr>
              <w:spacing w:after="0"/>
              <w:rPr>
                <w:sz w:val="1"/>
                <w:szCs w:val="1"/>
                <w:color w:val="auto"/>
              </w:rPr>
            </w:pPr>
          </w:p>
        </w:tc>
      </w:tr>
      <w:tr>
        <w:trPr>
          <w:trHeight w:val="202"/>
        </w:trPr>
        <w:tc>
          <w:tcPr>
            <w:tcW w:w="4340" w:type="dxa"/>
            <w:vAlign w:val="bottom"/>
            <w:tcBorders>
              <w:bottom w:val="single" w:sz="8" w:color="33CCCC"/>
            </w:tcBorders>
            <w:gridSpan w:val="2"/>
          </w:tcPr>
          <w:p>
            <w:pPr>
              <w:spacing w:after="0" w:line="202" w:lineRule="exact"/>
              <w:rPr>
                <w:sz w:val="20"/>
                <w:szCs w:val="20"/>
                <w:color w:val="auto"/>
              </w:rPr>
            </w:pPr>
            <w:r>
              <w:rPr>
                <w:rFonts w:ascii="Calibri" w:cs="Calibri" w:eastAsia="Calibri" w:hAnsi="Calibri"/>
                <w:sz w:val="17"/>
                <w:szCs w:val="17"/>
                <w:color w:val="auto"/>
              </w:rPr>
              <w:t>Reference Rate, end of period</w:t>
            </w:r>
          </w:p>
        </w:tc>
        <w:tc>
          <w:tcPr>
            <w:tcW w:w="90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w w:val="99"/>
              </w:rPr>
              <w:t>2.25</w:t>
            </w:r>
          </w:p>
        </w:tc>
        <w:tc>
          <w:tcPr>
            <w:tcW w:w="88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rPr>
              <w:t>0.25</w:t>
            </w:r>
          </w:p>
        </w:tc>
        <w:tc>
          <w:tcPr>
            <w:tcW w:w="90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w w:val="99"/>
              </w:rPr>
              <w:t>2.50</w:t>
            </w:r>
          </w:p>
        </w:tc>
        <w:tc>
          <w:tcPr>
            <w:tcW w:w="88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w w:val="99"/>
              </w:rPr>
              <w:t>7.50</w:t>
            </w:r>
          </w:p>
        </w:tc>
        <w:tc>
          <w:tcPr>
            <w:tcW w:w="90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w w:val="99"/>
              </w:rPr>
              <w:t>6.75</w:t>
            </w:r>
          </w:p>
        </w:tc>
        <w:tc>
          <w:tcPr>
            <w:tcW w:w="900" w:type="dxa"/>
            <w:vAlign w:val="bottom"/>
            <w:tcBorders>
              <w:bottom w:val="single" w:sz="8" w:color="33CCCC"/>
            </w:tcBorders>
            <w:shd w:val="clear" w:color="auto" w:fill="F2F2F2"/>
          </w:tcPr>
          <w:p>
            <w:pPr>
              <w:jc w:val="center"/>
              <w:spacing w:after="0" w:line="202" w:lineRule="exact"/>
              <w:rPr>
                <w:sz w:val="20"/>
                <w:szCs w:val="20"/>
                <w:color w:val="auto"/>
              </w:rPr>
            </w:pPr>
            <w:r>
              <w:rPr>
                <w:rFonts w:ascii="Calibri" w:cs="Calibri" w:eastAsia="Calibri" w:hAnsi="Calibri"/>
                <w:sz w:val="17"/>
                <w:szCs w:val="17"/>
                <w:color w:val="auto"/>
                <w:w w:val="99"/>
              </w:rPr>
              <w:t>5.00</w:t>
            </w:r>
          </w:p>
        </w:tc>
        <w:tc>
          <w:tcPr>
            <w:tcW w:w="900" w:type="dxa"/>
            <w:vAlign w:val="bottom"/>
            <w:tcBorders>
              <w:bottom w:val="single" w:sz="8" w:color="33CCCC"/>
            </w:tcBorders>
            <w:shd w:val="clear" w:color="auto" w:fill="F2F2F2"/>
          </w:tcPr>
          <w:p>
            <w:pPr>
              <w:jc w:val="center"/>
              <w:spacing w:after="0" w:line="202" w:lineRule="exact"/>
              <w:rPr>
                <w:sz w:val="20"/>
                <w:szCs w:val="20"/>
                <w:color w:val="auto"/>
              </w:rPr>
            </w:pPr>
            <w:r>
              <w:rPr>
                <w:rFonts w:ascii="Calibri" w:cs="Calibri" w:eastAsia="Calibri" w:hAnsi="Calibri"/>
                <w:sz w:val="17"/>
                <w:szCs w:val="17"/>
                <w:color w:val="auto"/>
                <w:w w:val="99"/>
              </w:rPr>
              <w:t>4.25</w:t>
            </w:r>
          </w:p>
        </w:tc>
        <w:tc>
          <w:tcPr>
            <w:tcW w:w="0" w:type="dxa"/>
            <w:vAlign w:val="bottom"/>
          </w:tcPr>
          <w:p>
            <w:pPr>
              <w:spacing w:after="0"/>
              <w:rPr>
                <w:sz w:val="1"/>
                <w:szCs w:val="1"/>
                <w:color w:val="auto"/>
              </w:rPr>
            </w:pPr>
          </w:p>
        </w:tc>
      </w:tr>
      <w:tr>
        <w:trPr>
          <w:trHeight w:val="203"/>
        </w:trPr>
        <w:tc>
          <w:tcPr>
            <w:tcW w:w="4340" w:type="dxa"/>
            <w:vAlign w:val="bottom"/>
            <w:tcBorders>
              <w:bottom w:val="single" w:sz="8" w:color="33CCCC"/>
            </w:tcBorders>
            <w:gridSpan w:val="2"/>
          </w:tcPr>
          <w:p>
            <w:pPr>
              <w:spacing w:after="0" w:line="203" w:lineRule="exact"/>
              <w:rPr>
                <w:sz w:val="20"/>
                <w:szCs w:val="20"/>
                <w:color w:val="auto"/>
              </w:rPr>
            </w:pPr>
            <w:r>
              <w:rPr>
                <w:rFonts w:ascii="Calibri" w:cs="Calibri" w:eastAsia="Calibri" w:hAnsi="Calibri"/>
                <w:sz w:val="17"/>
                <w:szCs w:val="17"/>
                <w:color w:val="auto"/>
              </w:rPr>
              <w:t>Exchange rate, end of period</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w w:val="99"/>
              </w:rPr>
              <w:t>3.31</w:t>
            </w:r>
          </w:p>
        </w:tc>
        <w:tc>
          <w:tcPr>
            <w:tcW w:w="88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rPr>
              <w:t>3.62</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w w:val="99"/>
              </w:rPr>
              <w:t>3.99</w:t>
            </w:r>
          </w:p>
        </w:tc>
        <w:tc>
          <w:tcPr>
            <w:tcW w:w="88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w w:val="99"/>
              </w:rPr>
              <w:t>3.81</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w w:val="99"/>
              </w:rPr>
              <w:t>3.71</w:t>
            </w:r>
          </w:p>
        </w:tc>
        <w:tc>
          <w:tcPr>
            <w:tcW w:w="900" w:type="dxa"/>
            <w:vAlign w:val="bottom"/>
            <w:tcBorders>
              <w:bottom w:val="single" w:sz="8" w:color="33CCCC"/>
            </w:tcBorders>
            <w:shd w:val="clear" w:color="auto" w:fill="F2F2F2"/>
          </w:tcPr>
          <w:p>
            <w:pPr>
              <w:jc w:val="center"/>
              <w:spacing w:after="0" w:line="203" w:lineRule="exact"/>
              <w:rPr>
                <w:sz w:val="20"/>
                <w:szCs w:val="20"/>
                <w:color w:val="auto"/>
              </w:rPr>
            </w:pPr>
            <w:r>
              <w:rPr>
                <w:rFonts w:ascii="Calibri" w:cs="Calibri" w:eastAsia="Calibri" w:hAnsi="Calibri"/>
                <w:sz w:val="17"/>
                <w:szCs w:val="17"/>
                <w:color w:val="auto"/>
                <w:w w:val="99"/>
              </w:rPr>
              <w:t>3.76</w:t>
            </w:r>
          </w:p>
        </w:tc>
        <w:tc>
          <w:tcPr>
            <w:tcW w:w="900" w:type="dxa"/>
            <w:vAlign w:val="bottom"/>
            <w:tcBorders>
              <w:bottom w:val="single" w:sz="8" w:color="33CCCC"/>
            </w:tcBorders>
            <w:shd w:val="clear" w:color="auto" w:fill="F2F2F2"/>
          </w:tcPr>
          <w:p>
            <w:pPr>
              <w:jc w:val="center"/>
              <w:spacing w:after="0" w:line="203" w:lineRule="exact"/>
              <w:rPr>
                <w:sz w:val="20"/>
                <w:szCs w:val="20"/>
                <w:color w:val="auto"/>
              </w:rPr>
            </w:pPr>
            <w:r>
              <w:rPr>
                <w:rFonts w:ascii="Calibri" w:cs="Calibri" w:eastAsia="Calibri" w:hAnsi="Calibri"/>
                <w:sz w:val="17"/>
                <w:szCs w:val="17"/>
                <w:color w:val="auto"/>
                <w:w w:val="99"/>
              </w:rPr>
              <w:t>3.75</w:t>
            </w:r>
          </w:p>
        </w:tc>
        <w:tc>
          <w:tcPr>
            <w:tcW w:w="0" w:type="dxa"/>
            <w:vAlign w:val="bottom"/>
          </w:tcPr>
          <w:p>
            <w:pPr>
              <w:spacing w:after="0"/>
              <w:rPr>
                <w:sz w:val="1"/>
                <w:szCs w:val="1"/>
                <w:color w:val="auto"/>
              </w:rPr>
            </w:pPr>
          </w:p>
        </w:tc>
      </w:tr>
      <w:tr>
        <w:trPr>
          <w:trHeight w:val="204"/>
        </w:trPr>
        <w:tc>
          <w:tcPr>
            <w:tcW w:w="4340" w:type="dxa"/>
            <w:vAlign w:val="bottom"/>
            <w:tcBorders>
              <w:bottom w:val="single" w:sz="8" w:color="33CCCC"/>
            </w:tcBorders>
            <w:gridSpan w:val="2"/>
          </w:tcPr>
          <w:p>
            <w:pPr>
              <w:spacing w:after="0" w:line="204" w:lineRule="exact"/>
              <w:rPr>
                <w:sz w:val="20"/>
                <w:szCs w:val="20"/>
                <w:color w:val="auto"/>
              </w:rPr>
            </w:pPr>
            <w:r>
              <w:rPr>
                <w:rFonts w:ascii="Calibri" w:cs="Calibri" w:eastAsia="Calibri" w:hAnsi="Calibri"/>
                <w:sz w:val="14"/>
                <w:szCs w:val="14"/>
                <w:color w:val="auto"/>
              </w:rPr>
              <w:t xml:space="preserve">Exchange rate, (% change) </w:t>
            </w:r>
            <w:r>
              <w:rPr>
                <w:rFonts w:ascii="Calibri" w:cs="Calibri" w:eastAsia="Calibri" w:hAnsi="Calibri"/>
                <w:sz w:val="22"/>
                <w:szCs w:val="22"/>
                <w:color w:val="auto"/>
                <w:vertAlign w:val="superscript"/>
              </w:rPr>
              <w:t>(3)</w:t>
            </w:r>
          </w:p>
        </w:tc>
        <w:tc>
          <w:tcPr>
            <w:tcW w:w="900" w:type="dxa"/>
            <w:vAlign w:val="bottom"/>
            <w:tcBorders>
              <w:bottom w:val="single" w:sz="8" w:color="33CCCC"/>
            </w:tcBorders>
          </w:tcPr>
          <w:p>
            <w:pPr>
              <w:jc w:val="center"/>
              <w:spacing w:after="0" w:line="205" w:lineRule="exact"/>
              <w:rPr>
                <w:sz w:val="20"/>
                <w:szCs w:val="20"/>
                <w:color w:val="auto"/>
              </w:rPr>
            </w:pPr>
            <w:r>
              <w:rPr>
                <w:rFonts w:ascii="Calibri" w:cs="Calibri" w:eastAsia="Calibri" w:hAnsi="Calibri"/>
                <w:sz w:val="17"/>
                <w:szCs w:val="17"/>
                <w:color w:val="auto"/>
              </w:rPr>
              <w:t>1.8%</w:t>
            </w:r>
          </w:p>
        </w:tc>
        <w:tc>
          <w:tcPr>
            <w:tcW w:w="880" w:type="dxa"/>
            <w:vAlign w:val="bottom"/>
            <w:tcBorders>
              <w:bottom w:val="single" w:sz="8" w:color="33CCCC"/>
            </w:tcBorders>
          </w:tcPr>
          <w:p>
            <w:pPr>
              <w:jc w:val="center"/>
              <w:spacing w:after="0" w:line="205" w:lineRule="exact"/>
              <w:rPr>
                <w:sz w:val="20"/>
                <w:szCs w:val="20"/>
                <w:color w:val="auto"/>
              </w:rPr>
            </w:pPr>
            <w:r>
              <w:rPr>
                <w:rFonts w:ascii="Calibri" w:cs="Calibri" w:eastAsia="Calibri" w:hAnsi="Calibri"/>
                <w:sz w:val="17"/>
                <w:szCs w:val="17"/>
                <w:color w:val="auto"/>
              </w:rPr>
              <w:t>-9.3%</w:t>
            </w:r>
          </w:p>
        </w:tc>
        <w:tc>
          <w:tcPr>
            <w:tcW w:w="900" w:type="dxa"/>
            <w:vAlign w:val="bottom"/>
            <w:tcBorders>
              <w:bottom w:val="single" w:sz="8" w:color="33CCCC"/>
            </w:tcBorders>
          </w:tcPr>
          <w:p>
            <w:pPr>
              <w:jc w:val="center"/>
              <w:spacing w:after="0" w:line="205" w:lineRule="exact"/>
              <w:rPr>
                <w:sz w:val="20"/>
                <w:szCs w:val="20"/>
                <w:color w:val="auto"/>
              </w:rPr>
            </w:pPr>
            <w:r>
              <w:rPr>
                <w:rFonts w:ascii="Calibri" w:cs="Calibri" w:eastAsia="Calibri" w:hAnsi="Calibri"/>
                <w:sz w:val="17"/>
                <w:szCs w:val="17"/>
                <w:color w:val="auto"/>
              </w:rPr>
              <w:t>-10.3%</w:t>
            </w:r>
          </w:p>
        </w:tc>
        <w:tc>
          <w:tcPr>
            <w:tcW w:w="880" w:type="dxa"/>
            <w:vAlign w:val="bottom"/>
            <w:tcBorders>
              <w:bottom w:val="single" w:sz="8" w:color="33CCCC"/>
            </w:tcBorders>
          </w:tcPr>
          <w:p>
            <w:pPr>
              <w:jc w:val="center"/>
              <w:spacing w:after="0" w:line="205" w:lineRule="exact"/>
              <w:rPr>
                <w:sz w:val="20"/>
                <w:szCs w:val="20"/>
                <w:color w:val="auto"/>
              </w:rPr>
            </w:pPr>
            <w:r>
              <w:rPr>
                <w:rFonts w:ascii="Calibri" w:cs="Calibri" w:eastAsia="Calibri" w:hAnsi="Calibri"/>
                <w:sz w:val="17"/>
                <w:szCs w:val="17"/>
                <w:color w:val="auto"/>
              </w:rPr>
              <w:t>4.5%</w:t>
            </w:r>
          </w:p>
        </w:tc>
        <w:tc>
          <w:tcPr>
            <w:tcW w:w="900" w:type="dxa"/>
            <w:vAlign w:val="bottom"/>
            <w:tcBorders>
              <w:bottom w:val="single" w:sz="8" w:color="33CCCC"/>
            </w:tcBorders>
          </w:tcPr>
          <w:p>
            <w:pPr>
              <w:jc w:val="center"/>
              <w:spacing w:after="0" w:line="205" w:lineRule="exact"/>
              <w:rPr>
                <w:sz w:val="20"/>
                <w:szCs w:val="20"/>
                <w:color w:val="auto"/>
              </w:rPr>
            </w:pPr>
            <w:r>
              <w:rPr>
                <w:rFonts w:ascii="Calibri" w:cs="Calibri" w:eastAsia="Calibri" w:hAnsi="Calibri"/>
                <w:sz w:val="17"/>
                <w:szCs w:val="17"/>
                <w:color w:val="auto"/>
              </w:rPr>
              <w:t>2.7%</w:t>
            </w:r>
          </w:p>
        </w:tc>
        <w:tc>
          <w:tcPr>
            <w:tcW w:w="900" w:type="dxa"/>
            <w:vAlign w:val="bottom"/>
            <w:tcBorders>
              <w:bottom w:val="single" w:sz="8" w:color="33CCCC"/>
            </w:tcBorders>
            <w:shd w:val="clear" w:color="auto" w:fill="F2F2F2"/>
          </w:tcPr>
          <w:p>
            <w:pPr>
              <w:jc w:val="center"/>
              <w:spacing w:after="0" w:line="205" w:lineRule="exact"/>
              <w:rPr>
                <w:sz w:val="20"/>
                <w:szCs w:val="20"/>
                <w:color w:val="auto"/>
              </w:rPr>
            </w:pPr>
            <w:r>
              <w:rPr>
                <w:rFonts w:ascii="Calibri" w:cs="Calibri" w:eastAsia="Calibri" w:hAnsi="Calibri"/>
                <w:sz w:val="17"/>
                <w:szCs w:val="17"/>
                <w:color w:val="auto"/>
              </w:rPr>
              <w:t>-1.3%</w:t>
            </w:r>
          </w:p>
        </w:tc>
        <w:tc>
          <w:tcPr>
            <w:tcW w:w="900" w:type="dxa"/>
            <w:vAlign w:val="bottom"/>
            <w:tcBorders>
              <w:bottom w:val="single" w:sz="8" w:color="33CCCC"/>
            </w:tcBorders>
            <w:shd w:val="clear" w:color="auto" w:fill="F2F2F2"/>
          </w:tcPr>
          <w:p>
            <w:pPr>
              <w:jc w:val="center"/>
              <w:spacing w:after="0" w:line="205" w:lineRule="exact"/>
              <w:rPr>
                <w:sz w:val="20"/>
                <w:szCs w:val="20"/>
                <w:color w:val="auto"/>
              </w:rPr>
            </w:pPr>
            <w:r>
              <w:rPr>
                <w:rFonts w:ascii="Calibri" w:cs="Calibri" w:eastAsia="Calibri" w:hAnsi="Calibri"/>
                <w:sz w:val="17"/>
                <w:szCs w:val="17"/>
                <w:color w:val="auto"/>
              </w:rPr>
              <w:t>0.2%</w:t>
            </w:r>
          </w:p>
        </w:tc>
        <w:tc>
          <w:tcPr>
            <w:tcW w:w="0" w:type="dxa"/>
            <w:vAlign w:val="bottom"/>
          </w:tcPr>
          <w:p>
            <w:pPr>
              <w:spacing w:after="0"/>
              <w:rPr>
                <w:sz w:val="1"/>
                <w:szCs w:val="1"/>
                <w:color w:val="auto"/>
              </w:rPr>
            </w:pPr>
          </w:p>
        </w:tc>
      </w:tr>
      <w:tr>
        <w:trPr>
          <w:trHeight w:val="202"/>
        </w:trPr>
        <w:tc>
          <w:tcPr>
            <w:tcW w:w="4340" w:type="dxa"/>
            <w:vAlign w:val="bottom"/>
            <w:tcBorders>
              <w:bottom w:val="single" w:sz="8" w:color="33CCCC"/>
            </w:tcBorders>
            <w:gridSpan w:val="2"/>
          </w:tcPr>
          <w:p>
            <w:pPr>
              <w:spacing w:after="0" w:line="202" w:lineRule="exact"/>
              <w:rPr>
                <w:sz w:val="20"/>
                <w:szCs w:val="20"/>
                <w:color w:val="auto"/>
              </w:rPr>
            </w:pPr>
            <w:r>
              <w:rPr>
                <w:rFonts w:ascii="Calibri" w:cs="Calibri" w:eastAsia="Calibri" w:hAnsi="Calibri"/>
                <w:sz w:val="17"/>
                <w:szCs w:val="17"/>
                <w:color w:val="auto"/>
              </w:rPr>
              <w:t>Fiscal balance (% GDP)</w:t>
            </w:r>
          </w:p>
        </w:tc>
        <w:tc>
          <w:tcPr>
            <w:tcW w:w="90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w w:val="97"/>
              </w:rPr>
              <w:t>-1.6</w:t>
            </w:r>
          </w:p>
        </w:tc>
        <w:tc>
          <w:tcPr>
            <w:tcW w:w="88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rPr>
              <w:t>-8.9</w:t>
            </w:r>
          </w:p>
        </w:tc>
        <w:tc>
          <w:tcPr>
            <w:tcW w:w="90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w w:val="97"/>
              </w:rPr>
              <w:t>-2.5</w:t>
            </w:r>
          </w:p>
        </w:tc>
        <w:tc>
          <w:tcPr>
            <w:tcW w:w="88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rPr>
              <w:t>-1.7</w:t>
            </w:r>
          </w:p>
        </w:tc>
        <w:tc>
          <w:tcPr>
            <w:tcW w:w="900" w:type="dxa"/>
            <w:vAlign w:val="bottom"/>
            <w:tcBorders>
              <w:bottom w:val="single" w:sz="8" w:color="33CCCC"/>
            </w:tcBorders>
          </w:tcPr>
          <w:p>
            <w:pPr>
              <w:jc w:val="center"/>
              <w:spacing w:after="0" w:line="202" w:lineRule="exact"/>
              <w:rPr>
                <w:sz w:val="20"/>
                <w:szCs w:val="20"/>
                <w:color w:val="auto"/>
              </w:rPr>
            </w:pPr>
            <w:r>
              <w:rPr>
                <w:rFonts w:ascii="Calibri" w:cs="Calibri" w:eastAsia="Calibri" w:hAnsi="Calibri"/>
                <w:sz w:val="17"/>
                <w:szCs w:val="17"/>
                <w:color w:val="auto"/>
                <w:w w:val="97"/>
              </w:rPr>
              <w:t>-2.8</w:t>
            </w:r>
          </w:p>
        </w:tc>
        <w:tc>
          <w:tcPr>
            <w:tcW w:w="900" w:type="dxa"/>
            <w:vAlign w:val="bottom"/>
            <w:tcBorders>
              <w:bottom w:val="single" w:sz="8" w:color="33CCCC"/>
            </w:tcBorders>
            <w:shd w:val="clear" w:color="auto" w:fill="F2F2F2"/>
          </w:tcPr>
          <w:p>
            <w:pPr>
              <w:jc w:val="center"/>
              <w:spacing w:after="0" w:line="202" w:lineRule="exact"/>
              <w:rPr>
                <w:sz w:val="20"/>
                <w:szCs w:val="20"/>
                <w:color w:val="auto"/>
              </w:rPr>
            </w:pPr>
            <w:r>
              <w:rPr>
                <w:rFonts w:ascii="Calibri" w:cs="Calibri" w:eastAsia="Calibri" w:hAnsi="Calibri"/>
                <w:sz w:val="17"/>
                <w:szCs w:val="17"/>
                <w:color w:val="auto"/>
                <w:w w:val="97"/>
              </w:rPr>
              <w:t>-3.6</w:t>
            </w:r>
          </w:p>
        </w:tc>
        <w:tc>
          <w:tcPr>
            <w:tcW w:w="900" w:type="dxa"/>
            <w:vAlign w:val="bottom"/>
            <w:tcBorders>
              <w:bottom w:val="single" w:sz="8" w:color="33CCCC"/>
            </w:tcBorders>
            <w:shd w:val="clear" w:color="auto" w:fill="F2F2F2"/>
          </w:tcPr>
          <w:p>
            <w:pPr>
              <w:jc w:val="center"/>
              <w:spacing w:after="0" w:line="202" w:lineRule="exact"/>
              <w:rPr>
                <w:sz w:val="20"/>
                <w:szCs w:val="20"/>
                <w:color w:val="auto"/>
              </w:rPr>
            </w:pPr>
            <w:r>
              <w:rPr>
                <w:rFonts w:ascii="Calibri" w:cs="Calibri" w:eastAsia="Calibri" w:hAnsi="Calibri"/>
                <w:sz w:val="17"/>
                <w:szCs w:val="17"/>
                <w:color w:val="auto"/>
              </w:rPr>
              <w:t>-2.6</w:t>
            </w:r>
          </w:p>
        </w:tc>
        <w:tc>
          <w:tcPr>
            <w:tcW w:w="0" w:type="dxa"/>
            <w:vAlign w:val="bottom"/>
          </w:tcPr>
          <w:p>
            <w:pPr>
              <w:spacing w:after="0"/>
              <w:rPr>
                <w:sz w:val="1"/>
                <w:szCs w:val="1"/>
                <w:color w:val="auto"/>
              </w:rPr>
            </w:pPr>
          </w:p>
        </w:tc>
      </w:tr>
      <w:tr>
        <w:trPr>
          <w:trHeight w:val="203"/>
        </w:trPr>
        <w:tc>
          <w:tcPr>
            <w:tcW w:w="4340" w:type="dxa"/>
            <w:vAlign w:val="bottom"/>
            <w:tcBorders>
              <w:bottom w:val="single" w:sz="8" w:color="33CCCC"/>
            </w:tcBorders>
            <w:gridSpan w:val="2"/>
          </w:tcPr>
          <w:p>
            <w:pPr>
              <w:spacing w:after="0" w:line="203" w:lineRule="exact"/>
              <w:rPr>
                <w:sz w:val="20"/>
                <w:szCs w:val="20"/>
                <w:color w:val="auto"/>
              </w:rPr>
            </w:pPr>
            <w:r>
              <w:rPr>
                <w:rFonts w:ascii="Calibri" w:cs="Calibri" w:eastAsia="Calibri" w:hAnsi="Calibri"/>
                <w:sz w:val="17"/>
                <w:szCs w:val="17"/>
                <w:color w:val="auto"/>
              </w:rPr>
              <w:t>Public Debt (as % GDP)</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w w:val="99"/>
              </w:rPr>
              <w:t>26.6</w:t>
            </w:r>
          </w:p>
        </w:tc>
        <w:tc>
          <w:tcPr>
            <w:tcW w:w="88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rPr>
              <w:t>34.6</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w w:val="99"/>
              </w:rPr>
              <w:t>35.8</w:t>
            </w:r>
          </w:p>
        </w:tc>
        <w:tc>
          <w:tcPr>
            <w:tcW w:w="88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w w:val="99"/>
              </w:rPr>
              <w:t>33.9</w:t>
            </w:r>
          </w:p>
        </w:tc>
        <w:tc>
          <w:tcPr>
            <w:tcW w:w="900" w:type="dxa"/>
            <w:vAlign w:val="bottom"/>
            <w:tcBorders>
              <w:bottom w:val="single" w:sz="8" w:color="33CCCC"/>
            </w:tcBorders>
          </w:tcPr>
          <w:p>
            <w:pPr>
              <w:jc w:val="center"/>
              <w:spacing w:after="0" w:line="203" w:lineRule="exact"/>
              <w:rPr>
                <w:sz w:val="20"/>
                <w:szCs w:val="20"/>
                <w:color w:val="auto"/>
              </w:rPr>
            </w:pPr>
            <w:r>
              <w:rPr>
                <w:rFonts w:ascii="Calibri" w:cs="Calibri" w:eastAsia="Calibri" w:hAnsi="Calibri"/>
                <w:sz w:val="17"/>
                <w:szCs w:val="17"/>
                <w:color w:val="auto"/>
                <w:w w:val="99"/>
              </w:rPr>
              <w:t>32.9</w:t>
            </w:r>
          </w:p>
        </w:tc>
        <w:tc>
          <w:tcPr>
            <w:tcW w:w="900" w:type="dxa"/>
            <w:vAlign w:val="bottom"/>
            <w:tcBorders>
              <w:bottom w:val="single" w:sz="8" w:color="33CCCC"/>
            </w:tcBorders>
            <w:shd w:val="clear" w:color="auto" w:fill="F2F2F2"/>
          </w:tcPr>
          <w:p>
            <w:pPr>
              <w:jc w:val="center"/>
              <w:spacing w:after="0" w:line="203" w:lineRule="exact"/>
              <w:rPr>
                <w:sz w:val="20"/>
                <w:szCs w:val="20"/>
                <w:color w:val="auto"/>
              </w:rPr>
            </w:pPr>
            <w:r>
              <w:rPr>
                <w:rFonts w:ascii="Calibri" w:cs="Calibri" w:eastAsia="Calibri" w:hAnsi="Calibri"/>
                <w:sz w:val="17"/>
                <w:szCs w:val="17"/>
                <w:color w:val="auto"/>
                <w:w w:val="99"/>
              </w:rPr>
              <w:t>34.0</w:t>
            </w:r>
          </w:p>
        </w:tc>
        <w:tc>
          <w:tcPr>
            <w:tcW w:w="900" w:type="dxa"/>
            <w:vAlign w:val="bottom"/>
            <w:tcBorders>
              <w:bottom w:val="single" w:sz="8" w:color="33CCCC"/>
            </w:tcBorders>
            <w:shd w:val="clear" w:color="auto" w:fill="F2F2F2"/>
          </w:tcPr>
          <w:p>
            <w:pPr>
              <w:jc w:val="center"/>
              <w:spacing w:after="0" w:line="203" w:lineRule="exact"/>
              <w:rPr>
                <w:sz w:val="20"/>
                <w:szCs w:val="20"/>
                <w:color w:val="auto"/>
              </w:rPr>
            </w:pPr>
            <w:r>
              <w:rPr>
                <w:rFonts w:ascii="Calibri" w:cs="Calibri" w:eastAsia="Calibri" w:hAnsi="Calibri"/>
                <w:sz w:val="17"/>
                <w:szCs w:val="17"/>
                <w:color w:val="auto"/>
                <w:w w:val="99"/>
              </w:rPr>
              <w:t>34.0</w:t>
            </w:r>
          </w:p>
        </w:tc>
        <w:tc>
          <w:tcPr>
            <w:tcW w:w="0" w:type="dxa"/>
            <w:vAlign w:val="bottom"/>
          </w:tcPr>
          <w:p>
            <w:pPr>
              <w:spacing w:after="0"/>
              <w:rPr>
                <w:sz w:val="1"/>
                <w:szCs w:val="1"/>
                <w:color w:val="auto"/>
              </w:rPr>
            </w:pPr>
          </w:p>
        </w:tc>
      </w:tr>
      <w:tr>
        <w:trPr>
          <w:trHeight w:val="183"/>
        </w:trPr>
        <w:tc>
          <w:tcPr>
            <w:tcW w:w="4340" w:type="dxa"/>
            <w:vAlign w:val="bottom"/>
            <w:gridSpan w:val="2"/>
          </w:tcPr>
          <w:p>
            <w:pPr>
              <w:spacing w:after="0" w:line="184" w:lineRule="exact"/>
              <w:rPr>
                <w:sz w:val="20"/>
                <w:szCs w:val="20"/>
                <w:color w:val="auto"/>
              </w:rPr>
            </w:pPr>
            <w:r>
              <w:rPr>
                <w:rFonts w:ascii="Calibri" w:cs="Calibri" w:eastAsia="Calibri" w:hAnsi="Calibri"/>
                <w:sz w:val="17"/>
                <w:szCs w:val="17"/>
                <w:color w:val="auto"/>
              </w:rPr>
              <w:t>Trade balance (US$ Millions)</w:t>
            </w:r>
          </w:p>
        </w:tc>
        <w:tc>
          <w:tcPr>
            <w:tcW w:w="900" w:type="dxa"/>
            <w:vAlign w:val="bottom"/>
          </w:tcPr>
          <w:p>
            <w:pPr>
              <w:jc w:val="center"/>
              <w:spacing w:after="0" w:line="184" w:lineRule="exact"/>
              <w:rPr>
                <w:sz w:val="20"/>
                <w:szCs w:val="20"/>
                <w:color w:val="auto"/>
              </w:rPr>
            </w:pPr>
            <w:r>
              <w:rPr>
                <w:rFonts w:ascii="Calibri" w:cs="Calibri" w:eastAsia="Calibri" w:hAnsi="Calibri"/>
                <w:sz w:val="17"/>
                <w:szCs w:val="17"/>
                <w:color w:val="auto"/>
                <w:w w:val="97"/>
              </w:rPr>
              <w:t>6,879</w:t>
            </w:r>
          </w:p>
        </w:tc>
        <w:tc>
          <w:tcPr>
            <w:tcW w:w="880" w:type="dxa"/>
            <w:vAlign w:val="bottom"/>
          </w:tcPr>
          <w:p>
            <w:pPr>
              <w:jc w:val="center"/>
              <w:spacing w:after="0" w:line="184" w:lineRule="exact"/>
              <w:rPr>
                <w:sz w:val="20"/>
                <w:szCs w:val="20"/>
                <w:color w:val="auto"/>
              </w:rPr>
            </w:pPr>
            <w:r>
              <w:rPr>
                <w:rFonts w:ascii="Calibri" w:cs="Calibri" w:eastAsia="Calibri" w:hAnsi="Calibri"/>
                <w:sz w:val="17"/>
                <w:szCs w:val="17"/>
                <w:color w:val="auto"/>
              </w:rPr>
              <w:t>8,102</w:t>
            </w:r>
          </w:p>
        </w:tc>
        <w:tc>
          <w:tcPr>
            <w:tcW w:w="900" w:type="dxa"/>
            <w:vAlign w:val="bottom"/>
          </w:tcPr>
          <w:p>
            <w:pPr>
              <w:jc w:val="center"/>
              <w:spacing w:after="0" w:line="184" w:lineRule="exact"/>
              <w:rPr>
                <w:sz w:val="20"/>
                <w:szCs w:val="20"/>
                <w:color w:val="auto"/>
              </w:rPr>
            </w:pPr>
            <w:r>
              <w:rPr>
                <w:rFonts w:ascii="Calibri" w:cs="Calibri" w:eastAsia="Calibri" w:hAnsi="Calibri"/>
                <w:sz w:val="17"/>
                <w:szCs w:val="17"/>
                <w:color w:val="auto"/>
                <w:w w:val="97"/>
              </w:rPr>
              <w:t>15,115</w:t>
            </w:r>
          </w:p>
        </w:tc>
        <w:tc>
          <w:tcPr>
            <w:tcW w:w="880" w:type="dxa"/>
            <w:vAlign w:val="bottom"/>
          </w:tcPr>
          <w:p>
            <w:pPr>
              <w:jc w:val="center"/>
              <w:spacing w:after="0" w:line="184" w:lineRule="exact"/>
              <w:rPr>
                <w:sz w:val="20"/>
                <w:szCs w:val="20"/>
                <w:color w:val="auto"/>
              </w:rPr>
            </w:pPr>
            <w:r>
              <w:rPr>
                <w:rFonts w:ascii="Calibri" w:cs="Calibri" w:eastAsia="Calibri" w:hAnsi="Calibri"/>
                <w:sz w:val="17"/>
                <w:szCs w:val="17"/>
                <w:color w:val="auto"/>
              </w:rPr>
              <w:t>10,166</w:t>
            </w:r>
          </w:p>
        </w:tc>
        <w:tc>
          <w:tcPr>
            <w:tcW w:w="900" w:type="dxa"/>
            <w:vAlign w:val="bottom"/>
          </w:tcPr>
          <w:p>
            <w:pPr>
              <w:jc w:val="center"/>
              <w:spacing w:after="0" w:line="184" w:lineRule="exact"/>
              <w:rPr>
                <w:sz w:val="20"/>
                <w:szCs w:val="20"/>
                <w:color w:val="auto"/>
              </w:rPr>
            </w:pPr>
            <w:r>
              <w:rPr>
                <w:rFonts w:ascii="Calibri" w:cs="Calibri" w:eastAsia="Calibri" w:hAnsi="Calibri"/>
                <w:sz w:val="17"/>
                <w:szCs w:val="17"/>
                <w:color w:val="auto"/>
              </w:rPr>
              <w:t>17,678</w:t>
            </w:r>
          </w:p>
        </w:tc>
        <w:tc>
          <w:tcPr>
            <w:tcW w:w="900" w:type="dxa"/>
            <w:vAlign w:val="bottom"/>
            <w:shd w:val="clear" w:color="auto" w:fill="F2F2F2"/>
          </w:tcPr>
          <w:p>
            <w:pPr>
              <w:jc w:val="center"/>
              <w:spacing w:after="0" w:line="184" w:lineRule="exact"/>
              <w:rPr>
                <w:sz w:val="20"/>
                <w:szCs w:val="20"/>
                <w:color w:val="auto"/>
              </w:rPr>
            </w:pPr>
            <w:r>
              <w:rPr>
                <w:rFonts w:ascii="Calibri" w:cs="Calibri" w:eastAsia="Calibri" w:hAnsi="Calibri"/>
                <w:sz w:val="17"/>
                <w:szCs w:val="17"/>
                <w:color w:val="auto"/>
              </w:rPr>
              <w:t>22,000</w:t>
            </w:r>
          </w:p>
        </w:tc>
        <w:tc>
          <w:tcPr>
            <w:tcW w:w="900" w:type="dxa"/>
            <w:vAlign w:val="bottom"/>
            <w:shd w:val="clear" w:color="auto" w:fill="F2F2F2"/>
          </w:tcPr>
          <w:p>
            <w:pPr>
              <w:jc w:val="center"/>
              <w:spacing w:after="0" w:line="184" w:lineRule="exact"/>
              <w:rPr>
                <w:sz w:val="20"/>
                <w:szCs w:val="20"/>
                <w:color w:val="auto"/>
              </w:rPr>
            </w:pPr>
            <w:r>
              <w:rPr>
                <w:rFonts w:ascii="Calibri" w:cs="Calibri" w:eastAsia="Calibri" w:hAnsi="Calibri"/>
                <w:sz w:val="17"/>
                <w:szCs w:val="17"/>
                <w:color w:val="auto"/>
              </w:rPr>
              <w:t>22,500</w:t>
            </w:r>
          </w:p>
        </w:tc>
        <w:tc>
          <w:tcPr>
            <w:tcW w:w="0" w:type="dxa"/>
            <w:vAlign w:val="bottom"/>
          </w:tcPr>
          <w:p>
            <w:pPr>
              <w:spacing w:after="0"/>
              <w:rPr>
                <w:sz w:val="1"/>
                <w:szCs w:val="1"/>
                <w:color w:val="auto"/>
              </w:rPr>
            </w:pPr>
          </w:p>
        </w:tc>
      </w:tr>
      <w:tr>
        <w:trPr>
          <w:trHeight w:val="207"/>
        </w:trPr>
        <w:tc>
          <w:tcPr>
            <w:tcW w:w="4340" w:type="dxa"/>
            <w:vAlign w:val="bottom"/>
            <w:gridSpan w:val="2"/>
          </w:tcPr>
          <w:p>
            <w:pPr>
              <w:spacing w:after="0"/>
              <w:rPr>
                <w:sz w:val="20"/>
                <w:szCs w:val="20"/>
                <w:color w:val="auto"/>
              </w:rPr>
            </w:pPr>
            <w:r>
              <w:rPr>
                <w:rFonts w:ascii="Calibri" w:cs="Calibri" w:eastAsia="Calibri" w:hAnsi="Calibri"/>
                <w:sz w:val="17"/>
                <w:szCs w:val="17"/>
                <w:color w:val="auto"/>
              </w:rPr>
              <w:t>(As % GDP)</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3.0%</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3.9%</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6.7%</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4.2%</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6.6%</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7.8%</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7.6%</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Calibri" w:cs="Calibri" w:eastAsia="Calibri" w:hAnsi="Calibri"/>
                <w:sz w:val="17"/>
                <w:szCs w:val="17"/>
                <w:color w:val="auto"/>
              </w:rPr>
              <w:t>Exports</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47,980</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42,826</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63,114</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66,167</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67,518</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73,500</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75,500</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Calibri" w:cs="Calibri" w:eastAsia="Calibri" w:hAnsi="Calibri"/>
                <w:sz w:val="17"/>
                <w:szCs w:val="17"/>
                <w:color w:val="auto"/>
              </w:rPr>
              <w:t>Imports</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41,101</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34,724</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47,999</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56,001</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49,840</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51,500</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53,000</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Calibri" w:cs="Calibri" w:eastAsia="Calibri" w:hAnsi="Calibri"/>
                <w:sz w:val="17"/>
                <w:szCs w:val="17"/>
                <w:color w:val="auto"/>
              </w:rPr>
              <w:t>Current account balance (As % GDP)</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-0.6%</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0.9%</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-2.1%</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-4.0%</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0.8%</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2.2%</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1.3%</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Calibri" w:cs="Calibri" w:eastAsia="Calibri" w:hAnsi="Calibri"/>
                <w:sz w:val="17"/>
                <w:szCs w:val="17"/>
                <w:color w:val="auto"/>
              </w:rPr>
              <w:t>Net internatonal reserves (US$ Millions)</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68,316</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74,707</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7"/>
              </w:rPr>
              <w:t>78,495</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71,883</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71,033</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78,987</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rPr>
              <w:t>83,000</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Calibri" w:cs="Calibri" w:eastAsia="Calibri" w:hAnsi="Calibri"/>
                <w:sz w:val="17"/>
                <w:szCs w:val="17"/>
                <w:color w:val="auto"/>
              </w:rPr>
              <w:t>(As % GDP)</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29.4%</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36.3%</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34.8%</w:t>
            </w:r>
          </w:p>
        </w:tc>
        <w:tc>
          <w:tcPr>
            <w:tcW w:w="880" w:type="dxa"/>
            <w:vAlign w:val="bottom"/>
          </w:tcPr>
          <w:p>
            <w:pPr>
              <w:jc w:val="center"/>
              <w:spacing w:after="0"/>
              <w:rPr>
                <w:sz w:val="20"/>
                <w:szCs w:val="20"/>
                <w:color w:val="auto"/>
              </w:rPr>
            </w:pPr>
            <w:r>
              <w:rPr>
                <w:rFonts w:ascii="Calibri" w:cs="Calibri" w:eastAsia="Calibri" w:hAnsi="Calibri"/>
                <w:sz w:val="17"/>
                <w:szCs w:val="17"/>
                <w:color w:val="auto"/>
              </w:rPr>
              <w:t>29.4%</w:t>
            </w:r>
          </w:p>
        </w:tc>
        <w:tc>
          <w:tcPr>
            <w:tcW w:w="900" w:type="dxa"/>
            <w:vAlign w:val="bottom"/>
          </w:tcPr>
          <w:p>
            <w:pPr>
              <w:jc w:val="center"/>
              <w:spacing w:after="0"/>
              <w:rPr>
                <w:sz w:val="20"/>
                <w:szCs w:val="20"/>
                <w:color w:val="auto"/>
              </w:rPr>
            </w:pPr>
            <w:r>
              <w:rPr>
                <w:rFonts w:ascii="Calibri" w:cs="Calibri" w:eastAsia="Calibri" w:hAnsi="Calibri"/>
                <w:sz w:val="17"/>
                <w:szCs w:val="17"/>
                <w:color w:val="auto"/>
                <w:w w:val="99"/>
              </w:rPr>
              <w:t>26.6%</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w w:val="99"/>
              </w:rPr>
              <w:t>28.2%</w:t>
            </w:r>
          </w:p>
        </w:tc>
        <w:tc>
          <w:tcPr>
            <w:tcW w:w="900" w:type="dxa"/>
            <w:vAlign w:val="bottom"/>
            <w:shd w:val="clear" w:color="auto" w:fill="F2F2F2"/>
          </w:tcPr>
          <w:p>
            <w:pPr>
              <w:jc w:val="center"/>
              <w:spacing w:after="0"/>
              <w:rPr>
                <w:sz w:val="20"/>
                <w:szCs w:val="20"/>
                <w:color w:val="auto"/>
              </w:rPr>
            </w:pPr>
            <w:r>
              <w:rPr>
                <w:rFonts w:ascii="Calibri" w:cs="Calibri" w:eastAsia="Calibri" w:hAnsi="Calibri"/>
                <w:sz w:val="17"/>
                <w:szCs w:val="17"/>
                <w:color w:val="auto"/>
                <w:w w:val="99"/>
              </w:rPr>
              <w:t>28.1%</w:t>
            </w:r>
          </w:p>
        </w:tc>
        <w:tc>
          <w:tcPr>
            <w:tcW w:w="0" w:type="dxa"/>
            <w:vAlign w:val="bottom"/>
          </w:tcPr>
          <w:p>
            <w:pPr>
              <w:spacing w:after="0"/>
              <w:rPr>
                <w:sz w:val="1"/>
                <w:szCs w:val="1"/>
                <w:color w:val="auto"/>
              </w:rPr>
            </w:pPr>
          </w:p>
        </w:tc>
      </w:tr>
      <w:tr>
        <w:trPr>
          <w:trHeight w:val="213"/>
        </w:trPr>
        <w:tc>
          <w:tcPr>
            <w:tcW w:w="4340" w:type="dxa"/>
            <w:vAlign w:val="bottom"/>
            <w:gridSpan w:val="2"/>
          </w:tcPr>
          <w:p>
            <w:pPr>
              <w:spacing w:after="0"/>
              <w:rPr>
                <w:sz w:val="20"/>
                <w:szCs w:val="20"/>
                <w:color w:val="auto"/>
              </w:rPr>
            </w:pPr>
            <w:r>
              <w:rPr>
                <w:rFonts w:ascii="Calibri" w:cs="Calibri" w:eastAsia="Calibri" w:hAnsi="Calibri"/>
                <w:sz w:val="17"/>
                <w:szCs w:val="17"/>
                <w:color w:val="auto"/>
              </w:rPr>
              <w:t>(As months of imports)</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20</w:t>
            </w:r>
          </w:p>
        </w:tc>
        <w:tc>
          <w:tcPr>
            <w:tcW w:w="880" w:type="dxa"/>
            <w:vAlign w:val="bottom"/>
          </w:tcPr>
          <w:p>
            <w:pPr>
              <w:jc w:val="center"/>
              <w:spacing w:after="0"/>
              <w:rPr>
                <w:sz w:val="20"/>
                <w:szCs w:val="20"/>
                <w:color w:val="auto"/>
              </w:rPr>
            </w:pPr>
            <w:r>
              <w:rPr>
                <w:rFonts w:ascii="Calibri" w:cs="Calibri" w:eastAsia="Calibri" w:hAnsi="Calibri"/>
                <w:sz w:val="17"/>
                <w:szCs w:val="17"/>
                <w:color w:val="auto"/>
                <w:w w:val="92"/>
              </w:rPr>
              <w:t>26</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20</w:t>
            </w:r>
          </w:p>
        </w:tc>
        <w:tc>
          <w:tcPr>
            <w:tcW w:w="880" w:type="dxa"/>
            <w:vAlign w:val="bottom"/>
          </w:tcPr>
          <w:p>
            <w:pPr>
              <w:jc w:val="center"/>
              <w:spacing w:after="0"/>
              <w:rPr>
                <w:sz w:val="20"/>
                <w:szCs w:val="20"/>
                <w:color w:val="auto"/>
              </w:rPr>
            </w:pPr>
            <w:r>
              <w:rPr>
                <w:rFonts w:ascii="Calibri" w:cs="Calibri" w:eastAsia="Calibri" w:hAnsi="Calibri"/>
                <w:sz w:val="17"/>
                <w:szCs w:val="17"/>
                <w:color w:val="auto"/>
                <w:w w:val="92"/>
              </w:rPr>
              <w:t>15</w:t>
            </w:r>
          </w:p>
        </w:tc>
        <w:tc>
          <w:tcPr>
            <w:tcW w:w="900" w:type="dxa"/>
            <w:vAlign w:val="bottom"/>
          </w:tcPr>
          <w:p>
            <w:pPr>
              <w:jc w:val="center"/>
              <w:spacing w:after="0"/>
              <w:rPr>
                <w:sz w:val="20"/>
                <w:szCs w:val="20"/>
                <w:color w:val="auto"/>
              </w:rPr>
            </w:pPr>
            <w:r>
              <w:rPr>
                <w:rFonts w:ascii="Calibri" w:cs="Calibri" w:eastAsia="Calibri" w:hAnsi="Calibri"/>
                <w:sz w:val="17"/>
                <w:szCs w:val="17"/>
                <w:color w:val="auto"/>
              </w:rPr>
              <w:t>17</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Calibri" w:cs="Calibri" w:eastAsia="Calibri" w:hAnsi="Calibri"/>
                <w:sz w:val="17"/>
                <w:szCs w:val="17"/>
                <w:color w:val="auto"/>
              </w:rPr>
              <w:t>18</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Calibri" w:cs="Calibri" w:eastAsia="Calibri" w:hAnsi="Calibri"/>
                <w:sz w:val="17"/>
                <w:szCs w:val="17"/>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33CCCC"/>
          </w:tcPr>
          <w:p>
            <w:pPr>
              <w:spacing w:after="0" w:line="20" w:lineRule="exact"/>
              <w:rPr>
                <w:sz w:val="1"/>
                <w:szCs w:val="1"/>
                <w:color w:val="auto"/>
              </w:rPr>
            </w:pPr>
          </w:p>
        </w:tc>
        <w:tc>
          <w:tcPr>
            <w:tcW w:w="900" w:type="dxa"/>
            <w:vAlign w:val="bottom"/>
            <w:shd w:val="clear" w:color="auto" w:fill="33CCCC"/>
          </w:tcPr>
          <w:p>
            <w:pPr>
              <w:spacing w:after="0" w:line="20" w:lineRule="exact"/>
              <w:rPr>
                <w:sz w:val="1"/>
                <w:szCs w:val="1"/>
                <w:color w:val="auto"/>
              </w:rPr>
            </w:pPr>
          </w:p>
        </w:tc>
        <w:tc>
          <w:tcPr>
            <w:tcW w:w="880" w:type="dxa"/>
            <w:vAlign w:val="bottom"/>
            <w:shd w:val="clear" w:color="auto" w:fill="33CCCC"/>
          </w:tcPr>
          <w:p>
            <w:pPr>
              <w:spacing w:after="0" w:line="20" w:lineRule="exact"/>
              <w:rPr>
                <w:sz w:val="1"/>
                <w:szCs w:val="1"/>
                <w:color w:val="auto"/>
              </w:rPr>
            </w:pPr>
          </w:p>
        </w:tc>
        <w:tc>
          <w:tcPr>
            <w:tcW w:w="900" w:type="dxa"/>
            <w:vAlign w:val="bottom"/>
            <w:shd w:val="clear" w:color="auto" w:fill="33CCCC"/>
          </w:tcPr>
          <w:p>
            <w:pPr>
              <w:spacing w:after="0" w:line="20" w:lineRule="exact"/>
              <w:rPr>
                <w:sz w:val="1"/>
                <w:szCs w:val="1"/>
                <w:color w:val="auto"/>
              </w:rPr>
            </w:pPr>
          </w:p>
        </w:tc>
        <w:tc>
          <w:tcPr>
            <w:tcW w:w="880" w:type="dxa"/>
            <w:vAlign w:val="bottom"/>
            <w:shd w:val="clear" w:color="auto" w:fill="33CCCC"/>
          </w:tcPr>
          <w:p>
            <w:pPr>
              <w:spacing w:after="0" w:line="20" w:lineRule="exact"/>
              <w:rPr>
                <w:sz w:val="1"/>
                <w:szCs w:val="1"/>
                <w:color w:val="auto"/>
              </w:rPr>
            </w:pPr>
          </w:p>
        </w:tc>
        <w:tc>
          <w:tcPr>
            <w:tcW w:w="900" w:type="dxa"/>
            <w:vAlign w:val="bottom"/>
            <w:shd w:val="clear" w:color="auto" w:fill="33CCCC"/>
          </w:tcPr>
          <w:p>
            <w:pPr>
              <w:spacing w:after="0" w:line="20" w:lineRule="exact"/>
              <w:rPr>
                <w:sz w:val="1"/>
                <w:szCs w:val="1"/>
                <w:color w:val="auto"/>
              </w:rPr>
            </w:pPr>
          </w:p>
        </w:tc>
        <w:tc>
          <w:tcPr>
            <w:tcW w:w="900" w:type="dxa"/>
            <w:vAlign w:val="bottom"/>
            <w:shd w:val="clear" w:color="auto" w:fill="33CCCC"/>
          </w:tcPr>
          <w:p>
            <w:pPr>
              <w:spacing w:after="0" w:line="20" w:lineRule="exact"/>
              <w:rPr>
                <w:sz w:val="1"/>
                <w:szCs w:val="1"/>
                <w:color w:val="auto"/>
              </w:rPr>
            </w:pPr>
          </w:p>
        </w:tc>
        <w:tc>
          <w:tcPr>
            <w:tcW w:w="900" w:type="dxa"/>
            <w:vAlign w:val="bottom"/>
            <w:shd w:val="clear" w:color="auto" w:fill="33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3"/>
          <w:szCs w:val="13"/>
          <w:color w:val="auto"/>
        </w:rPr>
        <w:t>Source: INEI, BCRP y SBS.</w:t>
      </w:r>
    </w:p>
    <w:p>
      <w:pPr>
        <w:spacing w:after="0" w:line="12" w:lineRule="exact"/>
        <w:rPr>
          <w:sz w:val="20"/>
          <w:szCs w:val="20"/>
          <w:color w:val="auto"/>
        </w:rPr>
      </w:pPr>
    </w:p>
    <w:p>
      <w:pPr>
        <w:ind w:left="160" w:hanging="158"/>
        <w:spacing w:after="0"/>
        <w:tabs>
          <w:tab w:leader="none" w:pos="160"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Financial System, Current Exchange Rate</w:t>
      </w:r>
    </w:p>
    <w:p>
      <w:pPr>
        <w:spacing w:after="0" w:line="24" w:lineRule="exact"/>
        <w:rPr>
          <w:rFonts w:ascii="Calibri" w:cs="Calibri" w:eastAsia="Calibri" w:hAnsi="Calibri"/>
          <w:sz w:val="13"/>
          <w:szCs w:val="13"/>
          <w:color w:val="auto"/>
        </w:rPr>
      </w:pPr>
    </w:p>
    <w:p>
      <w:pPr>
        <w:ind w:left="160" w:hanging="158"/>
        <w:spacing w:after="0"/>
        <w:tabs>
          <w:tab w:leader="none" w:pos="160"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Infaton Target: 1%-3%</w:t>
      </w:r>
    </w:p>
    <w:p>
      <w:pPr>
        <w:spacing w:after="0" w:line="24" w:lineRule="exact"/>
        <w:rPr>
          <w:rFonts w:ascii="Calibri" w:cs="Calibri" w:eastAsia="Calibri" w:hAnsi="Calibri"/>
          <w:sz w:val="13"/>
          <w:szCs w:val="13"/>
          <w:color w:val="auto"/>
        </w:rPr>
      </w:pPr>
    </w:p>
    <w:p>
      <w:pPr>
        <w:ind w:left="160" w:hanging="158"/>
        <w:spacing w:after="0"/>
        <w:tabs>
          <w:tab w:leader="none" w:pos="160"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Negatve % change indicates depreciaton.</w:t>
      </w:r>
    </w:p>
    <w:p>
      <w:pPr>
        <w:spacing w:after="0" w:line="24" w:lineRule="exact"/>
        <w:rPr>
          <w:rFonts w:ascii="Calibri" w:cs="Calibri" w:eastAsia="Calibri" w:hAnsi="Calibri"/>
          <w:sz w:val="13"/>
          <w:szCs w:val="13"/>
          <w:color w:val="auto"/>
        </w:rPr>
      </w:pPr>
    </w:p>
    <w:p>
      <w:pPr>
        <w:ind w:left="160" w:hanging="158"/>
        <w:spacing w:after="0"/>
        <w:tabs>
          <w:tab w:leader="none" w:pos="160"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Grey area indicates estmates by BCP – Economic Research as of January 2025.</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36830</wp:posOffset>
            </wp:positionV>
            <wp:extent cx="713613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080"/>
          </w:cols>
          <w:pgMar w:left="480" w:top="30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441"/>
        </w:trPr>
        <w:tc>
          <w:tcPr>
            <w:tcW w:w="5280" w:type="dxa"/>
            <w:vAlign w:val="bottom"/>
            <w:shd w:val="clear" w:color="auto" w:fill="000000"/>
          </w:tcPr>
          <w:p>
            <w:pPr>
              <w:ind w:left="2680"/>
              <w:spacing w:after="0"/>
              <w:rPr>
                <w:sz w:val="20"/>
                <w:szCs w:val="20"/>
                <w:color w:val="auto"/>
              </w:rPr>
            </w:pPr>
            <w:r>
              <w:rPr>
                <w:rFonts w:ascii="Calibri" w:cs="Calibri" w:eastAsia="Calibri" w:hAnsi="Calibri"/>
                <w:sz w:val="19"/>
                <w:szCs w:val="19"/>
                <w:color w:val="A6A6A6"/>
              </w:rPr>
              <w:t xml:space="preserve">|  </w:t>
            </w:r>
            <w:r>
              <w:rPr>
                <w:rFonts w:ascii="Calibri" w:cs="Calibri" w:eastAsia="Calibri" w:hAnsi="Calibri"/>
                <w:sz w:val="15"/>
                <w:szCs w:val="15"/>
                <w:color w:val="FFFFFF"/>
              </w:rPr>
              <w:t>Earnings Release 4Q / 2024</w:t>
            </w:r>
          </w:p>
        </w:tc>
        <w:tc>
          <w:tcPr>
            <w:tcW w:w="5960" w:type="dxa"/>
            <w:vAlign w:val="bottom"/>
            <w:shd w:val="clear" w:color="auto" w:fill="000000"/>
          </w:tcPr>
          <w:p>
            <w:pPr>
              <w:ind w:left="2380"/>
              <w:spacing w:after="0"/>
              <w:rPr>
                <w:sz w:val="20"/>
                <w:szCs w:val="20"/>
                <w:color w:val="auto"/>
              </w:rPr>
            </w:pPr>
            <w:r>
              <w:rPr>
                <w:rFonts w:ascii="Calibri" w:cs="Calibri" w:eastAsia="Calibri" w:hAnsi="Calibri"/>
                <w:sz w:val="16"/>
                <w:szCs w:val="16"/>
                <w:color w:val="ED3FA8"/>
              </w:rPr>
              <w:t>Analysis of 4Q24 Consolidated Results</w:t>
            </w:r>
          </w:p>
        </w:tc>
      </w:tr>
      <w:tr>
        <w:trPr>
          <w:trHeight w:val="267"/>
        </w:trPr>
        <w:tc>
          <w:tcPr>
            <w:tcW w:w="5280" w:type="dxa"/>
            <w:vAlign w:val="bottom"/>
            <w:shd w:val="clear" w:color="auto" w:fill="000000"/>
          </w:tcPr>
          <w:p>
            <w:pPr>
              <w:spacing w:after="0"/>
              <w:rPr>
                <w:sz w:val="23"/>
                <w:szCs w:val="23"/>
                <w:color w:val="auto"/>
              </w:rPr>
            </w:pPr>
          </w:p>
        </w:tc>
        <w:tc>
          <w:tcPr>
            <w:tcW w:w="5960" w:type="dxa"/>
            <w:vAlign w:val="bottom"/>
            <w:shd w:val="clear" w:color="auto" w:fill="000000"/>
          </w:tcPr>
          <w:p>
            <w:pPr>
              <w:spacing w:after="0"/>
              <w:rPr>
                <w:sz w:val="23"/>
                <w:szCs w:val="23"/>
                <w:color w:val="auto"/>
              </w:rPr>
            </w:pPr>
          </w:p>
        </w:tc>
      </w:tr>
      <w:tr>
        <w:trPr>
          <w:trHeight w:val="258"/>
        </w:trPr>
        <w:tc>
          <w:tcPr>
            <w:tcW w:w="5280" w:type="dxa"/>
            <w:vAlign w:val="bottom"/>
            <w:shd w:val="clear" w:color="auto" w:fill="E93BAC"/>
          </w:tcPr>
          <w:p>
            <w:pPr>
              <w:ind w:left="100"/>
              <w:spacing w:after="0"/>
              <w:rPr>
                <w:sz w:val="20"/>
                <w:szCs w:val="20"/>
                <w:color w:val="auto"/>
              </w:rPr>
            </w:pPr>
            <w:r>
              <w:rPr>
                <w:rFonts w:ascii="Calibri" w:cs="Calibri" w:eastAsia="Calibri" w:hAnsi="Calibri"/>
                <w:sz w:val="19"/>
                <w:szCs w:val="19"/>
                <w:b w:val="1"/>
                <w:bCs w:val="1"/>
                <w:color w:val="FFFFFF"/>
              </w:rPr>
              <w:t>11. Economic Outlook</w:t>
            </w:r>
          </w:p>
        </w:tc>
        <w:tc>
          <w:tcPr>
            <w:tcW w:w="5960" w:type="dxa"/>
            <w:vAlign w:val="bottom"/>
            <w:shd w:val="clear" w:color="auto" w:fill="E93BAC"/>
          </w:tcPr>
          <w:p>
            <w:pPr>
              <w:spacing w:after="0"/>
              <w:rPr>
                <w:sz w:val="22"/>
                <w:szCs w:val="22"/>
                <w:color w:val="auto"/>
              </w:rPr>
            </w:pPr>
          </w:p>
        </w:tc>
      </w:tr>
      <w:tr>
        <w:trPr>
          <w:trHeight w:val="83"/>
        </w:trPr>
        <w:tc>
          <w:tcPr>
            <w:tcW w:w="5280" w:type="dxa"/>
            <w:vAlign w:val="bottom"/>
            <w:shd w:val="clear" w:color="auto" w:fill="E93BAC"/>
          </w:tcPr>
          <w:p>
            <w:pPr>
              <w:spacing w:after="0"/>
              <w:rPr>
                <w:sz w:val="7"/>
                <w:szCs w:val="7"/>
                <w:color w:val="auto"/>
              </w:rPr>
            </w:pPr>
          </w:p>
        </w:tc>
        <w:tc>
          <w:tcPr>
            <w:tcW w:w="5960" w:type="dxa"/>
            <w:vAlign w:val="bottom"/>
            <w:shd w:val="clear" w:color="auto" w:fill="E93BAC"/>
          </w:tcPr>
          <w:p>
            <w:pPr>
              <w:spacing w:after="0"/>
              <w:rPr>
                <w:sz w:val="7"/>
                <w:szCs w:val="7"/>
                <w:color w:val="auto"/>
              </w:rPr>
            </w:pPr>
          </w:p>
        </w:tc>
      </w:tr>
      <w:tr>
        <w:trPr>
          <w:trHeight w:val="379"/>
        </w:trPr>
        <w:tc>
          <w:tcPr>
            <w:tcW w:w="5280" w:type="dxa"/>
            <w:vAlign w:val="bottom"/>
          </w:tcPr>
          <w:p>
            <w:pPr>
              <w:ind w:left="320"/>
              <w:spacing w:after="0"/>
              <w:rPr>
                <w:sz w:val="20"/>
                <w:szCs w:val="20"/>
                <w:color w:val="auto"/>
              </w:rPr>
            </w:pPr>
            <w:r>
              <w:rPr>
                <w:rFonts w:ascii="Arial" w:cs="Arial" w:eastAsia="Arial" w:hAnsi="Arial"/>
                <w:sz w:val="17"/>
                <w:szCs w:val="17"/>
                <w:b w:val="1"/>
                <w:bCs w:val="1"/>
                <w:color w:val="auto"/>
              </w:rPr>
              <w:t>Main Macroeconomic Variables</w:t>
            </w:r>
          </w:p>
        </w:tc>
        <w:tc>
          <w:tcPr>
            <w:tcW w:w="5960" w:type="dxa"/>
            <w:vAlign w:val="bottom"/>
          </w:tcPr>
          <w:p>
            <w:pPr>
              <w:spacing w:after="0"/>
              <w:rPr>
                <w:sz w:val="24"/>
                <w:szCs w:val="24"/>
                <w:color w:val="auto"/>
              </w:rPr>
            </w:pPr>
          </w:p>
        </w:tc>
      </w:tr>
      <w:tr>
        <w:trPr>
          <w:trHeight w:val="345"/>
        </w:trPr>
        <w:tc>
          <w:tcPr>
            <w:tcW w:w="5280" w:type="dxa"/>
            <w:vAlign w:val="bottom"/>
          </w:tcPr>
          <w:p>
            <w:pPr>
              <w:jc w:val="center"/>
              <w:ind w:left="29"/>
              <w:spacing w:after="0"/>
              <w:rPr>
                <w:sz w:val="20"/>
                <w:szCs w:val="20"/>
                <w:color w:val="auto"/>
              </w:rPr>
            </w:pPr>
            <w:r>
              <w:rPr>
                <w:rFonts w:ascii="Calibri" w:cs="Calibri" w:eastAsia="Calibri" w:hAnsi="Calibri"/>
                <w:sz w:val="17"/>
                <w:szCs w:val="17"/>
                <w:b w:val="1"/>
                <w:bCs w:val="1"/>
                <w:color w:val="auto"/>
              </w:rPr>
              <w:t>Gross Domestc Product</w:t>
            </w:r>
          </w:p>
        </w:tc>
        <w:tc>
          <w:tcPr>
            <w:tcW w:w="5960" w:type="dxa"/>
            <w:vAlign w:val="bottom"/>
          </w:tcPr>
          <w:p>
            <w:pPr>
              <w:ind w:left="560"/>
              <w:spacing w:after="0"/>
              <w:rPr>
                <w:sz w:val="20"/>
                <w:szCs w:val="20"/>
                <w:color w:val="auto"/>
              </w:rPr>
            </w:pPr>
            <w:r>
              <w:rPr>
                <w:rFonts w:ascii="Calibri" w:cs="Calibri" w:eastAsia="Calibri" w:hAnsi="Calibri"/>
                <w:sz w:val="17"/>
                <w:szCs w:val="17"/>
                <w:color w:val="auto"/>
              </w:rPr>
              <w:t>In 4Q24, economic recovery contnued to gain momentum. GDP is estmated</w:t>
            </w:r>
          </w:p>
        </w:tc>
      </w:tr>
      <w:tr>
        <w:trPr>
          <w:trHeight w:val="210"/>
        </w:trPr>
        <w:tc>
          <w:tcPr>
            <w:tcW w:w="5280" w:type="dxa"/>
            <w:vAlign w:val="bottom"/>
          </w:tcPr>
          <w:p>
            <w:pPr>
              <w:jc w:val="center"/>
              <w:ind w:left="49"/>
              <w:spacing w:after="0"/>
              <w:rPr>
                <w:sz w:val="20"/>
                <w:szCs w:val="20"/>
                <w:color w:val="auto"/>
              </w:rPr>
            </w:pPr>
            <w:r>
              <w:rPr>
                <w:rFonts w:ascii="Calibri" w:cs="Calibri" w:eastAsia="Calibri" w:hAnsi="Calibri"/>
                <w:sz w:val="17"/>
                <w:szCs w:val="17"/>
                <w:color w:val="auto"/>
              </w:rPr>
              <w:t>(Annual Real Variatons, % YoY)</w:t>
            </w:r>
          </w:p>
        </w:tc>
        <w:tc>
          <w:tcPr>
            <w:tcW w:w="5960" w:type="dxa"/>
            <w:vAlign w:val="bottom"/>
          </w:tcPr>
          <w:p>
            <w:pPr>
              <w:ind w:left="560"/>
              <w:spacing w:after="0"/>
              <w:rPr>
                <w:sz w:val="20"/>
                <w:szCs w:val="20"/>
                <w:color w:val="auto"/>
              </w:rPr>
            </w:pPr>
            <w:r>
              <w:rPr>
                <w:rFonts w:ascii="Calibri" w:cs="Calibri" w:eastAsia="Calibri" w:hAnsi="Calibri"/>
                <w:sz w:val="17"/>
                <w:szCs w:val="17"/>
                <w:color w:val="auto"/>
              </w:rPr>
              <w:t>to have grown around 4% YoY, similar to the 3.8% reported in 3Q24. The</w:t>
            </w:r>
          </w:p>
        </w:tc>
      </w:tr>
      <w:tr>
        <w:trPr>
          <w:trHeight w:val="210"/>
        </w:trPr>
        <w:tc>
          <w:tcPr>
            <w:tcW w:w="5280" w:type="dxa"/>
            <w:vAlign w:val="bottom"/>
          </w:tcPr>
          <w:p>
            <w:pPr>
              <w:spacing w:after="0"/>
              <w:rPr>
                <w:sz w:val="18"/>
                <w:szCs w:val="18"/>
                <w:color w:val="auto"/>
              </w:rPr>
            </w:pPr>
          </w:p>
        </w:tc>
        <w:tc>
          <w:tcPr>
            <w:tcW w:w="5960" w:type="dxa"/>
            <w:vAlign w:val="bottom"/>
          </w:tcPr>
          <w:p>
            <w:pPr>
              <w:ind w:left="560"/>
              <w:spacing w:after="0"/>
              <w:rPr>
                <w:sz w:val="20"/>
                <w:szCs w:val="20"/>
                <w:color w:val="auto"/>
              </w:rPr>
            </w:pPr>
            <w:r>
              <w:rPr>
                <w:rFonts w:ascii="Calibri" w:cs="Calibri" w:eastAsia="Calibri" w:hAnsi="Calibri"/>
                <w:sz w:val="17"/>
                <w:szCs w:val="17"/>
                <w:color w:val="auto"/>
              </w:rPr>
              <w:t>primary sectors are estmated to have accelerated to 4.6% YoY, favored by</w:t>
            </w:r>
          </w:p>
        </w:tc>
      </w:tr>
      <w:tr>
        <w:trPr>
          <w:trHeight w:val="210"/>
        </w:trPr>
        <w:tc>
          <w:tcPr>
            <w:tcW w:w="5280" w:type="dxa"/>
            <w:vAlign w:val="bottom"/>
          </w:tcPr>
          <w:p>
            <w:pPr>
              <w:spacing w:after="0"/>
              <w:rPr>
                <w:sz w:val="18"/>
                <w:szCs w:val="18"/>
                <w:color w:val="auto"/>
              </w:rPr>
            </w:pPr>
          </w:p>
        </w:tc>
        <w:tc>
          <w:tcPr>
            <w:tcW w:w="5960" w:type="dxa"/>
            <w:vAlign w:val="bottom"/>
          </w:tcPr>
          <w:p>
            <w:pPr>
              <w:ind w:left="560"/>
              <w:spacing w:after="0"/>
              <w:rPr>
                <w:sz w:val="20"/>
                <w:szCs w:val="20"/>
                <w:color w:val="auto"/>
              </w:rPr>
            </w:pPr>
            <w:r>
              <w:rPr>
                <w:rFonts w:ascii="Calibri" w:cs="Calibri" w:eastAsia="Calibri" w:hAnsi="Calibri"/>
                <w:sz w:val="17"/>
                <w:szCs w:val="17"/>
                <w:color w:val="auto"/>
              </w:rPr>
              <w:t>double-digit growth in the agriculture and fshing sectors, the later of which</w:t>
            </w:r>
          </w:p>
        </w:tc>
      </w:tr>
      <w:tr>
        <w:trPr>
          <w:trHeight w:val="210"/>
        </w:trPr>
        <w:tc>
          <w:tcPr>
            <w:tcW w:w="5280" w:type="dxa"/>
            <w:vAlign w:val="bottom"/>
          </w:tcPr>
          <w:p>
            <w:pPr>
              <w:spacing w:after="0"/>
              <w:rPr>
                <w:sz w:val="18"/>
                <w:szCs w:val="18"/>
                <w:color w:val="auto"/>
              </w:rPr>
            </w:pPr>
          </w:p>
        </w:tc>
        <w:tc>
          <w:tcPr>
            <w:tcW w:w="5960" w:type="dxa"/>
            <w:vAlign w:val="bottom"/>
          </w:tcPr>
          <w:p>
            <w:pPr>
              <w:ind w:left="560"/>
              <w:spacing w:after="0"/>
              <w:rPr>
                <w:sz w:val="20"/>
                <w:szCs w:val="20"/>
                <w:color w:val="auto"/>
              </w:rPr>
            </w:pPr>
            <w:r>
              <w:rPr>
                <w:rFonts w:ascii="Calibri" w:cs="Calibri" w:eastAsia="Calibri" w:hAnsi="Calibri"/>
                <w:sz w:val="17"/>
                <w:szCs w:val="17"/>
                <w:color w:val="auto"/>
              </w:rPr>
              <w:t>reported a good second anchovy fshing season in the north- central zone of</w:t>
            </w:r>
          </w:p>
        </w:tc>
      </w:tr>
      <w:tr>
        <w:trPr>
          <w:trHeight w:val="210"/>
        </w:trPr>
        <w:tc>
          <w:tcPr>
            <w:tcW w:w="5280" w:type="dxa"/>
            <w:vAlign w:val="bottom"/>
          </w:tcPr>
          <w:p>
            <w:pPr>
              <w:spacing w:after="0"/>
              <w:rPr>
                <w:sz w:val="18"/>
                <w:szCs w:val="18"/>
                <w:color w:val="auto"/>
              </w:rPr>
            </w:pPr>
          </w:p>
        </w:tc>
        <w:tc>
          <w:tcPr>
            <w:tcW w:w="5960" w:type="dxa"/>
            <w:vAlign w:val="bottom"/>
          </w:tcPr>
          <w:p>
            <w:pPr>
              <w:ind w:left="560"/>
              <w:spacing w:after="0"/>
              <w:rPr>
                <w:sz w:val="20"/>
                <w:szCs w:val="20"/>
                <w:color w:val="auto"/>
              </w:rPr>
            </w:pPr>
            <w:r>
              <w:rPr>
                <w:rFonts w:ascii="Calibri" w:cs="Calibri" w:eastAsia="Calibri" w:hAnsi="Calibri"/>
                <w:sz w:val="17"/>
                <w:szCs w:val="17"/>
                <w:color w:val="auto"/>
              </w:rPr>
              <w:t>the country. Meanwhile, growth in the non- primary sectors slowed slightly</w:t>
            </w:r>
          </w:p>
        </w:tc>
      </w:tr>
      <w:tr>
        <w:trPr>
          <w:trHeight w:val="210"/>
        </w:trPr>
        <w:tc>
          <w:tcPr>
            <w:tcW w:w="5280" w:type="dxa"/>
            <w:vAlign w:val="bottom"/>
          </w:tcPr>
          <w:p>
            <w:pPr>
              <w:spacing w:after="0"/>
              <w:rPr>
                <w:sz w:val="18"/>
                <w:szCs w:val="18"/>
                <w:color w:val="auto"/>
              </w:rPr>
            </w:pPr>
          </w:p>
        </w:tc>
        <w:tc>
          <w:tcPr>
            <w:tcW w:w="5960" w:type="dxa"/>
            <w:vAlign w:val="bottom"/>
          </w:tcPr>
          <w:p>
            <w:pPr>
              <w:ind w:left="560"/>
              <w:spacing w:after="0"/>
              <w:rPr>
                <w:sz w:val="20"/>
                <w:szCs w:val="20"/>
                <w:color w:val="auto"/>
              </w:rPr>
            </w:pPr>
            <w:r>
              <w:rPr>
                <w:rFonts w:ascii="Calibri" w:cs="Calibri" w:eastAsia="Calibri" w:hAnsi="Calibri"/>
                <w:sz w:val="17"/>
                <w:szCs w:val="17"/>
                <w:color w:val="auto"/>
              </w:rPr>
              <w:t>from 4.2% YoY, its best pace in more than two years, to 3.8% YoY.</w:t>
            </w:r>
          </w:p>
        </w:tc>
      </w:tr>
      <w:tr>
        <w:trPr>
          <w:trHeight w:val="393"/>
        </w:trPr>
        <w:tc>
          <w:tcPr>
            <w:tcW w:w="5280" w:type="dxa"/>
            <w:vAlign w:val="bottom"/>
          </w:tcPr>
          <w:p>
            <w:pPr>
              <w:spacing w:after="0"/>
              <w:rPr>
                <w:sz w:val="24"/>
                <w:szCs w:val="24"/>
                <w:color w:val="auto"/>
              </w:rPr>
            </w:pPr>
          </w:p>
        </w:tc>
        <w:tc>
          <w:tcPr>
            <w:tcW w:w="5960" w:type="dxa"/>
            <w:vAlign w:val="bottom"/>
          </w:tcPr>
          <w:p>
            <w:pPr>
              <w:ind w:left="560"/>
              <w:spacing w:after="0"/>
              <w:rPr>
                <w:sz w:val="20"/>
                <w:szCs w:val="20"/>
                <w:color w:val="auto"/>
              </w:rPr>
            </w:pPr>
            <w:r>
              <w:rPr>
                <w:rFonts w:ascii="Calibri" w:cs="Calibri" w:eastAsia="Calibri" w:hAnsi="Calibri"/>
                <w:sz w:val="17"/>
                <w:szCs w:val="17"/>
                <w:color w:val="auto"/>
              </w:rPr>
              <w:t>In 2024, GDP grew around 3.2%, amid a cyclical and gradual afer supply</w:t>
            </w:r>
          </w:p>
        </w:tc>
      </w:tr>
      <w:tr>
        <w:trPr>
          <w:trHeight w:val="210"/>
        </w:trPr>
        <w:tc>
          <w:tcPr>
            <w:tcW w:w="5280" w:type="dxa"/>
            <w:vAlign w:val="bottom"/>
          </w:tcPr>
          <w:p>
            <w:pPr>
              <w:spacing w:after="0"/>
              <w:rPr>
                <w:sz w:val="18"/>
                <w:szCs w:val="18"/>
                <w:color w:val="auto"/>
              </w:rPr>
            </w:pPr>
          </w:p>
        </w:tc>
        <w:tc>
          <w:tcPr>
            <w:tcW w:w="5960" w:type="dxa"/>
            <w:vAlign w:val="bottom"/>
          </w:tcPr>
          <w:p>
            <w:pPr>
              <w:ind w:left="560"/>
              <w:spacing w:after="0"/>
              <w:rPr>
                <w:sz w:val="20"/>
                <w:szCs w:val="20"/>
                <w:color w:val="auto"/>
              </w:rPr>
            </w:pPr>
            <w:r>
              <w:rPr>
                <w:rFonts w:ascii="Calibri" w:cs="Calibri" w:eastAsia="Calibri" w:hAnsi="Calibri"/>
                <w:sz w:val="17"/>
                <w:szCs w:val="17"/>
                <w:color w:val="auto"/>
              </w:rPr>
              <w:t>shocks in 2023 led GDP to contract 0.4% (frst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-900430</wp:posOffset>
            </wp:positionV>
            <wp:extent cx="3330575" cy="1557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30575" cy="155702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-2157730</wp:posOffset>
            </wp:positionV>
            <wp:extent cx="1016000" cy="141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42" w:lineRule="auto"/>
        <w:rPr>
          <w:sz w:val="20"/>
          <w:szCs w:val="20"/>
          <w:color w:val="auto"/>
        </w:rPr>
      </w:pPr>
      <w:r>
        <w:rPr>
          <w:rFonts w:ascii="Calibri" w:cs="Calibri" w:eastAsia="Calibri" w:hAnsi="Calibri"/>
          <w:sz w:val="17"/>
          <w:szCs w:val="17"/>
          <w:color w:val="auto"/>
        </w:rPr>
        <w:t>decline in 25 years, excluding the pandemic). Withdrawals from pension funds (AFPs) and freed-up access to severance accounts (CTS) fueled private consumpton which, alongside growth of public investment (18.2%), drove a rebound.</w:t>
      </w:r>
    </w:p>
    <w:p>
      <w:pPr>
        <w:spacing w:after="0" w:line="211"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4180" w:type="dxa"/>
            <w:vAlign w:val="bottom"/>
            <w:vMerge w:val="restart"/>
          </w:tcPr>
          <w:p>
            <w:pPr>
              <w:spacing w:after="0"/>
              <w:rPr>
                <w:sz w:val="20"/>
                <w:szCs w:val="20"/>
                <w:color w:val="auto"/>
              </w:rPr>
            </w:pPr>
            <w:r>
              <w:rPr>
                <w:rFonts w:ascii="Calibri" w:cs="Calibri" w:eastAsia="Calibri" w:hAnsi="Calibri"/>
                <w:sz w:val="17"/>
                <w:szCs w:val="17"/>
                <w:b w:val="1"/>
                <w:bCs w:val="1"/>
                <w:color w:val="auto"/>
              </w:rPr>
              <w:t>Annual Infaton and Central Bank Reference Rate</w:t>
            </w:r>
          </w:p>
        </w:tc>
        <w:tc>
          <w:tcPr>
            <w:tcW w:w="6040" w:type="dxa"/>
            <w:vAlign w:val="bottom"/>
          </w:tcPr>
          <w:p>
            <w:pPr>
              <w:ind w:left="700"/>
              <w:spacing w:after="0"/>
              <w:rPr>
                <w:sz w:val="20"/>
                <w:szCs w:val="20"/>
                <w:color w:val="auto"/>
              </w:rPr>
            </w:pPr>
            <w:r>
              <w:rPr>
                <w:rFonts w:ascii="Calibri" w:cs="Calibri" w:eastAsia="Calibri" w:hAnsi="Calibri"/>
                <w:sz w:val="17"/>
                <w:szCs w:val="17"/>
                <w:color w:val="auto"/>
              </w:rPr>
              <w:t>Infaton, measured with Consumer Price Index for Metropolitan Lima,</w:t>
            </w:r>
          </w:p>
        </w:tc>
        <w:tc>
          <w:tcPr>
            <w:tcW w:w="0" w:type="dxa"/>
            <w:vAlign w:val="bottom"/>
          </w:tcPr>
          <w:p>
            <w:pPr>
              <w:spacing w:after="0"/>
              <w:rPr>
                <w:sz w:val="1"/>
                <w:szCs w:val="1"/>
                <w:color w:val="auto"/>
              </w:rPr>
            </w:pPr>
          </w:p>
        </w:tc>
      </w:tr>
      <w:tr>
        <w:trPr>
          <w:trHeight w:val="52"/>
        </w:trPr>
        <w:tc>
          <w:tcPr>
            <w:tcW w:w="4180" w:type="dxa"/>
            <w:vAlign w:val="bottom"/>
            <w:vMerge w:val="continue"/>
          </w:tcPr>
          <w:p>
            <w:pPr>
              <w:spacing w:after="0"/>
              <w:rPr>
                <w:sz w:val="4"/>
                <w:szCs w:val="4"/>
                <w:color w:val="auto"/>
              </w:rPr>
            </w:pPr>
          </w:p>
        </w:tc>
        <w:tc>
          <w:tcPr>
            <w:tcW w:w="6040" w:type="dxa"/>
            <w:vAlign w:val="bottom"/>
            <w:vMerge w:val="restart"/>
          </w:tcPr>
          <w:p>
            <w:pPr>
              <w:ind w:left="700"/>
              <w:spacing w:after="0"/>
              <w:rPr>
                <w:sz w:val="20"/>
                <w:szCs w:val="20"/>
                <w:color w:val="auto"/>
              </w:rPr>
            </w:pPr>
            <w:r>
              <w:rPr>
                <w:rFonts w:ascii="Calibri" w:cs="Calibri" w:eastAsia="Calibri" w:hAnsi="Calibri"/>
                <w:sz w:val="17"/>
                <w:szCs w:val="17"/>
                <w:color w:val="auto"/>
              </w:rPr>
              <w:t>accelerated marginally to 2.0% at the end of Q424 from 1.8% at the end of</w:t>
            </w: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6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6040" w:type="dxa"/>
            <w:vAlign w:val="bottom"/>
          </w:tcPr>
          <w:p>
            <w:pPr>
              <w:ind w:left="700"/>
              <w:spacing w:after="0"/>
              <w:rPr>
                <w:sz w:val="20"/>
                <w:szCs w:val="20"/>
                <w:color w:val="auto"/>
              </w:rPr>
            </w:pPr>
            <w:r>
              <w:rPr>
                <w:rFonts w:ascii="Calibri" w:cs="Calibri" w:eastAsia="Calibri" w:hAnsi="Calibri"/>
                <w:sz w:val="17"/>
                <w:szCs w:val="17"/>
                <w:color w:val="auto"/>
                <w:w w:val="99"/>
              </w:rPr>
              <w:t>Q324, remaining comfortably within the BCRP's target range of 1% - 3%. Core</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6040" w:type="dxa"/>
            <w:vAlign w:val="bottom"/>
          </w:tcPr>
          <w:p>
            <w:pPr>
              <w:ind w:left="700"/>
              <w:spacing w:after="0"/>
              <w:rPr>
                <w:sz w:val="20"/>
                <w:szCs w:val="20"/>
                <w:color w:val="auto"/>
              </w:rPr>
            </w:pPr>
            <w:r>
              <w:rPr>
                <w:rFonts w:ascii="Calibri" w:cs="Calibri" w:eastAsia="Calibri" w:hAnsi="Calibri"/>
                <w:sz w:val="17"/>
                <w:szCs w:val="17"/>
                <w:color w:val="auto"/>
              </w:rPr>
              <w:t>infaton, which excludes food and energy, fell from 2.9% YoY to 2.6% in the</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6040" w:type="dxa"/>
            <w:vAlign w:val="bottom"/>
          </w:tcPr>
          <w:p>
            <w:pPr>
              <w:ind w:left="700"/>
              <w:spacing w:after="0"/>
              <w:rPr>
                <w:sz w:val="20"/>
                <w:szCs w:val="20"/>
                <w:color w:val="auto"/>
              </w:rPr>
            </w:pPr>
            <w:r>
              <w:rPr>
                <w:rFonts w:ascii="Calibri" w:cs="Calibri" w:eastAsia="Calibri" w:hAnsi="Calibri"/>
                <w:sz w:val="17"/>
                <w:szCs w:val="17"/>
                <w:color w:val="auto"/>
              </w:rPr>
              <w:t>same period, afer hovering around the upper limit of the target range of 3%</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6040" w:type="dxa"/>
            <w:vAlign w:val="bottom"/>
          </w:tcPr>
          <w:p>
            <w:pPr>
              <w:ind w:left="700"/>
              <w:spacing w:after="0"/>
              <w:rPr>
                <w:sz w:val="20"/>
                <w:szCs w:val="20"/>
                <w:color w:val="auto"/>
              </w:rPr>
            </w:pPr>
            <w:r>
              <w:rPr>
                <w:rFonts w:ascii="Calibri" w:cs="Calibri" w:eastAsia="Calibri" w:hAnsi="Calibri"/>
                <w:sz w:val="17"/>
                <w:szCs w:val="17"/>
                <w:color w:val="auto"/>
              </w:rPr>
              <w:t>YoY between November 2023 and August 2024. In both cases, this is the</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6040" w:type="dxa"/>
            <w:vAlign w:val="bottom"/>
          </w:tcPr>
          <w:p>
            <w:pPr>
              <w:ind w:left="700"/>
              <w:spacing w:after="0"/>
              <w:rPr>
                <w:sz w:val="20"/>
                <w:szCs w:val="20"/>
                <w:color w:val="auto"/>
              </w:rPr>
            </w:pPr>
            <w:r>
              <w:rPr>
                <w:rFonts w:ascii="Calibri" w:cs="Calibri" w:eastAsia="Calibri" w:hAnsi="Calibri"/>
                <w:sz w:val="17"/>
                <w:szCs w:val="17"/>
                <w:color w:val="auto"/>
              </w:rPr>
              <w:t>lowest end-of-period infaton in four years.</w:t>
            </w:r>
          </w:p>
        </w:tc>
        <w:tc>
          <w:tcPr>
            <w:tcW w:w="0" w:type="dxa"/>
            <w:vAlign w:val="bottom"/>
          </w:tcPr>
          <w:p>
            <w:pPr>
              <w:spacing w:after="0"/>
              <w:rPr>
                <w:sz w:val="1"/>
                <w:szCs w:val="1"/>
                <w:color w:val="auto"/>
              </w:rPr>
            </w:pPr>
          </w:p>
        </w:tc>
      </w:tr>
      <w:tr>
        <w:trPr>
          <w:trHeight w:val="420"/>
        </w:trPr>
        <w:tc>
          <w:tcPr>
            <w:tcW w:w="4180" w:type="dxa"/>
            <w:vAlign w:val="bottom"/>
          </w:tcPr>
          <w:p>
            <w:pPr>
              <w:spacing w:after="0"/>
              <w:rPr>
                <w:sz w:val="24"/>
                <w:szCs w:val="24"/>
                <w:color w:val="auto"/>
              </w:rPr>
            </w:pPr>
          </w:p>
        </w:tc>
        <w:tc>
          <w:tcPr>
            <w:tcW w:w="6040" w:type="dxa"/>
            <w:vAlign w:val="bottom"/>
          </w:tcPr>
          <w:p>
            <w:pPr>
              <w:ind w:left="700"/>
              <w:spacing w:after="0"/>
              <w:rPr>
                <w:sz w:val="20"/>
                <w:szCs w:val="20"/>
                <w:color w:val="auto"/>
              </w:rPr>
            </w:pPr>
            <w:r>
              <w:rPr>
                <w:rFonts w:ascii="Calibri" w:cs="Calibri" w:eastAsia="Calibri" w:hAnsi="Calibri"/>
                <w:sz w:val="17"/>
                <w:szCs w:val="17"/>
                <w:color w:val="auto"/>
              </w:rPr>
              <w:t>In its December meetng, the BCRP opted to maintain its 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-1016635</wp:posOffset>
            </wp:positionV>
            <wp:extent cx="3330575" cy="141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30575" cy="141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80"/>
        <w:spacing w:after="0" w:line="242" w:lineRule="auto"/>
        <w:rPr>
          <w:sz w:val="20"/>
          <w:szCs w:val="20"/>
          <w:color w:val="auto"/>
        </w:rPr>
      </w:pPr>
      <w:r>
        <w:rPr>
          <w:rFonts w:ascii="Calibri" w:cs="Calibri" w:eastAsia="Calibri" w:hAnsi="Calibri"/>
          <w:sz w:val="17"/>
          <w:szCs w:val="17"/>
          <w:color w:val="auto"/>
        </w:rPr>
        <w:t>at 5.00%, afer cutng it by 25 basis points in November and made no further changes in October. In January 2025, BCRP cut the rate again to 4.75%. Thus, since September 2023, when the rate-cutng cycle began, the BCRP has reduced its reference rate by 300 basis points</w:t>
      </w:r>
    </w:p>
    <w:p>
      <w:pPr>
        <w:sectPr>
          <w:pgSz w:w="11900" w:h="16838" w:orient="portrait"/>
          <w:cols w:equalWidth="0" w:num="1">
            <w:col w:w="11240"/>
          </w:cols>
          <w:pgMar w:left="320" w:top="140" w:right="339" w:bottom="1440" w:gutter="0" w:footer="0" w:header="0"/>
        </w:sectPr>
      </w:pPr>
    </w:p>
    <w:p>
      <w:pPr>
        <w:spacing w:after="0" w:line="237" w:lineRule="exact"/>
        <w:rPr>
          <w:sz w:val="20"/>
          <w:szCs w:val="20"/>
          <w:color w:val="auto"/>
        </w:rPr>
      </w:pPr>
    </w:p>
    <w:p>
      <w:pPr>
        <w:jc w:val="center"/>
        <w:ind w:left="280"/>
        <w:spacing w:after="0"/>
        <w:rPr>
          <w:sz w:val="20"/>
          <w:szCs w:val="20"/>
          <w:color w:val="auto"/>
        </w:rPr>
      </w:pPr>
      <w:r>
        <w:rPr>
          <w:rFonts w:ascii="Calibri" w:cs="Calibri" w:eastAsia="Calibri" w:hAnsi="Calibri"/>
          <w:sz w:val="17"/>
          <w:szCs w:val="17"/>
          <w:b w:val="1"/>
          <w:bCs w:val="1"/>
          <w:color w:val="auto"/>
        </w:rPr>
        <w:t>Fiscal Balance and Current Account Balance</w:t>
      </w:r>
    </w:p>
    <w:p>
      <w:pPr>
        <w:spacing w:after="0" w:line="2" w:lineRule="exact"/>
        <w:rPr>
          <w:sz w:val="20"/>
          <w:szCs w:val="20"/>
          <w:color w:val="auto"/>
        </w:rPr>
      </w:pPr>
    </w:p>
    <w:p>
      <w:pPr>
        <w:jc w:val="center"/>
        <w:ind w:left="280"/>
        <w:spacing w:after="0"/>
        <w:rPr>
          <w:sz w:val="20"/>
          <w:szCs w:val="20"/>
          <w:color w:val="auto"/>
        </w:rPr>
      </w:pPr>
      <w:r>
        <w:rPr>
          <w:rFonts w:ascii="Calibri" w:cs="Calibri" w:eastAsia="Calibri" w:hAnsi="Calibri"/>
          <w:sz w:val="17"/>
          <w:szCs w:val="17"/>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15240</wp:posOffset>
            </wp:positionV>
            <wp:extent cx="3330575" cy="19983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30575" cy="1998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The annualized fscal defcit as of December 2024 stood at 3.6% of GDP, the highest level in 32 years, excluding the pandemic, and notably above the fscal rule limit (2.8% of GDP). The high defcit refected a stll modest improvement in fscal revenues (+4.7% in 2024), consistent with the early stages of economic recovery, and signifcant fscal stmulus with public investment growing at its fastest pace in more than a decade (18.2%). Current expenditure grew by 3.8%.</w:t>
      </w:r>
    </w:p>
    <w:p>
      <w:pPr>
        <w:spacing w:after="0" w:line="188"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In November 2024, Fitch upgraded the outlook from negatve to stable and afrmed its ratng at BBB (two levels above investment grade). The agency highlighted that solid macroeconomic policy has supported the economic recovery this year and preserved broad macro-fnancial</w:t>
      </w:r>
    </w:p>
    <w:p>
      <w:pPr>
        <w:spacing w:after="0" w:line="200" w:lineRule="exact"/>
        <w:rPr>
          <w:sz w:val="20"/>
          <w:szCs w:val="20"/>
          <w:color w:val="auto"/>
        </w:rPr>
      </w:pPr>
    </w:p>
    <w:p>
      <w:pPr>
        <w:sectPr>
          <w:pgSz w:w="11900" w:h="16838" w:orient="portrait"/>
          <w:cols w:equalWidth="0" w:num="2">
            <w:col w:w="5120" w:space="720"/>
            <w:col w:w="540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5" w:name="page46"/>
    <w:bookmarkEnd w:id="45"/>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49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44958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36130" cy="2165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317"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FFFFFF"/>
        </w:rPr>
        <w:t>11. Economic Outlook</w:t>
      </w:r>
    </w:p>
    <w:p>
      <w:pPr>
        <w:spacing w:after="0" w:line="220" w:lineRule="exact"/>
        <w:rPr>
          <w:sz w:val="20"/>
          <w:szCs w:val="20"/>
          <w:color w:val="auto"/>
        </w:rPr>
      </w:pPr>
    </w:p>
    <w:p>
      <w:pPr>
        <w:jc w:val="both"/>
        <w:ind w:left="320"/>
        <w:spacing w:after="0" w:line="242" w:lineRule="auto"/>
        <w:rPr>
          <w:sz w:val="20"/>
          <w:szCs w:val="20"/>
          <w:color w:val="auto"/>
        </w:rPr>
      </w:pPr>
      <w:r>
        <w:rPr>
          <w:rFonts w:ascii="Calibri" w:cs="Calibri" w:eastAsia="Calibri" w:hAnsi="Calibri"/>
          <w:sz w:val="17"/>
          <w:szCs w:val="17"/>
          <w:color w:val="auto"/>
        </w:rPr>
        <w:t>stability. In September, Moody’s upgraded the outlook from negatve to stable (ratng Baa1, three notches above investment grade. Meanwhile, S&amp;P assigns a credit ratng of BBB-, the minimum investment grade, with a stable outlook.</w:t>
      </w:r>
    </w:p>
    <w:p>
      <w:pPr>
        <w:spacing w:after="0" w:line="237" w:lineRule="exact"/>
        <w:rPr>
          <w:sz w:val="20"/>
          <w:szCs w:val="20"/>
          <w:color w:val="auto"/>
        </w:rPr>
      </w:pPr>
    </w:p>
    <w:p>
      <w:pPr>
        <w:jc w:val="both"/>
        <w:ind w:left="320"/>
        <w:spacing w:after="0" w:line="242" w:lineRule="auto"/>
        <w:rPr>
          <w:sz w:val="20"/>
          <w:szCs w:val="20"/>
          <w:color w:val="auto"/>
        </w:rPr>
      </w:pPr>
      <w:r>
        <w:rPr>
          <w:rFonts w:ascii="Calibri" w:cs="Calibri" w:eastAsia="Calibri" w:hAnsi="Calibri"/>
          <w:sz w:val="17"/>
          <w:szCs w:val="17"/>
          <w:color w:val="auto"/>
        </w:rPr>
        <w:t>Regarding external accounts, the current account surplus closed 3Q24 at 2.2% of GDP (accumulated last four quarters), versus 0.8% at the end of 2023. This is the best result in 17 years and the highest among the group of countries that includes Mexico, Brazil, Chile, and Colombia.</w:t>
      </w:r>
    </w:p>
    <w:p>
      <w:pPr>
        <w:spacing w:after="0" w:line="237" w:lineRule="exact"/>
        <w:rPr>
          <w:sz w:val="20"/>
          <w:szCs w:val="20"/>
          <w:color w:val="auto"/>
        </w:rPr>
      </w:pPr>
    </w:p>
    <w:p>
      <w:pPr>
        <w:jc w:val="both"/>
        <w:ind w:left="320"/>
        <w:spacing w:after="0" w:line="242" w:lineRule="auto"/>
        <w:rPr>
          <w:sz w:val="20"/>
          <w:szCs w:val="20"/>
          <w:color w:val="auto"/>
        </w:rPr>
      </w:pPr>
      <w:r>
        <w:rPr>
          <w:rFonts w:ascii="Calibri" w:cs="Calibri" w:eastAsia="Calibri" w:hAnsi="Calibri"/>
          <w:sz w:val="17"/>
          <w:szCs w:val="17"/>
          <w:color w:val="auto"/>
        </w:rPr>
        <w:t>The 12-month accumulated trade balance surplus as of November 2024 stood at US$ 23.1 billion, a historic record and higher than the US$ 22.0 billion recorded in September. Imports grew 2.6% YoY to US$ 51.5 billion, infuenced by lower prices for agricultural commodites and almost zero growth in the import of inputs. In contrast, exports increased 10.6% YoY to US$ 74.6 billion thanks to higher exported volumes of traditonal products and beter prices for both traditonal and non-traditonal goods.</w:t>
      </w:r>
    </w:p>
    <w:p>
      <w:pPr>
        <w:spacing w:after="0" w:line="238" w:lineRule="exact"/>
        <w:rPr>
          <w:sz w:val="20"/>
          <w:szCs w:val="20"/>
          <w:color w:val="auto"/>
        </w:rPr>
      </w:pPr>
    </w:p>
    <w:p>
      <w:pPr>
        <w:jc w:val="both"/>
        <w:ind w:left="320"/>
        <w:spacing w:after="0" w:line="242" w:lineRule="auto"/>
        <w:rPr>
          <w:sz w:val="20"/>
          <w:szCs w:val="20"/>
          <w:color w:val="auto"/>
        </w:rPr>
      </w:pPr>
      <w:r>
        <w:rPr>
          <w:rFonts w:ascii="Calibri" w:cs="Calibri" w:eastAsia="Calibri" w:hAnsi="Calibri"/>
          <w:sz w:val="17"/>
          <w:szCs w:val="17"/>
          <w:color w:val="auto"/>
        </w:rPr>
        <w:t>Terms of trade grew 12.3% YoY in November 2024, driven by a 9.5% YoY increase in export prices (mainly due to higher prices of copper, gold, and silver) and a 2.5% decrease in import prices due to lower prices of industrial inputs and food items such as wheat, corn, and soybeans. In October 2024, terms of trade reached a historic high, as did the price of gold (a record of US$ 2,749 per ounce), while the price of silver rose to its best level in 12 years (US$ 34.8 per ounce).</w:t>
      </w:r>
    </w:p>
    <w:p>
      <w:pPr>
        <w:spacing w:after="0" w:line="238" w:lineRule="exact"/>
        <w:rPr>
          <w:sz w:val="20"/>
          <w:szCs w:val="20"/>
          <w:color w:val="auto"/>
        </w:rPr>
      </w:pPr>
    </w:p>
    <w:tbl>
      <w:tblPr>
        <w:tblLayout w:type="fixed"/>
        <w:tblInd w:w="2200" w:type="dxa"/>
        <w:tblCellMar>
          <w:top w:w="0" w:type="dxa"/>
          <w:left w:w="0" w:type="dxa"/>
          <w:bottom w:w="0" w:type="dxa"/>
          <w:right w:w="0" w:type="dxa"/>
        </w:tblCellMar>
      </w:tblPr>
      <w:tr>
        <w:trPr>
          <w:trHeight w:val="208"/>
        </w:trPr>
        <w:tc>
          <w:tcPr>
            <w:tcW w:w="2340" w:type="dxa"/>
            <w:vAlign w:val="bottom"/>
          </w:tcPr>
          <w:p>
            <w:pPr>
              <w:spacing w:after="0"/>
              <w:rPr>
                <w:sz w:val="20"/>
                <w:szCs w:val="20"/>
                <w:color w:val="auto"/>
              </w:rPr>
            </w:pPr>
            <w:r>
              <w:rPr>
                <w:rFonts w:ascii="Calibri" w:cs="Calibri" w:eastAsia="Calibri" w:hAnsi="Calibri"/>
                <w:sz w:val="17"/>
                <w:szCs w:val="17"/>
                <w:b w:val="1"/>
                <w:bCs w:val="1"/>
                <w:color w:val="auto"/>
              </w:rPr>
              <w:t>Exchange Rate</w:t>
            </w:r>
          </w:p>
        </w:tc>
        <w:tc>
          <w:tcPr>
            <w:tcW w:w="6700" w:type="dxa"/>
            <w:vAlign w:val="bottom"/>
          </w:tcPr>
          <w:p>
            <w:pPr>
              <w:ind w:left="1300"/>
              <w:spacing w:after="0"/>
              <w:rPr>
                <w:sz w:val="20"/>
                <w:szCs w:val="20"/>
                <w:color w:val="auto"/>
              </w:rPr>
            </w:pPr>
            <w:r>
              <w:rPr>
                <w:rFonts w:ascii="Calibri" w:cs="Calibri" w:eastAsia="Calibri" w:hAnsi="Calibri"/>
                <w:sz w:val="17"/>
                <w:szCs w:val="17"/>
                <w:color w:val="auto"/>
              </w:rPr>
              <w:t>According to the Central Bank of Peru (BCRP), the exchange rate closed Q424</w:t>
            </w:r>
          </w:p>
        </w:tc>
      </w:tr>
      <w:tr>
        <w:trPr>
          <w:trHeight w:val="210"/>
        </w:trPr>
        <w:tc>
          <w:tcPr>
            <w:tcW w:w="2340" w:type="dxa"/>
            <w:vAlign w:val="bottom"/>
          </w:tcPr>
          <w:p>
            <w:pPr>
              <w:spacing w:after="0"/>
              <w:rPr>
                <w:sz w:val="20"/>
                <w:szCs w:val="20"/>
                <w:color w:val="auto"/>
              </w:rPr>
            </w:pPr>
            <w:r>
              <w:rPr>
                <w:rFonts w:ascii="Calibri" w:cs="Calibri" w:eastAsia="Calibri" w:hAnsi="Calibri"/>
                <w:sz w:val="17"/>
                <w:szCs w:val="17"/>
                <w:color w:val="auto"/>
              </w:rPr>
              <w:t>(PEN per USD)</w:t>
            </w:r>
          </w:p>
        </w:tc>
        <w:tc>
          <w:tcPr>
            <w:tcW w:w="6700" w:type="dxa"/>
            <w:vAlign w:val="bottom"/>
          </w:tcPr>
          <w:p>
            <w:pPr>
              <w:ind w:left="1300"/>
              <w:spacing w:after="0"/>
              <w:rPr>
                <w:sz w:val="20"/>
                <w:szCs w:val="20"/>
                <w:color w:val="auto"/>
              </w:rPr>
            </w:pPr>
            <w:r>
              <w:rPr>
                <w:rFonts w:ascii="Calibri" w:cs="Calibri" w:eastAsia="Calibri" w:hAnsi="Calibri"/>
                <w:sz w:val="17"/>
                <w:szCs w:val="17"/>
                <w:color w:val="auto"/>
              </w:rPr>
              <w:t>at USDPEN 3.76, a depreciaton of 1.6% compared to the end of 3Q24</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(USDPEN 3.71). The electon of Donald Trump as president of the U.S.,</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coupled with expectaton of fewer rate cuts by the FED led the global dollar to</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strenghten 7.6% in Q424 versus Q3 2024 (appreciatng 7.1% over the year).</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Consequently, regional currencies depreciated (Brazilian real -13.3%, Chilean</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peso - 10.9%, Mexican peso -5.8%, and Colombian peso -4.8%).</w:t>
            </w:r>
          </w:p>
        </w:tc>
      </w:tr>
      <w:tr>
        <w:trPr>
          <w:trHeight w:val="420"/>
        </w:trPr>
        <w:tc>
          <w:tcPr>
            <w:tcW w:w="2340" w:type="dxa"/>
            <w:vAlign w:val="bottom"/>
          </w:tcPr>
          <w:p>
            <w:pPr>
              <w:spacing w:after="0"/>
              <w:rPr>
                <w:sz w:val="24"/>
                <w:szCs w:val="24"/>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Over the year, the Peruvian sol also depreciated 1.6% and was one of the</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best-performing currencies among emerging markets. In the region, the</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Mexican  peso  and  the  Brazilian  real  depreciated  22.7%  and  27.2%,</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respectvely, afected by idiosyncratc factors, while the Chilean peso and the</w:t>
            </w:r>
          </w:p>
        </w:tc>
      </w:tr>
      <w:tr>
        <w:trPr>
          <w:trHeight w:val="210"/>
        </w:trPr>
        <w:tc>
          <w:tcPr>
            <w:tcW w:w="2340" w:type="dxa"/>
            <w:vAlign w:val="bottom"/>
          </w:tcPr>
          <w:p>
            <w:pPr>
              <w:spacing w:after="0"/>
              <w:rPr>
                <w:sz w:val="18"/>
                <w:szCs w:val="18"/>
                <w:color w:val="auto"/>
              </w:rPr>
            </w:pPr>
          </w:p>
        </w:tc>
        <w:tc>
          <w:tcPr>
            <w:tcW w:w="6700" w:type="dxa"/>
            <w:vAlign w:val="bottom"/>
          </w:tcPr>
          <w:p>
            <w:pPr>
              <w:ind w:left="1300"/>
              <w:spacing w:after="0"/>
              <w:rPr>
                <w:sz w:val="20"/>
                <w:szCs w:val="20"/>
                <w:color w:val="auto"/>
              </w:rPr>
            </w:pPr>
            <w:r>
              <w:rPr>
                <w:rFonts w:ascii="Calibri" w:cs="Calibri" w:eastAsia="Calibri" w:hAnsi="Calibri"/>
                <w:sz w:val="17"/>
                <w:szCs w:val="17"/>
                <w:color w:val="auto"/>
              </w:rPr>
              <w:t>Colombian peso depreciated 13.1% and 13.7%, respectvely.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-1449705</wp:posOffset>
            </wp:positionV>
            <wp:extent cx="3330575" cy="22733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30575" cy="227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spacing w:after="0" w:line="242" w:lineRule="auto"/>
        <w:rPr>
          <w:sz w:val="20"/>
          <w:szCs w:val="20"/>
          <w:color w:val="auto"/>
        </w:rPr>
      </w:pPr>
      <w:r>
        <w:rPr>
          <w:rFonts w:ascii="Calibri" w:cs="Calibri" w:eastAsia="Calibri" w:hAnsi="Calibri"/>
          <w:sz w:val="17"/>
          <w:szCs w:val="17"/>
          <w:color w:val="auto"/>
        </w:rPr>
        <w:t>In 4Q24, the BCRP did not intervene in the spot exchange market; it accumulated sales of USD 318 million for the year (2022: USD 1.2 billion and 2023: USD 81 million), concentrated in the frst half.</w:t>
      </w:r>
    </w:p>
    <w:p>
      <w:pPr>
        <w:spacing w:after="0" w:line="211" w:lineRule="exact"/>
        <w:rPr>
          <w:sz w:val="20"/>
          <w:szCs w:val="20"/>
          <w:color w:val="auto"/>
        </w:rPr>
      </w:pPr>
    </w:p>
    <w:p>
      <w:pPr>
        <w:spacing w:after="0"/>
        <w:rPr>
          <w:sz w:val="20"/>
          <w:szCs w:val="20"/>
          <w:color w:val="auto"/>
        </w:rPr>
      </w:pPr>
      <w:r>
        <w:rPr>
          <w:rFonts w:ascii="Calibri" w:cs="Calibri" w:eastAsia="Calibri" w:hAnsi="Calibri"/>
          <w:sz w:val="17"/>
          <w:szCs w:val="17"/>
          <w:color w:val="auto"/>
        </w:rPr>
        <w:t>Net Internatonal Reserves (NIR) closed 4Q24 at USD 79.0 billion, below the USD 80.4 billion at the end of Q324 and above the USD</w:t>
      </w:r>
    </w:p>
    <w:p>
      <w:pPr>
        <w:spacing w:after="0" w:line="3" w:lineRule="exact"/>
        <w:rPr>
          <w:sz w:val="20"/>
          <w:szCs w:val="20"/>
          <w:color w:val="auto"/>
        </w:rPr>
      </w:pPr>
    </w:p>
    <w:p>
      <w:pPr>
        <w:ind w:right="20"/>
        <w:spacing w:after="0" w:line="242" w:lineRule="auto"/>
        <w:rPr>
          <w:sz w:val="20"/>
          <w:szCs w:val="20"/>
          <w:color w:val="auto"/>
        </w:rPr>
      </w:pPr>
      <w:r>
        <w:rPr>
          <w:rFonts w:ascii="Calibri" w:cs="Calibri" w:eastAsia="Calibri" w:hAnsi="Calibri"/>
          <w:sz w:val="17"/>
          <w:szCs w:val="17"/>
          <w:color w:val="auto"/>
        </w:rPr>
        <w:t>71.0 billion at the end of 2023. Meanwhile, the BCRP's foreign exchange positon closed 2024 at USD 53.6 billion, a reducton of USD 1 billion compared to the end of 3Q24 and an increase of USD 2.0 billion compared to the end of 2023.</w:t>
      </w:r>
    </w:p>
    <w:p>
      <w:pPr>
        <w:spacing w:after="0" w:line="38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46" w:name="page47"/>
    <w:bookmarkEnd w:id="46"/>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49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44958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36130" cy="2165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317" w:lineRule="exact"/>
        <w:rPr>
          <w:sz w:val="20"/>
          <w:szCs w:val="20"/>
          <w:color w:val="auto"/>
        </w:rPr>
      </w:pPr>
    </w:p>
    <w:p>
      <w:pPr>
        <w:ind w:left="100"/>
        <w:spacing w:after="0"/>
        <w:rPr>
          <w:sz w:val="20"/>
          <w:szCs w:val="20"/>
          <w:color w:val="auto"/>
        </w:rPr>
      </w:pPr>
      <w:r>
        <w:rPr>
          <w:rFonts w:ascii="Calibri" w:cs="Calibri" w:eastAsia="Calibri" w:hAnsi="Calibri"/>
          <w:sz w:val="19"/>
          <w:szCs w:val="19"/>
          <w:b w:val="1"/>
          <w:bCs w:val="1"/>
          <w:color w:val="FFFFFF"/>
        </w:rPr>
        <w:t>Safe Harbor for Forward-Looking Statements</w:t>
      </w:r>
    </w:p>
    <w:p>
      <w:pPr>
        <w:spacing w:after="0" w:line="220"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Thismaterial includes “forward-looking statements” within the meaning of Secton 27A of the U.S. Securites Act of 1933 and Secton 21E of the U.S. Securites Exchange Act of 1934. All statements other than statements of historical fact are forward-looking and may contain informaton about fnancial results, economic conditons, trends and known uncertaintes. Forward-looking statements are not assurances of future performance. Instead, they are based only on our management’s current views, beliefs, expectatons and assumptons regarding the future of our business, future plans and strategies, projectons, antcipated events and trends, the economy and other future conditons.</w:t>
      </w:r>
    </w:p>
    <w:p>
      <w:pPr>
        <w:spacing w:after="0" w:line="239"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Many forward-looking statements can be identfed by words such as: “antcipate”, “intend”, “plan”, “goal”, “seek”, “believe”, “project”, “estmate”, “expect”, “strategy”, “future”, “likely”, “would”, “may”, “should”, “will”, “see” and similar references to future periods. Examples of forward-looking statements include, among others, statements or estmates we make regarding guidance relatng to losses in our credit portolio, efciency rato, provisions and non-performing loans, current or future market risk and future market conditons, expected macroeconomic events and conditons, our belief that we have sufcient capital and liquidity to fund our business operatons, expectatons of the efect on our fnancial conditon of claims, legal actons, environmental costs, contngent liabilites and governmental and regulatory investgatons and proceedings, strategy for customer retenton, growth, governmental programs and regulatory initatves, credit administraton, product development, market positon, fnancial results and reserves and strategy for risk management.</w:t>
      </w:r>
    </w:p>
    <w:p>
      <w:pPr>
        <w:spacing w:after="0" w:line="214"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We cauton readers that forward-looking statements involve known and unknown risks and uncertaintes that could cause actual results, performance, or events to difer materially from those that we expect or that are expressed or implied in the forward-looking statements, depending on the outcome of certain factors, including, without limitaton, adverse changes in:</w:t>
      </w:r>
    </w:p>
    <w:p>
      <w:pPr>
        <w:spacing w:after="0" w:line="237" w:lineRule="exact"/>
        <w:rPr>
          <w:sz w:val="20"/>
          <w:szCs w:val="20"/>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The occurrence of natural disasters or politcal or social instability in Peru;</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The adequacy of the dividends that our subsidiaries are able to pay to us, which may afect our ability to pay dividends to shareholders and corporate expenses;</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Performance of, and volatlity in, fnancial markets, including Latn-American and other markets;</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The frequency, severity and types of insured loss events;</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Fluctuatons in interest rate levels;</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Foreign currency exchange rates, including the Sol/US Dollar exchange rate;</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Deterioraton in the quality of our loan portolio;</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Increasing levels of competton in Peru and other markets in which we operate;</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Developments and changes in laws and regulatons afectng the fnancial sector and adopton of new internatonal guidelines;</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Changes in the policies of central banks and/or foreign governments;</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Efectveness of our risk management policies and of our operatonal and security systems;</w:t>
      </w:r>
    </w:p>
    <w:p>
      <w:pPr>
        <w:spacing w:after="0" w:line="2" w:lineRule="exact"/>
        <w:rPr>
          <w:rFonts w:ascii="Calibri" w:cs="Calibri" w:eastAsia="Calibri" w:hAnsi="Calibri"/>
          <w:sz w:val="17"/>
          <w:szCs w:val="17"/>
          <w:color w:val="auto"/>
        </w:rPr>
      </w:pP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Losses associated with counterparty exposures;</w:t>
      </w:r>
    </w:p>
    <w:p>
      <w:pPr>
        <w:spacing w:after="0" w:line="2" w:lineRule="exact"/>
        <w:rPr>
          <w:rFonts w:ascii="Calibri" w:cs="Calibri" w:eastAsia="Calibri" w:hAnsi="Calibri"/>
          <w:sz w:val="17"/>
          <w:szCs w:val="17"/>
          <w:color w:val="auto"/>
        </w:rPr>
      </w:pPr>
    </w:p>
    <w:p>
      <w:pPr>
        <w:ind w:left="220" w:right="180" w:hanging="215"/>
        <w:spacing w:after="0" w:line="242" w:lineRule="auto"/>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The scope of the coronavirus (“COVID-19”) outbreak, actons taken to contain the COVID-19 and related economic efects from such actons and our ability to maintain adequate stafng; and</w:t>
      </w:r>
    </w:p>
    <w:p>
      <w:pPr>
        <w:ind w:left="220" w:hanging="215"/>
        <w:spacing w:after="0"/>
        <w:tabs>
          <w:tab w:leader="none" w:pos="22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Changes in Bermuda laws and regulatons applicable to so-called non-resident enttes.</w:t>
      </w:r>
    </w:p>
    <w:p>
      <w:pPr>
        <w:spacing w:after="0" w:line="239"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See “Item 3. Key Informaton—3. D Risk Factors” and “Item 5. Operatng and Financial Review and Prospects” in our most recent Annual Report on Form 20-F fled with the U.S. Securites and Exchange Commission for additonal informaton and other such factors. You are cautoned not to place undue reliance on these forward-looking statements, which speak only as of the date hereof and are based only on informaton currently available to us. Therefore, you should not rely on any of these forward-looking statements.</w:t>
      </w:r>
    </w:p>
    <w:p>
      <w:pPr>
        <w:spacing w:after="0" w:line="2"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We undertake no obligaton to publicly update or revise these or any other forward-looking statements that may be made to refect events or circumstances afer the date hereof, whether as a result of changes in our business strategy or new informaton, to refect the occurrence of unantcipated events or otherwise.</w:t>
      </w:r>
    </w:p>
    <w:p>
      <w:pPr>
        <w:spacing w:after="0" w:line="200" w:lineRule="exact"/>
        <w:rPr>
          <w:sz w:val="20"/>
          <w:szCs w:val="20"/>
          <w:color w:val="auto"/>
        </w:rPr>
      </w:pPr>
    </w:p>
    <w:p>
      <w:pPr>
        <w:spacing w:after="0" w:line="20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441"/>
        </w:trPr>
        <w:tc>
          <w:tcPr>
            <w:tcW w:w="880" w:type="dxa"/>
            <w:vAlign w:val="bottom"/>
            <w:shd w:val="clear" w:color="auto" w:fill="000000"/>
          </w:tcPr>
          <w:p>
            <w:pPr>
              <w:spacing w:after="0"/>
              <w:rPr>
                <w:sz w:val="24"/>
                <w:szCs w:val="24"/>
                <w:color w:val="auto"/>
              </w:rPr>
            </w:pPr>
          </w:p>
        </w:tc>
        <w:tc>
          <w:tcPr>
            <w:tcW w:w="5400" w:type="dxa"/>
            <w:vAlign w:val="bottom"/>
            <w:shd w:val="clear" w:color="auto" w:fill="000000"/>
          </w:tcPr>
          <w:p>
            <w:pPr>
              <w:ind w:left="1800"/>
              <w:spacing w:after="0"/>
              <w:rPr>
                <w:sz w:val="20"/>
                <w:szCs w:val="20"/>
                <w:color w:val="auto"/>
              </w:rPr>
            </w:pPr>
            <w:r>
              <w:rPr>
                <w:rFonts w:ascii="Calibri" w:cs="Calibri" w:eastAsia="Calibri" w:hAnsi="Calibri"/>
                <w:sz w:val="19"/>
                <w:szCs w:val="19"/>
                <w:color w:val="A6A6A6"/>
              </w:rPr>
              <w:t xml:space="preserve">|  </w:t>
            </w:r>
            <w:r>
              <w:rPr>
                <w:rFonts w:ascii="Calibri" w:cs="Calibri" w:eastAsia="Calibri" w:hAnsi="Calibri"/>
                <w:sz w:val="15"/>
                <w:szCs w:val="15"/>
                <w:color w:val="FFFFFF"/>
              </w:rPr>
              <w:t>Earnings Release 4Q / 2024</w:t>
            </w:r>
          </w:p>
        </w:tc>
        <w:tc>
          <w:tcPr>
            <w:tcW w:w="4960" w:type="dxa"/>
            <w:vAlign w:val="bottom"/>
            <w:shd w:val="clear" w:color="auto" w:fill="000000"/>
          </w:tcPr>
          <w:p>
            <w:pPr>
              <w:jc w:val="right"/>
              <w:ind w:right="1073"/>
              <w:spacing w:after="0"/>
              <w:rPr>
                <w:sz w:val="20"/>
                <w:szCs w:val="20"/>
                <w:color w:val="auto"/>
              </w:rPr>
            </w:pPr>
            <w:r>
              <w:rPr>
                <w:rFonts w:ascii="Calibri" w:cs="Calibri" w:eastAsia="Calibri" w:hAnsi="Calibri"/>
                <w:sz w:val="16"/>
                <w:szCs w:val="16"/>
                <w:color w:val="ED3FA8"/>
              </w:rPr>
              <w:t>Analysis of 4Q24 Consolidated Results</w:t>
            </w:r>
          </w:p>
        </w:tc>
      </w:tr>
      <w:tr>
        <w:trPr>
          <w:trHeight w:val="267"/>
        </w:trPr>
        <w:tc>
          <w:tcPr>
            <w:tcW w:w="6280" w:type="dxa"/>
            <w:vAlign w:val="bottom"/>
            <w:gridSpan w:val="2"/>
            <w:shd w:val="clear" w:color="auto" w:fill="000000"/>
          </w:tcPr>
          <w:p>
            <w:pPr>
              <w:spacing w:after="0"/>
              <w:rPr>
                <w:sz w:val="23"/>
                <w:szCs w:val="23"/>
                <w:color w:val="auto"/>
              </w:rPr>
            </w:pPr>
          </w:p>
        </w:tc>
        <w:tc>
          <w:tcPr>
            <w:tcW w:w="4960" w:type="dxa"/>
            <w:vAlign w:val="bottom"/>
            <w:shd w:val="clear" w:color="auto" w:fill="000000"/>
          </w:tcPr>
          <w:p>
            <w:pPr>
              <w:spacing w:after="0"/>
              <w:rPr>
                <w:sz w:val="23"/>
                <w:szCs w:val="23"/>
                <w:color w:val="auto"/>
              </w:rPr>
            </w:pPr>
          </w:p>
        </w:tc>
      </w:tr>
      <w:tr>
        <w:trPr>
          <w:trHeight w:val="806"/>
        </w:trPr>
        <w:tc>
          <w:tcPr>
            <w:tcW w:w="6280" w:type="dxa"/>
            <w:vAlign w:val="bottom"/>
            <w:gridSpan w:val="2"/>
          </w:tcPr>
          <w:p>
            <w:pPr>
              <w:ind w:left="320"/>
              <w:spacing w:after="0"/>
              <w:rPr>
                <w:sz w:val="20"/>
                <w:szCs w:val="20"/>
                <w:color w:val="auto"/>
              </w:rPr>
            </w:pPr>
            <w:r>
              <w:rPr>
                <w:rFonts w:ascii="Arial" w:cs="Arial" w:eastAsia="Arial" w:hAnsi="Arial"/>
                <w:sz w:val="51"/>
                <w:szCs w:val="51"/>
                <w:b w:val="1"/>
                <w:bCs w:val="1"/>
                <w:color w:val="E93BAB"/>
              </w:rPr>
              <w:t xml:space="preserve">12 </w:t>
            </w:r>
            <w:r>
              <w:rPr>
                <w:rFonts w:ascii="Arial" w:cs="Arial" w:eastAsia="Arial" w:hAnsi="Arial"/>
                <w:sz w:val="31"/>
                <w:szCs w:val="31"/>
                <w:color w:val="E93BAB"/>
              </w:rPr>
              <w:t>Appendix</w:t>
            </w:r>
          </w:p>
        </w:tc>
        <w:tc>
          <w:tcPr>
            <w:tcW w:w="4960" w:type="dxa"/>
            <w:vAlign w:val="bottom"/>
          </w:tcPr>
          <w:p>
            <w:pPr>
              <w:spacing w:after="0"/>
              <w:rPr>
                <w:sz w:val="24"/>
                <w:szCs w:val="24"/>
                <w:color w:val="auto"/>
              </w:rPr>
            </w:pPr>
          </w:p>
        </w:tc>
      </w:tr>
      <w:tr>
        <w:trPr>
          <w:trHeight w:val="307"/>
        </w:trPr>
        <w:tc>
          <w:tcPr>
            <w:tcW w:w="880" w:type="dxa"/>
            <w:vAlign w:val="bottom"/>
          </w:tcPr>
          <w:p>
            <w:pPr>
              <w:ind w:left="480"/>
              <w:spacing w:after="0"/>
              <w:rPr>
                <w:sz w:val="20"/>
                <w:szCs w:val="20"/>
                <w:color w:val="auto"/>
              </w:rPr>
            </w:pPr>
            <w:r>
              <w:rPr>
                <w:rFonts w:ascii="Arial" w:cs="Arial" w:eastAsia="Arial" w:hAnsi="Arial"/>
                <w:sz w:val="17"/>
                <w:szCs w:val="17"/>
                <w:b w:val="1"/>
                <w:bCs w:val="1"/>
                <w:color w:val="auto"/>
              </w:rPr>
              <w:t>12.1.</w:t>
            </w: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Physical Point of Contact</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47</w:t>
            </w:r>
          </w:p>
        </w:tc>
      </w:tr>
      <w:tr>
        <w:trPr>
          <w:trHeight w:val="393"/>
        </w:trPr>
        <w:tc>
          <w:tcPr>
            <w:tcW w:w="880" w:type="dxa"/>
            <w:vAlign w:val="bottom"/>
          </w:tcPr>
          <w:p>
            <w:pPr>
              <w:ind w:left="480"/>
              <w:spacing w:after="0"/>
              <w:rPr>
                <w:sz w:val="20"/>
                <w:szCs w:val="20"/>
                <w:color w:val="auto"/>
              </w:rPr>
            </w:pPr>
            <w:r>
              <w:rPr>
                <w:rFonts w:ascii="Arial" w:cs="Arial" w:eastAsia="Arial" w:hAnsi="Arial"/>
                <w:sz w:val="17"/>
                <w:szCs w:val="17"/>
                <w:b w:val="1"/>
                <w:bCs w:val="1"/>
                <w:color w:val="auto"/>
              </w:rPr>
              <w:t>12.2.</w:t>
            </w: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Loan Portfolio Quality</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47</w:t>
            </w:r>
          </w:p>
        </w:tc>
      </w:tr>
      <w:tr>
        <w:trPr>
          <w:trHeight w:val="393"/>
        </w:trPr>
        <w:tc>
          <w:tcPr>
            <w:tcW w:w="880" w:type="dxa"/>
            <w:vAlign w:val="bottom"/>
          </w:tcPr>
          <w:p>
            <w:pPr>
              <w:ind w:left="480"/>
              <w:spacing w:after="0"/>
              <w:rPr>
                <w:sz w:val="20"/>
                <w:szCs w:val="20"/>
                <w:color w:val="auto"/>
              </w:rPr>
            </w:pPr>
            <w:r>
              <w:rPr>
                <w:rFonts w:ascii="Arial" w:cs="Arial" w:eastAsia="Arial" w:hAnsi="Arial"/>
                <w:sz w:val="17"/>
                <w:szCs w:val="17"/>
                <w:b w:val="1"/>
                <w:bCs w:val="1"/>
                <w:color w:val="auto"/>
              </w:rPr>
              <w:t>12.3.</w:t>
            </w: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Net Interest Income (NII)</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51</w:t>
            </w:r>
          </w:p>
        </w:tc>
      </w:tr>
      <w:tr>
        <w:trPr>
          <w:trHeight w:val="393"/>
        </w:trPr>
        <w:tc>
          <w:tcPr>
            <w:tcW w:w="6280" w:type="dxa"/>
            <w:vAlign w:val="bottom"/>
            <w:gridSpan w:val="2"/>
          </w:tcPr>
          <w:p>
            <w:pPr>
              <w:ind w:left="480"/>
              <w:spacing w:after="0"/>
              <w:rPr>
                <w:sz w:val="20"/>
                <w:szCs w:val="20"/>
                <w:color w:val="auto"/>
              </w:rPr>
            </w:pPr>
            <w:r>
              <w:rPr>
                <w:rFonts w:ascii="Arial" w:cs="Arial" w:eastAsia="Arial" w:hAnsi="Arial"/>
                <w:sz w:val="17"/>
                <w:szCs w:val="17"/>
                <w:b w:val="1"/>
                <w:bCs w:val="1"/>
                <w:color w:val="auto"/>
              </w:rPr>
              <w:t>12.4. Net Interest Margin (NIM) and Risk Adjusted NIM</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51</w:t>
            </w:r>
          </w:p>
        </w:tc>
      </w:tr>
      <w:tr>
        <w:trPr>
          <w:trHeight w:val="393"/>
        </w:trPr>
        <w:tc>
          <w:tcPr>
            <w:tcW w:w="880" w:type="dxa"/>
            <w:vAlign w:val="bottom"/>
          </w:tcPr>
          <w:p>
            <w:pPr>
              <w:ind w:left="480"/>
              <w:spacing w:after="0"/>
              <w:rPr>
                <w:sz w:val="20"/>
                <w:szCs w:val="20"/>
                <w:color w:val="auto"/>
              </w:rPr>
            </w:pPr>
            <w:r>
              <w:rPr>
                <w:rFonts w:ascii="Arial" w:cs="Arial" w:eastAsia="Arial" w:hAnsi="Arial"/>
                <w:sz w:val="17"/>
                <w:szCs w:val="17"/>
                <w:b w:val="1"/>
                <w:bCs w:val="1"/>
                <w:color w:val="auto"/>
              </w:rPr>
              <w:t>12.5.</w:t>
            </w: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Regulatory Capital</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52</w:t>
            </w:r>
          </w:p>
        </w:tc>
      </w:tr>
      <w:tr>
        <w:trPr>
          <w:trHeight w:val="393"/>
        </w:trPr>
        <w:tc>
          <w:tcPr>
            <w:tcW w:w="6280" w:type="dxa"/>
            <w:vAlign w:val="bottom"/>
            <w:gridSpan w:val="2"/>
          </w:tcPr>
          <w:p>
            <w:pPr>
              <w:ind w:left="480"/>
              <w:spacing w:after="0"/>
              <w:rPr>
                <w:sz w:val="20"/>
                <w:szCs w:val="20"/>
                <w:color w:val="auto"/>
              </w:rPr>
            </w:pPr>
            <w:r>
              <w:rPr>
                <w:rFonts w:ascii="Arial" w:cs="Arial" w:eastAsia="Arial" w:hAnsi="Arial"/>
                <w:sz w:val="17"/>
                <w:szCs w:val="17"/>
                <w:b w:val="1"/>
                <w:bCs w:val="1"/>
                <w:color w:val="auto"/>
              </w:rPr>
              <w:t>12.6. Financial Statements and Ratios by Business</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56</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12.6.1. Credicorp Consolidated</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56</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12.6.2. Credicorp Stand-alone</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58</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12.6.3. BCP Consolidated</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59</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12.6.4. BCP Stand-alone</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61</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12.6.5. BCP Bolivia</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63</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12.6.6. Mibanco</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64</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12.6.7. Prima AFP</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65</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12.6.8. Grupo Pacifico</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66</w:t>
            </w:r>
          </w:p>
        </w:tc>
      </w:tr>
      <w:tr>
        <w:trPr>
          <w:trHeight w:val="393"/>
        </w:trPr>
        <w:tc>
          <w:tcPr>
            <w:tcW w:w="6280" w:type="dxa"/>
            <w:vAlign w:val="bottom"/>
            <w:gridSpan w:val="2"/>
          </w:tcPr>
          <w:p>
            <w:pPr>
              <w:ind w:left="640"/>
              <w:spacing w:after="0"/>
              <w:rPr>
                <w:sz w:val="20"/>
                <w:szCs w:val="20"/>
                <w:color w:val="auto"/>
              </w:rPr>
            </w:pPr>
            <w:r>
              <w:rPr>
                <w:rFonts w:ascii="Arial" w:cs="Arial" w:eastAsia="Arial" w:hAnsi="Arial"/>
                <w:sz w:val="17"/>
                <w:szCs w:val="17"/>
                <w:b w:val="1"/>
                <w:bCs w:val="1"/>
                <w:color w:val="auto"/>
              </w:rPr>
              <w:t>12.6.9. Investment Management and Advisory</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68</w:t>
            </w:r>
          </w:p>
        </w:tc>
      </w:tr>
      <w:tr>
        <w:trPr>
          <w:trHeight w:val="393"/>
        </w:trPr>
        <w:tc>
          <w:tcPr>
            <w:tcW w:w="880" w:type="dxa"/>
            <w:vAlign w:val="bottom"/>
          </w:tcPr>
          <w:p>
            <w:pPr>
              <w:ind w:left="480"/>
              <w:spacing w:after="0"/>
              <w:rPr>
                <w:sz w:val="20"/>
                <w:szCs w:val="20"/>
                <w:color w:val="auto"/>
              </w:rPr>
            </w:pPr>
            <w:r>
              <w:rPr>
                <w:rFonts w:ascii="Arial" w:cs="Arial" w:eastAsia="Arial" w:hAnsi="Arial"/>
                <w:sz w:val="17"/>
                <w:szCs w:val="17"/>
                <w:b w:val="1"/>
                <w:bCs w:val="1"/>
                <w:color w:val="auto"/>
              </w:rPr>
              <w:t>12.7.</w:t>
            </w:r>
          </w:p>
        </w:tc>
        <w:tc>
          <w:tcPr>
            <w:tcW w:w="5400" w:type="dxa"/>
            <w:vAlign w:val="bottom"/>
          </w:tcPr>
          <w:p>
            <w:pPr>
              <w:ind w:left="20"/>
              <w:spacing w:after="0"/>
              <w:rPr>
                <w:sz w:val="20"/>
                <w:szCs w:val="20"/>
                <w:color w:val="auto"/>
              </w:rPr>
            </w:pPr>
            <w:r>
              <w:rPr>
                <w:rFonts w:ascii="Arial" w:cs="Arial" w:eastAsia="Arial" w:hAnsi="Arial"/>
                <w:sz w:val="17"/>
                <w:szCs w:val="17"/>
                <w:b w:val="1"/>
                <w:bCs w:val="1"/>
                <w:color w:val="auto"/>
              </w:rPr>
              <w:t>Table of Calculations</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69</w:t>
            </w:r>
          </w:p>
        </w:tc>
      </w:tr>
      <w:tr>
        <w:trPr>
          <w:trHeight w:val="393"/>
        </w:trPr>
        <w:tc>
          <w:tcPr>
            <w:tcW w:w="6280" w:type="dxa"/>
            <w:vAlign w:val="bottom"/>
            <w:gridSpan w:val="2"/>
          </w:tcPr>
          <w:p>
            <w:pPr>
              <w:ind w:left="480"/>
              <w:spacing w:after="0"/>
              <w:rPr>
                <w:sz w:val="20"/>
                <w:szCs w:val="20"/>
                <w:color w:val="auto"/>
              </w:rPr>
            </w:pPr>
            <w:r>
              <w:rPr>
                <w:rFonts w:ascii="Arial" w:cs="Arial" w:eastAsia="Arial" w:hAnsi="Arial"/>
                <w:sz w:val="17"/>
                <w:szCs w:val="17"/>
                <w:b w:val="1"/>
                <w:bCs w:val="1"/>
                <w:color w:val="auto"/>
              </w:rPr>
              <w:t>12.8. Glossary of terms</w:t>
            </w:r>
          </w:p>
        </w:tc>
        <w:tc>
          <w:tcPr>
            <w:tcW w:w="4960" w:type="dxa"/>
            <w:vAlign w:val="bottom"/>
          </w:tcPr>
          <w:p>
            <w:pPr>
              <w:jc w:val="right"/>
              <w:ind w:right="53"/>
              <w:spacing w:after="0"/>
              <w:rPr>
                <w:sz w:val="20"/>
                <w:szCs w:val="20"/>
                <w:color w:val="auto"/>
              </w:rPr>
            </w:pPr>
            <w:r>
              <w:rPr>
                <w:rFonts w:ascii="Arial" w:cs="Arial" w:eastAsia="Arial" w:hAnsi="Arial"/>
                <w:sz w:val="17"/>
                <w:szCs w:val="17"/>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-5003165</wp:posOffset>
            </wp:positionV>
            <wp:extent cx="1016000" cy="141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441"/>
        </w:trPr>
        <w:tc>
          <w:tcPr>
            <w:tcW w:w="1160" w:type="dxa"/>
            <w:vAlign w:val="bottom"/>
            <w:tcBorders>
              <w:right w:val="single" w:sz="8" w:color="auto"/>
            </w:tcBorders>
            <w:shd w:val="clear" w:color="auto" w:fill="000000"/>
          </w:tcPr>
          <w:p>
            <w:pPr>
              <w:spacing w:after="0"/>
              <w:rPr>
                <w:sz w:val="24"/>
                <w:szCs w:val="24"/>
                <w:color w:val="auto"/>
              </w:rPr>
            </w:pPr>
          </w:p>
        </w:tc>
        <w:tc>
          <w:tcPr>
            <w:tcW w:w="1400" w:type="dxa"/>
            <w:vAlign w:val="bottom"/>
            <w:shd w:val="clear" w:color="auto" w:fill="000000"/>
          </w:tcPr>
          <w:p>
            <w:pPr>
              <w:spacing w:after="0"/>
              <w:rPr>
                <w:sz w:val="24"/>
                <w:szCs w:val="24"/>
                <w:color w:val="auto"/>
              </w:rPr>
            </w:pPr>
          </w:p>
        </w:tc>
        <w:tc>
          <w:tcPr>
            <w:tcW w:w="2380" w:type="dxa"/>
            <w:vAlign w:val="bottom"/>
            <w:gridSpan w:val="2"/>
            <w:shd w:val="clear" w:color="auto" w:fill="000000"/>
          </w:tcPr>
          <w:p>
            <w:pPr>
              <w:ind w:left="120"/>
              <w:spacing w:after="0"/>
              <w:rPr>
                <w:sz w:val="20"/>
                <w:szCs w:val="20"/>
                <w:color w:val="auto"/>
              </w:rPr>
            </w:pPr>
            <w:r>
              <w:rPr>
                <w:rFonts w:ascii="Calibri" w:cs="Calibri" w:eastAsia="Calibri" w:hAnsi="Calibri"/>
                <w:sz w:val="19"/>
                <w:szCs w:val="19"/>
                <w:color w:val="A6A6A6"/>
              </w:rPr>
              <w:t xml:space="preserve">|  </w:t>
            </w:r>
            <w:r>
              <w:rPr>
                <w:rFonts w:ascii="Calibri" w:cs="Calibri" w:eastAsia="Calibri" w:hAnsi="Calibri"/>
                <w:sz w:val="15"/>
                <w:szCs w:val="15"/>
                <w:color w:val="FFFFFF"/>
              </w:rPr>
              <w:t>Earnings Release 4Q / 2024</w:t>
            </w:r>
          </w:p>
        </w:tc>
        <w:tc>
          <w:tcPr>
            <w:tcW w:w="1120" w:type="dxa"/>
            <w:vAlign w:val="bottom"/>
            <w:shd w:val="clear" w:color="auto" w:fill="000000"/>
          </w:tcPr>
          <w:p>
            <w:pPr>
              <w:spacing w:after="0"/>
              <w:rPr>
                <w:sz w:val="24"/>
                <w:szCs w:val="24"/>
                <w:color w:val="auto"/>
              </w:rPr>
            </w:pPr>
          </w:p>
        </w:tc>
        <w:tc>
          <w:tcPr>
            <w:tcW w:w="1360" w:type="dxa"/>
            <w:vAlign w:val="bottom"/>
            <w:tcBorders>
              <w:right w:val="single" w:sz="8" w:color="auto"/>
            </w:tcBorders>
            <w:shd w:val="clear" w:color="auto" w:fill="000000"/>
          </w:tcPr>
          <w:p>
            <w:pPr>
              <w:spacing w:after="0"/>
              <w:rPr>
                <w:sz w:val="24"/>
                <w:szCs w:val="24"/>
                <w:color w:val="auto"/>
              </w:rPr>
            </w:pPr>
          </w:p>
        </w:tc>
        <w:tc>
          <w:tcPr>
            <w:tcW w:w="3820" w:type="dxa"/>
            <w:vAlign w:val="bottom"/>
            <w:gridSpan w:val="3"/>
            <w:shd w:val="clear" w:color="auto" w:fill="000000"/>
          </w:tcPr>
          <w:p>
            <w:pPr>
              <w:ind w:left="240"/>
              <w:spacing w:after="0"/>
              <w:rPr>
                <w:sz w:val="20"/>
                <w:szCs w:val="20"/>
                <w:color w:val="auto"/>
              </w:rPr>
            </w:pPr>
            <w:r>
              <w:rPr>
                <w:rFonts w:ascii="Calibri" w:cs="Calibri" w:eastAsia="Calibri" w:hAnsi="Calibri"/>
                <w:sz w:val="16"/>
                <w:szCs w:val="16"/>
                <w:color w:val="ED3FA8"/>
              </w:rPr>
              <w:t>Analysis of 4Q24 Consolidated Results</w:t>
            </w:r>
          </w:p>
        </w:tc>
      </w:tr>
      <w:tr>
        <w:trPr>
          <w:trHeight w:val="267"/>
        </w:trPr>
        <w:tc>
          <w:tcPr>
            <w:tcW w:w="1160" w:type="dxa"/>
            <w:vAlign w:val="bottom"/>
            <w:tcBorders>
              <w:right w:val="single" w:sz="8" w:color="auto"/>
            </w:tcBorders>
            <w:shd w:val="clear" w:color="auto" w:fill="000000"/>
          </w:tcPr>
          <w:p>
            <w:pPr>
              <w:spacing w:after="0"/>
              <w:rPr>
                <w:sz w:val="23"/>
                <w:szCs w:val="23"/>
                <w:color w:val="auto"/>
              </w:rPr>
            </w:pPr>
          </w:p>
        </w:tc>
        <w:tc>
          <w:tcPr>
            <w:tcW w:w="1400" w:type="dxa"/>
            <w:vAlign w:val="bottom"/>
            <w:shd w:val="clear" w:color="auto" w:fill="000000"/>
          </w:tcPr>
          <w:p>
            <w:pPr>
              <w:spacing w:after="0"/>
              <w:rPr>
                <w:sz w:val="23"/>
                <w:szCs w:val="23"/>
                <w:color w:val="auto"/>
              </w:rPr>
            </w:pPr>
          </w:p>
        </w:tc>
        <w:tc>
          <w:tcPr>
            <w:tcW w:w="840" w:type="dxa"/>
            <w:vAlign w:val="bottom"/>
            <w:tcBorders>
              <w:right w:val="single" w:sz="8" w:color="auto"/>
            </w:tcBorders>
            <w:shd w:val="clear" w:color="auto" w:fill="000000"/>
          </w:tcPr>
          <w:p>
            <w:pPr>
              <w:spacing w:after="0"/>
              <w:rPr>
                <w:sz w:val="23"/>
                <w:szCs w:val="23"/>
                <w:color w:val="auto"/>
              </w:rPr>
            </w:pPr>
          </w:p>
        </w:tc>
        <w:tc>
          <w:tcPr>
            <w:tcW w:w="1540" w:type="dxa"/>
            <w:vAlign w:val="bottom"/>
            <w:shd w:val="clear" w:color="auto" w:fill="000000"/>
          </w:tcPr>
          <w:p>
            <w:pPr>
              <w:spacing w:after="0"/>
              <w:rPr>
                <w:sz w:val="23"/>
                <w:szCs w:val="23"/>
                <w:color w:val="auto"/>
              </w:rPr>
            </w:pPr>
          </w:p>
        </w:tc>
        <w:tc>
          <w:tcPr>
            <w:tcW w:w="1120" w:type="dxa"/>
            <w:vAlign w:val="bottom"/>
            <w:shd w:val="clear" w:color="auto" w:fill="000000"/>
          </w:tcPr>
          <w:p>
            <w:pPr>
              <w:spacing w:after="0"/>
              <w:rPr>
                <w:sz w:val="23"/>
                <w:szCs w:val="23"/>
                <w:color w:val="auto"/>
              </w:rPr>
            </w:pPr>
          </w:p>
        </w:tc>
        <w:tc>
          <w:tcPr>
            <w:tcW w:w="1360" w:type="dxa"/>
            <w:vAlign w:val="bottom"/>
            <w:tcBorders>
              <w:right w:val="single" w:sz="8" w:color="auto"/>
            </w:tcBorders>
            <w:shd w:val="clear" w:color="auto" w:fill="000000"/>
          </w:tcPr>
          <w:p>
            <w:pPr>
              <w:spacing w:after="0"/>
              <w:rPr>
                <w:sz w:val="23"/>
                <w:szCs w:val="23"/>
                <w:color w:val="auto"/>
              </w:rPr>
            </w:pPr>
          </w:p>
        </w:tc>
        <w:tc>
          <w:tcPr>
            <w:tcW w:w="1860" w:type="dxa"/>
            <w:vAlign w:val="bottom"/>
            <w:shd w:val="clear" w:color="auto" w:fill="000000"/>
          </w:tcPr>
          <w:p>
            <w:pPr>
              <w:spacing w:after="0"/>
              <w:rPr>
                <w:sz w:val="23"/>
                <w:szCs w:val="23"/>
                <w:color w:val="auto"/>
              </w:rPr>
            </w:pPr>
          </w:p>
        </w:tc>
        <w:tc>
          <w:tcPr>
            <w:tcW w:w="840" w:type="dxa"/>
            <w:vAlign w:val="bottom"/>
            <w:tcBorders>
              <w:right w:val="single" w:sz="8" w:color="auto"/>
            </w:tcBorders>
            <w:shd w:val="clear" w:color="auto" w:fill="000000"/>
          </w:tcPr>
          <w:p>
            <w:pPr>
              <w:spacing w:after="0"/>
              <w:rPr>
                <w:sz w:val="23"/>
                <w:szCs w:val="23"/>
                <w:color w:val="auto"/>
              </w:rPr>
            </w:pPr>
          </w:p>
        </w:tc>
        <w:tc>
          <w:tcPr>
            <w:tcW w:w="1120" w:type="dxa"/>
            <w:vAlign w:val="bottom"/>
            <w:shd w:val="clear" w:color="auto" w:fill="000000"/>
          </w:tcPr>
          <w:p>
            <w:pPr>
              <w:spacing w:after="0"/>
              <w:rPr>
                <w:sz w:val="23"/>
                <w:szCs w:val="23"/>
                <w:color w:val="auto"/>
              </w:rPr>
            </w:pPr>
          </w:p>
        </w:tc>
      </w:tr>
      <w:tr>
        <w:trPr>
          <w:trHeight w:val="258"/>
        </w:trPr>
        <w:tc>
          <w:tcPr>
            <w:tcW w:w="2560" w:type="dxa"/>
            <w:vAlign w:val="bottom"/>
            <w:gridSpan w:val="2"/>
            <w:shd w:val="clear" w:color="auto" w:fill="E93BAC"/>
          </w:tcPr>
          <w:p>
            <w:pPr>
              <w:ind w:left="100"/>
              <w:spacing w:after="0"/>
              <w:rPr>
                <w:sz w:val="20"/>
                <w:szCs w:val="20"/>
                <w:color w:val="auto"/>
              </w:rPr>
            </w:pPr>
            <w:r>
              <w:rPr>
                <w:rFonts w:ascii="Calibri" w:cs="Calibri" w:eastAsia="Calibri" w:hAnsi="Calibri"/>
                <w:sz w:val="19"/>
                <w:szCs w:val="19"/>
                <w:b w:val="1"/>
                <w:bCs w:val="1"/>
                <w:color w:val="FFFFFF"/>
              </w:rPr>
              <w:t>12. Appendix</w:t>
            </w:r>
          </w:p>
        </w:tc>
        <w:tc>
          <w:tcPr>
            <w:tcW w:w="840" w:type="dxa"/>
            <w:vAlign w:val="bottom"/>
            <w:tcBorders>
              <w:right w:val="single" w:sz="8" w:color="E93BAC"/>
            </w:tcBorders>
            <w:shd w:val="clear" w:color="auto" w:fill="E93BAC"/>
          </w:tcPr>
          <w:p>
            <w:pPr>
              <w:spacing w:after="0"/>
              <w:rPr>
                <w:sz w:val="22"/>
                <w:szCs w:val="22"/>
                <w:color w:val="auto"/>
              </w:rPr>
            </w:pPr>
          </w:p>
        </w:tc>
        <w:tc>
          <w:tcPr>
            <w:tcW w:w="1540" w:type="dxa"/>
            <w:vAlign w:val="bottom"/>
            <w:shd w:val="clear" w:color="auto" w:fill="E93BAC"/>
          </w:tcPr>
          <w:p>
            <w:pPr>
              <w:spacing w:after="0"/>
              <w:rPr>
                <w:sz w:val="22"/>
                <w:szCs w:val="22"/>
                <w:color w:val="auto"/>
              </w:rPr>
            </w:pPr>
          </w:p>
        </w:tc>
        <w:tc>
          <w:tcPr>
            <w:tcW w:w="1120" w:type="dxa"/>
            <w:vAlign w:val="bottom"/>
            <w:shd w:val="clear" w:color="auto" w:fill="E93BAC"/>
          </w:tcPr>
          <w:p>
            <w:pPr>
              <w:spacing w:after="0"/>
              <w:rPr>
                <w:sz w:val="22"/>
                <w:szCs w:val="22"/>
                <w:color w:val="auto"/>
              </w:rPr>
            </w:pPr>
          </w:p>
        </w:tc>
        <w:tc>
          <w:tcPr>
            <w:tcW w:w="1360" w:type="dxa"/>
            <w:vAlign w:val="bottom"/>
            <w:tcBorders>
              <w:right w:val="single" w:sz="8" w:color="E93BAC"/>
            </w:tcBorders>
            <w:shd w:val="clear" w:color="auto" w:fill="E93BAC"/>
          </w:tcPr>
          <w:p>
            <w:pPr>
              <w:spacing w:after="0"/>
              <w:rPr>
                <w:sz w:val="22"/>
                <w:szCs w:val="22"/>
                <w:color w:val="auto"/>
              </w:rPr>
            </w:pPr>
          </w:p>
        </w:tc>
        <w:tc>
          <w:tcPr>
            <w:tcW w:w="1860" w:type="dxa"/>
            <w:vAlign w:val="bottom"/>
            <w:shd w:val="clear" w:color="auto" w:fill="E93BAC"/>
          </w:tcPr>
          <w:p>
            <w:pPr>
              <w:spacing w:after="0"/>
              <w:rPr>
                <w:sz w:val="22"/>
                <w:szCs w:val="22"/>
                <w:color w:val="auto"/>
              </w:rPr>
            </w:pPr>
          </w:p>
        </w:tc>
        <w:tc>
          <w:tcPr>
            <w:tcW w:w="840" w:type="dxa"/>
            <w:vAlign w:val="bottom"/>
            <w:tcBorders>
              <w:right w:val="single" w:sz="8" w:color="E93BAC"/>
            </w:tcBorders>
            <w:shd w:val="clear" w:color="auto" w:fill="E93BAC"/>
          </w:tcPr>
          <w:p>
            <w:pPr>
              <w:spacing w:after="0"/>
              <w:rPr>
                <w:sz w:val="22"/>
                <w:szCs w:val="22"/>
                <w:color w:val="auto"/>
              </w:rPr>
            </w:pPr>
          </w:p>
        </w:tc>
        <w:tc>
          <w:tcPr>
            <w:tcW w:w="1120" w:type="dxa"/>
            <w:vAlign w:val="bottom"/>
            <w:shd w:val="clear" w:color="auto" w:fill="E93BAC"/>
          </w:tcPr>
          <w:p>
            <w:pPr>
              <w:spacing w:after="0"/>
              <w:rPr>
                <w:sz w:val="22"/>
                <w:szCs w:val="22"/>
                <w:color w:val="auto"/>
              </w:rPr>
            </w:pPr>
          </w:p>
        </w:tc>
      </w:tr>
      <w:tr>
        <w:trPr>
          <w:trHeight w:val="83"/>
        </w:trPr>
        <w:tc>
          <w:tcPr>
            <w:tcW w:w="1160" w:type="dxa"/>
            <w:vAlign w:val="bottom"/>
            <w:tcBorders>
              <w:right w:val="single" w:sz="8" w:color="E93BAC"/>
            </w:tcBorders>
            <w:shd w:val="clear" w:color="auto" w:fill="E93BAC"/>
          </w:tcPr>
          <w:p>
            <w:pPr>
              <w:spacing w:after="0"/>
              <w:rPr>
                <w:sz w:val="7"/>
                <w:szCs w:val="7"/>
                <w:color w:val="auto"/>
              </w:rPr>
            </w:pPr>
          </w:p>
        </w:tc>
        <w:tc>
          <w:tcPr>
            <w:tcW w:w="1400" w:type="dxa"/>
            <w:vAlign w:val="bottom"/>
            <w:shd w:val="clear" w:color="auto" w:fill="E93BAC"/>
          </w:tcPr>
          <w:p>
            <w:pPr>
              <w:spacing w:after="0"/>
              <w:rPr>
                <w:sz w:val="7"/>
                <w:szCs w:val="7"/>
                <w:color w:val="auto"/>
              </w:rPr>
            </w:pPr>
          </w:p>
        </w:tc>
        <w:tc>
          <w:tcPr>
            <w:tcW w:w="840" w:type="dxa"/>
            <w:vAlign w:val="bottom"/>
            <w:tcBorders>
              <w:right w:val="single" w:sz="8" w:color="E93BAC"/>
            </w:tcBorders>
            <w:shd w:val="clear" w:color="auto" w:fill="E93BAC"/>
          </w:tcPr>
          <w:p>
            <w:pPr>
              <w:spacing w:after="0"/>
              <w:rPr>
                <w:sz w:val="7"/>
                <w:szCs w:val="7"/>
                <w:color w:val="auto"/>
              </w:rPr>
            </w:pPr>
          </w:p>
        </w:tc>
        <w:tc>
          <w:tcPr>
            <w:tcW w:w="1540" w:type="dxa"/>
            <w:vAlign w:val="bottom"/>
            <w:shd w:val="clear" w:color="auto" w:fill="E93BAC"/>
          </w:tcPr>
          <w:p>
            <w:pPr>
              <w:spacing w:after="0"/>
              <w:rPr>
                <w:sz w:val="7"/>
                <w:szCs w:val="7"/>
                <w:color w:val="auto"/>
              </w:rPr>
            </w:pPr>
          </w:p>
        </w:tc>
        <w:tc>
          <w:tcPr>
            <w:tcW w:w="1120" w:type="dxa"/>
            <w:vAlign w:val="bottom"/>
            <w:shd w:val="clear" w:color="auto" w:fill="E93BAC"/>
          </w:tcPr>
          <w:p>
            <w:pPr>
              <w:spacing w:after="0"/>
              <w:rPr>
                <w:sz w:val="7"/>
                <w:szCs w:val="7"/>
                <w:color w:val="auto"/>
              </w:rPr>
            </w:pPr>
          </w:p>
        </w:tc>
        <w:tc>
          <w:tcPr>
            <w:tcW w:w="1360" w:type="dxa"/>
            <w:vAlign w:val="bottom"/>
            <w:tcBorders>
              <w:right w:val="single" w:sz="8" w:color="E93BAC"/>
            </w:tcBorders>
            <w:shd w:val="clear" w:color="auto" w:fill="E93BAC"/>
          </w:tcPr>
          <w:p>
            <w:pPr>
              <w:spacing w:after="0"/>
              <w:rPr>
                <w:sz w:val="7"/>
                <w:szCs w:val="7"/>
                <w:color w:val="auto"/>
              </w:rPr>
            </w:pPr>
          </w:p>
        </w:tc>
        <w:tc>
          <w:tcPr>
            <w:tcW w:w="1860" w:type="dxa"/>
            <w:vAlign w:val="bottom"/>
            <w:shd w:val="clear" w:color="auto" w:fill="E93BAC"/>
          </w:tcPr>
          <w:p>
            <w:pPr>
              <w:spacing w:after="0"/>
              <w:rPr>
                <w:sz w:val="7"/>
                <w:szCs w:val="7"/>
                <w:color w:val="auto"/>
              </w:rPr>
            </w:pPr>
          </w:p>
        </w:tc>
        <w:tc>
          <w:tcPr>
            <w:tcW w:w="840" w:type="dxa"/>
            <w:vAlign w:val="bottom"/>
            <w:tcBorders>
              <w:right w:val="single" w:sz="8" w:color="E93BAC"/>
            </w:tcBorders>
            <w:shd w:val="clear" w:color="auto" w:fill="E93BAC"/>
          </w:tcPr>
          <w:p>
            <w:pPr>
              <w:spacing w:after="0"/>
              <w:rPr>
                <w:sz w:val="7"/>
                <w:szCs w:val="7"/>
                <w:color w:val="auto"/>
              </w:rPr>
            </w:pPr>
          </w:p>
        </w:tc>
        <w:tc>
          <w:tcPr>
            <w:tcW w:w="1120" w:type="dxa"/>
            <w:vAlign w:val="bottom"/>
            <w:shd w:val="clear" w:color="auto" w:fill="E93BAC"/>
          </w:tcPr>
          <w:p>
            <w:pPr>
              <w:spacing w:after="0"/>
              <w:rPr>
                <w:sz w:val="7"/>
                <w:szCs w:val="7"/>
                <w:color w:val="auto"/>
              </w:rPr>
            </w:pPr>
          </w:p>
        </w:tc>
      </w:tr>
      <w:tr>
        <w:trPr>
          <w:trHeight w:val="344"/>
        </w:trPr>
        <w:tc>
          <w:tcPr>
            <w:tcW w:w="2560" w:type="dxa"/>
            <w:vAlign w:val="bottom"/>
            <w:gridSpan w:val="2"/>
          </w:tcPr>
          <w:p>
            <w:pPr>
              <w:ind w:left="320"/>
              <w:spacing w:after="0"/>
              <w:rPr>
                <w:sz w:val="20"/>
                <w:szCs w:val="20"/>
                <w:color w:val="auto"/>
              </w:rPr>
            </w:pPr>
            <w:r>
              <w:rPr>
                <w:rFonts w:ascii="Calibri" w:cs="Calibri" w:eastAsia="Calibri" w:hAnsi="Calibri"/>
                <w:sz w:val="17"/>
                <w:szCs w:val="17"/>
                <w:b w:val="1"/>
                <w:bCs w:val="1"/>
                <w:color w:val="auto"/>
              </w:rPr>
              <w:t>12.1. Physical Point of contact</w:t>
            </w: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0"/>
        </w:trPr>
        <w:tc>
          <w:tcPr>
            <w:tcW w:w="1160" w:type="dxa"/>
            <w:vAlign w:val="bottom"/>
          </w:tcPr>
          <w:p>
            <w:pPr>
              <w:spacing w:after="0"/>
              <w:rPr>
                <w:sz w:val="20"/>
                <w:szCs w:val="20"/>
                <w:color w:val="auto"/>
              </w:rPr>
            </w:pPr>
          </w:p>
        </w:tc>
        <w:tc>
          <w:tcPr>
            <w:tcW w:w="2240" w:type="dxa"/>
            <w:vAlign w:val="bottom"/>
            <w:tcBorders>
              <w:bottom w:val="single" w:sz="8" w:color="646464"/>
            </w:tcBorders>
            <w:gridSpan w:val="2"/>
          </w:tcPr>
          <w:p>
            <w:pPr>
              <w:spacing w:after="0"/>
              <w:rPr>
                <w:sz w:val="20"/>
                <w:szCs w:val="20"/>
                <w:color w:val="auto"/>
              </w:rPr>
            </w:pPr>
          </w:p>
        </w:tc>
        <w:tc>
          <w:tcPr>
            <w:tcW w:w="1540" w:type="dxa"/>
            <w:vAlign w:val="bottom"/>
            <w:tcBorders>
              <w:bottom w:val="single" w:sz="8" w:color="646464"/>
            </w:tcBorders>
          </w:tcPr>
          <w:p>
            <w:pPr>
              <w:spacing w:after="0"/>
              <w:rPr>
                <w:sz w:val="20"/>
                <w:szCs w:val="20"/>
                <w:color w:val="auto"/>
              </w:rPr>
            </w:pPr>
          </w:p>
        </w:tc>
        <w:tc>
          <w:tcPr>
            <w:tcW w:w="1120" w:type="dxa"/>
            <w:vAlign w:val="bottom"/>
            <w:tcBorders>
              <w:bottom w:val="single" w:sz="8" w:color="646464"/>
            </w:tcBorders>
          </w:tcPr>
          <w:p>
            <w:pPr>
              <w:spacing w:after="0"/>
              <w:rPr>
                <w:sz w:val="20"/>
                <w:szCs w:val="20"/>
                <w:color w:val="auto"/>
              </w:rPr>
            </w:pPr>
          </w:p>
        </w:tc>
        <w:tc>
          <w:tcPr>
            <w:tcW w:w="1360" w:type="dxa"/>
            <w:vAlign w:val="bottom"/>
            <w:tcBorders>
              <w:bottom w:val="single" w:sz="8" w:color="646464"/>
            </w:tcBorders>
          </w:tcPr>
          <w:p>
            <w:pPr>
              <w:spacing w:after="0"/>
              <w:rPr>
                <w:sz w:val="20"/>
                <w:szCs w:val="20"/>
                <w:color w:val="auto"/>
              </w:rPr>
            </w:pPr>
          </w:p>
        </w:tc>
        <w:tc>
          <w:tcPr>
            <w:tcW w:w="1860" w:type="dxa"/>
            <w:vAlign w:val="bottom"/>
            <w:tcBorders>
              <w:bottom w:val="single" w:sz="8" w:color="646464"/>
            </w:tcBorders>
          </w:tcPr>
          <w:p>
            <w:pPr>
              <w:spacing w:after="0"/>
              <w:rPr>
                <w:sz w:val="20"/>
                <w:szCs w:val="20"/>
                <w:color w:val="auto"/>
              </w:rPr>
            </w:pPr>
          </w:p>
        </w:tc>
        <w:tc>
          <w:tcPr>
            <w:tcW w:w="840" w:type="dxa"/>
            <w:vAlign w:val="bottom"/>
            <w:tcBorders>
              <w:bottom w:val="single" w:sz="8" w:color="646464"/>
            </w:tcBorders>
          </w:tcPr>
          <w:p>
            <w:pPr>
              <w:spacing w:after="0"/>
              <w:rPr>
                <w:sz w:val="20"/>
                <w:szCs w:val="20"/>
                <w:color w:val="auto"/>
              </w:rPr>
            </w:pPr>
          </w:p>
        </w:tc>
        <w:tc>
          <w:tcPr>
            <w:tcW w:w="1120" w:type="dxa"/>
            <w:vAlign w:val="bottom"/>
          </w:tcPr>
          <w:p>
            <w:pPr>
              <w:spacing w:after="0"/>
              <w:rPr>
                <w:sz w:val="20"/>
                <w:szCs w:val="20"/>
                <w:color w:val="auto"/>
              </w:rPr>
            </w:pPr>
          </w:p>
        </w:tc>
      </w:tr>
      <w:tr>
        <w:trPr>
          <w:trHeight w:val="189"/>
        </w:trPr>
        <w:tc>
          <w:tcPr>
            <w:tcW w:w="1160" w:type="dxa"/>
            <w:vAlign w:val="bottom"/>
            <w:tcBorders>
              <w:right w:val="single" w:sz="8" w:color="646464"/>
            </w:tcBorders>
          </w:tcPr>
          <w:p>
            <w:pPr>
              <w:spacing w:after="0"/>
              <w:rPr>
                <w:sz w:val="16"/>
                <w:szCs w:val="16"/>
                <w:color w:val="auto"/>
              </w:rPr>
            </w:pPr>
          </w:p>
        </w:tc>
        <w:tc>
          <w:tcPr>
            <w:tcW w:w="2240" w:type="dxa"/>
            <w:vAlign w:val="bottom"/>
            <w:tcBorders>
              <w:right w:val="single" w:sz="8" w:color="646464"/>
            </w:tcBorders>
            <w:gridSpan w:val="2"/>
            <w:shd w:val="clear" w:color="auto" w:fill="33CCCC"/>
          </w:tcPr>
          <w:p>
            <w:pPr>
              <w:spacing w:after="0" w:line="189" w:lineRule="exact"/>
              <w:rPr>
                <w:sz w:val="20"/>
                <w:szCs w:val="20"/>
                <w:color w:val="auto"/>
              </w:rPr>
            </w:pPr>
            <w:r>
              <w:rPr>
                <w:rFonts w:ascii="Calibri" w:cs="Calibri" w:eastAsia="Calibri" w:hAnsi="Calibri"/>
                <w:sz w:val="13"/>
                <w:szCs w:val="13"/>
                <w:b w:val="1"/>
                <w:bCs w:val="1"/>
                <w:color w:val="FFFFFF"/>
              </w:rPr>
              <w:t xml:space="preserve">Physical Point of Contact </w:t>
            </w:r>
            <w:r>
              <w:rPr>
                <w:rFonts w:ascii="Calibri" w:cs="Calibri" w:eastAsia="Calibri" w:hAnsi="Calibri"/>
                <w:sz w:val="20"/>
                <w:szCs w:val="20"/>
                <w:b w:val="1"/>
                <w:bCs w:val="1"/>
                <w:color w:val="FFFFFF"/>
                <w:vertAlign w:val="superscript"/>
              </w:rPr>
              <w:t>(1)</w:t>
            </w:r>
          </w:p>
        </w:tc>
        <w:tc>
          <w:tcPr>
            <w:tcW w:w="1540" w:type="dxa"/>
            <w:vAlign w:val="bottom"/>
            <w:shd w:val="clear" w:color="auto" w:fill="33CCCC"/>
          </w:tcPr>
          <w:p>
            <w:pPr>
              <w:spacing w:after="0"/>
              <w:rPr>
                <w:sz w:val="16"/>
                <w:szCs w:val="16"/>
                <w:color w:val="auto"/>
              </w:rPr>
            </w:pPr>
          </w:p>
        </w:tc>
        <w:tc>
          <w:tcPr>
            <w:tcW w:w="1120" w:type="dxa"/>
            <w:vAlign w:val="bottom"/>
            <w:shd w:val="clear" w:color="auto" w:fill="33CCCC"/>
          </w:tcPr>
          <w:p>
            <w:pPr>
              <w:jc w:val="center"/>
              <w:ind w:right="74"/>
              <w:spacing w:after="0"/>
              <w:rPr>
                <w:sz w:val="20"/>
                <w:szCs w:val="20"/>
                <w:color w:val="auto"/>
              </w:rPr>
            </w:pPr>
            <w:r>
              <w:rPr>
                <w:rFonts w:ascii="Arial" w:cs="Arial" w:eastAsia="Arial" w:hAnsi="Arial"/>
                <w:sz w:val="16"/>
                <w:szCs w:val="16"/>
                <w:color w:val="FFFFFF"/>
                <w:w w:val="98"/>
              </w:rPr>
              <w:t>As of</w:t>
            </w:r>
          </w:p>
        </w:tc>
        <w:tc>
          <w:tcPr>
            <w:tcW w:w="1360" w:type="dxa"/>
            <w:vAlign w:val="bottom"/>
            <w:tcBorders>
              <w:right w:val="single" w:sz="8" w:color="646464"/>
            </w:tcBorders>
            <w:shd w:val="clear" w:color="auto" w:fill="33CCCC"/>
          </w:tcPr>
          <w:p>
            <w:pPr>
              <w:spacing w:after="0"/>
              <w:rPr>
                <w:sz w:val="16"/>
                <w:szCs w:val="16"/>
                <w:color w:val="auto"/>
              </w:rPr>
            </w:pPr>
          </w:p>
        </w:tc>
        <w:tc>
          <w:tcPr>
            <w:tcW w:w="1860" w:type="dxa"/>
            <w:vAlign w:val="bottom"/>
            <w:shd w:val="clear" w:color="auto" w:fill="33CCCC"/>
          </w:tcPr>
          <w:p>
            <w:pPr>
              <w:ind w:left="820"/>
              <w:spacing w:after="0" w:line="189" w:lineRule="exact"/>
              <w:rPr>
                <w:sz w:val="20"/>
                <w:szCs w:val="20"/>
                <w:color w:val="auto"/>
              </w:rPr>
            </w:pPr>
            <w:r>
              <w:rPr>
                <w:rFonts w:ascii="Calibri" w:cs="Calibri" w:eastAsia="Calibri" w:hAnsi="Calibri"/>
                <w:sz w:val="17"/>
                <w:szCs w:val="17"/>
                <w:b w:val="1"/>
                <w:bCs w:val="1"/>
                <w:color w:val="FFFFFF"/>
              </w:rPr>
              <w:t>Change (units)</w:t>
            </w:r>
          </w:p>
        </w:tc>
        <w:tc>
          <w:tcPr>
            <w:tcW w:w="840" w:type="dxa"/>
            <w:vAlign w:val="bottom"/>
            <w:tcBorders>
              <w:right w:val="single" w:sz="8" w:color="646464"/>
            </w:tcBorders>
            <w:shd w:val="clear" w:color="auto" w:fill="33CCCC"/>
          </w:tcPr>
          <w:p>
            <w:pPr>
              <w:spacing w:after="0"/>
              <w:rPr>
                <w:sz w:val="16"/>
                <w:szCs w:val="16"/>
                <w:color w:val="auto"/>
              </w:rPr>
            </w:pPr>
          </w:p>
        </w:tc>
        <w:tc>
          <w:tcPr>
            <w:tcW w:w="1120" w:type="dxa"/>
            <w:vAlign w:val="bottom"/>
          </w:tcPr>
          <w:p>
            <w:pPr>
              <w:spacing w:after="0"/>
              <w:rPr>
                <w:sz w:val="16"/>
                <w:szCs w:val="16"/>
                <w:color w:val="auto"/>
              </w:rPr>
            </w:pPr>
          </w:p>
        </w:tc>
      </w:tr>
      <w:tr>
        <w:trPr>
          <w:trHeight w:val="207"/>
        </w:trPr>
        <w:tc>
          <w:tcPr>
            <w:tcW w:w="1160" w:type="dxa"/>
            <w:vAlign w:val="bottom"/>
            <w:tcBorders>
              <w:right w:val="single" w:sz="8" w:color="646464"/>
            </w:tcBorders>
          </w:tcPr>
          <w:p>
            <w:pPr>
              <w:spacing w:after="0"/>
              <w:rPr>
                <w:sz w:val="18"/>
                <w:szCs w:val="18"/>
                <w:color w:val="auto"/>
              </w:rPr>
            </w:pPr>
          </w:p>
        </w:tc>
        <w:tc>
          <w:tcPr>
            <w:tcW w:w="1400" w:type="dxa"/>
            <w:vAlign w:val="bottom"/>
            <w:shd w:val="clear" w:color="auto" w:fill="33CCCC"/>
          </w:tcPr>
          <w:p>
            <w:pPr>
              <w:spacing w:after="0"/>
              <w:rPr>
                <w:sz w:val="20"/>
                <w:szCs w:val="20"/>
                <w:color w:val="auto"/>
              </w:rPr>
            </w:pPr>
            <w:r>
              <w:rPr>
                <w:rFonts w:ascii="Calibri" w:cs="Calibri" w:eastAsia="Calibri" w:hAnsi="Calibri"/>
                <w:sz w:val="17"/>
                <w:szCs w:val="17"/>
                <w:b w:val="1"/>
                <w:bCs w:val="1"/>
                <w:color w:val="FFFFFF"/>
              </w:rPr>
              <w:t>(Units)</w:t>
            </w:r>
          </w:p>
        </w:tc>
        <w:tc>
          <w:tcPr>
            <w:tcW w:w="840" w:type="dxa"/>
            <w:vAlign w:val="bottom"/>
            <w:tcBorders>
              <w:right w:val="single" w:sz="8" w:color="646464"/>
            </w:tcBorders>
            <w:shd w:val="clear" w:color="auto" w:fill="33CCCC"/>
          </w:tcPr>
          <w:p>
            <w:pPr>
              <w:spacing w:after="0"/>
              <w:rPr>
                <w:sz w:val="18"/>
                <w:szCs w:val="18"/>
                <w:color w:val="auto"/>
              </w:rPr>
            </w:pPr>
          </w:p>
        </w:tc>
        <w:tc>
          <w:tcPr>
            <w:tcW w:w="1540" w:type="dxa"/>
            <w:vAlign w:val="bottom"/>
            <w:shd w:val="clear" w:color="auto" w:fill="33CCCC"/>
          </w:tcPr>
          <w:p>
            <w:pPr>
              <w:spacing w:after="0"/>
              <w:rPr>
                <w:sz w:val="18"/>
                <w:szCs w:val="18"/>
                <w:color w:val="auto"/>
              </w:rPr>
            </w:pPr>
          </w:p>
        </w:tc>
        <w:tc>
          <w:tcPr>
            <w:tcW w:w="1120" w:type="dxa"/>
            <w:vAlign w:val="bottom"/>
            <w:shd w:val="clear" w:color="auto" w:fill="33CCCC"/>
          </w:tcPr>
          <w:p>
            <w:pPr>
              <w:spacing w:after="0"/>
              <w:rPr>
                <w:sz w:val="18"/>
                <w:szCs w:val="18"/>
                <w:color w:val="auto"/>
              </w:rPr>
            </w:pPr>
          </w:p>
        </w:tc>
        <w:tc>
          <w:tcPr>
            <w:tcW w:w="1360" w:type="dxa"/>
            <w:vAlign w:val="bottom"/>
            <w:tcBorders>
              <w:right w:val="single" w:sz="8" w:color="646464"/>
            </w:tcBorders>
            <w:shd w:val="clear" w:color="auto" w:fill="33CCCC"/>
          </w:tcPr>
          <w:p>
            <w:pPr>
              <w:spacing w:after="0"/>
              <w:rPr>
                <w:sz w:val="18"/>
                <w:szCs w:val="18"/>
                <w:color w:val="auto"/>
              </w:rPr>
            </w:pPr>
          </w:p>
        </w:tc>
        <w:tc>
          <w:tcPr>
            <w:tcW w:w="1860" w:type="dxa"/>
            <w:vAlign w:val="bottom"/>
            <w:shd w:val="clear" w:color="auto" w:fill="33CCCC"/>
          </w:tcPr>
          <w:p>
            <w:pPr>
              <w:spacing w:after="0"/>
              <w:rPr>
                <w:sz w:val="18"/>
                <w:szCs w:val="18"/>
                <w:color w:val="auto"/>
              </w:rPr>
            </w:pPr>
          </w:p>
        </w:tc>
        <w:tc>
          <w:tcPr>
            <w:tcW w:w="840" w:type="dxa"/>
            <w:vAlign w:val="bottom"/>
            <w:tcBorders>
              <w:right w:val="single" w:sz="8" w:color="646464"/>
            </w:tcBorders>
            <w:shd w:val="clear" w:color="auto" w:fill="33CCCC"/>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1160" w:type="dxa"/>
            <w:vAlign w:val="bottom"/>
            <w:tcBorders>
              <w:right w:val="single" w:sz="8" w:color="646464"/>
            </w:tcBorders>
          </w:tcPr>
          <w:p>
            <w:pPr>
              <w:spacing w:after="0"/>
              <w:rPr>
                <w:sz w:val="20"/>
                <w:szCs w:val="20"/>
                <w:color w:val="auto"/>
              </w:rPr>
            </w:pPr>
          </w:p>
        </w:tc>
        <w:tc>
          <w:tcPr>
            <w:tcW w:w="1400" w:type="dxa"/>
            <w:vAlign w:val="bottom"/>
            <w:tcBorders>
              <w:bottom w:val="single" w:sz="8" w:color="33CCCC"/>
            </w:tcBorders>
            <w:shd w:val="clear" w:color="auto" w:fill="33CCCC"/>
          </w:tcPr>
          <w:p>
            <w:pPr>
              <w:spacing w:after="0"/>
              <w:rPr>
                <w:sz w:val="20"/>
                <w:szCs w:val="20"/>
                <w:color w:val="auto"/>
              </w:rPr>
            </w:pPr>
          </w:p>
        </w:tc>
        <w:tc>
          <w:tcPr>
            <w:tcW w:w="840" w:type="dxa"/>
            <w:vAlign w:val="bottom"/>
            <w:tcBorders>
              <w:bottom w:val="single" w:sz="8" w:color="33CCCC"/>
              <w:right w:val="single" w:sz="8" w:color="646464"/>
            </w:tcBorders>
            <w:shd w:val="clear" w:color="auto" w:fill="33CCCC"/>
          </w:tcPr>
          <w:p>
            <w:pPr>
              <w:spacing w:after="0"/>
              <w:rPr>
                <w:sz w:val="20"/>
                <w:szCs w:val="20"/>
                <w:color w:val="auto"/>
              </w:rPr>
            </w:pPr>
          </w:p>
        </w:tc>
        <w:tc>
          <w:tcPr>
            <w:tcW w:w="1540" w:type="dxa"/>
            <w:vAlign w:val="bottom"/>
            <w:tcBorders>
              <w:bottom w:val="single" w:sz="8" w:color="33CCCC"/>
            </w:tcBorders>
            <w:shd w:val="clear" w:color="auto" w:fill="33CCCC"/>
          </w:tcPr>
          <w:p>
            <w:pPr>
              <w:ind w:left="420"/>
              <w:spacing w:after="0"/>
              <w:rPr>
                <w:sz w:val="20"/>
                <w:szCs w:val="20"/>
                <w:color w:val="auto"/>
              </w:rPr>
            </w:pPr>
            <w:r>
              <w:rPr>
                <w:rFonts w:ascii="Calibri" w:cs="Calibri" w:eastAsia="Calibri" w:hAnsi="Calibri"/>
                <w:sz w:val="17"/>
                <w:szCs w:val="17"/>
                <w:b w:val="1"/>
                <w:bCs w:val="1"/>
                <w:color w:val="FFFFFF"/>
              </w:rPr>
              <w:t>Dec 23</w:t>
            </w:r>
          </w:p>
        </w:tc>
        <w:tc>
          <w:tcPr>
            <w:tcW w:w="1120" w:type="dxa"/>
            <w:vAlign w:val="bottom"/>
            <w:tcBorders>
              <w:bottom w:val="single" w:sz="8" w:color="33CCCC"/>
            </w:tcBorders>
            <w:shd w:val="clear" w:color="auto" w:fill="33CCCC"/>
          </w:tcPr>
          <w:p>
            <w:pPr>
              <w:jc w:val="center"/>
              <w:ind w:right="114"/>
              <w:spacing w:after="0"/>
              <w:rPr>
                <w:sz w:val="20"/>
                <w:szCs w:val="20"/>
                <w:color w:val="auto"/>
              </w:rPr>
            </w:pPr>
            <w:r>
              <w:rPr>
                <w:rFonts w:ascii="Calibri" w:cs="Calibri" w:eastAsia="Calibri" w:hAnsi="Calibri"/>
                <w:sz w:val="17"/>
                <w:szCs w:val="17"/>
                <w:b w:val="1"/>
                <w:bCs w:val="1"/>
                <w:color w:val="FFFFFF"/>
              </w:rPr>
              <w:t>Sep 24</w:t>
            </w:r>
          </w:p>
        </w:tc>
        <w:tc>
          <w:tcPr>
            <w:tcW w:w="1360" w:type="dxa"/>
            <w:vAlign w:val="bottom"/>
            <w:tcBorders>
              <w:bottom w:val="single" w:sz="8" w:color="33CCCC"/>
              <w:right w:val="single" w:sz="8" w:color="646464"/>
            </w:tcBorders>
            <w:shd w:val="clear" w:color="auto" w:fill="33CCCC"/>
          </w:tcPr>
          <w:p>
            <w:pPr>
              <w:ind w:left="420"/>
              <w:spacing w:after="0"/>
              <w:rPr>
                <w:sz w:val="20"/>
                <w:szCs w:val="20"/>
                <w:color w:val="auto"/>
              </w:rPr>
            </w:pPr>
            <w:r>
              <w:rPr>
                <w:rFonts w:ascii="Calibri" w:cs="Calibri" w:eastAsia="Calibri" w:hAnsi="Calibri"/>
                <w:sz w:val="17"/>
                <w:szCs w:val="17"/>
                <w:b w:val="1"/>
                <w:bCs w:val="1"/>
                <w:color w:val="FFFFFF"/>
              </w:rPr>
              <w:t>Dec 24</w:t>
            </w:r>
          </w:p>
        </w:tc>
        <w:tc>
          <w:tcPr>
            <w:tcW w:w="1860" w:type="dxa"/>
            <w:vAlign w:val="bottom"/>
            <w:tcBorders>
              <w:bottom w:val="single" w:sz="8" w:color="33CCCC"/>
            </w:tcBorders>
            <w:shd w:val="clear" w:color="auto" w:fill="33CCCC"/>
          </w:tcPr>
          <w:p>
            <w:pPr>
              <w:ind w:left="500"/>
              <w:spacing w:after="0"/>
              <w:rPr>
                <w:sz w:val="20"/>
                <w:szCs w:val="20"/>
                <w:color w:val="auto"/>
              </w:rPr>
            </w:pPr>
            <w:r>
              <w:rPr>
                <w:rFonts w:ascii="Calibri" w:cs="Calibri" w:eastAsia="Calibri" w:hAnsi="Calibri"/>
                <w:sz w:val="17"/>
                <w:szCs w:val="17"/>
                <w:b w:val="1"/>
                <w:bCs w:val="1"/>
                <w:color w:val="FFFFFF"/>
              </w:rPr>
              <w:t>QoQ</w:t>
            </w:r>
          </w:p>
        </w:tc>
        <w:tc>
          <w:tcPr>
            <w:tcW w:w="840" w:type="dxa"/>
            <w:vAlign w:val="bottom"/>
            <w:tcBorders>
              <w:bottom w:val="single" w:sz="8" w:color="33CCCC"/>
              <w:right w:val="single" w:sz="8" w:color="646464"/>
            </w:tcBorders>
            <w:shd w:val="clear" w:color="auto" w:fill="33CCCC"/>
          </w:tcPr>
          <w:p>
            <w:pPr>
              <w:ind w:left="20"/>
              <w:spacing w:after="0"/>
              <w:rPr>
                <w:sz w:val="20"/>
                <w:szCs w:val="20"/>
                <w:color w:val="auto"/>
              </w:rPr>
            </w:pPr>
            <w:r>
              <w:rPr>
                <w:rFonts w:ascii="Calibri" w:cs="Calibri" w:eastAsia="Calibri" w:hAnsi="Calibri"/>
                <w:sz w:val="17"/>
                <w:szCs w:val="17"/>
                <w:b w:val="1"/>
                <w:bCs w:val="1"/>
                <w:color w:val="FFFFFF"/>
              </w:rPr>
              <w:t>YoY</w:t>
            </w:r>
          </w:p>
        </w:tc>
        <w:tc>
          <w:tcPr>
            <w:tcW w:w="1120" w:type="dxa"/>
            <w:vAlign w:val="bottom"/>
          </w:tcPr>
          <w:p>
            <w:pPr>
              <w:spacing w:after="0"/>
              <w:rPr>
                <w:sz w:val="20"/>
                <w:szCs w:val="20"/>
                <w:color w:val="auto"/>
              </w:rPr>
            </w:pPr>
          </w:p>
        </w:tc>
      </w:tr>
      <w:tr>
        <w:trPr>
          <w:trHeight w:val="189"/>
        </w:trPr>
        <w:tc>
          <w:tcPr>
            <w:tcW w:w="1160" w:type="dxa"/>
            <w:vAlign w:val="bottom"/>
            <w:tcBorders>
              <w:right w:val="single" w:sz="8" w:color="646464"/>
            </w:tcBorders>
          </w:tcPr>
          <w:p>
            <w:pPr>
              <w:spacing w:after="0"/>
              <w:rPr>
                <w:sz w:val="16"/>
                <w:szCs w:val="16"/>
                <w:color w:val="auto"/>
              </w:rPr>
            </w:pPr>
          </w:p>
        </w:tc>
        <w:tc>
          <w:tcPr>
            <w:tcW w:w="1400" w:type="dxa"/>
            <w:vAlign w:val="bottom"/>
            <w:tcBorders>
              <w:top w:val="single" w:sz="8" w:color="646464"/>
            </w:tcBorders>
          </w:tcPr>
          <w:p>
            <w:pPr>
              <w:spacing w:after="0" w:line="189" w:lineRule="exact"/>
              <w:rPr>
                <w:sz w:val="20"/>
                <w:szCs w:val="20"/>
                <w:color w:val="auto"/>
              </w:rPr>
            </w:pPr>
            <w:r>
              <w:rPr>
                <w:rFonts w:ascii="Calibri" w:cs="Calibri" w:eastAsia="Calibri" w:hAnsi="Calibri"/>
                <w:sz w:val="17"/>
                <w:szCs w:val="17"/>
                <w:color w:val="auto"/>
              </w:rPr>
              <w:t>Branches</w:t>
            </w:r>
          </w:p>
        </w:tc>
        <w:tc>
          <w:tcPr>
            <w:tcW w:w="840" w:type="dxa"/>
            <w:vAlign w:val="bottom"/>
            <w:tcBorders>
              <w:top w:val="single" w:sz="8" w:color="646464"/>
              <w:right w:val="single" w:sz="8" w:color="646464"/>
            </w:tcBorders>
          </w:tcPr>
          <w:p>
            <w:pPr>
              <w:spacing w:after="0"/>
              <w:rPr>
                <w:sz w:val="16"/>
                <w:szCs w:val="16"/>
                <w:color w:val="auto"/>
              </w:rPr>
            </w:pPr>
          </w:p>
        </w:tc>
        <w:tc>
          <w:tcPr>
            <w:tcW w:w="1540" w:type="dxa"/>
            <w:vAlign w:val="bottom"/>
            <w:tcBorders>
              <w:top w:val="single" w:sz="8" w:color="646464"/>
            </w:tcBorders>
          </w:tcPr>
          <w:p>
            <w:pPr>
              <w:jc w:val="center"/>
              <w:ind w:right="113"/>
              <w:spacing w:after="0" w:line="189" w:lineRule="exact"/>
              <w:rPr>
                <w:sz w:val="20"/>
                <w:szCs w:val="20"/>
                <w:color w:val="auto"/>
              </w:rPr>
            </w:pPr>
            <w:r>
              <w:rPr>
                <w:rFonts w:ascii="Calibri" w:cs="Calibri" w:eastAsia="Calibri" w:hAnsi="Calibri"/>
                <w:sz w:val="17"/>
                <w:szCs w:val="17"/>
                <w:color w:val="auto"/>
              </w:rPr>
              <w:t>659</w:t>
            </w:r>
          </w:p>
        </w:tc>
        <w:tc>
          <w:tcPr>
            <w:tcW w:w="1120" w:type="dxa"/>
            <w:vAlign w:val="bottom"/>
            <w:tcBorders>
              <w:top w:val="single" w:sz="8" w:color="646464"/>
            </w:tcBorders>
          </w:tcPr>
          <w:p>
            <w:pPr>
              <w:jc w:val="center"/>
              <w:ind w:right="134"/>
              <w:spacing w:after="0" w:line="189" w:lineRule="exact"/>
              <w:rPr>
                <w:sz w:val="20"/>
                <w:szCs w:val="20"/>
                <w:color w:val="auto"/>
              </w:rPr>
            </w:pPr>
            <w:r>
              <w:rPr>
                <w:rFonts w:ascii="Calibri" w:cs="Calibri" w:eastAsia="Calibri" w:hAnsi="Calibri"/>
                <w:sz w:val="17"/>
                <w:szCs w:val="17"/>
                <w:color w:val="auto"/>
              </w:rPr>
              <w:t>648</w:t>
            </w:r>
          </w:p>
        </w:tc>
        <w:tc>
          <w:tcPr>
            <w:tcW w:w="1360" w:type="dxa"/>
            <w:vAlign w:val="bottom"/>
            <w:tcBorders>
              <w:top w:val="single" w:sz="8" w:color="646464"/>
              <w:right w:val="single" w:sz="8" w:color="646464"/>
            </w:tcBorders>
          </w:tcPr>
          <w:p>
            <w:pPr>
              <w:jc w:val="center"/>
              <w:spacing w:after="0" w:line="189" w:lineRule="exact"/>
              <w:rPr>
                <w:sz w:val="20"/>
                <w:szCs w:val="20"/>
                <w:color w:val="auto"/>
              </w:rPr>
            </w:pPr>
            <w:r>
              <w:rPr>
                <w:rFonts w:ascii="Calibri" w:cs="Calibri" w:eastAsia="Calibri" w:hAnsi="Calibri"/>
                <w:sz w:val="17"/>
                <w:szCs w:val="17"/>
                <w:color w:val="auto"/>
              </w:rPr>
              <w:t>648</w:t>
            </w:r>
          </w:p>
        </w:tc>
        <w:tc>
          <w:tcPr>
            <w:tcW w:w="1860" w:type="dxa"/>
            <w:vAlign w:val="bottom"/>
            <w:tcBorders>
              <w:top w:val="single" w:sz="8" w:color="646464"/>
            </w:tcBorders>
          </w:tcPr>
          <w:p>
            <w:pPr>
              <w:jc w:val="center"/>
              <w:ind w:right="454"/>
              <w:spacing w:after="0" w:line="189" w:lineRule="exact"/>
              <w:rPr>
                <w:sz w:val="20"/>
                <w:szCs w:val="20"/>
                <w:color w:val="auto"/>
              </w:rPr>
            </w:pPr>
            <w:r>
              <w:rPr>
                <w:rFonts w:ascii="Calibri" w:cs="Calibri" w:eastAsia="Calibri" w:hAnsi="Calibri"/>
                <w:sz w:val="17"/>
                <w:szCs w:val="17"/>
                <w:color w:val="auto"/>
                <w:w w:val="92"/>
              </w:rPr>
              <w:t>0</w:t>
            </w:r>
          </w:p>
        </w:tc>
        <w:tc>
          <w:tcPr>
            <w:tcW w:w="840" w:type="dxa"/>
            <w:vAlign w:val="bottom"/>
            <w:tcBorders>
              <w:top w:val="single" w:sz="8" w:color="646464"/>
              <w:right w:val="single" w:sz="8" w:color="646464"/>
            </w:tcBorders>
          </w:tcPr>
          <w:p>
            <w:pPr>
              <w:jc w:val="center"/>
              <w:ind w:right="473"/>
              <w:spacing w:after="0" w:line="189" w:lineRule="exact"/>
              <w:rPr>
                <w:sz w:val="20"/>
                <w:szCs w:val="20"/>
                <w:color w:val="auto"/>
              </w:rPr>
            </w:pPr>
            <w:r>
              <w:rPr>
                <w:rFonts w:ascii="Calibri" w:cs="Calibri" w:eastAsia="Calibri" w:hAnsi="Calibri"/>
                <w:sz w:val="17"/>
                <w:szCs w:val="17"/>
                <w:color w:val="auto"/>
              </w:rPr>
              <w:t>-11</w:t>
            </w:r>
          </w:p>
        </w:tc>
        <w:tc>
          <w:tcPr>
            <w:tcW w:w="1120" w:type="dxa"/>
            <w:vAlign w:val="bottom"/>
          </w:tcPr>
          <w:p>
            <w:pPr>
              <w:spacing w:after="0"/>
              <w:rPr>
                <w:sz w:val="16"/>
                <w:szCs w:val="16"/>
                <w:color w:val="auto"/>
              </w:rPr>
            </w:pPr>
          </w:p>
        </w:tc>
      </w:tr>
      <w:tr>
        <w:trPr>
          <w:trHeight w:val="207"/>
        </w:trPr>
        <w:tc>
          <w:tcPr>
            <w:tcW w:w="1160" w:type="dxa"/>
            <w:vAlign w:val="bottom"/>
            <w:tcBorders>
              <w:right w:val="single" w:sz="8" w:color="646464"/>
            </w:tcBorders>
          </w:tcPr>
          <w:p>
            <w:pPr>
              <w:spacing w:after="0"/>
              <w:rPr>
                <w:sz w:val="18"/>
                <w:szCs w:val="18"/>
                <w:color w:val="auto"/>
              </w:rPr>
            </w:pPr>
          </w:p>
        </w:tc>
        <w:tc>
          <w:tcPr>
            <w:tcW w:w="1400" w:type="dxa"/>
            <w:vAlign w:val="bottom"/>
          </w:tcPr>
          <w:p>
            <w:pPr>
              <w:spacing w:after="0"/>
              <w:rPr>
                <w:sz w:val="20"/>
                <w:szCs w:val="20"/>
                <w:color w:val="auto"/>
              </w:rPr>
            </w:pPr>
            <w:r>
              <w:rPr>
                <w:rFonts w:ascii="Calibri" w:cs="Calibri" w:eastAsia="Calibri" w:hAnsi="Calibri"/>
                <w:sz w:val="17"/>
                <w:szCs w:val="17"/>
                <w:color w:val="auto"/>
              </w:rPr>
              <w:t>ATMs</w:t>
            </w:r>
          </w:p>
        </w:tc>
        <w:tc>
          <w:tcPr>
            <w:tcW w:w="840" w:type="dxa"/>
            <w:vAlign w:val="bottom"/>
            <w:tcBorders>
              <w:right w:val="single" w:sz="8" w:color="646464"/>
            </w:tcBorders>
          </w:tcPr>
          <w:p>
            <w:pPr>
              <w:spacing w:after="0"/>
              <w:rPr>
                <w:sz w:val="18"/>
                <w:szCs w:val="18"/>
                <w:color w:val="auto"/>
              </w:rPr>
            </w:pPr>
          </w:p>
        </w:tc>
        <w:tc>
          <w:tcPr>
            <w:tcW w:w="1540" w:type="dxa"/>
            <w:vAlign w:val="bottom"/>
          </w:tcPr>
          <w:p>
            <w:pPr>
              <w:jc w:val="center"/>
              <w:ind w:right="133"/>
              <w:spacing w:after="0"/>
              <w:rPr>
                <w:sz w:val="20"/>
                <w:szCs w:val="20"/>
                <w:color w:val="auto"/>
              </w:rPr>
            </w:pPr>
            <w:r>
              <w:rPr>
                <w:rFonts w:ascii="Calibri" w:cs="Calibri" w:eastAsia="Calibri" w:hAnsi="Calibri"/>
                <w:sz w:val="17"/>
                <w:szCs w:val="17"/>
                <w:color w:val="auto"/>
              </w:rPr>
              <w:t>2,746</w:t>
            </w:r>
          </w:p>
        </w:tc>
        <w:tc>
          <w:tcPr>
            <w:tcW w:w="1120" w:type="dxa"/>
            <w:vAlign w:val="bottom"/>
          </w:tcPr>
          <w:p>
            <w:pPr>
              <w:jc w:val="center"/>
              <w:ind w:right="114"/>
              <w:spacing w:after="0"/>
              <w:rPr>
                <w:sz w:val="20"/>
                <w:szCs w:val="20"/>
                <w:color w:val="auto"/>
              </w:rPr>
            </w:pPr>
            <w:r>
              <w:rPr>
                <w:rFonts w:ascii="Calibri" w:cs="Calibri" w:eastAsia="Calibri" w:hAnsi="Calibri"/>
                <w:sz w:val="17"/>
                <w:szCs w:val="17"/>
                <w:color w:val="auto"/>
              </w:rPr>
              <w:t>2,765</w:t>
            </w:r>
          </w:p>
        </w:tc>
        <w:tc>
          <w:tcPr>
            <w:tcW w:w="1360" w:type="dxa"/>
            <w:vAlign w:val="bottom"/>
            <w:tcBorders>
              <w:right w:val="single" w:sz="8" w:color="646464"/>
            </w:tcBorders>
          </w:tcPr>
          <w:p>
            <w:pPr>
              <w:jc w:val="center"/>
              <w:spacing w:after="0"/>
              <w:rPr>
                <w:sz w:val="20"/>
                <w:szCs w:val="20"/>
                <w:color w:val="auto"/>
              </w:rPr>
            </w:pPr>
            <w:r>
              <w:rPr>
                <w:rFonts w:ascii="Calibri" w:cs="Calibri" w:eastAsia="Calibri" w:hAnsi="Calibri"/>
                <w:sz w:val="17"/>
                <w:szCs w:val="17"/>
                <w:color w:val="auto"/>
                <w:w w:val="97"/>
              </w:rPr>
              <w:t>2,787</w:t>
            </w:r>
          </w:p>
        </w:tc>
        <w:tc>
          <w:tcPr>
            <w:tcW w:w="1860" w:type="dxa"/>
            <w:vAlign w:val="bottom"/>
          </w:tcPr>
          <w:p>
            <w:pPr>
              <w:jc w:val="center"/>
              <w:ind w:right="434"/>
              <w:spacing w:after="0"/>
              <w:rPr>
                <w:sz w:val="20"/>
                <w:szCs w:val="20"/>
                <w:color w:val="auto"/>
              </w:rPr>
            </w:pPr>
            <w:r>
              <w:rPr>
                <w:rFonts w:ascii="Calibri" w:cs="Calibri" w:eastAsia="Calibri" w:hAnsi="Calibri"/>
                <w:sz w:val="17"/>
                <w:szCs w:val="17"/>
                <w:color w:val="auto"/>
              </w:rPr>
              <w:t>22</w:t>
            </w:r>
          </w:p>
        </w:tc>
        <w:tc>
          <w:tcPr>
            <w:tcW w:w="840" w:type="dxa"/>
            <w:vAlign w:val="bottom"/>
            <w:tcBorders>
              <w:right w:val="single" w:sz="8" w:color="646464"/>
            </w:tcBorders>
          </w:tcPr>
          <w:p>
            <w:pPr>
              <w:jc w:val="center"/>
              <w:ind w:right="473"/>
              <w:spacing w:after="0"/>
              <w:rPr>
                <w:sz w:val="20"/>
                <w:szCs w:val="20"/>
                <w:color w:val="auto"/>
              </w:rPr>
            </w:pPr>
            <w:r>
              <w:rPr>
                <w:rFonts w:ascii="Calibri" w:cs="Calibri" w:eastAsia="Calibri" w:hAnsi="Calibri"/>
                <w:sz w:val="17"/>
                <w:szCs w:val="17"/>
                <w:color w:val="auto"/>
                <w:w w:val="92"/>
              </w:rPr>
              <w:t>41</w:t>
            </w:r>
          </w:p>
        </w:tc>
        <w:tc>
          <w:tcPr>
            <w:tcW w:w="1120" w:type="dxa"/>
            <w:vAlign w:val="bottom"/>
          </w:tcPr>
          <w:p>
            <w:pPr>
              <w:spacing w:after="0"/>
              <w:rPr>
                <w:sz w:val="18"/>
                <w:szCs w:val="18"/>
                <w:color w:val="auto"/>
              </w:rPr>
            </w:pPr>
          </w:p>
        </w:tc>
      </w:tr>
      <w:tr>
        <w:trPr>
          <w:trHeight w:val="210"/>
        </w:trPr>
        <w:tc>
          <w:tcPr>
            <w:tcW w:w="1160" w:type="dxa"/>
            <w:vAlign w:val="bottom"/>
            <w:tcBorders>
              <w:right w:val="single" w:sz="8" w:color="646464"/>
            </w:tcBorders>
          </w:tcPr>
          <w:p>
            <w:pPr>
              <w:spacing w:after="0"/>
              <w:rPr>
                <w:sz w:val="18"/>
                <w:szCs w:val="18"/>
                <w:color w:val="auto"/>
              </w:rPr>
            </w:pPr>
          </w:p>
        </w:tc>
        <w:tc>
          <w:tcPr>
            <w:tcW w:w="1400" w:type="dxa"/>
            <w:vAlign w:val="bottom"/>
          </w:tcPr>
          <w:p>
            <w:pPr>
              <w:spacing w:after="0"/>
              <w:rPr>
                <w:sz w:val="20"/>
                <w:szCs w:val="20"/>
                <w:color w:val="auto"/>
              </w:rPr>
            </w:pPr>
            <w:r>
              <w:rPr>
                <w:rFonts w:ascii="Calibri" w:cs="Calibri" w:eastAsia="Calibri" w:hAnsi="Calibri"/>
                <w:sz w:val="17"/>
                <w:szCs w:val="17"/>
                <w:color w:val="auto"/>
              </w:rPr>
              <w:t>Agents</w:t>
            </w:r>
          </w:p>
        </w:tc>
        <w:tc>
          <w:tcPr>
            <w:tcW w:w="840" w:type="dxa"/>
            <w:vAlign w:val="bottom"/>
            <w:tcBorders>
              <w:right w:val="single" w:sz="8" w:color="646464"/>
            </w:tcBorders>
          </w:tcPr>
          <w:p>
            <w:pPr>
              <w:spacing w:after="0"/>
              <w:rPr>
                <w:sz w:val="18"/>
                <w:szCs w:val="18"/>
                <w:color w:val="auto"/>
              </w:rPr>
            </w:pPr>
          </w:p>
        </w:tc>
        <w:tc>
          <w:tcPr>
            <w:tcW w:w="1540" w:type="dxa"/>
            <w:vAlign w:val="bottom"/>
          </w:tcPr>
          <w:p>
            <w:pPr>
              <w:jc w:val="center"/>
              <w:ind w:right="133"/>
              <w:spacing w:after="0"/>
              <w:rPr>
                <w:sz w:val="20"/>
                <w:szCs w:val="20"/>
                <w:color w:val="auto"/>
              </w:rPr>
            </w:pPr>
            <w:r>
              <w:rPr>
                <w:rFonts w:ascii="Calibri" w:cs="Calibri" w:eastAsia="Calibri" w:hAnsi="Calibri"/>
                <w:sz w:val="17"/>
                <w:szCs w:val="17"/>
                <w:color w:val="auto"/>
              </w:rPr>
              <w:t>12,410</w:t>
            </w:r>
          </w:p>
        </w:tc>
        <w:tc>
          <w:tcPr>
            <w:tcW w:w="1120" w:type="dxa"/>
            <w:vAlign w:val="bottom"/>
          </w:tcPr>
          <w:p>
            <w:pPr>
              <w:jc w:val="center"/>
              <w:ind w:right="114"/>
              <w:spacing w:after="0"/>
              <w:rPr>
                <w:sz w:val="20"/>
                <w:szCs w:val="20"/>
                <w:color w:val="auto"/>
              </w:rPr>
            </w:pPr>
            <w:r>
              <w:rPr>
                <w:rFonts w:ascii="Calibri" w:cs="Calibri" w:eastAsia="Calibri" w:hAnsi="Calibri"/>
                <w:sz w:val="17"/>
                <w:szCs w:val="17"/>
                <w:color w:val="auto"/>
              </w:rPr>
              <w:t>11,653</w:t>
            </w:r>
          </w:p>
        </w:tc>
        <w:tc>
          <w:tcPr>
            <w:tcW w:w="1360" w:type="dxa"/>
            <w:vAlign w:val="bottom"/>
            <w:tcBorders>
              <w:right w:val="single" w:sz="8" w:color="646464"/>
            </w:tcBorders>
          </w:tcPr>
          <w:p>
            <w:pPr>
              <w:jc w:val="center"/>
              <w:spacing w:after="0"/>
              <w:rPr>
                <w:sz w:val="20"/>
                <w:szCs w:val="20"/>
                <w:color w:val="auto"/>
              </w:rPr>
            </w:pPr>
            <w:r>
              <w:rPr>
                <w:rFonts w:ascii="Calibri" w:cs="Calibri" w:eastAsia="Calibri" w:hAnsi="Calibri"/>
                <w:sz w:val="17"/>
                <w:szCs w:val="17"/>
                <w:color w:val="auto"/>
              </w:rPr>
              <w:t>12,434</w:t>
            </w:r>
          </w:p>
        </w:tc>
        <w:tc>
          <w:tcPr>
            <w:tcW w:w="1860" w:type="dxa"/>
            <w:vAlign w:val="bottom"/>
          </w:tcPr>
          <w:p>
            <w:pPr>
              <w:jc w:val="center"/>
              <w:ind w:right="434"/>
              <w:spacing w:after="0"/>
              <w:rPr>
                <w:sz w:val="20"/>
                <w:szCs w:val="20"/>
                <w:color w:val="auto"/>
              </w:rPr>
            </w:pPr>
            <w:r>
              <w:rPr>
                <w:rFonts w:ascii="Calibri" w:cs="Calibri" w:eastAsia="Calibri" w:hAnsi="Calibri"/>
                <w:sz w:val="17"/>
                <w:szCs w:val="17"/>
                <w:color w:val="auto"/>
              </w:rPr>
              <w:t>781</w:t>
            </w:r>
          </w:p>
        </w:tc>
        <w:tc>
          <w:tcPr>
            <w:tcW w:w="840" w:type="dxa"/>
            <w:vAlign w:val="bottom"/>
            <w:tcBorders>
              <w:right w:val="single" w:sz="8" w:color="646464"/>
            </w:tcBorders>
          </w:tcPr>
          <w:p>
            <w:pPr>
              <w:jc w:val="center"/>
              <w:ind w:right="473"/>
              <w:spacing w:after="0"/>
              <w:rPr>
                <w:sz w:val="20"/>
                <w:szCs w:val="20"/>
                <w:color w:val="auto"/>
              </w:rPr>
            </w:pPr>
            <w:r>
              <w:rPr>
                <w:rFonts w:ascii="Calibri" w:cs="Calibri" w:eastAsia="Calibri" w:hAnsi="Calibri"/>
                <w:sz w:val="17"/>
                <w:szCs w:val="17"/>
                <w:color w:val="auto"/>
                <w:w w:val="92"/>
              </w:rPr>
              <w:t>24</w:t>
            </w:r>
          </w:p>
        </w:tc>
        <w:tc>
          <w:tcPr>
            <w:tcW w:w="1120" w:type="dxa"/>
            <w:vAlign w:val="bottom"/>
          </w:tcPr>
          <w:p>
            <w:pPr>
              <w:spacing w:after="0"/>
              <w:rPr>
                <w:sz w:val="18"/>
                <w:szCs w:val="18"/>
                <w:color w:val="auto"/>
              </w:rPr>
            </w:pPr>
          </w:p>
        </w:tc>
      </w:tr>
      <w:tr>
        <w:trPr>
          <w:trHeight w:val="30"/>
        </w:trPr>
        <w:tc>
          <w:tcPr>
            <w:tcW w:w="1160" w:type="dxa"/>
            <w:vAlign w:val="bottom"/>
            <w:tcBorders>
              <w:right w:val="single" w:sz="8" w:color="646464"/>
            </w:tcBorders>
          </w:tcPr>
          <w:p>
            <w:pPr>
              <w:spacing w:after="0"/>
              <w:rPr>
                <w:sz w:val="2"/>
                <w:szCs w:val="2"/>
                <w:color w:val="auto"/>
              </w:rPr>
            </w:pPr>
          </w:p>
        </w:tc>
        <w:tc>
          <w:tcPr>
            <w:tcW w:w="1400" w:type="dxa"/>
            <w:vAlign w:val="bottom"/>
            <w:tcBorders>
              <w:bottom w:val="single" w:sz="8" w:color="646464"/>
            </w:tcBorders>
          </w:tcPr>
          <w:p>
            <w:pPr>
              <w:spacing w:after="0"/>
              <w:rPr>
                <w:sz w:val="2"/>
                <w:szCs w:val="2"/>
                <w:color w:val="auto"/>
              </w:rPr>
            </w:pPr>
          </w:p>
        </w:tc>
        <w:tc>
          <w:tcPr>
            <w:tcW w:w="840" w:type="dxa"/>
            <w:vAlign w:val="bottom"/>
            <w:tcBorders>
              <w:bottom w:val="single" w:sz="8" w:color="646464"/>
              <w:right w:val="single" w:sz="8" w:color="646464"/>
            </w:tcBorders>
          </w:tcPr>
          <w:p>
            <w:pPr>
              <w:spacing w:after="0"/>
              <w:rPr>
                <w:sz w:val="2"/>
                <w:szCs w:val="2"/>
                <w:color w:val="auto"/>
              </w:rPr>
            </w:pPr>
          </w:p>
        </w:tc>
        <w:tc>
          <w:tcPr>
            <w:tcW w:w="1540" w:type="dxa"/>
            <w:vAlign w:val="bottom"/>
            <w:tcBorders>
              <w:bottom w:val="single" w:sz="8" w:color="646464"/>
            </w:tcBorders>
          </w:tcPr>
          <w:p>
            <w:pPr>
              <w:spacing w:after="0"/>
              <w:rPr>
                <w:sz w:val="2"/>
                <w:szCs w:val="2"/>
                <w:color w:val="auto"/>
              </w:rPr>
            </w:pPr>
          </w:p>
        </w:tc>
        <w:tc>
          <w:tcPr>
            <w:tcW w:w="1120" w:type="dxa"/>
            <w:vAlign w:val="bottom"/>
            <w:tcBorders>
              <w:bottom w:val="single" w:sz="8" w:color="646464"/>
            </w:tcBorders>
          </w:tcPr>
          <w:p>
            <w:pPr>
              <w:spacing w:after="0"/>
              <w:rPr>
                <w:sz w:val="2"/>
                <w:szCs w:val="2"/>
                <w:color w:val="auto"/>
              </w:rPr>
            </w:pPr>
          </w:p>
        </w:tc>
        <w:tc>
          <w:tcPr>
            <w:tcW w:w="1360" w:type="dxa"/>
            <w:vAlign w:val="bottom"/>
            <w:tcBorders>
              <w:bottom w:val="single" w:sz="8" w:color="646464"/>
              <w:right w:val="single" w:sz="8" w:color="646464"/>
            </w:tcBorders>
          </w:tcPr>
          <w:p>
            <w:pPr>
              <w:spacing w:after="0"/>
              <w:rPr>
                <w:sz w:val="2"/>
                <w:szCs w:val="2"/>
                <w:color w:val="auto"/>
              </w:rPr>
            </w:pPr>
          </w:p>
        </w:tc>
        <w:tc>
          <w:tcPr>
            <w:tcW w:w="1860" w:type="dxa"/>
            <w:vAlign w:val="bottom"/>
            <w:tcBorders>
              <w:bottom w:val="single" w:sz="8" w:color="646464"/>
            </w:tcBorders>
          </w:tcPr>
          <w:p>
            <w:pPr>
              <w:spacing w:after="0"/>
              <w:rPr>
                <w:sz w:val="2"/>
                <w:szCs w:val="2"/>
                <w:color w:val="auto"/>
              </w:rPr>
            </w:pPr>
          </w:p>
        </w:tc>
        <w:tc>
          <w:tcPr>
            <w:tcW w:w="840" w:type="dxa"/>
            <w:vAlign w:val="bottom"/>
            <w:tcBorders>
              <w:bottom w:val="single" w:sz="8" w:color="646464"/>
              <w:right w:val="single" w:sz="8" w:color="646464"/>
            </w:tcBorders>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1160" w:type="dxa"/>
            <w:vAlign w:val="bottom"/>
            <w:tcBorders>
              <w:right w:val="single" w:sz="8" w:color="646464"/>
            </w:tcBorders>
          </w:tcPr>
          <w:p>
            <w:pPr>
              <w:spacing w:after="0"/>
              <w:rPr>
                <w:sz w:val="18"/>
                <w:szCs w:val="18"/>
                <w:color w:val="auto"/>
              </w:rPr>
            </w:pPr>
          </w:p>
        </w:tc>
        <w:tc>
          <w:tcPr>
            <w:tcW w:w="1400" w:type="dxa"/>
            <w:vAlign w:val="bottom"/>
            <w:tcBorders>
              <w:bottom w:val="single" w:sz="8" w:color="646464"/>
            </w:tcBorders>
          </w:tcPr>
          <w:p>
            <w:pPr>
              <w:spacing w:after="0"/>
              <w:rPr>
                <w:sz w:val="20"/>
                <w:szCs w:val="20"/>
                <w:color w:val="auto"/>
              </w:rPr>
            </w:pPr>
            <w:r>
              <w:rPr>
                <w:rFonts w:ascii="Calibri" w:cs="Calibri" w:eastAsia="Calibri" w:hAnsi="Calibri"/>
                <w:sz w:val="17"/>
                <w:szCs w:val="17"/>
                <w:b w:val="1"/>
                <w:bCs w:val="1"/>
                <w:color w:val="auto"/>
              </w:rPr>
              <w:t>Total</w:t>
            </w:r>
          </w:p>
        </w:tc>
        <w:tc>
          <w:tcPr>
            <w:tcW w:w="840" w:type="dxa"/>
            <w:vAlign w:val="bottom"/>
            <w:tcBorders>
              <w:bottom w:val="single" w:sz="8" w:color="646464"/>
              <w:right w:val="single" w:sz="8" w:color="646464"/>
            </w:tcBorders>
          </w:tcPr>
          <w:p>
            <w:pPr>
              <w:spacing w:after="0"/>
              <w:rPr>
                <w:sz w:val="18"/>
                <w:szCs w:val="18"/>
                <w:color w:val="auto"/>
              </w:rPr>
            </w:pPr>
          </w:p>
        </w:tc>
        <w:tc>
          <w:tcPr>
            <w:tcW w:w="1540" w:type="dxa"/>
            <w:vAlign w:val="bottom"/>
            <w:tcBorders>
              <w:bottom w:val="single" w:sz="8" w:color="646464"/>
            </w:tcBorders>
          </w:tcPr>
          <w:p>
            <w:pPr>
              <w:jc w:val="center"/>
              <w:ind w:right="133"/>
              <w:spacing w:after="0"/>
              <w:rPr>
                <w:sz w:val="20"/>
                <w:szCs w:val="20"/>
                <w:color w:val="auto"/>
              </w:rPr>
            </w:pPr>
            <w:r>
              <w:rPr>
                <w:rFonts w:ascii="Calibri" w:cs="Calibri" w:eastAsia="Calibri" w:hAnsi="Calibri"/>
                <w:sz w:val="17"/>
                <w:szCs w:val="17"/>
                <w:b w:val="1"/>
                <w:bCs w:val="1"/>
                <w:color w:val="auto"/>
              </w:rPr>
              <w:t>15,815</w:t>
            </w:r>
          </w:p>
        </w:tc>
        <w:tc>
          <w:tcPr>
            <w:tcW w:w="1120" w:type="dxa"/>
            <w:vAlign w:val="bottom"/>
            <w:tcBorders>
              <w:bottom w:val="single" w:sz="8" w:color="646464"/>
            </w:tcBorders>
          </w:tcPr>
          <w:p>
            <w:pPr>
              <w:jc w:val="center"/>
              <w:ind w:right="114"/>
              <w:spacing w:after="0"/>
              <w:rPr>
                <w:sz w:val="20"/>
                <w:szCs w:val="20"/>
                <w:color w:val="auto"/>
              </w:rPr>
            </w:pPr>
            <w:r>
              <w:rPr>
                <w:rFonts w:ascii="Calibri" w:cs="Calibri" w:eastAsia="Calibri" w:hAnsi="Calibri"/>
                <w:sz w:val="17"/>
                <w:szCs w:val="17"/>
                <w:b w:val="1"/>
                <w:bCs w:val="1"/>
                <w:color w:val="auto"/>
              </w:rPr>
              <w:t>15,066</w:t>
            </w:r>
          </w:p>
        </w:tc>
        <w:tc>
          <w:tcPr>
            <w:tcW w:w="1360" w:type="dxa"/>
            <w:vAlign w:val="bottom"/>
            <w:tcBorders>
              <w:bottom w:val="single" w:sz="8" w:color="646464"/>
              <w:right w:val="single" w:sz="8" w:color="646464"/>
            </w:tcBorders>
          </w:tcPr>
          <w:p>
            <w:pPr>
              <w:jc w:val="center"/>
              <w:spacing w:after="0"/>
              <w:rPr>
                <w:sz w:val="20"/>
                <w:szCs w:val="20"/>
                <w:color w:val="auto"/>
              </w:rPr>
            </w:pPr>
            <w:r>
              <w:rPr>
                <w:rFonts w:ascii="Calibri" w:cs="Calibri" w:eastAsia="Calibri" w:hAnsi="Calibri"/>
                <w:sz w:val="17"/>
                <w:szCs w:val="17"/>
                <w:b w:val="1"/>
                <w:bCs w:val="1"/>
                <w:color w:val="auto"/>
              </w:rPr>
              <w:t>15,869</w:t>
            </w:r>
          </w:p>
        </w:tc>
        <w:tc>
          <w:tcPr>
            <w:tcW w:w="1860" w:type="dxa"/>
            <w:vAlign w:val="bottom"/>
            <w:tcBorders>
              <w:bottom w:val="single" w:sz="8" w:color="646464"/>
            </w:tcBorders>
          </w:tcPr>
          <w:p>
            <w:pPr>
              <w:jc w:val="center"/>
              <w:ind w:right="434"/>
              <w:spacing w:after="0"/>
              <w:rPr>
                <w:sz w:val="20"/>
                <w:szCs w:val="20"/>
                <w:color w:val="auto"/>
              </w:rPr>
            </w:pPr>
            <w:r>
              <w:rPr>
                <w:rFonts w:ascii="Calibri" w:cs="Calibri" w:eastAsia="Calibri" w:hAnsi="Calibri"/>
                <w:sz w:val="17"/>
                <w:szCs w:val="17"/>
                <w:b w:val="1"/>
                <w:bCs w:val="1"/>
                <w:color w:val="auto"/>
              </w:rPr>
              <w:t>803</w:t>
            </w:r>
          </w:p>
        </w:tc>
        <w:tc>
          <w:tcPr>
            <w:tcW w:w="840" w:type="dxa"/>
            <w:vAlign w:val="bottom"/>
            <w:tcBorders>
              <w:bottom w:val="single" w:sz="8" w:color="646464"/>
              <w:right w:val="single" w:sz="8" w:color="646464"/>
            </w:tcBorders>
          </w:tcPr>
          <w:p>
            <w:pPr>
              <w:jc w:val="center"/>
              <w:ind w:right="473"/>
              <w:spacing w:after="0"/>
              <w:rPr>
                <w:sz w:val="20"/>
                <w:szCs w:val="20"/>
                <w:color w:val="auto"/>
              </w:rPr>
            </w:pPr>
            <w:r>
              <w:rPr>
                <w:rFonts w:ascii="Calibri" w:cs="Calibri" w:eastAsia="Calibri" w:hAnsi="Calibri"/>
                <w:sz w:val="17"/>
                <w:szCs w:val="17"/>
                <w:b w:val="1"/>
                <w:bCs w:val="1"/>
                <w:color w:val="auto"/>
                <w:w w:val="92"/>
              </w:rPr>
              <w:t>54</w:t>
            </w: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-1881505</wp:posOffset>
            </wp:positionV>
            <wp:extent cx="1016000" cy="141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148" w:lineRule="exact"/>
        <w:rPr>
          <w:sz w:val="20"/>
          <w:szCs w:val="20"/>
          <w:color w:val="auto"/>
        </w:rPr>
      </w:pPr>
    </w:p>
    <w:p>
      <w:pPr>
        <w:ind w:left="1900"/>
        <w:spacing w:after="0"/>
        <w:rPr>
          <w:sz w:val="20"/>
          <w:szCs w:val="20"/>
          <w:color w:val="auto"/>
        </w:rPr>
      </w:pPr>
      <w:r>
        <w:rPr>
          <w:rFonts w:ascii="Calibri" w:cs="Calibri" w:eastAsia="Calibri" w:hAnsi="Calibri"/>
          <w:sz w:val="11"/>
          <w:szCs w:val="11"/>
          <w:color w:val="auto"/>
        </w:rPr>
        <w:t>(1)Includes Physical Point of Contact of BCP Stand-Alone, Mibanco and BCP Bolivia</w:t>
      </w:r>
    </w:p>
    <w:p>
      <w:pPr>
        <w:spacing w:after="0" w:line="49" w:lineRule="exact"/>
        <w:rPr>
          <w:sz w:val="20"/>
          <w:szCs w:val="20"/>
          <w:color w:val="auto"/>
        </w:rPr>
      </w:pPr>
    </w:p>
    <w:p>
      <w:pPr>
        <w:ind w:left="1900"/>
        <w:spacing w:after="0"/>
        <w:rPr>
          <w:sz w:val="20"/>
          <w:szCs w:val="20"/>
          <w:color w:val="auto"/>
        </w:rPr>
      </w:pPr>
      <w:r>
        <w:rPr>
          <w:rFonts w:ascii="Calibri" w:cs="Calibri" w:eastAsia="Calibri" w:hAnsi="Calibri"/>
          <w:sz w:val="11"/>
          <w:szCs w:val="11"/>
          <w:color w:val="auto"/>
        </w:rPr>
        <w:t>(2)Includes Banco de la Nacion branches, which in December 23 were 36, in September 24 were 36 and in December 24 were 36</w:t>
      </w:r>
    </w:p>
    <w:p>
      <w:pPr>
        <w:spacing w:after="0" w:line="22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12.2. Loan Portolio Quality</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Portolio Quality Ratos by Segment</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131445</wp:posOffset>
            </wp:positionV>
            <wp:extent cx="5828665" cy="2056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28665" cy="205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142240</wp:posOffset>
            </wp:positionV>
            <wp:extent cx="5828665" cy="21399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28665"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ind w:left="2580"/>
        <w:spacing w:after="0"/>
        <w:tabs>
          <w:tab w:leader="none" w:pos="2860" w:val="left"/>
          <w:tab w:leader="none" w:pos="75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49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130" cy="44958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197485</wp:posOffset>
            </wp:positionV>
            <wp:extent cx="7136130" cy="2165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FFFFF"/>
        </w:rPr>
        <w:t>12. Appendix</w:t>
      </w:r>
    </w:p>
    <w:p>
      <w:pPr>
        <w:spacing w:after="0" w:line="214"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142240</wp:posOffset>
            </wp:positionV>
            <wp:extent cx="5828665" cy="20897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28665"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142240</wp:posOffset>
            </wp:positionV>
            <wp:extent cx="5828665" cy="21151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28665"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36830</wp:posOffset>
            </wp:positionV>
            <wp:extent cx="713613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40"/>
          </w:cols>
          <w:pgMar w:left="420" w:top="305" w:right="339" w:bottom="1440" w:gutter="0" w:footer="0" w:header="0"/>
        </w:sectPr>
      </w:pPr>
    </w:p>
    <w:bookmarkStart w:id="50" w:name="page51"/>
    <w:bookmarkEnd w:id="50"/>
    <w:p>
      <w:pPr>
        <w:ind w:left="2580"/>
        <w:spacing w:after="0"/>
        <w:tabs>
          <w:tab w:leader="none" w:pos="2860" w:val="left"/>
          <w:tab w:leader="none" w:pos="75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180975</wp:posOffset>
            </wp:positionV>
            <wp:extent cx="7136130" cy="2165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FFFFF"/>
        </w:rPr>
        <w:t>12. Appendix</w:t>
      </w:r>
    </w:p>
    <w:p>
      <w:pPr>
        <w:spacing w:after="0" w:line="214"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17780</wp:posOffset>
            </wp:positionV>
            <wp:extent cx="5828665" cy="21069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28665" cy="210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142240</wp:posOffset>
            </wp:positionV>
            <wp:extent cx="5828665" cy="21069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28665" cy="210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36830</wp:posOffset>
            </wp:positionV>
            <wp:extent cx="713613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40"/>
          </w:cols>
          <w:pgMar w:left="420" w:top="279" w:right="339" w:bottom="1440" w:gutter="0" w:footer="0" w:header="0"/>
        </w:sectPr>
      </w:pPr>
    </w:p>
    <w:bookmarkStart w:id="51" w:name="page52"/>
    <w:bookmarkEnd w:id="51"/>
    <w:p>
      <w:pPr>
        <w:ind w:left="2580"/>
        <w:spacing w:after="0"/>
        <w:tabs>
          <w:tab w:leader="none" w:pos="2860" w:val="left"/>
          <w:tab w:leader="none" w:pos="75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49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44958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197485</wp:posOffset>
            </wp:positionV>
            <wp:extent cx="7136130" cy="2165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FFFFF"/>
        </w:rPr>
        <w:t>12. Appendix</w:t>
      </w:r>
    </w:p>
    <w:p>
      <w:pPr>
        <w:spacing w:after="0" w:line="214"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142240</wp:posOffset>
            </wp:positionV>
            <wp:extent cx="5828665" cy="20815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2866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Calibri" w:cs="Calibri" w:eastAsia="Calibri" w:hAnsi="Calibri"/>
          <w:sz w:val="16"/>
          <w:szCs w:val="16"/>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142240</wp:posOffset>
            </wp:positionV>
            <wp:extent cx="5828665" cy="2431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28665"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36830</wp:posOffset>
            </wp:positionV>
            <wp:extent cx="713613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40"/>
          </w:cols>
          <w:pgMar w:left="420" w:top="305"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441"/>
        </w:trPr>
        <w:tc>
          <w:tcPr>
            <w:tcW w:w="5420" w:type="dxa"/>
            <w:vAlign w:val="bottom"/>
            <w:tcBorders>
              <w:left w:val="single" w:sz="8" w:color="auto"/>
            </w:tcBorders>
            <w:gridSpan w:val="2"/>
            <w:shd w:val="clear" w:color="auto" w:fill="000000"/>
          </w:tcPr>
          <w:p>
            <w:pPr>
              <w:ind w:left="2680"/>
              <w:spacing w:after="0"/>
              <w:rPr>
                <w:sz w:val="20"/>
                <w:szCs w:val="20"/>
                <w:color w:val="auto"/>
              </w:rPr>
            </w:pPr>
            <w:r>
              <w:rPr>
                <w:rFonts w:ascii="Calibri" w:cs="Calibri" w:eastAsia="Calibri" w:hAnsi="Calibri"/>
                <w:sz w:val="19"/>
                <w:szCs w:val="19"/>
                <w:color w:val="A6A6A6"/>
              </w:rPr>
              <w:t xml:space="preserve">|  </w:t>
            </w:r>
            <w:r>
              <w:rPr>
                <w:rFonts w:ascii="Calibri" w:cs="Calibri" w:eastAsia="Calibri" w:hAnsi="Calibri"/>
                <w:sz w:val="15"/>
                <w:szCs w:val="15"/>
                <w:color w:val="FFFFFF"/>
              </w:rPr>
              <w:t>Earnings Release 4Q / 2024</w:t>
            </w:r>
          </w:p>
        </w:tc>
        <w:tc>
          <w:tcPr>
            <w:tcW w:w="860" w:type="dxa"/>
            <w:vAlign w:val="bottom"/>
            <w:shd w:val="clear" w:color="auto" w:fill="000000"/>
          </w:tcPr>
          <w:p>
            <w:pPr>
              <w:spacing w:after="0"/>
              <w:rPr>
                <w:sz w:val="24"/>
                <w:szCs w:val="24"/>
                <w:color w:val="auto"/>
              </w:rPr>
            </w:pPr>
          </w:p>
        </w:tc>
        <w:tc>
          <w:tcPr>
            <w:tcW w:w="900" w:type="dxa"/>
            <w:vAlign w:val="bottom"/>
            <w:tcBorders>
              <w:right w:val="single" w:sz="8" w:color="auto"/>
            </w:tcBorders>
            <w:shd w:val="clear" w:color="auto" w:fill="000000"/>
          </w:tcPr>
          <w:p>
            <w:pPr>
              <w:spacing w:after="0"/>
              <w:rPr>
                <w:sz w:val="24"/>
                <w:szCs w:val="24"/>
                <w:color w:val="auto"/>
              </w:rPr>
            </w:pPr>
          </w:p>
        </w:tc>
        <w:tc>
          <w:tcPr>
            <w:tcW w:w="3040" w:type="dxa"/>
            <w:vAlign w:val="bottom"/>
            <w:tcBorders>
              <w:right w:val="single" w:sz="8" w:color="auto"/>
            </w:tcBorders>
            <w:gridSpan w:val="4"/>
            <w:shd w:val="clear" w:color="auto" w:fill="000000"/>
          </w:tcPr>
          <w:p>
            <w:pPr>
              <w:ind w:left="480"/>
              <w:spacing w:after="0"/>
              <w:rPr>
                <w:sz w:val="20"/>
                <w:szCs w:val="20"/>
                <w:color w:val="auto"/>
              </w:rPr>
            </w:pPr>
            <w:r>
              <w:rPr>
                <w:rFonts w:ascii="Calibri" w:cs="Calibri" w:eastAsia="Calibri" w:hAnsi="Calibri"/>
                <w:sz w:val="16"/>
                <w:szCs w:val="16"/>
                <w:color w:val="ED3FA8"/>
              </w:rPr>
              <w:t>Analysis of 4Q24 Consolidated Results</w:t>
            </w:r>
          </w:p>
        </w:tc>
        <w:tc>
          <w:tcPr>
            <w:tcW w:w="1020" w:type="dxa"/>
            <w:vAlign w:val="bottom"/>
            <w:shd w:val="clear" w:color="auto" w:fill="000000"/>
          </w:tcPr>
          <w:p>
            <w:pPr>
              <w:spacing w:after="0"/>
              <w:rPr>
                <w:sz w:val="24"/>
                <w:szCs w:val="24"/>
                <w:color w:val="auto"/>
              </w:rPr>
            </w:pPr>
          </w:p>
        </w:tc>
        <w:tc>
          <w:tcPr>
            <w:tcW w:w="120" w:type="dxa"/>
            <w:vAlign w:val="bottom"/>
          </w:tcPr>
          <w:p>
            <w:pPr>
              <w:spacing w:after="0"/>
              <w:rPr>
                <w:sz w:val="24"/>
                <w:szCs w:val="24"/>
                <w:color w:val="auto"/>
              </w:rPr>
            </w:pPr>
          </w:p>
        </w:tc>
      </w:tr>
      <w:tr>
        <w:trPr>
          <w:trHeight w:val="267"/>
        </w:trPr>
        <w:tc>
          <w:tcPr>
            <w:tcW w:w="4560" w:type="dxa"/>
            <w:vAlign w:val="bottom"/>
            <w:tcBorders>
              <w:left w:val="single" w:sz="8" w:color="auto"/>
              <w:right w:val="single" w:sz="8" w:color="auto"/>
            </w:tcBorders>
            <w:shd w:val="clear" w:color="auto" w:fill="000000"/>
          </w:tcPr>
          <w:p>
            <w:pPr>
              <w:spacing w:after="0"/>
              <w:rPr>
                <w:sz w:val="23"/>
                <w:szCs w:val="23"/>
                <w:color w:val="auto"/>
              </w:rPr>
            </w:pPr>
          </w:p>
        </w:tc>
        <w:tc>
          <w:tcPr>
            <w:tcW w:w="860" w:type="dxa"/>
            <w:vAlign w:val="bottom"/>
            <w:shd w:val="clear" w:color="auto" w:fill="000000"/>
          </w:tcPr>
          <w:p>
            <w:pPr>
              <w:spacing w:after="0"/>
              <w:rPr>
                <w:sz w:val="23"/>
                <w:szCs w:val="23"/>
                <w:color w:val="auto"/>
              </w:rPr>
            </w:pPr>
          </w:p>
        </w:tc>
        <w:tc>
          <w:tcPr>
            <w:tcW w:w="860" w:type="dxa"/>
            <w:vAlign w:val="bottom"/>
            <w:shd w:val="clear" w:color="auto" w:fill="000000"/>
          </w:tcPr>
          <w:p>
            <w:pPr>
              <w:spacing w:after="0"/>
              <w:rPr>
                <w:sz w:val="23"/>
                <w:szCs w:val="23"/>
                <w:color w:val="auto"/>
              </w:rPr>
            </w:pPr>
          </w:p>
        </w:tc>
        <w:tc>
          <w:tcPr>
            <w:tcW w:w="900" w:type="dxa"/>
            <w:vAlign w:val="bottom"/>
            <w:tcBorders>
              <w:right w:val="single" w:sz="8" w:color="auto"/>
            </w:tcBorders>
            <w:shd w:val="clear" w:color="auto" w:fill="000000"/>
          </w:tcPr>
          <w:p>
            <w:pPr>
              <w:spacing w:after="0"/>
              <w:rPr>
                <w:sz w:val="23"/>
                <w:szCs w:val="23"/>
                <w:color w:val="auto"/>
              </w:rPr>
            </w:pPr>
          </w:p>
        </w:tc>
        <w:tc>
          <w:tcPr>
            <w:tcW w:w="620" w:type="dxa"/>
            <w:vAlign w:val="bottom"/>
            <w:shd w:val="clear" w:color="auto" w:fill="000000"/>
          </w:tcPr>
          <w:p>
            <w:pPr>
              <w:spacing w:after="0"/>
              <w:rPr>
                <w:sz w:val="23"/>
                <w:szCs w:val="23"/>
                <w:color w:val="auto"/>
              </w:rPr>
            </w:pPr>
          </w:p>
        </w:tc>
        <w:tc>
          <w:tcPr>
            <w:tcW w:w="680" w:type="dxa"/>
            <w:vAlign w:val="bottom"/>
            <w:tcBorders>
              <w:right w:val="single" w:sz="8" w:color="auto"/>
            </w:tcBorders>
            <w:shd w:val="clear" w:color="auto" w:fill="000000"/>
          </w:tcPr>
          <w:p>
            <w:pPr>
              <w:spacing w:after="0"/>
              <w:rPr>
                <w:sz w:val="23"/>
                <w:szCs w:val="23"/>
                <w:color w:val="auto"/>
              </w:rPr>
            </w:pPr>
          </w:p>
        </w:tc>
        <w:tc>
          <w:tcPr>
            <w:tcW w:w="860" w:type="dxa"/>
            <w:vAlign w:val="bottom"/>
            <w:shd w:val="clear" w:color="auto" w:fill="000000"/>
          </w:tcPr>
          <w:p>
            <w:pPr>
              <w:spacing w:after="0"/>
              <w:rPr>
                <w:sz w:val="23"/>
                <w:szCs w:val="23"/>
                <w:color w:val="auto"/>
              </w:rPr>
            </w:pPr>
          </w:p>
        </w:tc>
        <w:tc>
          <w:tcPr>
            <w:tcW w:w="880" w:type="dxa"/>
            <w:vAlign w:val="bottom"/>
            <w:tcBorders>
              <w:right w:val="single" w:sz="8" w:color="auto"/>
            </w:tcBorders>
            <w:shd w:val="clear" w:color="auto" w:fill="000000"/>
          </w:tcPr>
          <w:p>
            <w:pPr>
              <w:spacing w:after="0"/>
              <w:rPr>
                <w:sz w:val="23"/>
                <w:szCs w:val="23"/>
                <w:color w:val="auto"/>
              </w:rPr>
            </w:pPr>
          </w:p>
        </w:tc>
        <w:tc>
          <w:tcPr>
            <w:tcW w:w="1020" w:type="dxa"/>
            <w:vAlign w:val="bottom"/>
            <w:shd w:val="clear" w:color="auto" w:fill="000000"/>
          </w:tcPr>
          <w:p>
            <w:pPr>
              <w:spacing w:after="0"/>
              <w:rPr>
                <w:sz w:val="23"/>
                <w:szCs w:val="23"/>
                <w:color w:val="auto"/>
              </w:rPr>
            </w:pPr>
          </w:p>
        </w:tc>
        <w:tc>
          <w:tcPr>
            <w:tcW w:w="120" w:type="dxa"/>
            <w:vAlign w:val="bottom"/>
          </w:tcPr>
          <w:p>
            <w:pPr>
              <w:spacing w:after="0"/>
              <w:rPr>
                <w:sz w:val="23"/>
                <w:szCs w:val="23"/>
                <w:color w:val="auto"/>
              </w:rPr>
            </w:pPr>
          </w:p>
        </w:tc>
      </w:tr>
      <w:tr>
        <w:trPr>
          <w:trHeight w:val="258"/>
        </w:trPr>
        <w:tc>
          <w:tcPr>
            <w:tcW w:w="4560" w:type="dxa"/>
            <w:vAlign w:val="bottom"/>
            <w:tcBorders>
              <w:left w:val="single" w:sz="8" w:color="E93BAC"/>
              <w:right w:val="single" w:sz="8" w:color="E93BAC"/>
            </w:tcBorders>
            <w:shd w:val="clear" w:color="auto" w:fill="E93BAC"/>
          </w:tcPr>
          <w:p>
            <w:pPr>
              <w:ind w:left="100"/>
              <w:spacing w:after="0"/>
              <w:rPr>
                <w:sz w:val="20"/>
                <w:szCs w:val="20"/>
                <w:color w:val="auto"/>
              </w:rPr>
            </w:pPr>
            <w:r>
              <w:rPr>
                <w:rFonts w:ascii="Calibri" w:cs="Calibri" w:eastAsia="Calibri" w:hAnsi="Calibri"/>
                <w:sz w:val="19"/>
                <w:szCs w:val="19"/>
                <w:b w:val="1"/>
                <w:bCs w:val="1"/>
                <w:color w:val="FFFFFF"/>
              </w:rPr>
              <w:t>12. Appendix</w:t>
            </w:r>
          </w:p>
        </w:tc>
        <w:tc>
          <w:tcPr>
            <w:tcW w:w="860" w:type="dxa"/>
            <w:vAlign w:val="bottom"/>
            <w:shd w:val="clear" w:color="auto" w:fill="E93BAC"/>
          </w:tcPr>
          <w:p>
            <w:pPr>
              <w:spacing w:after="0"/>
              <w:rPr>
                <w:sz w:val="22"/>
                <w:szCs w:val="22"/>
                <w:color w:val="auto"/>
              </w:rPr>
            </w:pPr>
          </w:p>
        </w:tc>
        <w:tc>
          <w:tcPr>
            <w:tcW w:w="860" w:type="dxa"/>
            <w:vAlign w:val="bottom"/>
            <w:shd w:val="clear" w:color="auto" w:fill="E93BAC"/>
          </w:tcPr>
          <w:p>
            <w:pPr>
              <w:spacing w:after="0"/>
              <w:rPr>
                <w:sz w:val="22"/>
                <w:szCs w:val="22"/>
                <w:color w:val="auto"/>
              </w:rPr>
            </w:pPr>
          </w:p>
        </w:tc>
        <w:tc>
          <w:tcPr>
            <w:tcW w:w="900" w:type="dxa"/>
            <w:vAlign w:val="bottom"/>
            <w:tcBorders>
              <w:right w:val="single" w:sz="8" w:color="E93BAC"/>
            </w:tcBorders>
            <w:shd w:val="clear" w:color="auto" w:fill="E93BAC"/>
          </w:tcPr>
          <w:p>
            <w:pPr>
              <w:spacing w:after="0"/>
              <w:rPr>
                <w:sz w:val="22"/>
                <w:szCs w:val="22"/>
                <w:color w:val="auto"/>
              </w:rPr>
            </w:pPr>
          </w:p>
        </w:tc>
        <w:tc>
          <w:tcPr>
            <w:tcW w:w="620" w:type="dxa"/>
            <w:vAlign w:val="bottom"/>
            <w:shd w:val="clear" w:color="auto" w:fill="E93BAC"/>
          </w:tcPr>
          <w:p>
            <w:pPr>
              <w:spacing w:after="0"/>
              <w:rPr>
                <w:sz w:val="22"/>
                <w:szCs w:val="22"/>
                <w:color w:val="auto"/>
              </w:rPr>
            </w:pPr>
          </w:p>
        </w:tc>
        <w:tc>
          <w:tcPr>
            <w:tcW w:w="680" w:type="dxa"/>
            <w:vAlign w:val="bottom"/>
            <w:tcBorders>
              <w:right w:val="single" w:sz="8" w:color="E93BAC"/>
            </w:tcBorders>
            <w:shd w:val="clear" w:color="auto" w:fill="E93BAC"/>
          </w:tcPr>
          <w:p>
            <w:pPr>
              <w:spacing w:after="0"/>
              <w:rPr>
                <w:sz w:val="22"/>
                <w:szCs w:val="22"/>
                <w:color w:val="auto"/>
              </w:rPr>
            </w:pPr>
          </w:p>
        </w:tc>
        <w:tc>
          <w:tcPr>
            <w:tcW w:w="860" w:type="dxa"/>
            <w:vAlign w:val="bottom"/>
            <w:shd w:val="clear" w:color="auto" w:fill="E93BAC"/>
          </w:tcPr>
          <w:p>
            <w:pPr>
              <w:spacing w:after="0"/>
              <w:rPr>
                <w:sz w:val="22"/>
                <w:szCs w:val="22"/>
                <w:color w:val="auto"/>
              </w:rPr>
            </w:pPr>
          </w:p>
        </w:tc>
        <w:tc>
          <w:tcPr>
            <w:tcW w:w="880" w:type="dxa"/>
            <w:vAlign w:val="bottom"/>
            <w:tcBorders>
              <w:right w:val="single" w:sz="8" w:color="E93BAC"/>
            </w:tcBorders>
            <w:shd w:val="clear" w:color="auto" w:fill="E93BAC"/>
          </w:tcPr>
          <w:p>
            <w:pPr>
              <w:spacing w:after="0"/>
              <w:rPr>
                <w:sz w:val="22"/>
                <w:szCs w:val="22"/>
                <w:color w:val="auto"/>
              </w:rPr>
            </w:pPr>
          </w:p>
        </w:tc>
        <w:tc>
          <w:tcPr>
            <w:tcW w:w="1020" w:type="dxa"/>
            <w:vAlign w:val="bottom"/>
            <w:shd w:val="clear" w:color="auto" w:fill="E93BAC"/>
          </w:tcPr>
          <w:p>
            <w:pPr>
              <w:spacing w:after="0"/>
              <w:rPr>
                <w:sz w:val="22"/>
                <w:szCs w:val="22"/>
                <w:color w:val="auto"/>
              </w:rPr>
            </w:pPr>
          </w:p>
        </w:tc>
        <w:tc>
          <w:tcPr>
            <w:tcW w:w="120" w:type="dxa"/>
            <w:vAlign w:val="bottom"/>
          </w:tcPr>
          <w:p>
            <w:pPr>
              <w:spacing w:after="0"/>
              <w:rPr>
                <w:sz w:val="22"/>
                <w:szCs w:val="22"/>
                <w:color w:val="auto"/>
              </w:rPr>
            </w:pPr>
          </w:p>
        </w:tc>
      </w:tr>
      <w:tr>
        <w:trPr>
          <w:trHeight w:val="83"/>
        </w:trPr>
        <w:tc>
          <w:tcPr>
            <w:tcW w:w="4560" w:type="dxa"/>
            <w:vAlign w:val="bottom"/>
            <w:tcBorders>
              <w:left w:val="single" w:sz="8" w:color="E93BAC"/>
              <w:right w:val="single" w:sz="8" w:color="E93BAC"/>
            </w:tcBorders>
            <w:shd w:val="clear" w:color="auto" w:fill="E93BAC"/>
          </w:tcPr>
          <w:p>
            <w:pPr>
              <w:spacing w:after="0"/>
              <w:rPr>
                <w:sz w:val="7"/>
                <w:szCs w:val="7"/>
                <w:color w:val="auto"/>
              </w:rPr>
            </w:pPr>
          </w:p>
        </w:tc>
        <w:tc>
          <w:tcPr>
            <w:tcW w:w="860" w:type="dxa"/>
            <w:vAlign w:val="bottom"/>
            <w:shd w:val="clear" w:color="auto" w:fill="E93BAC"/>
          </w:tcPr>
          <w:p>
            <w:pPr>
              <w:spacing w:after="0"/>
              <w:rPr>
                <w:sz w:val="7"/>
                <w:szCs w:val="7"/>
                <w:color w:val="auto"/>
              </w:rPr>
            </w:pPr>
          </w:p>
        </w:tc>
        <w:tc>
          <w:tcPr>
            <w:tcW w:w="860" w:type="dxa"/>
            <w:vAlign w:val="bottom"/>
            <w:shd w:val="clear" w:color="auto" w:fill="E93BAC"/>
          </w:tcPr>
          <w:p>
            <w:pPr>
              <w:spacing w:after="0"/>
              <w:rPr>
                <w:sz w:val="7"/>
                <w:szCs w:val="7"/>
                <w:color w:val="auto"/>
              </w:rPr>
            </w:pPr>
          </w:p>
        </w:tc>
        <w:tc>
          <w:tcPr>
            <w:tcW w:w="900" w:type="dxa"/>
            <w:vAlign w:val="bottom"/>
            <w:tcBorders>
              <w:right w:val="single" w:sz="8" w:color="E93BAC"/>
            </w:tcBorders>
            <w:shd w:val="clear" w:color="auto" w:fill="E93BAC"/>
          </w:tcPr>
          <w:p>
            <w:pPr>
              <w:spacing w:after="0"/>
              <w:rPr>
                <w:sz w:val="7"/>
                <w:szCs w:val="7"/>
                <w:color w:val="auto"/>
              </w:rPr>
            </w:pPr>
          </w:p>
        </w:tc>
        <w:tc>
          <w:tcPr>
            <w:tcW w:w="620" w:type="dxa"/>
            <w:vAlign w:val="bottom"/>
            <w:shd w:val="clear" w:color="auto" w:fill="E93BAC"/>
          </w:tcPr>
          <w:p>
            <w:pPr>
              <w:spacing w:after="0"/>
              <w:rPr>
                <w:sz w:val="7"/>
                <w:szCs w:val="7"/>
                <w:color w:val="auto"/>
              </w:rPr>
            </w:pPr>
          </w:p>
        </w:tc>
        <w:tc>
          <w:tcPr>
            <w:tcW w:w="680" w:type="dxa"/>
            <w:vAlign w:val="bottom"/>
            <w:tcBorders>
              <w:right w:val="single" w:sz="8" w:color="E93BAC"/>
            </w:tcBorders>
            <w:shd w:val="clear" w:color="auto" w:fill="E93BAC"/>
          </w:tcPr>
          <w:p>
            <w:pPr>
              <w:spacing w:after="0"/>
              <w:rPr>
                <w:sz w:val="7"/>
                <w:szCs w:val="7"/>
                <w:color w:val="auto"/>
              </w:rPr>
            </w:pPr>
          </w:p>
        </w:tc>
        <w:tc>
          <w:tcPr>
            <w:tcW w:w="860" w:type="dxa"/>
            <w:vAlign w:val="bottom"/>
            <w:shd w:val="clear" w:color="auto" w:fill="E93BAC"/>
          </w:tcPr>
          <w:p>
            <w:pPr>
              <w:spacing w:after="0"/>
              <w:rPr>
                <w:sz w:val="7"/>
                <w:szCs w:val="7"/>
                <w:color w:val="auto"/>
              </w:rPr>
            </w:pPr>
          </w:p>
        </w:tc>
        <w:tc>
          <w:tcPr>
            <w:tcW w:w="880" w:type="dxa"/>
            <w:vAlign w:val="bottom"/>
            <w:tcBorders>
              <w:right w:val="single" w:sz="8" w:color="E93BAC"/>
            </w:tcBorders>
            <w:shd w:val="clear" w:color="auto" w:fill="E93BAC"/>
          </w:tcPr>
          <w:p>
            <w:pPr>
              <w:spacing w:after="0"/>
              <w:rPr>
                <w:sz w:val="7"/>
                <w:szCs w:val="7"/>
                <w:color w:val="auto"/>
              </w:rPr>
            </w:pPr>
          </w:p>
        </w:tc>
        <w:tc>
          <w:tcPr>
            <w:tcW w:w="1020" w:type="dxa"/>
            <w:vAlign w:val="bottom"/>
            <w:shd w:val="clear" w:color="auto" w:fill="E93BAC"/>
          </w:tcPr>
          <w:p>
            <w:pPr>
              <w:spacing w:after="0"/>
              <w:rPr>
                <w:sz w:val="7"/>
                <w:szCs w:val="7"/>
                <w:color w:val="auto"/>
              </w:rPr>
            </w:pPr>
          </w:p>
        </w:tc>
        <w:tc>
          <w:tcPr>
            <w:tcW w:w="120" w:type="dxa"/>
            <w:vAlign w:val="bottom"/>
          </w:tcPr>
          <w:p>
            <w:pPr>
              <w:spacing w:after="0"/>
              <w:rPr>
                <w:sz w:val="7"/>
                <w:szCs w:val="7"/>
                <w:color w:val="auto"/>
              </w:rPr>
            </w:pPr>
          </w:p>
        </w:tc>
      </w:tr>
      <w:tr>
        <w:trPr>
          <w:trHeight w:val="344"/>
        </w:trPr>
        <w:tc>
          <w:tcPr>
            <w:tcW w:w="4560" w:type="dxa"/>
            <w:vAlign w:val="bottom"/>
          </w:tcPr>
          <w:p>
            <w:pPr>
              <w:ind w:left="320"/>
              <w:spacing w:after="0"/>
              <w:rPr>
                <w:sz w:val="20"/>
                <w:szCs w:val="20"/>
                <w:color w:val="auto"/>
              </w:rPr>
            </w:pPr>
            <w:r>
              <w:rPr>
                <w:rFonts w:ascii="Calibri" w:cs="Calibri" w:eastAsia="Calibri" w:hAnsi="Calibri"/>
                <w:sz w:val="17"/>
                <w:szCs w:val="17"/>
                <w:b w:val="1"/>
                <w:bCs w:val="1"/>
                <w:color w:val="auto"/>
              </w:rPr>
              <w:t>12.3. Net Interest Income (NII)</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6"/>
        </w:trPr>
        <w:tc>
          <w:tcPr>
            <w:tcW w:w="4560" w:type="dxa"/>
            <w:vAlign w:val="bottom"/>
          </w:tcPr>
          <w:p>
            <w:pPr>
              <w:spacing w:after="0"/>
              <w:rPr>
                <w:sz w:val="24"/>
                <w:szCs w:val="24"/>
                <w:color w:val="auto"/>
              </w:rPr>
            </w:pPr>
          </w:p>
        </w:tc>
        <w:tc>
          <w:tcPr>
            <w:tcW w:w="1720" w:type="dxa"/>
            <w:vAlign w:val="bottom"/>
            <w:gridSpan w:val="2"/>
          </w:tcPr>
          <w:p>
            <w:pPr>
              <w:ind w:left="500"/>
              <w:spacing w:after="0"/>
              <w:rPr>
                <w:sz w:val="20"/>
                <w:szCs w:val="20"/>
                <w:color w:val="auto"/>
              </w:rPr>
            </w:pPr>
            <w:r>
              <w:rPr>
                <w:rFonts w:ascii="Calibri" w:cs="Calibri" w:eastAsia="Calibri" w:hAnsi="Calibri"/>
                <w:sz w:val="16"/>
                <w:szCs w:val="16"/>
                <w:b w:val="1"/>
                <w:bCs w:val="1"/>
                <w:color w:val="auto"/>
              </w:rPr>
              <w:t>NII Summary</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4"/>
        </w:trPr>
        <w:tc>
          <w:tcPr>
            <w:tcW w:w="4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spacing w:after="0"/>
              <w:rPr>
                <w:sz w:val="19"/>
                <w:szCs w:val="19"/>
                <w:color w:val="auto"/>
              </w:rPr>
            </w:pPr>
          </w:p>
        </w:tc>
        <w:tc>
          <w:tcPr>
            <w:tcW w:w="1740" w:type="dxa"/>
            <w:vAlign w:val="bottom"/>
            <w:tcBorders>
              <w:bottom w:val="single" w:sz="8" w:color="auto"/>
            </w:tcBorders>
            <w:gridSpan w:val="2"/>
          </w:tcPr>
          <w:p>
            <w:pPr>
              <w:spacing w:after="0"/>
              <w:rPr>
                <w:sz w:val="19"/>
                <w:szCs w:val="19"/>
                <w:color w:val="auto"/>
              </w:rPr>
            </w:pPr>
          </w:p>
        </w:tc>
        <w:tc>
          <w:tcPr>
            <w:tcW w:w="1140" w:type="dxa"/>
            <w:vAlign w:val="bottom"/>
            <w:tcBorders>
              <w:bottom w:val="single" w:sz="8" w:color="auto"/>
            </w:tcBorders>
            <w:gridSpan w:val="2"/>
          </w:tcPr>
          <w:p>
            <w:pPr>
              <w:spacing w:after="0"/>
              <w:rPr>
                <w:sz w:val="19"/>
                <w:szCs w:val="19"/>
                <w:color w:val="auto"/>
              </w:rPr>
            </w:pPr>
          </w:p>
        </w:tc>
      </w:tr>
      <w:tr>
        <w:trPr>
          <w:trHeight w:val="200"/>
        </w:trPr>
        <w:tc>
          <w:tcPr>
            <w:tcW w:w="4560" w:type="dxa"/>
            <w:vAlign w:val="bottom"/>
            <w:tcBorders>
              <w:left w:val="single" w:sz="8" w:color="auto"/>
              <w:right w:val="single" w:sz="8" w:color="auto"/>
            </w:tcBorders>
            <w:shd w:val="clear" w:color="auto" w:fill="33CCCC"/>
          </w:tcPr>
          <w:p>
            <w:pPr>
              <w:ind w:left="20"/>
              <w:spacing w:after="0" w:line="200" w:lineRule="exact"/>
              <w:rPr>
                <w:sz w:val="20"/>
                <w:szCs w:val="20"/>
                <w:color w:val="auto"/>
              </w:rPr>
            </w:pPr>
            <w:r>
              <w:rPr>
                <w:rFonts w:ascii="Calibri" w:cs="Calibri" w:eastAsia="Calibri" w:hAnsi="Calibri"/>
                <w:sz w:val="17"/>
                <w:szCs w:val="17"/>
                <w:b w:val="1"/>
                <w:bCs w:val="1"/>
                <w:color w:val="FFFFFF"/>
              </w:rPr>
              <w:t>Net interest income</w:t>
            </w:r>
          </w:p>
        </w:tc>
        <w:tc>
          <w:tcPr>
            <w:tcW w:w="860" w:type="dxa"/>
            <w:vAlign w:val="bottom"/>
            <w:shd w:val="clear" w:color="auto" w:fill="33CCCC"/>
          </w:tcPr>
          <w:p>
            <w:pPr>
              <w:spacing w:after="0"/>
              <w:rPr>
                <w:sz w:val="17"/>
                <w:szCs w:val="17"/>
                <w:color w:val="auto"/>
              </w:rPr>
            </w:pPr>
          </w:p>
        </w:tc>
        <w:tc>
          <w:tcPr>
            <w:tcW w:w="860" w:type="dxa"/>
            <w:vAlign w:val="bottom"/>
            <w:shd w:val="clear" w:color="auto" w:fill="33CCCC"/>
          </w:tcPr>
          <w:p>
            <w:pPr>
              <w:ind w:left="160"/>
              <w:spacing w:after="0" w:line="200" w:lineRule="exact"/>
              <w:rPr>
                <w:sz w:val="20"/>
                <w:szCs w:val="20"/>
                <w:color w:val="auto"/>
              </w:rPr>
            </w:pPr>
            <w:r>
              <w:rPr>
                <w:rFonts w:ascii="Calibri" w:cs="Calibri" w:eastAsia="Calibri" w:hAnsi="Calibri"/>
                <w:sz w:val="17"/>
                <w:szCs w:val="17"/>
                <w:b w:val="1"/>
                <w:bCs w:val="1"/>
                <w:color w:val="FFFFFF"/>
              </w:rPr>
              <w:t>Quarter</w:t>
            </w:r>
          </w:p>
        </w:tc>
        <w:tc>
          <w:tcPr>
            <w:tcW w:w="900" w:type="dxa"/>
            <w:vAlign w:val="bottom"/>
            <w:tcBorders>
              <w:right w:val="single" w:sz="8" w:color="auto"/>
            </w:tcBorders>
            <w:shd w:val="clear" w:color="auto" w:fill="33CCCC"/>
          </w:tcPr>
          <w:p>
            <w:pPr>
              <w:spacing w:after="0"/>
              <w:rPr>
                <w:sz w:val="17"/>
                <w:szCs w:val="17"/>
                <w:color w:val="auto"/>
              </w:rPr>
            </w:pPr>
          </w:p>
        </w:tc>
        <w:tc>
          <w:tcPr>
            <w:tcW w:w="1300" w:type="dxa"/>
            <w:vAlign w:val="bottom"/>
            <w:tcBorders>
              <w:right w:val="single" w:sz="8" w:color="auto"/>
            </w:tcBorders>
            <w:gridSpan w:val="2"/>
            <w:shd w:val="clear" w:color="auto" w:fill="33CCCC"/>
          </w:tcPr>
          <w:p>
            <w:pPr>
              <w:jc w:val="center"/>
              <w:spacing w:after="0" w:line="200" w:lineRule="exact"/>
              <w:rPr>
                <w:sz w:val="20"/>
                <w:szCs w:val="20"/>
                <w:color w:val="auto"/>
              </w:rPr>
            </w:pPr>
            <w:r>
              <w:rPr>
                <w:rFonts w:ascii="Calibri" w:cs="Calibri" w:eastAsia="Calibri" w:hAnsi="Calibri"/>
                <w:sz w:val="17"/>
                <w:szCs w:val="17"/>
                <w:b w:val="1"/>
                <w:bCs w:val="1"/>
                <w:color w:val="FFFFFF"/>
                <w:w w:val="99"/>
              </w:rPr>
              <w:t>% change</w:t>
            </w:r>
          </w:p>
        </w:tc>
        <w:tc>
          <w:tcPr>
            <w:tcW w:w="1740" w:type="dxa"/>
            <w:vAlign w:val="bottom"/>
            <w:tcBorders>
              <w:right w:val="single" w:sz="8" w:color="auto"/>
            </w:tcBorders>
            <w:gridSpan w:val="2"/>
            <w:shd w:val="clear" w:color="auto" w:fill="33CCCC"/>
          </w:tcPr>
          <w:p>
            <w:pPr>
              <w:ind w:left="660"/>
              <w:spacing w:after="0" w:line="200" w:lineRule="exact"/>
              <w:rPr>
                <w:sz w:val="20"/>
                <w:szCs w:val="20"/>
                <w:color w:val="auto"/>
              </w:rPr>
            </w:pPr>
            <w:r>
              <w:rPr>
                <w:rFonts w:ascii="Calibri" w:cs="Calibri" w:eastAsia="Calibri" w:hAnsi="Calibri"/>
                <w:sz w:val="17"/>
                <w:szCs w:val="17"/>
                <w:b w:val="1"/>
                <w:bCs w:val="1"/>
                <w:color w:val="FFFFFF"/>
              </w:rPr>
              <w:t>Up to</w:t>
            </w:r>
          </w:p>
        </w:tc>
        <w:tc>
          <w:tcPr>
            <w:tcW w:w="1140" w:type="dxa"/>
            <w:vAlign w:val="bottom"/>
            <w:tcBorders>
              <w:right w:val="single" w:sz="8" w:color="auto"/>
            </w:tcBorders>
            <w:gridSpan w:val="2"/>
            <w:shd w:val="clear" w:color="auto" w:fill="33CCCC"/>
          </w:tcPr>
          <w:p>
            <w:pPr>
              <w:jc w:val="center"/>
              <w:ind w:right="20"/>
              <w:spacing w:after="0" w:line="200" w:lineRule="exact"/>
              <w:rPr>
                <w:sz w:val="20"/>
                <w:szCs w:val="20"/>
                <w:color w:val="auto"/>
              </w:rPr>
            </w:pPr>
            <w:r>
              <w:rPr>
                <w:rFonts w:ascii="Calibri" w:cs="Calibri" w:eastAsia="Calibri" w:hAnsi="Calibri"/>
                <w:sz w:val="17"/>
                <w:szCs w:val="17"/>
                <w:b w:val="1"/>
                <w:bCs w:val="1"/>
                <w:color w:val="FFFFFF"/>
              </w:rPr>
              <w:t>% change</w:t>
            </w:r>
          </w:p>
        </w:tc>
      </w:tr>
      <w:tr>
        <w:trPr>
          <w:trHeight w:val="186"/>
        </w:trPr>
        <w:tc>
          <w:tcPr>
            <w:tcW w:w="4560" w:type="dxa"/>
            <w:vAlign w:val="bottom"/>
            <w:tcBorders>
              <w:left w:val="single" w:sz="8" w:color="auto"/>
              <w:bottom w:val="single" w:sz="8" w:color="auto"/>
              <w:right w:val="single" w:sz="8" w:color="auto"/>
            </w:tcBorders>
            <w:shd w:val="clear" w:color="auto" w:fill="33CCCC"/>
          </w:tcPr>
          <w:p>
            <w:pPr>
              <w:spacing w:after="0"/>
              <w:rPr>
                <w:sz w:val="16"/>
                <w:szCs w:val="16"/>
                <w:color w:val="auto"/>
              </w:rPr>
            </w:pPr>
          </w:p>
        </w:tc>
        <w:tc>
          <w:tcPr>
            <w:tcW w:w="860" w:type="dxa"/>
            <w:vAlign w:val="bottom"/>
            <w:tcBorders>
              <w:bottom w:val="single" w:sz="8" w:color="auto"/>
            </w:tcBorders>
            <w:shd w:val="clear" w:color="auto" w:fill="33CCCC"/>
          </w:tcPr>
          <w:p>
            <w:pPr>
              <w:spacing w:after="0"/>
              <w:rPr>
                <w:sz w:val="16"/>
                <w:szCs w:val="16"/>
                <w:color w:val="auto"/>
              </w:rPr>
            </w:pPr>
          </w:p>
        </w:tc>
        <w:tc>
          <w:tcPr>
            <w:tcW w:w="860" w:type="dxa"/>
            <w:vAlign w:val="bottom"/>
            <w:tcBorders>
              <w:bottom w:val="single" w:sz="8" w:color="auto"/>
            </w:tcBorders>
            <w:shd w:val="clear" w:color="auto" w:fill="33CCCC"/>
          </w:tcPr>
          <w:p>
            <w:pPr>
              <w:spacing w:after="0"/>
              <w:rPr>
                <w:sz w:val="16"/>
                <w:szCs w:val="16"/>
                <w:color w:val="auto"/>
              </w:rPr>
            </w:pPr>
          </w:p>
        </w:tc>
        <w:tc>
          <w:tcPr>
            <w:tcW w:w="900" w:type="dxa"/>
            <w:vAlign w:val="bottom"/>
            <w:tcBorders>
              <w:bottom w:val="single" w:sz="8" w:color="auto"/>
              <w:right w:val="single" w:sz="8" w:color="auto"/>
            </w:tcBorders>
            <w:shd w:val="clear" w:color="auto" w:fill="33CCCC"/>
          </w:tcPr>
          <w:p>
            <w:pPr>
              <w:spacing w:after="0"/>
              <w:rPr>
                <w:sz w:val="16"/>
                <w:szCs w:val="16"/>
                <w:color w:val="auto"/>
              </w:rPr>
            </w:pPr>
          </w:p>
        </w:tc>
        <w:tc>
          <w:tcPr>
            <w:tcW w:w="620" w:type="dxa"/>
            <w:vAlign w:val="bottom"/>
            <w:tcBorders>
              <w:bottom w:val="single" w:sz="8" w:color="auto"/>
            </w:tcBorders>
            <w:shd w:val="clear" w:color="auto" w:fill="33CCCC"/>
          </w:tcPr>
          <w:p>
            <w:pPr>
              <w:spacing w:after="0"/>
              <w:rPr>
                <w:sz w:val="16"/>
                <w:szCs w:val="16"/>
                <w:color w:val="auto"/>
              </w:rPr>
            </w:pPr>
          </w:p>
        </w:tc>
        <w:tc>
          <w:tcPr>
            <w:tcW w:w="680" w:type="dxa"/>
            <w:vAlign w:val="bottom"/>
            <w:tcBorders>
              <w:bottom w:val="single" w:sz="8" w:color="auto"/>
              <w:right w:val="single" w:sz="8" w:color="auto"/>
            </w:tcBorders>
            <w:shd w:val="clear" w:color="auto" w:fill="33CCCC"/>
          </w:tcPr>
          <w:p>
            <w:pPr>
              <w:spacing w:after="0"/>
              <w:rPr>
                <w:sz w:val="16"/>
                <w:szCs w:val="16"/>
                <w:color w:val="auto"/>
              </w:rPr>
            </w:pPr>
          </w:p>
        </w:tc>
        <w:tc>
          <w:tcPr>
            <w:tcW w:w="860" w:type="dxa"/>
            <w:vAlign w:val="bottom"/>
            <w:tcBorders>
              <w:bottom w:val="single" w:sz="8" w:color="auto"/>
            </w:tcBorders>
            <w:shd w:val="clear" w:color="auto" w:fill="33CCCC"/>
          </w:tcPr>
          <w:p>
            <w:pPr>
              <w:spacing w:after="0"/>
              <w:rPr>
                <w:sz w:val="16"/>
                <w:szCs w:val="16"/>
                <w:color w:val="auto"/>
              </w:rPr>
            </w:pPr>
          </w:p>
        </w:tc>
        <w:tc>
          <w:tcPr>
            <w:tcW w:w="880" w:type="dxa"/>
            <w:vAlign w:val="bottom"/>
            <w:tcBorders>
              <w:bottom w:val="single" w:sz="8" w:color="auto"/>
              <w:right w:val="single" w:sz="8" w:color="auto"/>
            </w:tcBorders>
            <w:shd w:val="clear" w:color="auto" w:fill="33CCCC"/>
          </w:tcPr>
          <w:p>
            <w:pPr>
              <w:spacing w:after="0"/>
              <w:rPr>
                <w:sz w:val="16"/>
                <w:szCs w:val="16"/>
                <w:color w:val="auto"/>
              </w:rPr>
            </w:pPr>
          </w:p>
        </w:tc>
        <w:tc>
          <w:tcPr>
            <w:tcW w:w="1140" w:type="dxa"/>
            <w:vAlign w:val="bottom"/>
            <w:tcBorders>
              <w:bottom w:val="single" w:sz="8" w:color="auto"/>
              <w:right w:val="single" w:sz="8" w:color="auto"/>
            </w:tcBorders>
            <w:gridSpan w:val="2"/>
            <w:shd w:val="clear" w:color="auto" w:fill="33CCCC"/>
          </w:tcPr>
          <w:p>
            <w:pPr>
              <w:spacing w:after="0"/>
              <w:rPr>
                <w:sz w:val="16"/>
                <w:szCs w:val="16"/>
                <w:color w:val="auto"/>
              </w:rPr>
            </w:pPr>
          </w:p>
        </w:tc>
      </w:tr>
      <w:tr>
        <w:trPr>
          <w:trHeight w:val="203"/>
        </w:trPr>
        <w:tc>
          <w:tcPr>
            <w:tcW w:w="4560" w:type="dxa"/>
            <w:vAlign w:val="bottom"/>
            <w:tcBorders>
              <w:left w:val="single" w:sz="8" w:color="auto"/>
              <w:right w:val="single" w:sz="8" w:color="auto"/>
            </w:tcBorders>
            <w:shd w:val="clear" w:color="auto" w:fill="33CCCC"/>
          </w:tcPr>
          <w:p>
            <w:pPr>
              <w:ind w:left="20"/>
              <w:spacing w:after="0" w:line="203" w:lineRule="exact"/>
              <w:rPr>
                <w:sz w:val="20"/>
                <w:szCs w:val="20"/>
                <w:color w:val="auto"/>
              </w:rPr>
            </w:pPr>
            <w:r>
              <w:rPr>
                <w:rFonts w:ascii="Calibri" w:cs="Calibri" w:eastAsia="Calibri" w:hAnsi="Calibri"/>
                <w:sz w:val="17"/>
                <w:szCs w:val="17"/>
                <w:b w:val="1"/>
                <w:bCs w:val="1"/>
                <w:color w:val="FFFFFF"/>
              </w:rPr>
              <w:t>S/000</w:t>
            </w:r>
          </w:p>
        </w:tc>
        <w:tc>
          <w:tcPr>
            <w:tcW w:w="860" w:type="dxa"/>
            <w:vAlign w:val="bottom"/>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4Q23</w:t>
            </w:r>
          </w:p>
        </w:tc>
        <w:tc>
          <w:tcPr>
            <w:tcW w:w="860" w:type="dxa"/>
            <w:vAlign w:val="bottom"/>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3Q24</w:t>
            </w:r>
          </w:p>
        </w:tc>
        <w:tc>
          <w:tcPr>
            <w:tcW w:w="900" w:type="dxa"/>
            <w:vAlign w:val="bottom"/>
            <w:tcBorders>
              <w:right w:val="single" w:sz="8" w:color="auto"/>
            </w:tcBorders>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w w:val="95"/>
              </w:rPr>
              <w:t>4Q24</w:t>
            </w:r>
          </w:p>
        </w:tc>
        <w:tc>
          <w:tcPr>
            <w:tcW w:w="620" w:type="dxa"/>
            <w:vAlign w:val="bottom"/>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rPr>
              <w:t>QoQ</w:t>
            </w:r>
          </w:p>
        </w:tc>
        <w:tc>
          <w:tcPr>
            <w:tcW w:w="680" w:type="dxa"/>
            <w:vAlign w:val="bottom"/>
            <w:tcBorders>
              <w:right w:val="single" w:sz="8" w:color="auto"/>
            </w:tcBorders>
            <w:shd w:val="clear" w:color="auto" w:fill="33CCCC"/>
          </w:tcPr>
          <w:p>
            <w:pPr>
              <w:jc w:val="center"/>
              <w:spacing w:after="0" w:line="203" w:lineRule="exact"/>
              <w:rPr>
                <w:sz w:val="20"/>
                <w:szCs w:val="20"/>
                <w:color w:val="auto"/>
              </w:rPr>
            </w:pPr>
            <w:r>
              <w:rPr>
                <w:rFonts w:ascii="Calibri" w:cs="Calibri" w:eastAsia="Calibri" w:hAnsi="Calibri"/>
                <w:sz w:val="17"/>
                <w:szCs w:val="17"/>
                <w:b w:val="1"/>
                <w:bCs w:val="1"/>
                <w:color w:val="FFFFFF"/>
                <w:w w:val="96"/>
              </w:rPr>
              <w:t>YoY</w:t>
            </w:r>
          </w:p>
        </w:tc>
        <w:tc>
          <w:tcPr>
            <w:tcW w:w="860" w:type="dxa"/>
            <w:vAlign w:val="bottom"/>
            <w:shd w:val="clear" w:color="auto" w:fill="33CCCC"/>
          </w:tcPr>
          <w:p>
            <w:pPr>
              <w:ind w:left="200"/>
              <w:spacing w:after="0" w:line="203" w:lineRule="exact"/>
              <w:rPr>
                <w:sz w:val="20"/>
                <w:szCs w:val="20"/>
                <w:color w:val="auto"/>
              </w:rPr>
            </w:pPr>
            <w:r>
              <w:rPr>
                <w:rFonts w:ascii="Calibri" w:cs="Calibri" w:eastAsia="Calibri" w:hAnsi="Calibri"/>
                <w:sz w:val="17"/>
                <w:szCs w:val="17"/>
                <w:b w:val="1"/>
                <w:bCs w:val="1"/>
                <w:color w:val="FFFFFF"/>
              </w:rPr>
              <w:t>Dec 23</w:t>
            </w:r>
          </w:p>
        </w:tc>
        <w:tc>
          <w:tcPr>
            <w:tcW w:w="880" w:type="dxa"/>
            <w:vAlign w:val="bottom"/>
            <w:tcBorders>
              <w:right w:val="single" w:sz="8" w:color="auto"/>
            </w:tcBorders>
            <w:shd w:val="clear" w:color="auto" w:fill="33CCCC"/>
          </w:tcPr>
          <w:p>
            <w:pPr>
              <w:ind w:left="200"/>
              <w:spacing w:after="0" w:line="203" w:lineRule="exact"/>
              <w:rPr>
                <w:sz w:val="20"/>
                <w:szCs w:val="20"/>
                <w:color w:val="auto"/>
              </w:rPr>
            </w:pPr>
            <w:r>
              <w:rPr>
                <w:rFonts w:ascii="Calibri" w:cs="Calibri" w:eastAsia="Calibri" w:hAnsi="Calibri"/>
                <w:sz w:val="17"/>
                <w:szCs w:val="17"/>
                <w:b w:val="1"/>
                <w:bCs w:val="1"/>
                <w:color w:val="FFFFFF"/>
              </w:rPr>
              <w:t>Dec 24</w:t>
            </w:r>
          </w:p>
        </w:tc>
        <w:tc>
          <w:tcPr>
            <w:tcW w:w="1140" w:type="dxa"/>
            <w:vAlign w:val="bottom"/>
            <w:tcBorders>
              <w:right w:val="single" w:sz="8" w:color="auto"/>
            </w:tcBorders>
            <w:gridSpan w:val="2"/>
            <w:shd w:val="clear" w:color="auto" w:fill="33CCCC"/>
          </w:tcPr>
          <w:p>
            <w:pPr>
              <w:jc w:val="center"/>
              <w:ind w:right="20"/>
              <w:spacing w:after="0" w:line="203" w:lineRule="exact"/>
              <w:rPr>
                <w:sz w:val="20"/>
                <w:szCs w:val="20"/>
                <w:color w:val="auto"/>
              </w:rPr>
            </w:pPr>
            <w:r>
              <w:rPr>
                <w:rFonts w:ascii="Calibri" w:cs="Calibri" w:eastAsia="Calibri" w:hAnsi="Calibri"/>
                <w:sz w:val="17"/>
                <w:szCs w:val="17"/>
                <w:b w:val="1"/>
                <w:bCs w:val="1"/>
                <w:color w:val="FFFFFF"/>
              </w:rPr>
              <w:t>Dec 24 / Dec 23</w:t>
            </w:r>
          </w:p>
        </w:tc>
      </w:tr>
      <w:tr>
        <w:trPr>
          <w:trHeight w:val="189"/>
        </w:trPr>
        <w:tc>
          <w:tcPr>
            <w:tcW w:w="4560" w:type="dxa"/>
            <w:vAlign w:val="bottom"/>
            <w:tcBorders>
              <w:left w:val="single" w:sz="8" w:color="auto"/>
              <w:right w:val="single" w:sz="8" w:color="auto"/>
            </w:tcBorders>
          </w:tcPr>
          <w:p>
            <w:pPr>
              <w:ind w:left="20"/>
              <w:spacing w:after="0" w:line="189" w:lineRule="exact"/>
              <w:rPr>
                <w:sz w:val="20"/>
                <w:szCs w:val="20"/>
                <w:color w:val="auto"/>
              </w:rPr>
            </w:pPr>
            <w:r>
              <w:rPr>
                <w:rFonts w:ascii="Calibri" w:cs="Calibri" w:eastAsia="Calibri" w:hAnsi="Calibri"/>
                <w:sz w:val="17"/>
                <w:szCs w:val="17"/>
                <w:b w:val="1"/>
                <w:bCs w:val="1"/>
                <w:color w:val="auto"/>
              </w:rPr>
              <w:t>Interest income</w:t>
            </w:r>
          </w:p>
        </w:tc>
        <w:tc>
          <w:tcPr>
            <w:tcW w:w="860" w:type="dxa"/>
            <w:vAlign w:val="bottom"/>
          </w:tcPr>
          <w:p>
            <w:pPr>
              <w:jc w:val="center"/>
              <w:spacing w:after="0" w:line="189" w:lineRule="exact"/>
              <w:rPr>
                <w:sz w:val="20"/>
                <w:szCs w:val="20"/>
                <w:color w:val="auto"/>
              </w:rPr>
            </w:pPr>
            <w:r>
              <w:rPr>
                <w:rFonts w:ascii="Calibri" w:cs="Calibri" w:eastAsia="Calibri" w:hAnsi="Calibri"/>
                <w:sz w:val="17"/>
                <w:szCs w:val="17"/>
                <w:b w:val="1"/>
                <w:bCs w:val="1"/>
                <w:color w:val="auto"/>
              </w:rPr>
              <w:t>4,870,042</w:t>
            </w:r>
          </w:p>
        </w:tc>
        <w:tc>
          <w:tcPr>
            <w:tcW w:w="860" w:type="dxa"/>
            <w:vAlign w:val="bottom"/>
          </w:tcPr>
          <w:p>
            <w:pPr>
              <w:jc w:val="center"/>
              <w:spacing w:after="0" w:line="189" w:lineRule="exact"/>
              <w:rPr>
                <w:sz w:val="20"/>
                <w:szCs w:val="20"/>
                <w:color w:val="auto"/>
              </w:rPr>
            </w:pPr>
            <w:r>
              <w:rPr>
                <w:rFonts w:ascii="Calibri" w:cs="Calibri" w:eastAsia="Calibri" w:hAnsi="Calibri"/>
                <w:sz w:val="17"/>
                <w:szCs w:val="17"/>
                <w:b w:val="1"/>
                <w:bCs w:val="1"/>
                <w:color w:val="auto"/>
              </w:rPr>
              <w:t>4,995,971</w:t>
            </w:r>
          </w:p>
        </w:tc>
        <w:tc>
          <w:tcPr>
            <w:tcW w:w="90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7"/>
                <w:szCs w:val="17"/>
                <w:b w:val="1"/>
                <w:bCs w:val="1"/>
                <w:color w:val="auto"/>
                <w:w w:val="98"/>
              </w:rPr>
              <w:t>5,012,121</w:t>
            </w:r>
          </w:p>
        </w:tc>
        <w:tc>
          <w:tcPr>
            <w:tcW w:w="620" w:type="dxa"/>
            <w:vAlign w:val="bottom"/>
          </w:tcPr>
          <w:p>
            <w:pPr>
              <w:jc w:val="center"/>
              <w:spacing w:after="0" w:line="189" w:lineRule="exact"/>
              <w:rPr>
                <w:sz w:val="20"/>
                <w:szCs w:val="20"/>
                <w:color w:val="auto"/>
              </w:rPr>
            </w:pPr>
            <w:r>
              <w:rPr>
                <w:rFonts w:ascii="Calibri" w:cs="Calibri" w:eastAsia="Calibri" w:hAnsi="Calibri"/>
                <w:sz w:val="17"/>
                <w:szCs w:val="17"/>
                <w:b w:val="1"/>
                <w:bCs w:val="1"/>
                <w:color w:val="auto"/>
                <w:w w:val="99"/>
              </w:rPr>
              <w:t>0.3%</w:t>
            </w:r>
          </w:p>
        </w:tc>
        <w:tc>
          <w:tcPr>
            <w:tcW w:w="680" w:type="dxa"/>
            <w:vAlign w:val="bottom"/>
            <w:tcBorders>
              <w:right w:val="single" w:sz="8" w:color="auto"/>
            </w:tcBorders>
          </w:tcPr>
          <w:p>
            <w:pPr>
              <w:jc w:val="center"/>
              <w:spacing w:after="0" w:line="189" w:lineRule="exact"/>
              <w:rPr>
                <w:sz w:val="20"/>
                <w:szCs w:val="20"/>
                <w:color w:val="auto"/>
              </w:rPr>
            </w:pPr>
            <w:r>
              <w:rPr>
                <w:rFonts w:ascii="Calibri" w:cs="Calibri" w:eastAsia="Calibri" w:hAnsi="Calibri"/>
                <w:sz w:val="17"/>
                <w:szCs w:val="17"/>
                <w:b w:val="1"/>
                <w:bCs w:val="1"/>
                <w:color w:val="auto"/>
              </w:rPr>
              <w:t>2.9%</w:t>
            </w:r>
          </w:p>
        </w:tc>
        <w:tc>
          <w:tcPr>
            <w:tcW w:w="1740" w:type="dxa"/>
            <w:vAlign w:val="bottom"/>
            <w:tcBorders>
              <w:right w:val="single" w:sz="8" w:color="auto"/>
            </w:tcBorders>
            <w:gridSpan w:val="2"/>
          </w:tcPr>
          <w:p>
            <w:pPr>
              <w:jc w:val="right"/>
              <w:spacing w:after="0" w:line="189" w:lineRule="exact"/>
              <w:rPr>
                <w:sz w:val="20"/>
                <w:szCs w:val="20"/>
                <w:color w:val="auto"/>
              </w:rPr>
            </w:pPr>
            <w:r>
              <w:rPr>
                <w:rFonts w:ascii="Calibri" w:cs="Calibri" w:eastAsia="Calibri" w:hAnsi="Calibri"/>
                <w:sz w:val="17"/>
                <w:szCs w:val="17"/>
                <w:b w:val="1"/>
                <w:bCs w:val="1"/>
                <w:color w:val="auto"/>
              </w:rPr>
              <w:t>18,798,495 19,869,256</w:t>
            </w:r>
          </w:p>
        </w:tc>
        <w:tc>
          <w:tcPr>
            <w:tcW w:w="1020" w:type="dxa"/>
            <w:vAlign w:val="bottom"/>
          </w:tcPr>
          <w:p>
            <w:pPr>
              <w:jc w:val="center"/>
              <w:ind w:left="13"/>
              <w:spacing w:after="0" w:line="189" w:lineRule="exact"/>
              <w:rPr>
                <w:sz w:val="20"/>
                <w:szCs w:val="20"/>
                <w:color w:val="auto"/>
              </w:rPr>
            </w:pPr>
            <w:r>
              <w:rPr>
                <w:rFonts w:ascii="Calibri" w:cs="Calibri" w:eastAsia="Calibri" w:hAnsi="Calibri"/>
                <w:sz w:val="17"/>
                <w:szCs w:val="17"/>
                <w:b w:val="1"/>
                <w:bCs w:val="1"/>
                <w:color w:val="auto"/>
              </w:rPr>
              <w:t>5.7%</w:t>
            </w:r>
          </w:p>
        </w:tc>
        <w:tc>
          <w:tcPr>
            <w:tcW w:w="120" w:type="dxa"/>
            <w:vAlign w:val="bottom"/>
            <w:tcBorders>
              <w:right w:val="single" w:sz="8" w:color="auto"/>
            </w:tcBorders>
          </w:tcPr>
          <w:p>
            <w:pPr>
              <w:spacing w:after="0"/>
              <w:rPr>
                <w:sz w:val="16"/>
                <w:szCs w:val="16"/>
                <w:color w:val="auto"/>
              </w:rPr>
            </w:pPr>
          </w:p>
        </w:tc>
      </w:tr>
      <w:tr>
        <w:trPr>
          <w:trHeight w:val="207"/>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Interest on loans</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3,907,705</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3,924,222</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3,940,002</w:t>
            </w:r>
          </w:p>
        </w:tc>
        <w:tc>
          <w:tcPr>
            <w:tcW w:w="620" w:type="dxa"/>
            <w:vAlign w:val="bottom"/>
          </w:tcPr>
          <w:p>
            <w:pPr>
              <w:jc w:val="center"/>
              <w:spacing w:after="0"/>
              <w:rPr>
                <w:sz w:val="20"/>
                <w:szCs w:val="20"/>
                <w:color w:val="auto"/>
              </w:rPr>
            </w:pPr>
            <w:r>
              <w:rPr>
                <w:rFonts w:ascii="Calibri" w:cs="Calibri" w:eastAsia="Calibri" w:hAnsi="Calibri"/>
                <w:sz w:val="17"/>
                <w:szCs w:val="17"/>
                <w:color w:val="auto"/>
              </w:rPr>
              <w:t>0.4%</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0.8%</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15,044,864</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15,654,391</w:t>
            </w:r>
          </w:p>
        </w:tc>
        <w:tc>
          <w:tcPr>
            <w:tcW w:w="1020" w:type="dxa"/>
            <w:vAlign w:val="bottom"/>
          </w:tcPr>
          <w:p>
            <w:pPr>
              <w:jc w:val="center"/>
              <w:spacing w:after="0"/>
              <w:rPr>
                <w:sz w:val="20"/>
                <w:szCs w:val="20"/>
                <w:color w:val="auto"/>
              </w:rPr>
            </w:pPr>
            <w:r>
              <w:rPr>
                <w:rFonts w:ascii="Calibri" w:cs="Calibri" w:eastAsia="Calibri" w:hAnsi="Calibri"/>
                <w:sz w:val="17"/>
                <w:szCs w:val="17"/>
                <w:color w:val="auto"/>
              </w:rPr>
              <w:t>4.1%</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Dividends on investments</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7"/>
              </w:rPr>
              <w:t>11,647</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13,187</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15,285</w:t>
            </w:r>
          </w:p>
        </w:tc>
        <w:tc>
          <w:tcPr>
            <w:tcW w:w="620" w:type="dxa"/>
            <w:vAlign w:val="bottom"/>
          </w:tcPr>
          <w:p>
            <w:pPr>
              <w:jc w:val="center"/>
              <w:spacing w:after="0"/>
              <w:rPr>
                <w:sz w:val="20"/>
                <w:szCs w:val="20"/>
                <w:color w:val="auto"/>
              </w:rPr>
            </w:pPr>
            <w:r>
              <w:rPr>
                <w:rFonts w:ascii="Calibri" w:cs="Calibri" w:eastAsia="Calibri" w:hAnsi="Calibri"/>
                <w:sz w:val="17"/>
                <w:szCs w:val="17"/>
                <w:color w:val="auto"/>
                <w:w w:val="99"/>
              </w:rPr>
              <w:t>15.9%</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31.2%</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7"/>
              </w:rPr>
              <w:t>46,080</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49,469</w:t>
            </w:r>
          </w:p>
        </w:tc>
        <w:tc>
          <w:tcPr>
            <w:tcW w:w="1020" w:type="dxa"/>
            <w:vAlign w:val="bottom"/>
          </w:tcPr>
          <w:p>
            <w:pPr>
              <w:jc w:val="center"/>
              <w:spacing w:after="0"/>
              <w:rPr>
                <w:sz w:val="20"/>
                <w:szCs w:val="20"/>
                <w:color w:val="auto"/>
              </w:rPr>
            </w:pPr>
            <w:r>
              <w:rPr>
                <w:rFonts w:ascii="Calibri" w:cs="Calibri" w:eastAsia="Calibri" w:hAnsi="Calibri"/>
                <w:sz w:val="17"/>
                <w:szCs w:val="17"/>
                <w:color w:val="auto"/>
              </w:rPr>
              <w:t>7.4%</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Interest on deposits with banks</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279,446</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365,361</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386,205</w:t>
            </w:r>
          </w:p>
        </w:tc>
        <w:tc>
          <w:tcPr>
            <w:tcW w:w="620" w:type="dxa"/>
            <w:vAlign w:val="bottom"/>
          </w:tcPr>
          <w:p>
            <w:pPr>
              <w:jc w:val="center"/>
              <w:spacing w:after="0"/>
              <w:rPr>
                <w:sz w:val="20"/>
                <w:szCs w:val="20"/>
                <w:color w:val="auto"/>
              </w:rPr>
            </w:pPr>
            <w:r>
              <w:rPr>
                <w:rFonts w:ascii="Calibri" w:cs="Calibri" w:eastAsia="Calibri" w:hAnsi="Calibri"/>
                <w:sz w:val="17"/>
                <w:szCs w:val="17"/>
                <w:color w:val="auto"/>
              </w:rPr>
              <w:t>5.7%</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38.2%</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1,133,211</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1,405,854</w:t>
            </w:r>
          </w:p>
        </w:tc>
        <w:tc>
          <w:tcPr>
            <w:tcW w:w="1020" w:type="dxa"/>
            <w:vAlign w:val="bottom"/>
          </w:tcPr>
          <w:p>
            <w:pPr>
              <w:jc w:val="center"/>
              <w:ind w:left="13"/>
              <w:spacing w:after="0"/>
              <w:rPr>
                <w:sz w:val="20"/>
                <w:szCs w:val="20"/>
                <w:color w:val="auto"/>
              </w:rPr>
            </w:pPr>
            <w:r>
              <w:rPr>
                <w:rFonts w:ascii="Calibri" w:cs="Calibri" w:eastAsia="Calibri" w:hAnsi="Calibri"/>
                <w:sz w:val="17"/>
                <w:szCs w:val="17"/>
                <w:color w:val="auto"/>
              </w:rPr>
              <w:t>24.1%</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Interest on securites</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643,737</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667,195</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652,155</w:t>
            </w:r>
          </w:p>
        </w:tc>
        <w:tc>
          <w:tcPr>
            <w:tcW w:w="620" w:type="dxa"/>
            <w:vAlign w:val="bottom"/>
          </w:tcPr>
          <w:p>
            <w:pPr>
              <w:jc w:val="center"/>
              <w:spacing w:after="0"/>
              <w:rPr>
                <w:sz w:val="20"/>
                <w:szCs w:val="20"/>
                <w:color w:val="auto"/>
              </w:rPr>
            </w:pPr>
            <w:r>
              <w:rPr>
                <w:rFonts w:ascii="Calibri" w:cs="Calibri" w:eastAsia="Calibri" w:hAnsi="Calibri"/>
                <w:sz w:val="17"/>
                <w:szCs w:val="17"/>
                <w:color w:val="auto"/>
                <w:w w:val="97"/>
              </w:rPr>
              <w:t>-2.3%</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1.3%</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2,489,327</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2,660,322</w:t>
            </w:r>
          </w:p>
        </w:tc>
        <w:tc>
          <w:tcPr>
            <w:tcW w:w="1020" w:type="dxa"/>
            <w:vAlign w:val="bottom"/>
          </w:tcPr>
          <w:p>
            <w:pPr>
              <w:jc w:val="center"/>
              <w:spacing w:after="0"/>
              <w:rPr>
                <w:sz w:val="20"/>
                <w:szCs w:val="20"/>
                <w:color w:val="auto"/>
              </w:rPr>
            </w:pPr>
            <w:r>
              <w:rPr>
                <w:rFonts w:ascii="Calibri" w:cs="Calibri" w:eastAsia="Calibri" w:hAnsi="Calibri"/>
                <w:sz w:val="17"/>
                <w:szCs w:val="17"/>
                <w:color w:val="auto"/>
              </w:rPr>
              <w:t>6.9%</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Other interest income</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7"/>
              </w:rPr>
              <w:t>27,507</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26,006</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18,474</w:t>
            </w:r>
          </w:p>
        </w:tc>
        <w:tc>
          <w:tcPr>
            <w:tcW w:w="620" w:type="dxa"/>
            <w:vAlign w:val="bottom"/>
          </w:tcPr>
          <w:p>
            <w:pPr>
              <w:jc w:val="center"/>
              <w:spacing w:after="0"/>
              <w:rPr>
                <w:sz w:val="20"/>
                <w:szCs w:val="20"/>
                <w:color w:val="auto"/>
              </w:rPr>
            </w:pPr>
            <w:r>
              <w:rPr>
                <w:rFonts w:ascii="Calibri" w:cs="Calibri" w:eastAsia="Calibri" w:hAnsi="Calibri"/>
                <w:sz w:val="17"/>
                <w:szCs w:val="17"/>
                <w:color w:val="auto"/>
              </w:rPr>
              <w:t>-29.0%</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-32.8%</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7"/>
              </w:rPr>
              <w:t>85,013</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99,220</w:t>
            </w:r>
          </w:p>
        </w:tc>
        <w:tc>
          <w:tcPr>
            <w:tcW w:w="1020" w:type="dxa"/>
            <w:vAlign w:val="bottom"/>
          </w:tcPr>
          <w:p>
            <w:pPr>
              <w:jc w:val="center"/>
              <w:ind w:left="13"/>
              <w:spacing w:after="0"/>
              <w:rPr>
                <w:sz w:val="20"/>
                <w:szCs w:val="20"/>
                <w:color w:val="auto"/>
              </w:rPr>
            </w:pPr>
            <w:r>
              <w:rPr>
                <w:rFonts w:ascii="Calibri" w:cs="Calibri" w:eastAsia="Calibri" w:hAnsi="Calibri"/>
                <w:sz w:val="17"/>
                <w:szCs w:val="17"/>
                <w:color w:val="auto"/>
              </w:rPr>
              <w:t>16.7%</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Interest expense</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1,522,358</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1,405,221</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1,382,327</w:t>
            </w:r>
          </w:p>
        </w:tc>
        <w:tc>
          <w:tcPr>
            <w:tcW w:w="620" w:type="dxa"/>
            <w:vAlign w:val="bottom"/>
          </w:tcPr>
          <w:p>
            <w:pPr>
              <w:jc w:val="center"/>
              <w:spacing w:after="0"/>
              <w:rPr>
                <w:sz w:val="20"/>
                <w:szCs w:val="20"/>
                <w:color w:val="auto"/>
              </w:rPr>
            </w:pPr>
            <w:r>
              <w:rPr>
                <w:rFonts w:ascii="Calibri" w:cs="Calibri" w:eastAsia="Calibri" w:hAnsi="Calibri"/>
                <w:sz w:val="17"/>
                <w:szCs w:val="17"/>
                <w:b w:val="1"/>
                <w:bCs w:val="1"/>
                <w:color w:val="auto"/>
              </w:rPr>
              <w:t>-1.6%</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-9.2%</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5,860,523</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5,754,125</w:t>
            </w:r>
          </w:p>
        </w:tc>
        <w:tc>
          <w:tcPr>
            <w:tcW w:w="1020" w:type="dxa"/>
            <w:vAlign w:val="bottom"/>
          </w:tcPr>
          <w:p>
            <w:pPr>
              <w:jc w:val="center"/>
              <w:ind w:left="13"/>
              <w:spacing w:after="0"/>
              <w:rPr>
                <w:sz w:val="20"/>
                <w:szCs w:val="20"/>
                <w:color w:val="auto"/>
              </w:rPr>
            </w:pPr>
            <w:r>
              <w:rPr>
                <w:rFonts w:ascii="Calibri" w:cs="Calibri" w:eastAsia="Calibri" w:hAnsi="Calibri"/>
                <w:sz w:val="17"/>
                <w:szCs w:val="17"/>
                <w:b w:val="1"/>
                <w:bCs w:val="1"/>
                <w:color w:val="auto"/>
              </w:rPr>
              <w:t>-1.8%</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b w:val="1"/>
                <w:bCs w:val="1"/>
                <w:color w:val="auto"/>
                <w:w w:val="99"/>
              </w:rPr>
              <w:t>Interest expense (excluding Net Insurance Financial Expenses)</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1,402,925</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1,276,643</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1,250,239</w:t>
            </w:r>
          </w:p>
        </w:tc>
        <w:tc>
          <w:tcPr>
            <w:tcW w:w="620" w:type="dxa"/>
            <w:vAlign w:val="bottom"/>
          </w:tcPr>
          <w:p>
            <w:pPr>
              <w:jc w:val="center"/>
              <w:spacing w:after="0"/>
              <w:rPr>
                <w:sz w:val="20"/>
                <w:szCs w:val="20"/>
                <w:color w:val="auto"/>
              </w:rPr>
            </w:pPr>
            <w:r>
              <w:rPr>
                <w:rFonts w:ascii="Calibri" w:cs="Calibri" w:eastAsia="Calibri" w:hAnsi="Calibri"/>
                <w:sz w:val="17"/>
                <w:szCs w:val="17"/>
                <w:b w:val="1"/>
                <w:bCs w:val="1"/>
                <w:color w:val="auto"/>
              </w:rPr>
              <w:t>-2.1%</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-10.9%</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5,393,709</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5,246,769</w:t>
            </w:r>
          </w:p>
        </w:tc>
        <w:tc>
          <w:tcPr>
            <w:tcW w:w="1020" w:type="dxa"/>
            <w:vAlign w:val="bottom"/>
          </w:tcPr>
          <w:p>
            <w:pPr>
              <w:jc w:val="center"/>
              <w:ind w:left="13"/>
              <w:spacing w:after="0"/>
              <w:rPr>
                <w:sz w:val="20"/>
                <w:szCs w:val="20"/>
                <w:color w:val="auto"/>
              </w:rPr>
            </w:pPr>
            <w:r>
              <w:rPr>
                <w:rFonts w:ascii="Calibri" w:cs="Calibri" w:eastAsia="Calibri" w:hAnsi="Calibri"/>
                <w:sz w:val="17"/>
                <w:szCs w:val="17"/>
                <w:b w:val="1"/>
                <w:bCs w:val="1"/>
                <w:color w:val="auto"/>
              </w:rPr>
              <w:t>-2.7%</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Interest on deposits</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827,124</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677,509</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655,429</w:t>
            </w:r>
          </w:p>
        </w:tc>
        <w:tc>
          <w:tcPr>
            <w:tcW w:w="620" w:type="dxa"/>
            <w:vAlign w:val="bottom"/>
          </w:tcPr>
          <w:p>
            <w:pPr>
              <w:jc w:val="center"/>
              <w:spacing w:after="0"/>
              <w:rPr>
                <w:sz w:val="20"/>
                <w:szCs w:val="20"/>
                <w:color w:val="auto"/>
              </w:rPr>
            </w:pPr>
            <w:r>
              <w:rPr>
                <w:rFonts w:ascii="Calibri" w:cs="Calibri" w:eastAsia="Calibri" w:hAnsi="Calibri"/>
                <w:sz w:val="17"/>
                <w:szCs w:val="17"/>
                <w:color w:val="auto"/>
                <w:w w:val="97"/>
              </w:rPr>
              <w:t>-3.3%</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-20.8%</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3,141,307</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2,850,474</w:t>
            </w:r>
          </w:p>
        </w:tc>
        <w:tc>
          <w:tcPr>
            <w:tcW w:w="1020" w:type="dxa"/>
            <w:vAlign w:val="bottom"/>
          </w:tcPr>
          <w:p>
            <w:pPr>
              <w:jc w:val="center"/>
              <w:ind w:left="13"/>
              <w:spacing w:after="0"/>
              <w:rPr>
                <w:sz w:val="20"/>
                <w:szCs w:val="20"/>
                <w:color w:val="auto"/>
              </w:rPr>
            </w:pPr>
            <w:r>
              <w:rPr>
                <w:rFonts w:ascii="Calibri" w:cs="Calibri" w:eastAsia="Calibri" w:hAnsi="Calibri"/>
                <w:sz w:val="17"/>
                <w:szCs w:val="17"/>
                <w:color w:val="auto"/>
              </w:rPr>
              <w:t>-9.3%</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Interest on borrowed funds</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297,260</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262,319</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286,638</w:t>
            </w:r>
          </w:p>
        </w:tc>
        <w:tc>
          <w:tcPr>
            <w:tcW w:w="620" w:type="dxa"/>
            <w:vAlign w:val="bottom"/>
          </w:tcPr>
          <w:p>
            <w:pPr>
              <w:jc w:val="center"/>
              <w:spacing w:after="0"/>
              <w:rPr>
                <w:sz w:val="20"/>
                <w:szCs w:val="20"/>
                <w:color w:val="auto"/>
              </w:rPr>
            </w:pPr>
            <w:r>
              <w:rPr>
                <w:rFonts w:ascii="Calibri" w:cs="Calibri" w:eastAsia="Calibri" w:hAnsi="Calibri"/>
                <w:sz w:val="17"/>
                <w:szCs w:val="17"/>
                <w:color w:val="auto"/>
              </w:rPr>
              <w:t>9.3%</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-3.6%</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1,158,666</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1,081,126</w:t>
            </w:r>
          </w:p>
        </w:tc>
        <w:tc>
          <w:tcPr>
            <w:tcW w:w="1020" w:type="dxa"/>
            <w:vAlign w:val="bottom"/>
          </w:tcPr>
          <w:p>
            <w:pPr>
              <w:jc w:val="center"/>
              <w:ind w:left="13"/>
              <w:spacing w:after="0"/>
              <w:rPr>
                <w:sz w:val="20"/>
                <w:szCs w:val="20"/>
                <w:color w:val="auto"/>
              </w:rPr>
            </w:pPr>
            <w:r>
              <w:rPr>
                <w:rFonts w:ascii="Calibri" w:cs="Calibri" w:eastAsia="Calibri" w:hAnsi="Calibri"/>
                <w:sz w:val="17"/>
                <w:szCs w:val="17"/>
                <w:color w:val="auto"/>
              </w:rPr>
              <w:t>-6.7%</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Interest on bonds and subordinated notes</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152,960</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200,801</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201,053</w:t>
            </w:r>
          </w:p>
        </w:tc>
        <w:tc>
          <w:tcPr>
            <w:tcW w:w="620" w:type="dxa"/>
            <w:vAlign w:val="bottom"/>
          </w:tcPr>
          <w:p>
            <w:pPr>
              <w:jc w:val="center"/>
              <w:spacing w:after="0"/>
              <w:rPr>
                <w:sz w:val="20"/>
                <w:szCs w:val="20"/>
                <w:color w:val="auto"/>
              </w:rPr>
            </w:pPr>
            <w:r>
              <w:rPr>
                <w:rFonts w:ascii="Calibri" w:cs="Calibri" w:eastAsia="Calibri" w:hAnsi="Calibri"/>
                <w:sz w:val="17"/>
                <w:szCs w:val="17"/>
                <w:color w:val="auto"/>
              </w:rPr>
              <w:t>0.1%</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31.4%</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634,299</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799,223</w:t>
            </w:r>
          </w:p>
        </w:tc>
        <w:tc>
          <w:tcPr>
            <w:tcW w:w="1020" w:type="dxa"/>
            <w:vAlign w:val="bottom"/>
          </w:tcPr>
          <w:p>
            <w:pPr>
              <w:jc w:val="center"/>
              <w:ind w:left="13"/>
              <w:spacing w:after="0"/>
              <w:rPr>
                <w:sz w:val="20"/>
                <w:szCs w:val="20"/>
                <w:color w:val="auto"/>
              </w:rPr>
            </w:pPr>
            <w:r>
              <w:rPr>
                <w:rFonts w:ascii="Calibri" w:cs="Calibri" w:eastAsia="Calibri" w:hAnsi="Calibri"/>
                <w:sz w:val="17"/>
                <w:szCs w:val="17"/>
                <w:color w:val="auto"/>
              </w:rPr>
              <w:t>26.0%</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color w:val="auto"/>
              </w:rPr>
              <w:t>Other interest expense</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125,581</w:t>
            </w:r>
          </w:p>
        </w:tc>
        <w:tc>
          <w:tcPr>
            <w:tcW w:w="860" w:type="dxa"/>
            <w:vAlign w:val="bottom"/>
          </w:tcPr>
          <w:p>
            <w:pPr>
              <w:jc w:val="center"/>
              <w:spacing w:after="0"/>
              <w:rPr>
                <w:sz w:val="20"/>
                <w:szCs w:val="20"/>
                <w:color w:val="auto"/>
              </w:rPr>
            </w:pPr>
            <w:r>
              <w:rPr>
                <w:rFonts w:ascii="Calibri" w:cs="Calibri" w:eastAsia="Calibri" w:hAnsi="Calibri"/>
                <w:sz w:val="17"/>
                <w:szCs w:val="17"/>
                <w:color w:val="auto"/>
                <w:w w:val="99"/>
              </w:rPr>
              <w:t>136,014</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107,119</w:t>
            </w:r>
          </w:p>
        </w:tc>
        <w:tc>
          <w:tcPr>
            <w:tcW w:w="620" w:type="dxa"/>
            <w:vAlign w:val="bottom"/>
          </w:tcPr>
          <w:p>
            <w:pPr>
              <w:jc w:val="center"/>
              <w:spacing w:after="0"/>
              <w:rPr>
                <w:sz w:val="20"/>
                <w:szCs w:val="20"/>
                <w:color w:val="auto"/>
              </w:rPr>
            </w:pPr>
            <w:r>
              <w:rPr>
                <w:rFonts w:ascii="Calibri" w:cs="Calibri" w:eastAsia="Calibri" w:hAnsi="Calibri"/>
                <w:sz w:val="17"/>
                <w:szCs w:val="17"/>
                <w:color w:val="auto"/>
              </w:rPr>
              <w:t>-21.2%</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-14.7%</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459,437</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515,946</w:t>
            </w:r>
          </w:p>
        </w:tc>
        <w:tc>
          <w:tcPr>
            <w:tcW w:w="1020" w:type="dxa"/>
            <w:vAlign w:val="bottom"/>
          </w:tcPr>
          <w:p>
            <w:pPr>
              <w:jc w:val="center"/>
              <w:ind w:left="13"/>
              <w:spacing w:after="0"/>
              <w:rPr>
                <w:sz w:val="20"/>
                <w:szCs w:val="20"/>
                <w:color w:val="auto"/>
              </w:rPr>
            </w:pPr>
            <w:r>
              <w:rPr>
                <w:rFonts w:ascii="Calibri" w:cs="Calibri" w:eastAsia="Calibri" w:hAnsi="Calibri"/>
                <w:sz w:val="17"/>
                <w:szCs w:val="17"/>
                <w:color w:val="auto"/>
              </w:rPr>
              <w:t>12.3%</w:t>
            </w:r>
          </w:p>
        </w:tc>
        <w:tc>
          <w:tcPr>
            <w:tcW w:w="120" w:type="dxa"/>
            <w:vAlign w:val="bottom"/>
            <w:tcBorders>
              <w:right w:val="single" w:sz="8" w:color="auto"/>
            </w:tcBorders>
          </w:tcPr>
          <w:p>
            <w:pPr>
              <w:spacing w:after="0"/>
              <w:rPr>
                <w:sz w:val="18"/>
                <w:szCs w:val="18"/>
                <w:color w:val="auto"/>
              </w:rPr>
            </w:pPr>
          </w:p>
        </w:tc>
      </w:tr>
      <w:tr>
        <w:trPr>
          <w:trHeight w:val="210"/>
        </w:trPr>
        <w:tc>
          <w:tcPr>
            <w:tcW w:w="4560" w:type="dxa"/>
            <w:vAlign w:val="bottom"/>
            <w:tcBorders>
              <w:left w:val="single" w:sz="8" w:color="auto"/>
              <w:right w:val="single" w:sz="8" w:color="auto"/>
            </w:tcBorders>
          </w:tcPr>
          <w:p>
            <w:pPr>
              <w:ind w:left="180"/>
              <w:spacing w:after="0"/>
              <w:rPr>
                <w:sz w:val="20"/>
                <w:szCs w:val="20"/>
                <w:color w:val="auto"/>
              </w:rPr>
            </w:pPr>
            <w:r>
              <w:rPr>
                <w:rFonts w:ascii="Calibri" w:cs="Calibri" w:eastAsia="Calibri" w:hAnsi="Calibri"/>
                <w:sz w:val="17"/>
                <w:szCs w:val="17"/>
                <w:b w:val="1"/>
                <w:bCs w:val="1"/>
                <w:color w:val="auto"/>
              </w:rPr>
              <w:t>Net Insurance Financial Expenses</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119,433</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128,578</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132,088</w:t>
            </w:r>
          </w:p>
        </w:tc>
        <w:tc>
          <w:tcPr>
            <w:tcW w:w="62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2.7%</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10.6%</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466,814</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507,356</w:t>
            </w:r>
          </w:p>
        </w:tc>
        <w:tc>
          <w:tcPr>
            <w:tcW w:w="1020" w:type="dxa"/>
            <w:vAlign w:val="bottom"/>
          </w:tcPr>
          <w:p>
            <w:pPr>
              <w:jc w:val="center"/>
              <w:ind w:left="13"/>
              <w:spacing w:after="0"/>
              <w:rPr>
                <w:sz w:val="20"/>
                <w:szCs w:val="20"/>
                <w:color w:val="auto"/>
              </w:rPr>
            </w:pPr>
            <w:r>
              <w:rPr>
                <w:rFonts w:ascii="Calibri" w:cs="Calibri" w:eastAsia="Calibri" w:hAnsi="Calibri"/>
                <w:sz w:val="17"/>
                <w:szCs w:val="17"/>
                <w:b w:val="1"/>
                <w:bCs w:val="1"/>
                <w:color w:val="auto"/>
              </w:rPr>
              <w:t>8.7%</w:t>
            </w:r>
          </w:p>
        </w:tc>
        <w:tc>
          <w:tcPr>
            <w:tcW w:w="120" w:type="dxa"/>
            <w:vAlign w:val="bottom"/>
            <w:tcBorders>
              <w:right w:val="single" w:sz="8" w:color="auto"/>
            </w:tcBorders>
          </w:tcPr>
          <w:p>
            <w:pPr>
              <w:spacing w:after="0"/>
              <w:rPr>
                <w:sz w:val="18"/>
                <w:szCs w:val="18"/>
                <w:color w:val="auto"/>
              </w:rPr>
            </w:pPr>
          </w:p>
        </w:tc>
      </w:tr>
      <w:tr>
        <w:trPr>
          <w:trHeight w:val="24"/>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r>
        <w:trPr>
          <w:trHeight w:val="202"/>
        </w:trPr>
        <w:tc>
          <w:tcPr>
            <w:tcW w:w="4560" w:type="dxa"/>
            <w:vAlign w:val="bottom"/>
            <w:tcBorders>
              <w:left w:val="single" w:sz="8" w:color="auto"/>
              <w:bottom w:val="single" w:sz="8" w:color="auto"/>
              <w:right w:val="single" w:sz="8" w:color="auto"/>
            </w:tcBorders>
          </w:tcPr>
          <w:p>
            <w:pPr>
              <w:ind w:left="20"/>
              <w:spacing w:after="0" w:line="202" w:lineRule="exact"/>
              <w:rPr>
                <w:sz w:val="20"/>
                <w:szCs w:val="20"/>
                <w:color w:val="auto"/>
              </w:rPr>
            </w:pPr>
            <w:r>
              <w:rPr>
                <w:rFonts w:ascii="Calibri" w:cs="Calibri" w:eastAsia="Calibri" w:hAnsi="Calibri"/>
                <w:sz w:val="17"/>
                <w:szCs w:val="17"/>
                <w:b w:val="1"/>
                <w:bCs w:val="1"/>
                <w:color w:val="auto"/>
              </w:rPr>
              <w:t>Net interest income</w:t>
            </w:r>
          </w:p>
        </w:tc>
        <w:tc>
          <w:tcPr>
            <w:tcW w:w="8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3,347,684</w:t>
            </w:r>
          </w:p>
        </w:tc>
        <w:tc>
          <w:tcPr>
            <w:tcW w:w="8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3,590,750</w:t>
            </w:r>
          </w:p>
        </w:tc>
        <w:tc>
          <w:tcPr>
            <w:tcW w:w="90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8"/>
              </w:rPr>
              <w:t>3,629,794</w:t>
            </w:r>
          </w:p>
        </w:tc>
        <w:tc>
          <w:tcPr>
            <w:tcW w:w="62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w w:val="99"/>
              </w:rPr>
              <w:t>1.1%</w:t>
            </w:r>
          </w:p>
        </w:tc>
        <w:tc>
          <w:tcPr>
            <w:tcW w:w="68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8.4%</w:t>
            </w:r>
          </w:p>
        </w:tc>
        <w:tc>
          <w:tcPr>
            <w:tcW w:w="860" w:type="dxa"/>
            <w:vAlign w:val="bottom"/>
            <w:tcBorders>
              <w:bottom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12,937,972</w:t>
            </w:r>
          </w:p>
        </w:tc>
        <w:tc>
          <w:tcPr>
            <w:tcW w:w="88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14,115,131</w:t>
            </w:r>
          </w:p>
        </w:tc>
        <w:tc>
          <w:tcPr>
            <w:tcW w:w="1020" w:type="dxa"/>
            <w:vAlign w:val="bottom"/>
            <w:tcBorders>
              <w:bottom w:val="single" w:sz="8" w:color="auto"/>
            </w:tcBorders>
          </w:tcPr>
          <w:p>
            <w:pPr>
              <w:jc w:val="center"/>
              <w:ind w:left="13"/>
              <w:spacing w:after="0" w:line="202" w:lineRule="exact"/>
              <w:rPr>
                <w:sz w:val="20"/>
                <w:szCs w:val="20"/>
                <w:color w:val="auto"/>
              </w:rPr>
            </w:pPr>
            <w:r>
              <w:rPr>
                <w:rFonts w:ascii="Calibri" w:cs="Calibri" w:eastAsia="Calibri" w:hAnsi="Calibri"/>
                <w:sz w:val="17"/>
                <w:szCs w:val="17"/>
                <w:b w:val="1"/>
                <w:bCs w:val="1"/>
                <w:color w:val="auto"/>
              </w:rPr>
              <w:t>9.1%</w:t>
            </w:r>
          </w:p>
        </w:tc>
        <w:tc>
          <w:tcPr>
            <w:tcW w:w="120" w:type="dxa"/>
            <w:vAlign w:val="bottom"/>
            <w:tcBorders>
              <w:bottom w:val="single" w:sz="8" w:color="auto"/>
              <w:right w:val="single" w:sz="8" w:color="auto"/>
            </w:tcBorders>
          </w:tcPr>
          <w:p>
            <w:pPr>
              <w:spacing w:after="0"/>
              <w:rPr>
                <w:sz w:val="17"/>
                <w:szCs w:val="17"/>
                <w:color w:val="auto"/>
              </w:rPr>
            </w:pPr>
          </w:p>
        </w:tc>
      </w:tr>
      <w:tr>
        <w:trPr>
          <w:trHeight w:val="203"/>
        </w:trPr>
        <w:tc>
          <w:tcPr>
            <w:tcW w:w="4560" w:type="dxa"/>
            <w:vAlign w:val="bottom"/>
            <w:tcBorders>
              <w:left w:val="single" w:sz="8" w:color="auto"/>
              <w:bottom w:val="single" w:sz="8" w:color="auto"/>
              <w:right w:val="single" w:sz="8" w:color="auto"/>
            </w:tcBorders>
          </w:tcPr>
          <w:p>
            <w:pPr>
              <w:ind w:left="20"/>
              <w:spacing w:after="0" w:line="203" w:lineRule="exact"/>
              <w:rPr>
                <w:sz w:val="20"/>
                <w:szCs w:val="20"/>
                <w:color w:val="auto"/>
              </w:rPr>
            </w:pPr>
            <w:r>
              <w:rPr>
                <w:rFonts w:ascii="Calibri" w:cs="Calibri" w:eastAsia="Calibri" w:hAnsi="Calibri"/>
                <w:sz w:val="17"/>
                <w:szCs w:val="17"/>
                <w:b w:val="1"/>
                <w:bCs w:val="1"/>
                <w:color w:val="auto"/>
              </w:rPr>
              <w:t>Risk-adjusted Net interest income</w:t>
            </w:r>
          </w:p>
        </w:tc>
        <w:tc>
          <w:tcPr>
            <w:tcW w:w="860" w:type="dxa"/>
            <w:vAlign w:val="bottom"/>
            <w:tcBorders>
              <w:bottom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2,174,230</w:t>
            </w:r>
          </w:p>
        </w:tc>
        <w:tc>
          <w:tcPr>
            <w:tcW w:w="860" w:type="dxa"/>
            <w:vAlign w:val="bottom"/>
            <w:tcBorders>
              <w:bottom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2,722,669</w:t>
            </w:r>
          </w:p>
        </w:tc>
        <w:tc>
          <w:tcPr>
            <w:tcW w:w="90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w w:val="98"/>
              </w:rPr>
              <w:t>2,886,498</w:t>
            </w:r>
          </w:p>
        </w:tc>
        <w:tc>
          <w:tcPr>
            <w:tcW w:w="620" w:type="dxa"/>
            <w:vAlign w:val="bottom"/>
            <w:tcBorders>
              <w:bottom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w w:val="99"/>
              </w:rPr>
              <w:t>6.0%</w:t>
            </w:r>
          </w:p>
        </w:tc>
        <w:tc>
          <w:tcPr>
            <w:tcW w:w="68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32.8%</w:t>
            </w:r>
          </w:p>
        </w:tc>
        <w:tc>
          <w:tcPr>
            <w:tcW w:w="860" w:type="dxa"/>
            <w:vAlign w:val="bottom"/>
            <w:tcBorders>
              <w:bottom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9,315,627</w:t>
            </w:r>
          </w:p>
        </w:tc>
        <w:tc>
          <w:tcPr>
            <w:tcW w:w="88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10,595,684</w:t>
            </w:r>
          </w:p>
        </w:tc>
        <w:tc>
          <w:tcPr>
            <w:tcW w:w="1020" w:type="dxa"/>
            <w:vAlign w:val="bottom"/>
            <w:tcBorders>
              <w:bottom w:val="single" w:sz="8" w:color="auto"/>
            </w:tcBorders>
          </w:tcPr>
          <w:p>
            <w:pPr>
              <w:jc w:val="center"/>
              <w:ind w:left="13"/>
              <w:spacing w:after="0" w:line="203" w:lineRule="exact"/>
              <w:rPr>
                <w:sz w:val="20"/>
                <w:szCs w:val="20"/>
                <w:color w:val="auto"/>
              </w:rPr>
            </w:pPr>
            <w:r>
              <w:rPr>
                <w:rFonts w:ascii="Calibri" w:cs="Calibri" w:eastAsia="Calibri" w:hAnsi="Calibri"/>
                <w:sz w:val="17"/>
                <w:szCs w:val="17"/>
                <w:b w:val="1"/>
                <w:bCs w:val="1"/>
                <w:color w:val="auto"/>
              </w:rPr>
              <w:t>13.7%</w:t>
            </w:r>
          </w:p>
        </w:tc>
        <w:tc>
          <w:tcPr>
            <w:tcW w:w="120" w:type="dxa"/>
            <w:vAlign w:val="bottom"/>
            <w:tcBorders>
              <w:bottom w:val="single" w:sz="8" w:color="auto"/>
              <w:right w:val="single" w:sz="8" w:color="auto"/>
            </w:tcBorders>
          </w:tcPr>
          <w:p>
            <w:pPr>
              <w:spacing w:after="0"/>
              <w:rPr>
                <w:sz w:val="17"/>
                <w:szCs w:val="17"/>
                <w:color w:val="auto"/>
              </w:rPr>
            </w:pPr>
          </w:p>
        </w:tc>
      </w:tr>
      <w:tr>
        <w:trPr>
          <w:trHeight w:val="203"/>
        </w:trPr>
        <w:tc>
          <w:tcPr>
            <w:tcW w:w="4560" w:type="dxa"/>
            <w:vAlign w:val="bottom"/>
            <w:tcBorders>
              <w:left w:val="single" w:sz="8" w:color="auto"/>
              <w:bottom w:val="single" w:sz="8" w:color="auto"/>
              <w:right w:val="single" w:sz="8" w:color="auto"/>
            </w:tcBorders>
          </w:tcPr>
          <w:p>
            <w:pPr>
              <w:ind w:left="20"/>
              <w:spacing w:after="0" w:line="203" w:lineRule="exact"/>
              <w:rPr>
                <w:sz w:val="20"/>
                <w:szCs w:val="20"/>
                <w:color w:val="auto"/>
              </w:rPr>
            </w:pPr>
            <w:r>
              <w:rPr>
                <w:rFonts w:ascii="Calibri" w:cs="Calibri" w:eastAsia="Calibri" w:hAnsi="Calibri"/>
                <w:sz w:val="17"/>
                <w:szCs w:val="17"/>
                <w:color w:val="auto"/>
              </w:rPr>
              <w:t>Average interest earning assets</w:t>
            </w:r>
          </w:p>
        </w:tc>
        <w:tc>
          <w:tcPr>
            <w:tcW w:w="2620" w:type="dxa"/>
            <w:vAlign w:val="bottom"/>
            <w:tcBorders>
              <w:bottom w:val="single" w:sz="8" w:color="auto"/>
              <w:right w:val="single" w:sz="8" w:color="auto"/>
            </w:tcBorders>
            <w:gridSpan w:val="3"/>
          </w:tcPr>
          <w:p>
            <w:pPr>
              <w:jc w:val="center"/>
              <w:spacing w:after="0" w:line="203" w:lineRule="exact"/>
              <w:rPr>
                <w:sz w:val="20"/>
                <w:szCs w:val="20"/>
                <w:color w:val="auto"/>
              </w:rPr>
            </w:pPr>
            <w:r>
              <w:rPr>
                <w:rFonts w:ascii="Calibri" w:cs="Calibri" w:eastAsia="Calibri" w:hAnsi="Calibri"/>
                <w:sz w:val="17"/>
                <w:szCs w:val="17"/>
                <w:color w:val="auto"/>
              </w:rPr>
              <w:t>223,624,217231,316,507237,518,087</w:t>
            </w:r>
          </w:p>
        </w:tc>
        <w:tc>
          <w:tcPr>
            <w:tcW w:w="620" w:type="dxa"/>
            <w:vAlign w:val="bottom"/>
            <w:tcBorders>
              <w:bottom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2.7%</w:t>
            </w:r>
          </w:p>
        </w:tc>
        <w:tc>
          <w:tcPr>
            <w:tcW w:w="68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6.2%</w:t>
            </w:r>
          </w:p>
        </w:tc>
        <w:tc>
          <w:tcPr>
            <w:tcW w:w="1740" w:type="dxa"/>
            <w:vAlign w:val="bottom"/>
            <w:tcBorders>
              <w:bottom w:val="single" w:sz="8" w:color="auto"/>
              <w:right w:val="single" w:sz="8" w:color="auto"/>
            </w:tcBorders>
            <w:gridSpan w:val="2"/>
          </w:tcPr>
          <w:p>
            <w:pPr>
              <w:jc w:val="right"/>
              <w:spacing w:after="0" w:line="203" w:lineRule="exact"/>
              <w:rPr>
                <w:sz w:val="20"/>
                <w:szCs w:val="20"/>
                <w:color w:val="auto"/>
              </w:rPr>
            </w:pPr>
            <w:r>
              <w:rPr>
                <w:rFonts w:ascii="Calibri" w:cs="Calibri" w:eastAsia="Calibri" w:hAnsi="Calibri"/>
                <w:sz w:val="17"/>
                <w:szCs w:val="17"/>
                <w:color w:val="auto"/>
                <w:w w:val="98"/>
              </w:rPr>
              <w:t>223,318,737232,646,024</w:t>
            </w:r>
          </w:p>
        </w:tc>
        <w:tc>
          <w:tcPr>
            <w:tcW w:w="1020" w:type="dxa"/>
            <w:vAlign w:val="bottom"/>
            <w:tcBorders>
              <w:bottom w:val="single" w:sz="8" w:color="auto"/>
            </w:tcBorders>
          </w:tcPr>
          <w:p>
            <w:pPr>
              <w:jc w:val="center"/>
              <w:spacing w:after="0" w:line="203" w:lineRule="exact"/>
              <w:rPr>
                <w:sz w:val="20"/>
                <w:szCs w:val="20"/>
                <w:color w:val="auto"/>
              </w:rPr>
            </w:pPr>
            <w:r>
              <w:rPr>
                <w:rFonts w:ascii="Calibri" w:cs="Calibri" w:eastAsia="Calibri" w:hAnsi="Calibri"/>
                <w:sz w:val="17"/>
                <w:szCs w:val="17"/>
                <w:color w:val="auto"/>
              </w:rPr>
              <w:t>4.2%</w:t>
            </w:r>
          </w:p>
        </w:tc>
        <w:tc>
          <w:tcPr>
            <w:tcW w:w="120" w:type="dxa"/>
            <w:vAlign w:val="bottom"/>
            <w:tcBorders>
              <w:bottom w:val="single" w:sz="8" w:color="auto"/>
              <w:right w:val="single" w:sz="8" w:color="auto"/>
            </w:tcBorders>
          </w:tcPr>
          <w:p>
            <w:pPr>
              <w:spacing w:after="0"/>
              <w:rPr>
                <w:sz w:val="17"/>
                <w:szCs w:val="17"/>
                <w:color w:val="auto"/>
              </w:rPr>
            </w:pPr>
          </w:p>
        </w:tc>
      </w:tr>
      <w:tr>
        <w:trPr>
          <w:trHeight w:val="183"/>
        </w:trPr>
        <w:tc>
          <w:tcPr>
            <w:tcW w:w="4560" w:type="dxa"/>
            <w:vAlign w:val="bottom"/>
            <w:tcBorders>
              <w:left w:val="single" w:sz="8" w:color="auto"/>
              <w:right w:val="single" w:sz="8" w:color="auto"/>
            </w:tcBorders>
          </w:tcPr>
          <w:p>
            <w:pPr>
              <w:ind w:left="20"/>
              <w:spacing w:after="0" w:line="184" w:lineRule="exact"/>
              <w:rPr>
                <w:sz w:val="20"/>
                <w:szCs w:val="20"/>
                <w:color w:val="auto"/>
              </w:rPr>
            </w:pPr>
            <w:r>
              <w:rPr>
                <w:rFonts w:ascii="Calibri" w:cs="Calibri" w:eastAsia="Calibri" w:hAnsi="Calibri"/>
                <w:sz w:val="17"/>
                <w:szCs w:val="17"/>
                <w:b w:val="1"/>
                <w:bCs w:val="1"/>
                <w:color w:val="auto"/>
              </w:rPr>
              <w:t>Net interest margin (1)</w:t>
            </w:r>
          </w:p>
        </w:tc>
        <w:tc>
          <w:tcPr>
            <w:tcW w:w="86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8"/>
              </w:rPr>
              <w:t>6.20%</w:t>
            </w:r>
          </w:p>
        </w:tc>
        <w:tc>
          <w:tcPr>
            <w:tcW w:w="86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rPr>
              <w:t>6.43%</w:t>
            </w:r>
          </w:p>
        </w:tc>
        <w:tc>
          <w:tcPr>
            <w:tcW w:w="90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6.34%</w:t>
            </w:r>
          </w:p>
        </w:tc>
        <w:tc>
          <w:tcPr>
            <w:tcW w:w="62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8"/>
              </w:rPr>
              <w:t>-9 bps</w:t>
            </w:r>
          </w:p>
        </w:tc>
        <w:tc>
          <w:tcPr>
            <w:tcW w:w="6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w w:val="99"/>
              </w:rPr>
              <w:t>14 bps</w:t>
            </w:r>
          </w:p>
        </w:tc>
        <w:tc>
          <w:tcPr>
            <w:tcW w:w="860" w:type="dxa"/>
            <w:vAlign w:val="bottom"/>
          </w:tcPr>
          <w:p>
            <w:pPr>
              <w:jc w:val="center"/>
              <w:spacing w:after="0" w:line="184" w:lineRule="exact"/>
              <w:rPr>
                <w:sz w:val="20"/>
                <w:szCs w:val="20"/>
                <w:color w:val="auto"/>
              </w:rPr>
            </w:pPr>
            <w:r>
              <w:rPr>
                <w:rFonts w:ascii="Calibri" w:cs="Calibri" w:eastAsia="Calibri" w:hAnsi="Calibri"/>
                <w:sz w:val="17"/>
                <w:szCs w:val="17"/>
                <w:b w:val="1"/>
                <w:bCs w:val="1"/>
                <w:color w:val="auto"/>
                <w:w w:val="98"/>
              </w:rPr>
              <w:t>6.00%</w:t>
            </w:r>
          </w:p>
        </w:tc>
        <w:tc>
          <w:tcPr>
            <w:tcW w:w="8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6.29%</w:t>
            </w:r>
          </w:p>
        </w:tc>
        <w:tc>
          <w:tcPr>
            <w:tcW w:w="1140" w:type="dxa"/>
            <w:vAlign w:val="bottom"/>
            <w:tcBorders>
              <w:right w:val="single" w:sz="8" w:color="auto"/>
            </w:tcBorders>
            <w:gridSpan w:val="2"/>
          </w:tcPr>
          <w:p>
            <w:pPr>
              <w:jc w:val="center"/>
              <w:ind w:right="20"/>
              <w:spacing w:after="0" w:line="184" w:lineRule="exact"/>
              <w:rPr>
                <w:sz w:val="20"/>
                <w:szCs w:val="20"/>
                <w:color w:val="auto"/>
              </w:rPr>
            </w:pPr>
            <w:r>
              <w:rPr>
                <w:rFonts w:ascii="Calibri" w:cs="Calibri" w:eastAsia="Calibri" w:hAnsi="Calibri"/>
                <w:sz w:val="17"/>
                <w:szCs w:val="17"/>
                <w:b w:val="1"/>
                <w:bCs w:val="1"/>
                <w:color w:val="auto"/>
              </w:rPr>
              <w:t>29 bps</w:t>
            </w:r>
          </w:p>
        </w:tc>
      </w:tr>
      <w:tr>
        <w:trPr>
          <w:trHeight w:val="207"/>
        </w:trPr>
        <w:tc>
          <w:tcPr>
            <w:tcW w:w="45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Risk-adjusted Net interest margin (1)</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4.10%</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4.93%</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5.08%</w:t>
            </w:r>
          </w:p>
        </w:tc>
        <w:tc>
          <w:tcPr>
            <w:tcW w:w="62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15 bps</w:t>
            </w:r>
          </w:p>
        </w:tc>
        <w:tc>
          <w:tcPr>
            <w:tcW w:w="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98 bps</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4.38%</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4.77%</w:t>
            </w:r>
          </w:p>
        </w:tc>
        <w:tc>
          <w:tcPr>
            <w:tcW w:w="1140" w:type="dxa"/>
            <w:vAlign w:val="bottom"/>
            <w:tcBorders>
              <w:right w:val="single" w:sz="8" w:color="auto"/>
            </w:tcBorders>
            <w:gridSpan w:val="2"/>
          </w:tcPr>
          <w:p>
            <w:pPr>
              <w:jc w:val="center"/>
              <w:ind w:right="20"/>
              <w:spacing w:after="0"/>
              <w:rPr>
                <w:sz w:val="20"/>
                <w:szCs w:val="20"/>
                <w:color w:val="auto"/>
              </w:rPr>
            </w:pPr>
            <w:r>
              <w:rPr>
                <w:rFonts w:ascii="Calibri" w:cs="Calibri" w:eastAsia="Calibri" w:hAnsi="Calibri"/>
                <w:sz w:val="17"/>
                <w:szCs w:val="17"/>
                <w:b w:val="1"/>
                <w:bCs w:val="1"/>
                <w:color w:val="auto"/>
              </w:rPr>
              <w:t>39 bps</w:t>
            </w:r>
          </w:p>
        </w:tc>
      </w:tr>
      <w:tr>
        <w:trPr>
          <w:trHeight w:val="210"/>
        </w:trPr>
        <w:tc>
          <w:tcPr>
            <w:tcW w:w="45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Net provisions for loan losses / Net interest income</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w w:val="97"/>
              </w:rPr>
              <w:t>35.05%</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rPr>
              <w:t>24.18%</w:t>
            </w:r>
          </w:p>
        </w:tc>
        <w:tc>
          <w:tcPr>
            <w:tcW w:w="9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20.48%</w:t>
            </w:r>
          </w:p>
        </w:tc>
        <w:tc>
          <w:tcPr>
            <w:tcW w:w="130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7"/>
                <w:szCs w:val="17"/>
                <w:b w:val="1"/>
                <w:bCs w:val="1"/>
                <w:color w:val="auto"/>
                <w:w w:val="99"/>
              </w:rPr>
              <w:t>-370 bps-1457 bps</w:t>
            </w:r>
          </w:p>
        </w:tc>
        <w:tc>
          <w:tcPr>
            <w:tcW w:w="860" w:type="dxa"/>
            <w:vAlign w:val="bottom"/>
          </w:tcPr>
          <w:p>
            <w:pPr>
              <w:jc w:val="center"/>
              <w:spacing w:after="0"/>
              <w:rPr>
                <w:sz w:val="20"/>
                <w:szCs w:val="20"/>
                <w:color w:val="auto"/>
              </w:rPr>
            </w:pPr>
            <w:r>
              <w:rPr>
                <w:rFonts w:ascii="Calibri" w:cs="Calibri" w:eastAsia="Calibri" w:hAnsi="Calibri"/>
                <w:sz w:val="17"/>
                <w:szCs w:val="17"/>
                <w:b w:val="1"/>
                <w:bCs w:val="1"/>
                <w:color w:val="auto"/>
                <w:w w:val="97"/>
              </w:rPr>
              <w:t>28.00%</w:t>
            </w:r>
          </w:p>
        </w:tc>
        <w:tc>
          <w:tcPr>
            <w:tcW w:w="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24.93%</w:t>
            </w:r>
          </w:p>
        </w:tc>
        <w:tc>
          <w:tcPr>
            <w:tcW w:w="1140" w:type="dxa"/>
            <w:vAlign w:val="bottom"/>
            <w:tcBorders>
              <w:right w:val="single" w:sz="8" w:color="auto"/>
            </w:tcBorders>
            <w:gridSpan w:val="2"/>
          </w:tcPr>
          <w:p>
            <w:pPr>
              <w:jc w:val="center"/>
              <w:ind w:right="20"/>
              <w:spacing w:after="0"/>
              <w:rPr>
                <w:sz w:val="20"/>
                <w:szCs w:val="20"/>
                <w:color w:val="auto"/>
              </w:rPr>
            </w:pPr>
            <w:r>
              <w:rPr>
                <w:rFonts w:ascii="Calibri" w:cs="Calibri" w:eastAsia="Calibri" w:hAnsi="Calibri"/>
                <w:sz w:val="17"/>
                <w:szCs w:val="17"/>
                <w:b w:val="1"/>
                <w:bCs w:val="1"/>
                <w:color w:val="auto"/>
              </w:rPr>
              <w:t>-307 bps</w:t>
            </w:r>
          </w:p>
        </w:tc>
      </w:tr>
      <w:tr>
        <w:trPr>
          <w:trHeight w:val="24"/>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-4088130</wp:posOffset>
            </wp:positionV>
            <wp:extent cx="1016000" cy="141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152" w:lineRule="exact"/>
        <w:rPr>
          <w:sz w:val="20"/>
          <w:szCs w:val="20"/>
          <w:color w:val="auto"/>
        </w:rPr>
      </w:pPr>
    </w:p>
    <w:p>
      <w:pPr>
        <w:ind w:left="840"/>
        <w:spacing w:after="0"/>
        <w:rPr>
          <w:sz w:val="20"/>
          <w:szCs w:val="20"/>
          <w:color w:val="auto"/>
        </w:rPr>
      </w:pPr>
      <w:r>
        <w:rPr>
          <w:rFonts w:ascii="Calibri" w:cs="Calibri" w:eastAsia="Calibri" w:hAnsi="Calibri"/>
          <w:sz w:val="12"/>
          <w:szCs w:val="12"/>
          <w:color w:val="auto"/>
        </w:rPr>
        <w:t>(1) Annualized. For further detail on the new NIM calculaton due to IFRS17, please refer to Annex 12.7.</w:t>
      </w:r>
    </w:p>
    <w:p>
      <w:pPr>
        <w:spacing w:after="0" w:line="172"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12.4. Net Interest Margin (NIM) and Risk-Adjusted NIM by Subsidiary</w:t>
      </w:r>
    </w:p>
    <w:p>
      <w:pPr>
        <w:spacing w:after="0" w:line="187" w:lineRule="exact"/>
        <w:rPr>
          <w:sz w:val="20"/>
          <w:szCs w:val="20"/>
          <w:color w:val="auto"/>
        </w:rPr>
      </w:pPr>
    </w:p>
    <w:tbl>
      <w:tblPr>
        <w:tblLayout w:type="fixed"/>
        <w:tblInd w:w="1150" w:type="dxa"/>
        <w:tblCellMar>
          <w:top w:w="0" w:type="dxa"/>
          <w:left w:w="0" w:type="dxa"/>
          <w:bottom w:w="0" w:type="dxa"/>
          <w:right w:w="0" w:type="dxa"/>
        </w:tblCellMar>
      </w:tblPr>
      <w:tr>
        <w:trPr>
          <w:trHeight w:val="222"/>
        </w:trPr>
        <w:tc>
          <w:tcPr>
            <w:tcW w:w="2480" w:type="dxa"/>
            <w:vAlign w:val="bottom"/>
            <w:tcBorders>
              <w:top w:val="single" w:sz="8" w:color="auto"/>
              <w:left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NIM Breakdown</w:t>
            </w:r>
          </w:p>
        </w:tc>
        <w:tc>
          <w:tcPr>
            <w:tcW w:w="16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9"/>
              </w:rPr>
              <w:t>BCP Stand-alone</w:t>
            </w:r>
          </w:p>
        </w:tc>
        <w:tc>
          <w:tcPr>
            <w:tcW w:w="156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rPr>
              <w:t>Mibanco</w:t>
            </w:r>
          </w:p>
        </w:tc>
        <w:tc>
          <w:tcPr>
            <w:tcW w:w="15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BCP Bolivia</w:t>
            </w:r>
          </w:p>
        </w:tc>
        <w:tc>
          <w:tcPr>
            <w:tcW w:w="16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9"/>
              </w:rPr>
              <w:t>Credicorp</w:t>
            </w:r>
          </w:p>
        </w:tc>
      </w:tr>
      <w:tr>
        <w:trPr>
          <w:trHeight w:val="183"/>
        </w:trPr>
        <w:tc>
          <w:tcPr>
            <w:tcW w:w="2480" w:type="dxa"/>
            <w:vAlign w:val="bottom"/>
            <w:tcBorders>
              <w:left w:val="single" w:sz="8" w:color="auto"/>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4Q23</w:t>
            </w:r>
          </w:p>
        </w:tc>
        <w:tc>
          <w:tcPr>
            <w:tcW w:w="16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color w:val="auto"/>
                <w:w w:val="99"/>
              </w:rPr>
              <w:t>5.99%</w:t>
            </w:r>
          </w:p>
        </w:tc>
        <w:tc>
          <w:tcPr>
            <w:tcW w:w="156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color w:val="auto"/>
              </w:rPr>
              <w:t>13.35%</w:t>
            </w:r>
          </w:p>
        </w:tc>
        <w:tc>
          <w:tcPr>
            <w:tcW w:w="15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color w:val="auto"/>
                <w:w w:val="99"/>
              </w:rPr>
              <w:t>2.87%</w:t>
            </w:r>
          </w:p>
        </w:tc>
        <w:tc>
          <w:tcPr>
            <w:tcW w:w="1680" w:type="dxa"/>
            <w:vAlign w:val="bottom"/>
            <w:tcBorders>
              <w:right w:val="single" w:sz="8" w:color="auto"/>
            </w:tcBorders>
          </w:tcPr>
          <w:p>
            <w:pPr>
              <w:jc w:val="center"/>
              <w:spacing w:after="0" w:line="184" w:lineRule="exact"/>
              <w:rPr>
                <w:sz w:val="20"/>
                <w:szCs w:val="20"/>
                <w:color w:val="auto"/>
              </w:rPr>
            </w:pPr>
            <w:r>
              <w:rPr>
                <w:rFonts w:ascii="Calibri" w:cs="Calibri" w:eastAsia="Calibri" w:hAnsi="Calibri"/>
                <w:sz w:val="17"/>
                <w:szCs w:val="17"/>
                <w:b w:val="1"/>
                <w:bCs w:val="1"/>
                <w:color w:val="auto"/>
              </w:rPr>
              <w:t>6.20%</w:t>
            </w:r>
          </w:p>
        </w:tc>
      </w:tr>
      <w:tr>
        <w:trPr>
          <w:trHeight w:val="207"/>
        </w:trPr>
        <w:tc>
          <w:tcPr>
            <w:tcW w:w="24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3Q24</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6.17%</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13.86%</w:t>
            </w:r>
          </w:p>
        </w:tc>
        <w:tc>
          <w:tcPr>
            <w:tcW w:w="15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2.95%</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6.43%</w:t>
            </w:r>
          </w:p>
        </w:tc>
      </w:tr>
      <w:tr>
        <w:trPr>
          <w:trHeight w:val="210"/>
        </w:trPr>
        <w:tc>
          <w:tcPr>
            <w:tcW w:w="24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4Q24</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6.01%</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14.16%</w:t>
            </w:r>
          </w:p>
        </w:tc>
        <w:tc>
          <w:tcPr>
            <w:tcW w:w="15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2.96%</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6.34%</w:t>
            </w:r>
          </w:p>
        </w:tc>
      </w:tr>
      <w:tr>
        <w:trPr>
          <w:trHeight w:val="24"/>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r>
    </w:tbl>
    <w:p>
      <w:pPr>
        <w:spacing w:after="0" w:line="312" w:lineRule="exact"/>
        <w:rPr>
          <w:sz w:val="20"/>
          <w:szCs w:val="20"/>
          <w:color w:val="auto"/>
        </w:rPr>
      </w:pPr>
    </w:p>
    <w:p>
      <w:pPr>
        <w:ind w:left="1500"/>
        <w:spacing w:after="0"/>
        <w:rPr>
          <w:sz w:val="20"/>
          <w:szCs w:val="20"/>
          <w:color w:val="auto"/>
        </w:rPr>
      </w:pPr>
      <w:r>
        <w:rPr>
          <w:rFonts w:ascii="Calibri" w:cs="Calibri" w:eastAsia="Calibri" w:hAnsi="Calibri"/>
          <w:sz w:val="11"/>
          <w:szCs w:val="11"/>
          <w:color w:val="auto"/>
        </w:rPr>
        <w:t>NIM: Annualized Net interest income (excluding Net Insurance Financial Expenses) / Average period end and period beginning interest-earning assets.</w:t>
      </w:r>
    </w:p>
    <w:p>
      <w:pPr>
        <w:spacing w:after="0" w:line="176" w:lineRule="exact"/>
        <w:rPr>
          <w:sz w:val="20"/>
          <w:szCs w:val="20"/>
          <w:color w:val="auto"/>
        </w:rPr>
      </w:pPr>
    </w:p>
    <w:tbl>
      <w:tblPr>
        <w:tblLayout w:type="fixed"/>
        <w:tblInd w:w="1150" w:type="dxa"/>
        <w:tblCellMar>
          <w:top w:w="0" w:type="dxa"/>
          <w:left w:w="0" w:type="dxa"/>
          <w:bottom w:w="0" w:type="dxa"/>
          <w:right w:w="0" w:type="dxa"/>
        </w:tblCellMar>
      </w:tblPr>
      <w:tr>
        <w:trPr>
          <w:trHeight w:val="202"/>
        </w:trPr>
        <w:tc>
          <w:tcPr>
            <w:tcW w:w="2480" w:type="dxa"/>
            <w:vAlign w:val="bottom"/>
            <w:tcBorders>
              <w:top w:val="single" w:sz="8" w:color="auto"/>
              <w:left w:val="single" w:sz="8" w:color="auto"/>
              <w:right w:val="single" w:sz="8" w:color="auto"/>
            </w:tcBorders>
            <w:shd w:val="clear" w:color="auto" w:fill="33CCCC"/>
          </w:tcPr>
          <w:p>
            <w:pPr>
              <w:jc w:val="center"/>
              <w:spacing w:after="0" w:line="202" w:lineRule="exact"/>
              <w:rPr>
                <w:sz w:val="20"/>
                <w:szCs w:val="20"/>
                <w:color w:val="auto"/>
              </w:rPr>
            </w:pPr>
            <w:r>
              <w:rPr>
                <w:rFonts w:ascii="Calibri" w:cs="Calibri" w:eastAsia="Calibri" w:hAnsi="Calibri"/>
                <w:sz w:val="17"/>
                <w:szCs w:val="17"/>
                <w:b w:val="1"/>
                <w:bCs w:val="1"/>
                <w:color w:val="FFFFFF"/>
                <w:w w:val="98"/>
              </w:rPr>
              <w:t>Risk-Adjusted</w:t>
            </w:r>
          </w:p>
        </w:tc>
        <w:tc>
          <w:tcPr>
            <w:tcW w:w="1680" w:type="dxa"/>
            <w:vAlign w:val="bottom"/>
            <w:tcBorders>
              <w:top w:val="single" w:sz="8" w:color="auto"/>
              <w:right w:val="single" w:sz="8" w:color="auto"/>
            </w:tcBorders>
            <w:shd w:val="clear" w:color="auto" w:fill="33CCCC"/>
          </w:tcPr>
          <w:p>
            <w:pPr>
              <w:jc w:val="center"/>
              <w:spacing w:after="0" w:line="202" w:lineRule="exact"/>
              <w:rPr>
                <w:sz w:val="20"/>
                <w:szCs w:val="20"/>
                <w:color w:val="auto"/>
              </w:rPr>
            </w:pPr>
            <w:r>
              <w:rPr>
                <w:rFonts w:ascii="Calibri" w:cs="Calibri" w:eastAsia="Calibri" w:hAnsi="Calibri"/>
                <w:sz w:val="17"/>
                <w:szCs w:val="17"/>
                <w:b w:val="1"/>
                <w:bCs w:val="1"/>
                <w:color w:val="FFFFFF"/>
                <w:w w:val="99"/>
              </w:rPr>
              <w:t>BCP Stand-alone</w:t>
            </w:r>
          </w:p>
        </w:tc>
        <w:tc>
          <w:tcPr>
            <w:tcW w:w="1560" w:type="dxa"/>
            <w:vAlign w:val="bottom"/>
            <w:tcBorders>
              <w:top w:val="single" w:sz="8" w:color="auto"/>
              <w:right w:val="single" w:sz="8" w:color="auto"/>
            </w:tcBorders>
            <w:shd w:val="clear" w:color="auto" w:fill="33CCCC"/>
          </w:tcPr>
          <w:p>
            <w:pPr>
              <w:ind w:left="460"/>
              <w:spacing w:after="0" w:line="202" w:lineRule="exact"/>
              <w:rPr>
                <w:sz w:val="20"/>
                <w:szCs w:val="20"/>
                <w:color w:val="auto"/>
              </w:rPr>
            </w:pPr>
            <w:r>
              <w:rPr>
                <w:rFonts w:ascii="Calibri" w:cs="Calibri" w:eastAsia="Calibri" w:hAnsi="Calibri"/>
                <w:sz w:val="17"/>
                <w:szCs w:val="17"/>
                <w:b w:val="1"/>
                <w:bCs w:val="1"/>
                <w:color w:val="FFFFFF"/>
              </w:rPr>
              <w:t>Mibanco</w:t>
            </w:r>
          </w:p>
        </w:tc>
        <w:tc>
          <w:tcPr>
            <w:tcW w:w="1580" w:type="dxa"/>
            <w:vAlign w:val="bottom"/>
            <w:tcBorders>
              <w:top w:val="single" w:sz="8" w:color="auto"/>
              <w:right w:val="single" w:sz="8" w:color="auto"/>
            </w:tcBorders>
            <w:shd w:val="clear" w:color="auto" w:fill="33CCCC"/>
          </w:tcPr>
          <w:p>
            <w:pPr>
              <w:jc w:val="center"/>
              <w:spacing w:after="0" w:line="202" w:lineRule="exact"/>
              <w:rPr>
                <w:sz w:val="20"/>
                <w:szCs w:val="20"/>
                <w:color w:val="auto"/>
              </w:rPr>
            </w:pPr>
            <w:r>
              <w:rPr>
                <w:rFonts w:ascii="Calibri" w:cs="Calibri" w:eastAsia="Calibri" w:hAnsi="Calibri"/>
                <w:sz w:val="17"/>
                <w:szCs w:val="17"/>
                <w:b w:val="1"/>
                <w:bCs w:val="1"/>
                <w:color w:val="FFFFFF"/>
              </w:rPr>
              <w:t>BCP Bolivia</w:t>
            </w:r>
          </w:p>
        </w:tc>
        <w:tc>
          <w:tcPr>
            <w:tcW w:w="1680" w:type="dxa"/>
            <w:vAlign w:val="bottom"/>
            <w:tcBorders>
              <w:top w:val="single" w:sz="8" w:color="auto"/>
              <w:right w:val="single" w:sz="8" w:color="auto"/>
            </w:tcBorders>
            <w:shd w:val="clear" w:color="auto" w:fill="33CCCC"/>
          </w:tcPr>
          <w:p>
            <w:pPr>
              <w:jc w:val="center"/>
              <w:spacing w:after="0" w:line="202" w:lineRule="exact"/>
              <w:rPr>
                <w:sz w:val="20"/>
                <w:szCs w:val="20"/>
                <w:color w:val="auto"/>
              </w:rPr>
            </w:pPr>
            <w:r>
              <w:rPr>
                <w:rFonts w:ascii="Calibri" w:cs="Calibri" w:eastAsia="Calibri" w:hAnsi="Calibri"/>
                <w:sz w:val="17"/>
                <w:szCs w:val="17"/>
                <w:b w:val="1"/>
                <w:bCs w:val="1"/>
                <w:color w:val="FFFFFF"/>
                <w:w w:val="99"/>
              </w:rPr>
              <w:t>Credicorp</w:t>
            </w:r>
          </w:p>
        </w:tc>
      </w:tr>
      <w:tr>
        <w:trPr>
          <w:trHeight w:val="236"/>
        </w:trPr>
        <w:tc>
          <w:tcPr>
            <w:tcW w:w="2480" w:type="dxa"/>
            <w:vAlign w:val="bottom"/>
            <w:tcBorders>
              <w:left w:val="single" w:sz="8" w:color="auto"/>
              <w:bottom w:val="single" w:sz="8" w:color="33CCCC"/>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NIM Breakdown</w:t>
            </w:r>
          </w:p>
        </w:tc>
        <w:tc>
          <w:tcPr>
            <w:tcW w:w="1680" w:type="dxa"/>
            <w:vAlign w:val="bottom"/>
            <w:tcBorders>
              <w:bottom w:val="single" w:sz="8" w:color="33CCCC"/>
              <w:right w:val="single" w:sz="8" w:color="auto"/>
            </w:tcBorders>
            <w:shd w:val="clear" w:color="auto" w:fill="33CCCC"/>
          </w:tcPr>
          <w:p>
            <w:pPr>
              <w:spacing w:after="0"/>
              <w:rPr>
                <w:sz w:val="20"/>
                <w:szCs w:val="20"/>
                <w:color w:val="auto"/>
              </w:rPr>
            </w:pPr>
          </w:p>
        </w:tc>
        <w:tc>
          <w:tcPr>
            <w:tcW w:w="1560" w:type="dxa"/>
            <w:vAlign w:val="bottom"/>
            <w:tcBorders>
              <w:bottom w:val="single" w:sz="8" w:color="33CCCC"/>
              <w:right w:val="single" w:sz="8" w:color="auto"/>
            </w:tcBorders>
            <w:shd w:val="clear" w:color="auto" w:fill="33CCCC"/>
          </w:tcPr>
          <w:p>
            <w:pPr>
              <w:spacing w:after="0"/>
              <w:rPr>
                <w:sz w:val="20"/>
                <w:szCs w:val="20"/>
                <w:color w:val="auto"/>
              </w:rPr>
            </w:pPr>
          </w:p>
        </w:tc>
        <w:tc>
          <w:tcPr>
            <w:tcW w:w="1580" w:type="dxa"/>
            <w:vAlign w:val="bottom"/>
            <w:tcBorders>
              <w:bottom w:val="single" w:sz="8" w:color="33CCCC"/>
              <w:right w:val="single" w:sz="8" w:color="auto"/>
            </w:tcBorders>
            <w:shd w:val="clear" w:color="auto" w:fill="33CCCC"/>
          </w:tcPr>
          <w:p>
            <w:pPr>
              <w:spacing w:after="0"/>
              <w:rPr>
                <w:sz w:val="20"/>
                <w:szCs w:val="20"/>
                <w:color w:val="auto"/>
              </w:rPr>
            </w:pPr>
          </w:p>
        </w:tc>
        <w:tc>
          <w:tcPr>
            <w:tcW w:w="1680" w:type="dxa"/>
            <w:vAlign w:val="bottom"/>
            <w:tcBorders>
              <w:bottom w:val="single" w:sz="8" w:color="33CCCC"/>
              <w:right w:val="single" w:sz="8" w:color="auto"/>
            </w:tcBorders>
            <w:shd w:val="clear" w:color="auto" w:fill="33CCCC"/>
          </w:tcPr>
          <w:p>
            <w:pPr>
              <w:spacing w:after="0"/>
              <w:rPr>
                <w:sz w:val="20"/>
                <w:szCs w:val="20"/>
                <w:color w:val="auto"/>
              </w:rPr>
            </w:pPr>
          </w:p>
        </w:tc>
      </w:tr>
      <w:tr>
        <w:trPr>
          <w:trHeight w:val="182"/>
        </w:trPr>
        <w:tc>
          <w:tcPr>
            <w:tcW w:w="2480" w:type="dxa"/>
            <w:vAlign w:val="bottom"/>
            <w:tcBorders>
              <w:top w:val="single" w:sz="8" w:color="auto"/>
              <w:left w:val="single" w:sz="8" w:color="auto"/>
              <w:right w:val="single" w:sz="8" w:color="auto"/>
            </w:tcBorders>
          </w:tcPr>
          <w:p>
            <w:pPr>
              <w:jc w:val="center"/>
              <w:spacing w:after="0" w:line="182" w:lineRule="exact"/>
              <w:rPr>
                <w:sz w:val="20"/>
                <w:szCs w:val="20"/>
                <w:color w:val="auto"/>
              </w:rPr>
            </w:pPr>
            <w:r>
              <w:rPr>
                <w:rFonts w:ascii="Calibri" w:cs="Calibri" w:eastAsia="Calibri" w:hAnsi="Calibri"/>
                <w:sz w:val="17"/>
                <w:szCs w:val="17"/>
                <w:b w:val="1"/>
                <w:bCs w:val="1"/>
                <w:color w:val="auto"/>
              </w:rPr>
              <w:t>4Q23</w:t>
            </w:r>
          </w:p>
        </w:tc>
        <w:tc>
          <w:tcPr>
            <w:tcW w:w="1680" w:type="dxa"/>
            <w:vAlign w:val="bottom"/>
            <w:tcBorders>
              <w:top w:val="single" w:sz="8" w:color="auto"/>
              <w:right w:val="single" w:sz="8" w:color="auto"/>
            </w:tcBorders>
          </w:tcPr>
          <w:p>
            <w:pPr>
              <w:jc w:val="center"/>
              <w:spacing w:after="0" w:line="182" w:lineRule="exact"/>
              <w:rPr>
                <w:sz w:val="20"/>
                <w:szCs w:val="20"/>
                <w:color w:val="auto"/>
              </w:rPr>
            </w:pPr>
            <w:r>
              <w:rPr>
                <w:rFonts w:ascii="Calibri" w:cs="Calibri" w:eastAsia="Calibri" w:hAnsi="Calibri"/>
                <w:sz w:val="17"/>
                <w:szCs w:val="17"/>
                <w:color w:val="auto"/>
                <w:w w:val="99"/>
              </w:rPr>
              <w:t>3.96%</w:t>
            </w:r>
          </w:p>
        </w:tc>
        <w:tc>
          <w:tcPr>
            <w:tcW w:w="1560" w:type="dxa"/>
            <w:vAlign w:val="bottom"/>
            <w:tcBorders>
              <w:top w:val="single" w:sz="8" w:color="auto"/>
              <w:right w:val="single" w:sz="8" w:color="auto"/>
            </w:tcBorders>
          </w:tcPr>
          <w:p>
            <w:pPr>
              <w:jc w:val="center"/>
              <w:spacing w:after="0" w:line="182" w:lineRule="exact"/>
              <w:rPr>
                <w:sz w:val="20"/>
                <w:szCs w:val="20"/>
                <w:color w:val="auto"/>
              </w:rPr>
            </w:pPr>
            <w:r>
              <w:rPr>
                <w:rFonts w:ascii="Calibri" w:cs="Calibri" w:eastAsia="Calibri" w:hAnsi="Calibri"/>
                <w:sz w:val="17"/>
                <w:szCs w:val="17"/>
                <w:color w:val="auto"/>
                <w:w w:val="99"/>
              </w:rPr>
              <w:t>8.17%</w:t>
            </w:r>
          </w:p>
        </w:tc>
        <w:tc>
          <w:tcPr>
            <w:tcW w:w="1580" w:type="dxa"/>
            <w:vAlign w:val="bottom"/>
            <w:tcBorders>
              <w:top w:val="single" w:sz="8" w:color="auto"/>
              <w:right w:val="single" w:sz="8" w:color="auto"/>
            </w:tcBorders>
          </w:tcPr>
          <w:p>
            <w:pPr>
              <w:jc w:val="center"/>
              <w:spacing w:after="0" w:line="182" w:lineRule="exact"/>
              <w:rPr>
                <w:sz w:val="20"/>
                <w:szCs w:val="20"/>
                <w:color w:val="auto"/>
              </w:rPr>
            </w:pPr>
            <w:r>
              <w:rPr>
                <w:rFonts w:ascii="Calibri" w:cs="Calibri" w:eastAsia="Calibri" w:hAnsi="Calibri"/>
                <w:sz w:val="17"/>
                <w:szCs w:val="17"/>
                <w:color w:val="auto"/>
                <w:w w:val="99"/>
              </w:rPr>
              <w:t>1.93%</w:t>
            </w:r>
          </w:p>
        </w:tc>
        <w:tc>
          <w:tcPr>
            <w:tcW w:w="1680" w:type="dxa"/>
            <w:vAlign w:val="bottom"/>
            <w:tcBorders>
              <w:top w:val="single" w:sz="8" w:color="auto"/>
              <w:right w:val="single" w:sz="8" w:color="auto"/>
            </w:tcBorders>
          </w:tcPr>
          <w:p>
            <w:pPr>
              <w:jc w:val="center"/>
              <w:spacing w:after="0" w:line="182" w:lineRule="exact"/>
              <w:rPr>
                <w:sz w:val="20"/>
                <w:szCs w:val="20"/>
                <w:color w:val="auto"/>
              </w:rPr>
            </w:pPr>
            <w:r>
              <w:rPr>
                <w:rFonts w:ascii="Calibri" w:cs="Calibri" w:eastAsia="Calibri" w:hAnsi="Calibri"/>
                <w:sz w:val="17"/>
                <w:szCs w:val="17"/>
                <w:b w:val="1"/>
                <w:bCs w:val="1"/>
                <w:color w:val="auto"/>
              </w:rPr>
              <w:t>4.10%</w:t>
            </w:r>
          </w:p>
        </w:tc>
      </w:tr>
      <w:tr>
        <w:trPr>
          <w:trHeight w:val="207"/>
        </w:trPr>
        <w:tc>
          <w:tcPr>
            <w:tcW w:w="24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3Q24</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4.75%</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9.12%</w:t>
            </w:r>
          </w:p>
        </w:tc>
        <w:tc>
          <w:tcPr>
            <w:tcW w:w="15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2.59%</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4.93%</w:t>
            </w:r>
          </w:p>
        </w:tc>
      </w:tr>
      <w:tr>
        <w:trPr>
          <w:trHeight w:val="210"/>
        </w:trPr>
        <w:tc>
          <w:tcPr>
            <w:tcW w:w="248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4Q24</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4.85%</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10.66%</w:t>
            </w:r>
          </w:p>
        </w:tc>
        <w:tc>
          <w:tcPr>
            <w:tcW w:w="15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2.12%</w:t>
            </w:r>
          </w:p>
        </w:tc>
        <w:tc>
          <w:tcPr>
            <w:tcW w:w="16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5.08%</w:t>
            </w:r>
          </w:p>
        </w:tc>
      </w:tr>
      <w:tr>
        <w:trPr>
          <w:trHeight w:val="24"/>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r>
    </w:tbl>
    <w:p>
      <w:pPr>
        <w:spacing w:after="0" w:line="181" w:lineRule="exact"/>
        <w:rPr>
          <w:sz w:val="20"/>
          <w:szCs w:val="20"/>
          <w:color w:val="auto"/>
        </w:rPr>
      </w:pPr>
    </w:p>
    <w:p>
      <w:pPr>
        <w:ind w:left="1500" w:right="1860"/>
        <w:spacing w:after="0" w:line="237" w:lineRule="auto"/>
        <w:rPr>
          <w:sz w:val="20"/>
          <w:szCs w:val="20"/>
          <w:color w:val="auto"/>
        </w:rPr>
      </w:pPr>
      <w:r>
        <w:rPr>
          <w:rFonts w:ascii="Calibri" w:cs="Calibri" w:eastAsia="Calibri" w:hAnsi="Calibri"/>
          <w:sz w:val="11"/>
          <w:szCs w:val="11"/>
          <w:color w:val="auto"/>
        </w:rPr>
        <w:t>Risk-Adjusted NIM: (Annualized Net interest income (excluding Net Insurance Financial Expenses) - annualized provisions) / Average period end and period beginning interest-earning assets.</w:t>
      </w:r>
    </w:p>
    <w:p>
      <w:pPr>
        <w:spacing w:after="0" w:line="34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53" w:name="page54"/>
    <w:bookmarkEnd w:id="53"/>
    <w:p>
      <w:pPr>
        <w:ind w:left="2380"/>
        <w:spacing w:after="0"/>
        <w:tabs>
          <w:tab w:leader="none" w:pos="2660" w:val="left"/>
          <w:tab w:leader="none" w:pos="73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180975</wp:posOffset>
            </wp:positionV>
            <wp:extent cx="7136130" cy="2330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color w:val="auto"/>
        </w:rPr>
        <w:t>12.5. Regulatory Capital</w:t>
      </w:r>
    </w:p>
    <w:p>
      <w:pPr>
        <w:spacing w:after="0" w:line="188" w:lineRule="exact"/>
        <w:rPr>
          <w:sz w:val="20"/>
          <w:szCs w:val="20"/>
          <w:color w:val="auto"/>
        </w:rPr>
      </w:pPr>
    </w:p>
    <w:p>
      <w:pPr>
        <w:jc w:val="center"/>
        <w:ind w:right="300"/>
        <w:spacing w:after="0"/>
        <w:rPr>
          <w:sz w:val="20"/>
          <w:szCs w:val="20"/>
          <w:color w:val="auto"/>
        </w:rPr>
      </w:pPr>
      <w:r>
        <w:rPr>
          <w:rFonts w:ascii="Calibri" w:cs="Calibri" w:eastAsia="Calibri" w:hAnsi="Calibri"/>
          <w:sz w:val="19"/>
          <w:szCs w:val="19"/>
          <w:b w:val="1"/>
          <w:bCs w:val="1"/>
          <w:color w:val="auto"/>
        </w:rPr>
        <w:t>Regulatory Capital and Capital Adequacy Ratos</w:t>
      </w:r>
    </w:p>
    <w:p>
      <w:pPr>
        <w:spacing w:after="0" w:line="4" w:lineRule="exact"/>
        <w:rPr>
          <w:sz w:val="20"/>
          <w:szCs w:val="20"/>
          <w:color w:val="auto"/>
        </w:rPr>
      </w:pPr>
    </w:p>
    <w:p>
      <w:pPr>
        <w:jc w:val="center"/>
        <w:ind w:right="300"/>
        <w:spacing w:after="0"/>
        <w:rPr>
          <w:sz w:val="20"/>
          <w:szCs w:val="20"/>
          <w:color w:val="auto"/>
        </w:rPr>
      </w:pPr>
      <w:r>
        <w:rPr>
          <w:rFonts w:ascii="Calibri" w:cs="Calibri" w:eastAsia="Calibri" w:hAnsi="Calibri"/>
          <w:sz w:val="19"/>
          <w:szCs w:val="19"/>
          <w:b w:val="1"/>
          <w:bCs w:val="1"/>
          <w:color w:val="auto"/>
        </w:rPr>
        <w:t>(IFRS)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6040" w:type="dxa"/>
            <w:vAlign w:val="bottom"/>
            <w:tcBorders>
              <w:top w:val="single" w:sz="8" w:color="auto"/>
              <w:left w:val="single" w:sz="8" w:color="auto"/>
              <w:right w:val="single" w:sz="8" w:color="auto"/>
            </w:tcBorders>
            <w:shd w:val="clear" w:color="auto" w:fill="33CCCC"/>
          </w:tcPr>
          <w:p>
            <w:pPr>
              <w:spacing w:after="0"/>
              <w:rPr>
                <w:sz w:val="20"/>
                <w:szCs w:val="20"/>
                <w:color w:val="auto"/>
              </w:rPr>
            </w:pPr>
            <w:r>
              <w:rPr>
                <w:rFonts w:ascii="Calibri" w:cs="Calibri" w:eastAsia="Calibri" w:hAnsi="Calibri"/>
                <w:sz w:val="17"/>
                <w:szCs w:val="17"/>
                <w:b w:val="1"/>
                <w:bCs w:val="1"/>
                <w:color w:val="FFFFFF"/>
              </w:rPr>
              <w:t>Regulatory Capital and Capital Adequacy Ratos</w:t>
            </w:r>
          </w:p>
        </w:tc>
        <w:tc>
          <w:tcPr>
            <w:tcW w:w="1240" w:type="dxa"/>
            <w:vAlign w:val="bottom"/>
            <w:tcBorders>
              <w:top w:val="single" w:sz="8" w:color="auto"/>
            </w:tcBorders>
            <w:shd w:val="clear" w:color="auto" w:fill="33CCCC"/>
          </w:tcPr>
          <w:p>
            <w:pPr>
              <w:spacing w:after="0"/>
              <w:rPr>
                <w:sz w:val="19"/>
                <w:szCs w:val="19"/>
                <w:color w:val="auto"/>
              </w:rPr>
            </w:pPr>
          </w:p>
        </w:tc>
        <w:tc>
          <w:tcPr>
            <w:tcW w:w="1840" w:type="dxa"/>
            <w:vAlign w:val="bottom"/>
            <w:tcBorders>
              <w:top w:val="single" w:sz="8" w:color="auto"/>
              <w:right w:val="single" w:sz="8" w:color="auto"/>
            </w:tcBorders>
            <w:shd w:val="clear" w:color="auto" w:fill="33CCCC"/>
          </w:tcPr>
          <w:p>
            <w:pPr>
              <w:jc w:val="right"/>
              <w:ind w:right="1293"/>
              <w:spacing w:after="0"/>
              <w:rPr>
                <w:sz w:val="20"/>
                <w:szCs w:val="20"/>
                <w:color w:val="auto"/>
              </w:rPr>
            </w:pPr>
            <w:r>
              <w:rPr>
                <w:rFonts w:ascii="Calibri" w:cs="Calibri" w:eastAsia="Calibri" w:hAnsi="Calibri"/>
                <w:sz w:val="17"/>
                <w:szCs w:val="17"/>
                <w:b w:val="1"/>
                <w:bCs w:val="1"/>
                <w:color w:val="FFFFFF"/>
              </w:rPr>
              <w:t>As of</w:t>
            </w:r>
          </w:p>
        </w:tc>
        <w:tc>
          <w:tcPr>
            <w:tcW w:w="15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9"/>
              </w:rPr>
              <w:t>% Change</w:t>
            </w:r>
          </w:p>
        </w:tc>
      </w:tr>
      <w:tr>
        <w:trPr>
          <w:trHeight w:val="210"/>
        </w:trPr>
        <w:tc>
          <w:tcPr>
            <w:tcW w:w="6040" w:type="dxa"/>
            <w:vAlign w:val="bottom"/>
            <w:tcBorders>
              <w:left w:val="single" w:sz="8" w:color="auto"/>
              <w:bottom w:val="single" w:sz="8" w:color="auto"/>
              <w:right w:val="single" w:sz="8" w:color="auto"/>
            </w:tcBorders>
            <w:shd w:val="clear" w:color="auto" w:fill="33CCCC"/>
          </w:tcPr>
          <w:p>
            <w:pPr>
              <w:spacing w:after="0"/>
              <w:rPr>
                <w:sz w:val="20"/>
                <w:szCs w:val="20"/>
                <w:color w:val="auto"/>
              </w:rPr>
            </w:pPr>
            <w:r>
              <w:rPr>
                <w:rFonts w:ascii="Calibri" w:cs="Calibri" w:eastAsia="Calibri" w:hAnsi="Calibri"/>
                <w:sz w:val="17"/>
                <w:szCs w:val="17"/>
                <w:b w:val="1"/>
                <w:bCs w:val="1"/>
                <w:color w:val="FFFFFF"/>
              </w:rPr>
              <w:t>S/000</w:t>
            </w:r>
          </w:p>
        </w:tc>
        <w:tc>
          <w:tcPr>
            <w:tcW w:w="1240" w:type="dxa"/>
            <w:vAlign w:val="bottom"/>
            <w:tcBorders>
              <w:bottom w:val="single" w:sz="8" w:color="auto"/>
            </w:tcBorders>
            <w:shd w:val="clear" w:color="auto" w:fill="33CCCC"/>
          </w:tcPr>
          <w:p>
            <w:pPr>
              <w:ind w:left="520"/>
              <w:spacing w:after="0"/>
              <w:rPr>
                <w:sz w:val="20"/>
                <w:szCs w:val="20"/>
                <w:color w:val="auto"/>
              </w:rPr>
            </w:pPr>
            <w:r>
              <w:rPr>
                <w:rFonts w:ascii="Calibri" w:cs="Calibri" w:eastAsia="Calibri" w:hAnsi="Calibri"/>
                <w:sz w:val="17"/>
                <w:szCs w:val="17"/>
                <w:b w:val="1"/>
                <w:bCs w:val="1"/>
                <w:color w:val="FFFFFF"/>
              </w:rPr>
              <w:t>Sep 24</w:t>
            </w:r>
          </w:p>
        </w:tc>
        <w:tc>
          <w:tcPr>
            <w:tcW w:w="1840" w:type="dxa"/>
            <w:vAlign w:val="bottom"/>
            <w:tcBorders>
              <w:bottom w:val="single" w:sz="8" w:color="auto"/>
              <w:right w:val="single" w:sz="8" w:color="auto"/>
            </w:tcBorders>
            <w:shd w:val="clear" w:color="auto" w:fill="33CCCC"/>
          </w:tcPr>
          <w:p>
            <w:pPr>
              <w:jc w:val="right"/>
              <w:ind w:right="473"/>
              <w:spacing w:after="0"/>
              <w:rPr>
                <w:sz w:val="20"/>
                <w:szCs w:val="20"/>
                <w:color w:val="auto"/>
              </w:rPr>
            </w:pPr>
            <w:r>
              <w:rPr>
                <w:rFonts w:ascii="Calibri" w:cs="Calibri" w:eastAsia="Calibri" w:hAnsi="Calibri"/>
                <w:sz w:val="17"/>
                <w:szCs w:val="17"/>
                <w:b w:val="1"/>
                <w:bCs w:val="1"/>
                <w:color w:val="FFFFFF"/>
              </w:rPr>
              <w:t>Dec 24</w:t>
            </w:r>
          </w:p>
        </w:tc>
        <w:tc>
          <w:tcPr>
            <w:tcW w:w="156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7"/>
                <w:szCs w:val="17"/>
                <w:b w:val="1"/>
                <w:bCs w:val="1"/>
                <w:color w:val="FFFFFF"/>
                <w:w w:val="98"/>
              </w:rPr>
              <w:t>QoQ</w:t>
            </w:r>
          </w:p>
        </w:tc>
      </w:tr>
      <w:tr>
        <w:trPr>
          <w:trHeight w:val="185"/>
        </w:trPr>
        <w:tc>
          <w:tcPr>
            <w:tcW w:w="6040" w:type="dxa"/>
            <w:vAlign w:val="bottom"/>
            <w:tcBorders>
              <w:left w:val="single" w:sz="8" w:color="auto"/>
              <w:right w:val="single" w:sz="8" w:color="auto"/>
            </w:tcBorders>
          </w:tcPr>
          <w:p>
            <w:pPr>
              <w:ind w:left="160"/>
              <w:spacing w:after="0" w:line="185" w:lineRule="exact"/>
              <w:rPr>
                <w:sz w:val="20"/>
                <w:szCs w:val="20"/>
                <w:color w:val="auto"/>
              </w:rPr>
            </w:pPr>
            <w:r>
              <w:rPr>
                <w:rFonts w:ascii="Calibri" w:cs="Calibri" w:eastAsia="Calibri" w:hAnsi="Calibri"/>
                <w:sz w:val="17"/>
                <w:szCs w:val="17"/>
                <w:color w:val="auto"/>
              </w:rPr>
              <w:t>Capital Stock</w:t>
            </w:r>
          </w:p>
        </w:tc>
        <w:tc>
          <w:tcPr>
            <w:tcW w:w="1240" w:type="dxa"/>
            <w:vAlign w:val="bottom"/>
          </w:tcPr>
          <w:p>
            <w:pPr>
              <w:jc w:val="center"/>
              <w:ind w:left="173"/>
              <w:spacing w:after="0" w:line="185" w:lineRule="exact"/>
              <w:rPr>
                <w:sz w:val="20"/>
                <w:szCs w:val="20"/>
                <w:color w:val="auto"/>
              </w:rPr>
            </w:pPr>
            <w:r>
              <w:rPr>
                <w:rFonts w:ascii="Calibri" w:cs="Calibri" w:eastAsia="Calibri" w:hAnsi="Calibri"/>
                <w:sz w:val="17"/>
                <w:szCs w:val="17"/>
                <w:color w:val="auto"/>
              </w:rPr>
              <w:t>1,318,993</w:t>
            </w:r>
          </w:p>
        </w:tc>
        <w:tc>
          <w:tcPr>
            <w:tcW w:w="1840" w:type="dxa"/>
            <w:vAlign w:val="bottom"/>
            <w:tcBorders>
              <w:right w:val="single" w:sz="8" w:color="auto"/>
            </w:tcBorders>
          </w:tcPr>
          <w:p>
            <w:pPr>
              <w:jc w:val="center"/>
              <w:ind w:left="173"/>
              <w:spacing w:after="0" w:line="185" w:lineRule="exact"/>
              <w:rPr>
                <w:sz w:val="20"/>
                <w:szCs w:val="20"/>
                <w:color w:val="auto"/>
              </w:rPr>
            </w:pPr>
            <w:r>
              <w:rPr>
                <w:rFonts w:ascii="Calibri" w:cs="Calibri" w:eastAsia="Calibri" w:hAnsi="Calibri"/>
                <w:sz w:val="17"/>
                <w:szCs w:val="17"/>
                <w:color w:val="auto"/>
              </w:rPr>
              <w:t>1,318,993</w:t>
            </w:r>
          </w:p>
        </w:tc>
        <w:tc>
          <w:tcPr>
            <w:tcW w:w="1560" w:type="dxa"/>
            <w:vAlign w:val="bottom"/>
            <w:tcBorders>
              <w:right w:val="single" w:sz="8" w:color="auto"/>
            </w:tcBorders>
          </w:tcPr>
          <w:p>
            <w:pPr>
              <w:jc w:val="center"/>
              <w:spacing w:after="0" w:line="185" w:lineRule="exact"/>
              <w:rPr>
                <w:sz w:val="20"/>
                <w:szCs w:val="20"/>
                <w:color w:val="auto"/>
              </w:rPr>
            </w:pPr>
            <w:r>
              <w:rPr>
                <w:rFonts w:ascii="Calibri" w:cs="Calibri" w:eastAsia="Calibri" w:hAnsi="Calibri"/>
                <w:sz w:val="17"/>
                <w:szCs w:val="17"/>
                <w:color w:val="auto"/>
                <w:w w:val="75"/>
              </w:rPr>
              <w:t>-</w:t>
            </w:r>
          </w:p>
        </w:tc>
      </w:tr>
      <w:tr>
        <w:trPr>
          <w:trHeight w:val="207"/>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Treasury Stocks</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w w:val="99"/>
              </w:rPr>
              <w:t>(208,901)</w:t>
            </w:r>
          </w:p>
        </w:tc>
        <w:tc>
          <w:tcPr>
            <w:tcW w:w="1840" w:type="dxa"/>
            <w:vAlign w:val="bottom"/>
            <w:tcBorders>
              <w:right w:val="single" w:sz="8" w:color="auto"/>
            </w:tcBorders>
          </w:tcPr>
          <w:p>
            <w:pPr>
              <w:jc w:val="center"/>
              <w:ind w:left="173"/>
              <w:spacing w:after="0"/>
              <w:rPr>
                <w:sz w:val="20"/>
                <w:szCs w:val="20"/>
                <w:color w:val="auto"/>
              </w:rPr>
            </w:pPr>
            <w:r>
              <w:rPr>
                <w:rFonts w:ascii="Calibri" w:cs="Calibri" w:eastAsia="Calibri" w:hAnsi="Calibri"/>
                <w:sz w:val="17"/>
                <w:szCs w:val="17"/>
                <w:color w:val="auto"/>
                <w:w w:val="99"/>
              </w:rPr>
              <w:t>(208,879)</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0.0%</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Capital Surplus</w:t>
            </w:r>
          </w:p>
        </w:tc>
        <w:tc>
          <w:tcPr>
            <w:tcW w:w="1240" w:type="dxa"/>
            <w:vAlign w:val="bottom"/>
          </w:tcPr>
          <w:p>
            <w:pPr>
              <w:jc w:val="center"/>
              <w:ind w:left="193"/>
              <w:spacing w:after="0"/>
              <w:rPr>
                <w:sz w:val="20"/>
                <w:szCs w:val="20"/>
                <w:color w:val="auto"/>
              </w:rPr>
            </w:pPr>
            <w:r>
              <w:rPr>
                <w:rFonts w:ascii="Calibri" w:cs="Calibri" w:eastAsia="Calibri" w:hAnsi="Calibri"/>
                <w:sz w:val="17"/>
                <w:szCs w:val="17"/>
                <w:color w:val="auto"/>
                <w:w w:val="99"/>
              </w:rPr>
              <w:t>179,027</w:t>
            </w:r>
          </w:p>
        </w:tc>
        <w:tc>
          <w:tcPr>
            <w:tcW w:w="1840" w:type="dxa"/>
            <w:vAlign w:val="bottom"/>
            <w:tcBorders>
              <w:right w:val="single" w:sz="8" w:color="auto"/>
            </w:tcBorders>
          </w:tcPr>
          <w:p>
            <w:pPr>
              <w:jc w:val="center"/>
              <w:ind w:left="153"/>
              <w:spacing w:after="0"/>
              <w:rPr>
                <w:sz w:val="20"/>
                <w:szCs w:val="20"/>
                <w:color w:val="auto"/>
              </w:rPr>
            </w:pPr>
            <w:r>
              <w:rPr>
                <w:rFonts w:ascii="Calibri" w:cs="Calibri" w:eastAsia="Calibri" w:hAnsi="Calibri"/>
                <w:sz w:val="17"/>
                <w:szCs w:val="17"/>
                <w:color w:val="auto"/>
                <w:w w:val="99"/>
              </w:rPr>
              <w:t>176,307</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-1.5%</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Legal and Other Capital reserves</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rPr>
              <w:t>27,187,346</w:t>
            </w:r>
          </w:p>
        </w:tc>
        <w:tc>
          <w:tcPr>
            <w:tcW w:w="1840" w:type="dxa"/>
            <w:vAlign w:val="bottom"/>
            <w:tcBorders>
              <w:right w:val="single" w:sz="8" w:color="auto"/>
            </w:tcBorders>
          </w:tcPr>
          <w:p>
            <w:pPr>
              <w:jc w:val="center"/>
              <w:ind w:left="173"/>
              <w:spacing w:after="0"/>
              <w:rPr>
                <w:sz w:val="20"/>
                <w:szCs w:val="20"/>
                <w:color w:val="auto"/>
              </w:rPr>
            </w:pPr>
            <w:r>
              <w:rPr>
                <w:rFonts w:ascii="Calibri" w:cs="Calibri" w:eastAsia="Calibri" w:hAnsi="Calibri"/>
                <w:sz w:val="17"/>
                <w:szCs w:val="17"/>
                <w:color w:val="auto"/>
              </w:rPr>
              <w:t>27,202,665</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0.1%</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Minority interest</w:t>
            </w:r>
          </w:p>
        </w:tc>
        <w:tc>
          <w:tcPr>
            <w:tcW w:w="1240" w:type="dxa"/>
            <w:vAlign w:val="bottom"/>
          </w:tcPr>
          <w:p>
            <w:pPr>
              <w:jc w:val="center"/>
              <w:ind w:left="193"/>
              <w:spacing w:after="0"/>
              <w:rPr>
                <w:sz w:val="20"/>
                <w:szCs w:val="20"/>
                <w:color w:val="auto"/>
              </w:rPr>
            </w:pPr>
            <w:r>
              <w:rPr>
                <w:rFonts w:ascii="Calibri" w:cs="Calibri" w:eastAsia="Calibri" w:hAnsi="Calibri"/>
                <w:sz w:val="17"/>
                <w:szCs w:val="17"/>
                <w:color w:val="auto"/>
                <w:w w:val="99"/>
              </w:rPr>
              <w:t>479,027</w:t>
            </w:r>
          </w:p>
        </w:tc>
        <w:tc>
          <w:tcPr>
            <w:tcW w:w="1840" w:type="dxa"/>
            <w:vAlign w:val="bottom"/>
            <w:tcBorders>
              <w:right w:val="single" w:sz="8" w:color="auto"/>
            </w:tcBorders>
          </w:tcPr>
          <w:p>
            <w:pPr>
              <w:jc w:val="center"/>
              <w:ind w:left="153"/>
              <w:spacing w:after="0"/>
              <w:rPr>
                <w:sz w:val="20"/>
                <w:szCs w:val="20"/>
                <w:color w:val="auto"/>
              </w:rPr>
            </w:pPr>
            <w:r>
              <w:rPr>
                <w:rFonts w:ascii="Calibri" w:cs="Calibri" w:eastAsia="Calibri" w:hAnsi="Calibri"/>
                <w:sz w:val="17"/>
                <w:szCs w:val="17"/>
                <w:color w:val="auto"/>
                <w:w w:val="99"/>
              </w:rPr>
              <w:t>467,916</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-2.3%</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Current and Accumulated Earnings (1)</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rPr>
              <w:t>5,432,237</w:t>
            </w:r>
          </w:p>
        </w:tc>
        <w:tc>
          <w:tcPr>
            <w:tcW w:w="1840" w:type="dxa"/>
            <w:vAlign w:val="bottom"/>
            <w:tcBorders>
              <w:right w:val="single" w:sz="8" w:color="auto"/>
            </w:tcBorders>
          </w:tcPr>
          <w:p>
            <w:pPr>
              <w:jc w:val="center"/>
              <w:ind w:left="173"/>
              <w:spacing w:after="0"/>
              <w:rPr>
                <w:sz w:val="20"/>
                <w:szCs w:val="20"/>
                <w:color w:val="auto"/>
              </w:rPr>
            </w:pPr>
            <w:r>
              <w:rPr>
                <w:rFonts w:ascii="Calibri" w:cs="Calibri" w:eastAsia="Calibri" w:hAnsi="Calibri"/>
                <w:sz w:val="17"/>
                <w:szCs w:val="17"/>
                <w:color w:val="auto"/>
              </w:rPr>
              <w:t>6,592,462</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21.4%</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Unrealized Gains or Losses (2)</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w w:val="99"/>
              </w:rPr>
              <w:t>(227,247)</w:t>
            </w:r>
          </w:p>
        </w:tc>
        <w:tc>
          <w:tcPr>
            <w:tcW w:w="1840" w:type="dxa"/>
            <w:vAlign w:val="bottom"/>
            <w:tcBorders>
              <w:right w:val="single" w:sz="8" w:color="auto"/>
            </w:tcBorders>
          </w:tcPr>
          <w:p>
            <w:pPr>
              <w:jc w:val="center"/>
              <w:ind w:left="173"/>
              <w:spacing w:after="0"/>
              <w:rPr>
                <w:sz w:val="20"/>
                <w:szCs w:val="20"/>
                <w:color w:val="auto"/>
              </w:rPr>
            </w:pPr>
            <w:r>
              <w:rPr>
                <w:rFonts w:ascii="Calibri" w:cs="Calibri" w:eastAsia="Calibri" w:hAnsi="Calibri"/>
                <w:sz w:val="17"/>
                <w:szCs w:val="17"/>
                <w:color w:val="auto"/>
                <w:w w:val="99"/>
              </w:rPr>
              <w:t>(504,016)</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121.8%</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Goodwill</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w w:val="99"/>
              </w:rPr>
              <w:t>(734,431)</w:t>
            </w:r>
          </w:p>
        </w:tc>
        <w:tc>
          <w:tcPr>
            <w:tcW w:w="1840" w:type="dxa"/>
            <w:vAlign w:val="bottom"/>
            <w:tcBorders>
              <w:right w:val="single" w:sz="8" w:color="auto"/>
            </w:tcBorders>
          </w:tcPr>
          <w:p>
            <w:pPr>
              <w:jc w:val="center"/>
              <w:ind w:left="173"/>
              <w:spacing w:after="0"/>
              <w:rPr>
                <w:sz w:val="20"/>
                <w:szCs w:val="20"/>
                <w:color w:val="auto"/>
              </w:rPr>
            </w:pPr>
            <w:r>
              <w:rPr>
                <w:rFonts w:ascii="Calibri" w:cs="Calibri" w:eastAsia="Calibri" w:hAnsi="Calibri"/>
                <w:sz w:val="17"/>
                <w:szCs w:val="17"/>
                <w:color w:val="auto"/>
                <w:w w:val="99"/>
              </w:rPr>
              <w:t>(722,361)</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-1.6%</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Intangible Assets (3)</w:t>
            </w:r>
          </w:p>
        </w:tc>
        <w:tc>
          <w:tcPr>
            <w:tcW w:w="1240" w:type="dxa"/>
            <w:vAlign w:val="bottom"/>
          </w:tcPr>
          <w:p>
            <w:pPr>
              <w:jc w:val="center"/>
              <w:ind w:left="193"/>
              <w:spacing w:after="0"/>
              <w:rPr>
                <w:sz w:val="20"/>
                <w:szCs w:val="20"/>
                <w:color w:val="auto"/>
              </w:rPr>
            </w:pPr>
            <w:r>
              <w:rPr>
                <w:rFonts w:ascii="Calibri" w:cs="Calibri" w:eastAsia="Calibri" w:hAnsi="Calibri"/>
                <w:sz w:val="17"/>
                <w:szCs w:val="17"/>
                <w:color w:val="auto"/>
              </w:rPr>
              <w:t>(2,050,646)</w:t>
            </w:r>
          </w:p>
        </w:tc>
        <w:tc>
          <w:tcPr>
            <w:tcW w:w="1840" w:type="dxa"/>
            <w:vAlign w:val="bottom"/>
            <w:tcBorders>
              <w:right w:val="single" w:sz="8" w:color="auto"/>
            </w:tcBorders>
          </w:tcPr>
          <w:p>
            <w:pPr>
              <w:jc w:val="center"/>
              <w:ind w:left="173"/>
              <w:spacing w:after="0"/>
              <w:rPr>
                <w:sz w:val="20"/>
                <w:szCs w:val="20"/>
                <w:color w:val="auto"/>
              </w:rPr>
            </w:pPr>
            <w:r>
              <w:rPr>
                <w:rFonts w:ascii="Calibri" w:cs="Calibri" w:eastAsia="Calibri" w:hAnsi="Calibri"/>
                <w:sz w:val="17"/>
                <w:szCs w:val="17"/>
                <w:color w:val="auto"/>
                <w:w w:val="98"/>
              </w:rPr>
              <w:t>(2,396,687)</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16.9%</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Deductons in Common Equity Tier 1 instruments (4)</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w w:val="99"/>
              </w:rPr>
              <w:t>(678,924)</w:t>
            </w:r>
          </w:p>
        </w:tc>
        <w:tc>
          <w:tcPr>
            <w:tcW w:w="1840" w:type="dxa"/>
            <w:vAlign w:val="bottom"/>
            <w:tcBorders>
              <w:right w:val="single" w:sz="8" w:color="auto"/>
            </w:tcBorders>
          </w:tcPr>
          <w:p>
            <w:pPr>
              <w:jc w:val="center"/>
              <w:ind w:left="173"/>
              <w:spacing w:after="0"/>
              <w:rPr>
                <w:sz w:val="20"/>
                <w:szCs w:val="20"/>
                <w:color w:val="auto"/>
              </w:rPr>
            </w:pPr>
            <w:r>
              <w:rPr>
                <w:rFonts w:ascii="Calibri" w:cs="Calibri" w:eastAsia="Calibri" w:hAnsi="Calibri"/>
                <w:sz w:val="17"/>
                <w:szCs w:val="17"/>
                <w:color w:val="auto"/>
                <w:w w:val="99"/>
              </w:rPr>
              <w:t>(673,952)</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-0.7%</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Perpetual subordinated debt</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rPr>
              <w:t>-</w:t>
            </w:r>
          </w:p>
        </w:tc>
        <w:tc>
          <w:tcPr>
            <w:tcW w:w="1840" w:type="dxa"/>
            <w:vAlign w:val="bottom"/>
            <w:tcBorders>
              <w:right w:val="single" w:sz="8" w:color="auto"/>
            </w:tcBorders>
          </w:tcPr>
          <w:p>
            <w:pPr>
              <w:jc w:val="right"/>
              <w:ind w:right="233"/>
              <w:spacing w:after="0"/>
              <w:rPr>
                <w:sz w:val="20"/>
                <w:szCs w:val="20"/>
                <w:color w:val="auto"/>
              </w:rPr>
            </w:pPr>
            <w:r>
              <w:rPr>
                <w:rFonts w:ascii="Calibri" w:cs="Calibri" w:eastAsia="Calibri" w:hAnsi="Calibri"/>
                <w:sz w:val="17"/>
                <w:szCs w:val="17"/>
                <w:color w:val="auto"/>
              </w:rPr>
              <w:t>-</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75"/>
              </w:rPr>
              <w:t>-</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Subordinated Debt</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rPr>
              <w:t>7,939,610</w:t>
            </w:r>
          </w:p>
        </w:tc>
        <w:tc>
          <w:tcPr>
            <w:tcW w:w="1840" w:type="dxa"/>
            <w:vAlign w:val="bottom"/>
            <w:tcBorders>
              <w:right w:val="single" w:sz="8" w:color="auto"/>
            </w:tcBorders>
          </w:tcPr>
          <w:p>
            <w:pPr>
              <w:jc w:val="right"/>
              <w:ind w:right="233"/>
              <w:spacing w:after="0"/>
              <w:rPr>
                <w:sz w:val="20"/>
                <w:szCs w:val="20"/>
                <w:color w:val="auto"/>
              </w:rPr>
            </w:pPr>
            <w:r>
              <w:rPr>
                <w:rFonts w:ascii="Calibri" w:cs="Calibri" w:eastAsia="Calibri" w:hAnsi="Calibri"/>
                <w:sz w:val="17"/>
                <w:szCs w:val="17"/>
                <w:color w:val="auto"/>
              </w:rPr>
              <w:t>8,047,314</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1.4%</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Loan loss reserves (5)</w:t>
            </w:r>
          </w:p>
        </w:tc>
        <w:tc>
          <w:tcPr>
            <w:tcW w:w="1240" w:type="dxa"/>
            <w:vAlign w:val="bottom"/>
          </w:tcPr>
          <w:p>
            <w:pPr>
              <w:jc w:val="center"/>
              <w:ind w:left="173"/>
              <w:spacing w:after="0"/>
              <w:rPr>
                <w:sz w:val="20"/>
                <w:szCs w:val="20"/>
                <w:color w:val="auto"/>
              </w:rPr>
            </w:pPr>
            <w:r>
              <w:rPr>
                <w:rFonts w:ascii="Calibri" w:cs="Calibri" w:eastAsia="Calibri" w:hAnsi="Calibri"/>
                <w:sz w:val="17"/>
                <w:szCs w:val="17"/>
                <w:color w:val="auto"/>
              </w:rPr>
              <w:t>1,967,574</w:t>
            </w:r>
          </w:p>
        </w:tc>
        <w:tc>
          <w:tcPr>
            <w:tcW w:w="1840" w:type="dxa"/>
            <w:vAlign w:val="bottom"/>
            <w:tcBorders>
              <w:right w:val="single" w:sz="8" w:color="auto"/>
            </w:tcBorders>
          </w:tcPr>
          <w:p>
            <w:pPr>
              <w:jc w:val="right"/>
              <w:ind w:right="233"/>
              <w:spacing w:after="0"/>
              <w:rPr>
                <w:sz w:val="20"/>
                <w:szCs w:val="20"/>
                <w:color w:val="auto"/>
              </w:rPr>
            </w:pPr>
            <w:r>
              <w:rPr>
                <w:rFonts w:ascii="Calibri" w:cs="Calibri" w:eastAsia="Calibri" w:hAnsi="Calibri"/>
                <w:sz w:val="17"/>
                <w:szCs w:val="17"/>
                <w:color w:val="auto"/>
              </w:rPr>
              <w:t>2,033,379</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3.3%</w:t>
            </w:r>
          </w:p>
        </w:tc>
      </w:tr>
      <w:tr>
        <w:trPr>
          <w:trHeight w:val="210"/>
        </w:trPr>
        <w:tc>
          <w:tcPr>
            <w:tcW w:w="604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7"/>
                <w:szCs w:val="17"/>
                <w:color w:val="auto"/>
              </w:rPr>
              <w:t>Deductons in Tier 2 instruments (6)</w:t>
            </w:r>
          </w:p>
        </w:tc>
        <w:tc>
          <w:tcPr>
            <w:tcW w:w="1240" w:type="dxa"/>
            <w:vAlign w:val="bottom"/>
          </w:tcPr>
          <w:p>
            <w:pPr>
              <w:jc w:val="center"/>
              <w:ind w:left="193"/>
              <w:spacing w:after="0"/>
              <w:rPr>
                <w:sz w:val="20"/>
                <w:szCs w:val="20"/>
                <w:color w:val="auto"/>
              </w:rPr>
            </w:pPr>
            <w:r>
              <w:rPr>
                <w:rFonts w:ascii="Calibri" w:cs="Calibri" w:eastAsia="Calibri" w:hAnsi="Calibri"/>
                <w:sz w:val="17"/>
                <w:szCs w:val="17"/>
                <w:color w:val="auto"/>
              </w:rPr>
              <w:t>(1,525,608)</w:t>
            </w:r>
          </w:p>
        </w:tc>
        <w:tc>
          <w:tcPr>
            <w:tcW w:w="1840" w:type="dxa"/>
            <w:vAlign w:val="bottom"/>
            <w:tcBorders>
              <w:right w:val="single" w:sz="8" w:color="auto"/>
            </w:tcBorders>
          </w:tcPr>
          <w:p>
            <w:pPr>
              <w:jc w:val="right"/>
              <w:ind w:right="193"/>
              <w:spacing w:after="0"/>
              <w:rPr>
                <w:sz w:val="20"/>
                <w:szCs w:val="20"/>
                <w:color w:val="auto"/>
              </w:rPr>
            </w:pPr>
            <w:r>
              <w:rPr>
                <w:rFonts w:ascii="Calibri" w:cs="Calibri" w:eastAsia="Calibri" w:hAnsi="Calibri"/>
                <w:sz w:val="17"/>
                <w:szCs w:val="17"/>
                <w:color w:val="auto"/>
              </w:rPr>
              <w:t>(1,322,352)</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-13.3%</w:t>
            </w:r>
          </w:p>
        </w:tc>
      </w:tr>
      <w:tr>
        <w:trPr>
          <w:trHeight w:val="24"/>
        </w:trPr>
        <w:tc>
          <w:tcPr>
            <w:tcW w:w="60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02"/>
        </w:trPr>
        <w:tc>
          <w:tcPr>
            <w:tcW w:w="6040" w:type="dxa"/>
            <w:vAlign w:val="bottom"/>
            <w:tcBorders>
              <w:left w:val="single" w:sz="8" w:color="auto"/>
              <w:bottom w:val="single" w:sz="8" w:color="auto"/>
              <w:right w:val="single" w:sz="8" w:color="auto"/>
            </w:tcBorders>
          </w:tcPr>
          <w:p>
            <w:pPr>
              <w:spacing w:after="0" w:line="202" w:lineRule="exact"/>
              <w:rPr>
                <w:sz w:val="20"/>
                <w:szCs w:val="20"/>
                <w:color w:val="auto"/>
              </w:rPr>
            </w:pPr>
            <w:r>
              <w:rPr>
                <w:rFonts w:ascii="Calibri" w:cs="Calibri" w:eastAsia="Calibri" w:hAnsi="Calibri"/>
                <w:sz w:val="17"/>
                <w:szCs w:val="17"/>
                <w:b w:val="1"/>
                <w:bCs w:val="1"/>
                <w:color w:val="auto"/>
              </w:rPr>
              <w:t>Total Regulatory Capital (A)</w:t>
            </w:r>
          </w:p>
        </w:tc>
        <w:tc>
          <w:tcPr>
            <w:tcW w:w="1240" w:type="dxa"/>
            <w:vAlign w:val="bottom"/>
            <w:tcBorders>
              <w:bottom w:val="single" w:sz="8" w:color="auto"/>
            </w:tcBorders>
          </w:tcPr>
          <w:p>
            <w:pPr>
              <w:jc w:val="center"/>
              <w:ind w:left="173"/>
              <w:spacing w:after="0" w:line="202" w:lineRule="exact"/>
              <w:rPr>
                <w:sz w:val="20"/>
                <w:szCs w:val="20"/>
                <w:color w:val="auto"/>
              </w:rPr>
            </w:pPr>
            <w:r>
              <w:rPr>
                <w:rFonts w:ascii="Calibri" w:cs="Calibri" w:eastAsia="Calibri" w:hAnsi="Calibri"/>
                <w:sz w:val="17"/>
                <w:szCs w:val="17"/>
                <w:b w:val="1"/>
                <w:bCs w:val="1"/>
                <w:color w:val="auto"/>
              </w:rPr>
              <w:t>39,078,056</w:t>
            </w:r>
          </w:p>
        </w:tc>
        <w:tc>
          <w:tcPr>
            <w:tcW w:w="1840" w:type="dxa"/>
            <w:vAlign w:val="bottom"/>
            <w:tcBorders>
              <w:bottom w:val="single" w:sz="8" w:color="auto"/>
              <w:right w:val="single" w:sz="8" w:color="auto"/>
            </w:tcBorders>
          </w:tcPr>
          <w:p>
            <w:pPr>
              <w:jc w:val="right"/>
              <w:ind w:right="213"/>
              <w:spacing w:after="0" w:line="202" w:lineRule="exact"/>
              <w:rPr>
                <w:sz w:val="20"/>
                <w:szCs w:val="20"/>
                <w:color w:val="auto"/>
              </w:rPr>
            </w:pPr>
            <w:r>
              <w:rPr>
                <w:rFonts w:ascii="Calibri" w:cs="Calibri" w:eastAsia="Calibri" w:hAnsi="Calibri"/>
                <w:sz w:val="17"/>
                <w:szCs w:val="17"/>
                <w:b w:val="1"/>
                <w:bCs w:val="1"/>
                <w:color w:val="auto"/>
              </w:rPr>
              <w:t>40,010,790</w:t>
            </w:r>
          </w:p>
        </w:tc>
        <w:tc>
          <w:tcPr>
            <w:tcW w:w="1560" w:type="dxa"/>
            <w:vAlign w:val="bottom"/>
            <w:tcBorders>
              <w:bottom w:val="single" w:sz="8" w:color="auto"/>
              <w:right w:val="single" w:sz="8" w:color="auto"/>
            </w:tcBorders>
          </w:tcPr>
          <w:p>
            <w:pPr>
              <w:jc w:val="center"/>
              <w:spacing w:after="0" w:line="202" w:lineRule="exact"/>
              <w:rPr>
                <w:sz w:val="20"/>
                <w:szCs w:val="20"/>
                <w:color w:val="auto"/>
              </w:rPr>
            </w:pPr>
            <w:r>
              <w:rPr>
                <w:rFonts w:ascii="Calibri" w:cs="Calibri" w:eastAsia="Calibri" w:hAnsi="Calibri"/>
                <w:sz w:val="17"/>
                <w:szCs w:val="17"/>
                <w:b w:val="1"/>
                <w:bCs w:val="1"/>
                <w:color w:val="auto"/>
              </w:rPr>
              <w:t>2.4%</w:t>
            </w:r>
          </w:p>
        </w:tc>
      </w:tr>
      <w:tr>
        <w:trPr>
          <w:trHeight w:val="203"/>
        </w:trPr>
        <w:tc>
          <w:tcPr>
            <w:tcW w:w="6040" w:type="dxa"/>
            <w:vAlign w:val="bottom"/>
            <w:tcBorders>
              <w:left w:val="single" w:sz="8" w:color="auto"/>
              <w:bottom w:val="single" w:sz="8" w:color="auto"/>
              <w:right w:val="single" w:sz="8" w:color="auto"/>
            </w:tcBorders>
          </w:tcPr>
          <w:p>
            <w:pPr>
              <w:spacing w:after="0" w:line="203" w:lineRule="exact"/>
              <w:rPr>
                <w:sz w:val="20"/>
                <w:szCs w:val="20"/>
                <w:color w:val="auto"/>
              </w:rPr>
            </w:pPr>
            <w:r>
              <w:rPr>
                <w:rFonts w:ascii="Calibri" w:cs="Calibri" w:eastAsia="Calibri" w:hAnsi="Calibri"/>
                <w:sz w:val="17"/>
                <w:szCs w:val="17"/>
                <w:b w:val="1"/>
                <w:bCs w:val="1"/>
                <w:color w:val="auto"/>
              </w:rPr>
              <w:t>Total Regulatory Common Equity Tier 1 Capital (B)</w:t>
            </w:r>
          </w:p>
        </w:tc>
        <w:tc>
          <w:tcPr>
            <w:tcW w:w="1240" w:type="dxa"/>
            <w:vAlign w:val="bottom"/>
            <w:tcBorders>
              <w:bottom w:val="single" w:sz="8" w:color="auto"/>
            </w:tcBorders>
          </w:tcPr>
          <w:p>
            <w:pPr>
              <w:jc w:val="center"/>
              <w:ind w:left="173"/>
              <w:spacing w:after="0" w:line="203" w:lineRule="exact"/>
              <w:rPr>
                <w:sz w:val="20"/>
                <w:szCs w:val="20"/>
                <w:color w:val="auto"/>
              </w:rPr>
            </w:pPr>
            <w:r>
              <w:rPr>
                <w:rFonts w:ascii="Calibri" w:cs="Calibri" w:eastAsia="Calibri" w:hAnsi="Calibri"/>
                <w:sz w:val="17"/>
                <w:szCs w:val="17"/>
                <w:b w:val="1"/>
                <w:bCs w:val="1"/>
                <w:color w:val="auto"/>
              </w:rPr>
              <w:t>30,696,480</w:t>
            </w:r>
          </w:p>
        </w:tc>
        <w:tc>
          <w:tcPr>
            <w:tcW w:w="1840" w:type="dxa"/>
            <w:vAlign w:val="bottom"/>
            <w:tcBorders>
              <w:bottom w:val="single" w:sz="8" w:color="auto"/>
              <w:right w:val="single" w:sz="8" w:color="auto"/>
            </w:tcBorders>
          </w:tcPr>
          <w:p>
            <w:pPr>
              <w:jc w:val="right"/>
              <w:ind w:right="213"/>
              <w:spacing w:after="0" w:line="203" w:lineRule="exact"/>
              <w:rPr>
                <w:sz w:val="20"/>
                <w:szCs w:val="20"/>
                <w:color w:val="auto"/>
              </w:rPr>
            </w:pPr>
            <w:r>
              <w:rPr>
                <w:rFonts w:ascii="Calibri" w:cs="Calibri" w:eastAsia="Calibri" w:hAnsi="Calibri"/>
                <w:sz w:val="17"/>
                <w:szCs w:val="17"/>
                <w:b w:val="1"/>
                <w:bCs w:val="1"/>
                <w:color w:val="auto"/>
              </w:rPr>
              <w:t>31,252,448</w:t>
            </w:r>
          </w:p>
        </w:tc>
        <w:tc>
          <w:tcPr>
            <w:tcW w:w="156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1.8%</w:t>
            </w:r>
          </w:p>
        </w:tc>
      </w:tr>
      <w:tr>
        <w:trPr>
          <w:trHeight w:val="203"/>
        </w:trPr>
        <w:tc>
          <w:tcPr>
            <w:tcW w:w="6040" w:type="dxa"/>
            <w:vAlign w:val="bottom"/>
            <w:tcBorders>
              <w:left w:val="single" w:sz="8" w:color="auto"/>
              <w:bottom w:val="single" w:sz="8" w:color="auto"/>
              <w:right w:val="single" w:sz="8" w:color="auto"/>
            </w:tcBorders>
          </w:tcPr>
          <w:p>
            <w:pPr>
              <w:spacing w:after="0" w:line="203" w:lineRule="exact"/>
              <w:rPr>
                <w:sz w:val="20"/>
                <w:szCs w:val="20"/>
                <w:color w:val="auto"/>
              </w:rPr>
            </w:pPr>
            <w:r>
              <w:rPr>
                <w:rFonts w:ascii="Calibri" w:cs="Calibri" w:eastAsia="Calibri" w:hAnsi="Calibri"/>
                <w:sz w:val="17"/>
                <w:szCs w:val="17"/>
                <w:b w:val="1"/>
                <w:bCs w:val="1"/>
                <w:color w:val="auto"/>
              </w:rPr>
              <w:t>Total Regulatory Tier 1 Capital (C)</w:t>
            </w:r>
          </w:p>
        </w:tc>
        <w:tc>
          <w:tcPr>
            <w:tcW w:w="1240" w:type="dxa"/>
            <w:vAlign w:val="bottom"/>
            <w:tcBorders>
              <w:bottom w:val="single" w:sz="8" w:color="auto"/>
            </w:tcBorders>
          </w:tcPr>
          <w:p>
            <w:pPr>
              <w:jc w:val="center"/>
              <w:ind w:left="173"/>
              <w:spacing w:after="0" w:line="203" w:lineRule="exact"/>
              <w:rPr>
                <w:sz w:val="20"/>
                <w:szCs w:val="20"/>
                <w:color w:val="auto"/>
              </w:rPr>
            </w:pPr>
            <w:r>
              <w:rPr>
                <w:rFonts w:ascii="Calibri" w:cs="Calibri" w:eastAsia="Calibri" w:hAnsi="Calibri"/>
                <w:sz w:val="17"/>
                <w:szCs w:val="17"/>
                <w:b w:val="1"/>
                <w:bCs w:val="1"/>
                <w:color w:val="auto"/>
              </w:rPr>
              <w:t>30,696,480</w:t>
            </w:r>
          </w:p>
        </w:tc>
        <w:tc>
          <w:tcPr>
            <w:tcW w:w="1840" w:type="dxa"/>
            <w:vAlign w:val="bottom"/>
            <w:tcBorders>
              <w:bottom w:val="single" w:sz="8" w:color="auto"/>
              <w:right w:val="single" w:sz="8" w:color="auto"/>
            </w:tcBorders>
          </w:tcPr>
          <w:p>
            <w:pPr>
              <w:jc w:val="right"/>
              <w:ind w:right="213"/>
              <w:spacing w:after="0" w:line="203" w:lineRule="exact"/>
              <w:rPr>
                <w:sz w:val="20"/>
                <w:szCs w:val="20"/>
                <w:color w:val="auto"/>
              </w:rPr>
            </w:pPr>
            <w:r>
              <w:rPr>
                <w:rFonts w:ascii="Calibri" w:cs="Calibri" w:eastAsia="Calibri" w:hAnsi="Calibri"/>
                <w:sz w:val="17"/>
                <w:szCs w:val="17"/>
                <w:b w:val="1"/>
                <w:bCs w:val="1"/>
                <w:color w:val="auto"/>
              </w:rPr>
              <w:t>31,252,448</w:t>
            </w:r>
          </w:p>
        </w:tc>
        <w:tc>
          <w:tcPr>
            <w:tcW w:w="156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1.8%</w:t>
            </w:r>
          </w:p>
        </w:tc>
      </w:tr>
      <w:tr>
        <w:trPr>
          <w:trHeight w:val="203"/>
        </w:trPr>
        <w:tc>
          <w:tcPr>
            <w:tcW w:w="6040" w:type="dxa"/>
            <w:vAlign w:val="bottom"/>
            <w:tcBorders>
              <w:left w:val="single" w:sz="8" w:color="auto"/>
              <w:bottom w:val="single" w:sz="8" w:color="auto"/>
              <w:right w:val="single" w:sz="8" w:color="auto"/>
            </w:tcBorders>
            <w:shd w:val="clear" w:color="auto" w:fill="EDEDED"/>
          </w:tcPr>
          <w:p>
            <w:pPr>
              <w:spacing w:after="0" w:line="203" w:lineRule="exact"/>
              <w:rPr>
                <w:sz w:val="20"/>
                <w:szCs w:val="20"/>
                <w:color w:val="auto"/>
              </w:rPr>
            </w:pPr>
            <w:r>
              <w:rPr>
                <w:rFonts w:ascii="Calibri" w:cs="Calibri" w:eastAsia="Calibri" w:hAnsi="Calibri"/>
                <w:sz w:val="17"/>
                <w:szCs w:val="17"/>
                <w:color w:val="auto"/>
              </w:rPr>
              <w:t>Total Regulatory Capital Requirement (D)</w:t>
            </w:r>
          </w:p>
        </w:tc>
        <w:tc>
          <w:tcPr>
            <w:tcW w:w="1240" w:type="dxa"/>
            <w:vAlign w:val="bottom"/>
            <w:tcBorders>
              <w:bottom w:val="single" w:sz="8" w:color="auto"/>
            </w:tcBorders>
            <w:shd w:val="clear" w:color="auto" w:fill="EDEDED"/>
          </w:tcPr>
          <w:p>
            <w:pPr>
              <w:jc w:val="center"/>
              <w:ind w:left="173"/>
              <w:spacing w:after="0" w:line="203" w:lineRule="exact"/>
              <w:rPr>
                <w:sz w:val="20"/>
                <w:szCs w:val="20"/>
                <w:color w:val="auto"/>
              </w:rPr>
            </w:pPr>
            <w:r>
              <w:rPr>
                <w:rFonts w:ascii="Calibri" w:cs="Calibri" w:eastAsia="Calibri" w:hAnsi="Calibri"/>
                <w:sz w:val="17"/>
                <w:szCs w:val="17"/>
                <w:color w:val="auto"/>
              </w:rPr>
              <w:t>27,276,454</w:t>
            </w:r>
          </w:p>
        </w:tc>
        <w:tc>
          <w:tcPr>
            <w:tcW w:w="1840" w:type="dxa"/>
            <w:vAlign w:val="bottom"/>
            <w:tcBorders>
              <w:bottom w:val="single" w:sz="8" w:color="auto"/>
              <w:right w:val="single" w:sz="8" w:color="auto"/>
            </w:tcBorders>
            <w:shd w:val="clear" w:color="auto" w:fill="EDEDED"/>
          </w:tcPr>
          <w:p>
            <w:pPr>
              <w:jc w:val="right"/>
              <w:ind w:right="213"/>
              <w:spacing w:after="0" w:line="203" w:lineRule="exact"/>
              <w:rPr>
                <w:sz w:val="20"/>
                <w:szCs w:val="20"/>
                <w:color w:val="auto"/>
              </w:rPr>
            </w:pPr>
            <w:r>
              <w:rPr>
                <w:rFonts w:ascii="Calibri" w:cs="Calibri" w:eastAsia="Calibri" w:hAnsi="Calibri"/>
                <w:sz w:val="17"/>
                <w:szCs w:val="17"/>
                <w:color w:val="auto"/>
              </w:rPr>
              <w:t>29,124,775</w:t>
            </w:r>
          </w:p>
        </w:tc>
        <w:tc>
          <w:tcPr>
            <w:tcW w:w="1560" w:type="dxa"/>
            <w:vAlign w:val="bottom"/>
            <w:tcBorders>
              <w:bottom w:val="single" w:sz="8" w:color="auto"/>
              <w:right w:val="single" w:sz="8" w:color="auto"/>
            </w:tcBorders>
            <w:shd w:val="clear" w:color="auto" w:fill="EDEDED"/>
          </w:tcPr>
          <w:p>
            <w:pPr>
              <w:jc w:val="center"/>
              <w:spacing w:after="0" w:line="203" w:lineRule="exact"/>
              <w:rPr>
                <w:sz w:val="20"/>
                <w:szCs w:val="20"/>
                <w:color w:val="auto"/>
              </w:rPr>
            </w:pPr>
            <w:r>
              <w:rPr>
                <w:rFonts w:ascii="Calibri" w:cs="Calibri" w:eastAsia="Calibri" w:hAnsi="Calibri"/>
                <w:sz w:val="17"/>
                <w:szCs w:val="17"/>
                <w:color w:val="auto"/>
              </w:rPr>
              <w:t>6.8%</w:t>
            </w:r>
          </w:p>
        </w:tc>
      </w:tr>
      <w:tr>
        <w:trPr>
          <w:trHeight w:val="203"/>
        </w:trPr>
        <w:tc>
          <w:tcPr>
            <w:tcW w:w="6040" w:type="dxa"/>
            <w:vAlign w:val="bottom"/>
            <w:tcBorders>
              <w:left w:val="single" w:sz="8" w:color="auto"/>
              <w:bottom w:val="single" w:sz="8" w:color="auto"/>
              <w:right w:val="single" w:sz="8" w:color="auto"/>
            </w:tcBorders>
            <w:shd w:val="clear" w:color="auto" w:fill="EDEDED"/>
          </w:tcPr>
          <w:p>
            <w:pPr>
              <w:spacing w:after="0" w:line="203" w:lineRule="exact"/>
              <w:rPr>
                <w:sz w:val="20"/>
                <w:szCs w:val="20"/>
                <w:color w:val="auto"/>
              </w:rPr>
            </w:pPr>
            <w:r>
              <w:rPr>
                <w:rFonts w:ascii="Calibri" w:cs="Calibri" w:eastAsia="Calibri" w:hAnsi="Calibri"/>
                <w:sz w:val="17"/>
                <w:szCs w:val="17"/>
                <w:color w:val="auto"/>
              </w:rPr>
              <w:t>Total Regulatory Common Equity Tier 1 Capital Requirement (E)</w:t>
            </w:r>
          </w:p>
        </w:tc>
        <w:tc>
          <w:tcPr>
            <w:tcW w:w="1240" w:type="dxa"/>
            <w:vAlign w:val="bottom"/>
            <w:tcBorders>
              <w:bottom w:val="single" w:sz="8" w:color="auto"/>
            </w:tcBorders>
            <w:shd w:val="clear" w:color="auto" w:fill="EDEDED"/>
          </w:tcPr>
          <w:p>
            <w:pPr>
              <w:jc w:val="center"/>
              <w:ind w:left="173"/>
              <w:spacing w:after="0" w:line="203" w:lineRule="exact"/>
              <w:rPr>
                <w:sz w:val="20"/>
                <w:szCs w:val="20"/>
                <w:color w:val="auto"/>
              </w:rPr>
            </w:pPr>
            <w:r>
              <w:rPr>
                <w:rFonts w:ascii="Calibri" w:cs="Calibri" w:eastAsia="Calibri" w:hAnsi="Calibri"/>
                <w:sz w:val="17"/>
                <w:szCs w:val="17"/>
                <w:color w:val="auto"/>
              </w:rPr>
              <w:t>13,968,158</w:t>
            </w:r>
          </w:p>
        </w:tc>
        <w:tc>
          <w:tcPr>
            <w:tcW w:w="1840" w:type="dxa"/>
            <w:vAlign w:val="bottom"/>
            <w:tcBorders>
              <w:bottom w:val="single" w:sz="8" w:color="auto"/>
              <w:right w:val="single" w:sz="8" w:color="auto"/>
            </w:tcBorders>
            <w:shd w:val="clear" w:color="auto" w:fill="EDEDED"/>
          </w:tcPr>
          <w:p>
            <w:pPr>
              <w:jc w:val="right"/>
              <w:ind w:right="213"/>
              <w:spacing w:after="0" w:line="203" w:lineRule="exact"/>
              <w:rPr>
                <w:sz w:val="20"/>
                <w:szCs w:val="20"/>
                <w:color w:val="auto"/>
              </w:rPr>
            </w:pPr>
            <w:r>
              <w:rPr>
                <w:rFonts w:ascii="Calibri" w:cs="Calibri" w:eastAsia="Calibri" w:hAnsi="Calibri"/>
                <w:sz w:val="17"/>
                <w:szCs w:val="17"/>
                <w:color w:val="auto"/>
              </w:rPr>
              <w:t>15,445,079</w:t>
            </w:r>
          </w:p>
        </w:tc>
        <w:tc>
          <w:tcPr>
            <w:tcW w:w="1560" w:type="dxa"/>
            <w:vAlign w:val="bottom"/>
            <w:tcBorders>
              <w:bottom w:val="single" w:sz="8" w:color="auto"/>
              <w:right w:val="single" w:sz="8" w:color="auto"/>
            </w:tcBorders>
            <w:shd w:val="clear" w:color="auto" w:fill="EDEDED"/>
          </w:tcPr>
          <w:p>
            <w:pPr>
              <w:jc w:val="center"/>
              <w:spacing w:after="0" w:line="203" w:lineRule="exact"/>
              <w:rPr>
                <w:sz w:val="20"/>
                <w:szCs w:val="20"/>
                <w:color w:val="auto"/>
              </w:rPr>
            </w:pPr>
            <w:r>
              <w:rPr>
                <w:rFonts w:ascii="Calibri" w:cs="Calibri" w:eastAsia="Calibri" w:hAnsi="Calibri"/>
                <w:sz w:val="17"/>
                <w:szCs w:val="17"/>
                <w:color w:val="auto"/>
              </w:rPr>
              <w:t>10.6%</w:t>
            </w:r>
          </w:p>
        </w:tc>
      </w:tr>
      <w:tr>
        <w:trPr>
          <w:trHeight w:val="203"/>
        </w:trPr>
        <w:tc>
          <w:tcPr>
            <w:tcW w:w="6040" w:type="dxa"/>
            <w:vAlign w:val="bottom"/>
            <w:tcBorders>
              <w:left w:val="single" w:sz="8" w:color="auto"/>
              <w:bottom w:val="single" w:sz="8" w:color="auto"/>
              <w:right w:val="single" w:sz="8" w:color="auto"/>
            </w:tcBorders>
            <w:shd w:val="clear" w:color="auto" w:fill="EDEDED"/>
          </w:tcPr>
          <w:p>
            <w:pPr>
              <w:spacing w:after="0" w:line="203" w:lineRule="exact"/>
              <w:rPr>
                <w:sz w:val="20"/>
                <w:szCs w:val="20"/>
                <w:color w:val="auto"/>
              </w:rPr>
            </w:pPr>
            <w:r>
              <w:rPr>
                <w:rFonts w:ascii="Calibri" w:cs="Calibri" w:eastAsia="Calibri" w:hAnsi="Calibri"/>
                <w:sz w:val="17"/>
                <w:szCs w:val="17"/>
                <w:color w:val="auto"/>
              </w:rPr>
              <w:t>Total Regulatory Tier 1 Capital Requirement (F)</w:t>
            </w:r>
          </w:p>
        </w:tc>
        <w:tc>
          <w:tcPr>
            <w:tcW w:w="1240" w:type="dxa"/>
            <w:vAlign w:val="bottom"/>
            <w:tcBorders>
              <w:bottom w:val="single" w:sz="8" w:color="auto"/>
            </w:tcBorders>
            <w:shd w:val="clear" w:color="auto" w:fill="EDEDED"/>
          </w:tcPr>
          <w:p>
            <w:pPr>
              <w:jc w:val="center"/>
              <w:ind w:left="173"/>
              <w:spacing w:after="0" w:line="203" w:lineRule="exact"/>
              <w:rPr>
                <w:sz w:val="20"/>
                <w:szCs w:val="20"/>
                <w:color w:val="auto"/>
              </w:rPr>
            </w:pPr>
            <w:r>
              <w:rPr>
                <w:rFonts w:ascii="Calibri" w:cs="Calibri" w:eastAsia="Calibri" w:hAnsi="Calibri"/>
                <w:sz w:val="17"/>
                <w:szCs w:val="17"/>
                <w:color w:val="auto"/>
              </w:rPr>
              <w:t>17,131,013</w:t>
            </w:r>
          </w:p>
        </w:tc>
        <w:tc>
          <w:tcPr>
            <w:tcW w:w="1840" w:type="dxa"/>
            <w:vAlign w:val="bottom"/>
            <w:tcBorders>
              <w:bottom w:val="single" w:sz="8" w:color="auto"/>
              <w:right w:val="single" w:sz="8" w:color="auto"/>
            </w:tcBorders>
            <w:shd w:val="clear" w:color="auto" w:fill="EDEDED"/>
          </w:tcPr>
          <w:p>
            <w:pPr>
              <w:jc w:val="right"/>
              <w:ind w:right="213"/>
              <w:spacing w:after="0" w:line="203" w:lineRule="exact"/>
              <w:rPr>
                <w:sz w:val="20"/>
                <w:szCs w:val="20"/>
                <w:color w:val="auto"/>
              </w:rPr>
            </w:pPr>
            <w:r>
              <w:rPr>
                <w:rFonts w:ascii="Calibri" w:cs="Calibri" w:eastAsia="Calibri" w:hAnsi="Calibri"/>
                <w:sz w:val="17"/>
                <w:szCs w:val="17"/>
                <w:color w:val="auto"/>
              </w:rPr>
              <w:t>18,681,850</w:t>
            </w:r>
          </w:p>
        </w:tc>
        <w:tc>
          <w:tcPr>
            <w:tcW w:w="1560" w:type="dxa"/>
            <w:vAlign w:val="bottom"/>
            <w:tcBorders>
              <w:bottom w:val="single" w:sz="8" w:color="auto"/>
              <w:right w:val="single" w:sz="8" w:color="auto"/>
            </w:tcBorders>
            <w:shd w:val="clear" w:color="auto" w:fill="EDEDED"/>
          </w:tcPr>
          <w:p>
            <w:pPr>
              <w:jc w:val="center"/>
              <w:spacing w:after="0" w:line="203" w:lineRule="exact"/>
              <w:rPr>
                <w:sz w:val="20"/>
                <w:szCs w:val="20"/>
                <w:color w:val="auto"/>
              </w:rPr>
            </w:pPr>
            <w:r>
              <w:rPr>
                <w:rFonts w:ascii="Calibri" w:cs="Calibri" w:eastAsia="Calibri" w:hAnsi="Calibri"/>
                <w:sz w:val="17"/>
                <w:szCs w:val="17"/>
                <w:color w:val="auto"/>
              </w:rPr>
              <w:t>9.1%</w:t>
            </w:r>
          </w:p>
        </w:tc>
      </w:tr>
      <w:tr>
        <w:trPr>
          <w:trHeight w:val="203"/>
        </w:trPr>
        <w:tc>
          <w:tcPr>
            <w:tcW w:w="6040" w:type="dxa"/>
            <w:vAlign w:val="bottom"/>
            <w:tcBorders>
              <w:left w:val="single" w:sz="8" w:color="auto"/>
              <w:bottom w:val="single" w:sz="8" w:color="auto"/>
              <w:right w:val="single" w:sz="8" w:color="auto"/>
            </w:tcBorders>
          </w:tcPr>
          <w:p>
            <w:pPr>
              <w:spacing w:after="0" w:line="203" w:lineRule="exact"/>
              <w:rPr>
                <w:sz w:val="20"/>
                <w:szCs w:val="20"/>
                <w:color w:val="auto"/>
              </w:rPr>
            </w:pPr>
            <w:r>
              <w:rPr>
                <w:rFonts w:ascii="Calibri" w:cs="Calibri" w:eastAsia="Calibri" w:hAnsi="Calibri"/>
                <w:sz w:val="17"/>
                <w:szCs w:val="17"/>
                <w:b w:val="1"/>
                <w:bCs w:val="1"/>
                <w:color w:val="auto"/>
              </w:rPr>
              <w:t>Regulatory Capital Rato (A) / (D)</w:t>
            </w:r>
          </w:p>
        </w:tc>
        <w:tc>
          <w:tcPr>
            <w:tcW w:w="1240" w:type="dxa"/>
            <w:vAlign w:val="bottom"/>
            <w:tcBorders>
              <w:bottom w:val="single" w:sz="8" w:color="auto"/>
            </w:tcBorders>
          </w:tcPr>
          <w:p>
            <w:pPr>
              <w:jc w:val="center"/>
              <w:ind w:left="173"/>
              <w:spacing w:after="0" w:line="203" w:lineRule="exact"/>
              <w:rPr>
                <w:sz w:val="20"/>
                <w:szCs w:val="20"/>
                <w:color w:val="auto"/>
              </w:rPr>
            </w:pPr>
            <w:r>
              <w:rPr>
                <w:rFonts w:ascii="Calibri" w:cs="Calibri" w:eastAsia="Calibri" w:hAnsi="Calibri"/>
                <w:sz w:val="17"/>
                <w:szCs w:val="17"/>
                <w:b w:val="1"/>
                <w:bCs w:val="1"/>
                <w:color w:val="auto"/>
                <w:w w:val="98"/>
              </w:rPr>
              <w:t>1.43</w:t>
            </w:r>
          </w:p>
        </w:tc>
        <w:tc>
          <w:tcPr>
            <w:tcW w:w="1840" w:type="dxa"/>
            <w:vAlign w:val="bottom"/>
            <w:tcBorders>
              <w:bottom w:val="single" w:sz="8" w:color="auto"/>
              <w:right w:val="single" w:sz="8" w:color="auto"/>
            </w:tcBorders>
          </w:tcPr>
          <w:p>
            <w:pPr>
              <w:jc w:val="right"/>
              <w:ind w:right="533"/>
              <w:spacing w:after="0" w:line="203" w:lineRule="exact"/>
              <w:rPr>
                <w:sz w:val="20"/>
                <w:szCs w:val="20"/>
                <w:color w:val="auto"/>
              </w:rPr>
            </w:pPr>
            <w:r>
              <w:rPr>
                <w:rFonts w:ascii="Calibri" w:cs="Calibri" w:eastAsia="Calibri" w:hAnsi="Calibri"/>
                <w:sz w:val="17"/>
                <w:szCs w:val="17"/>
                <w:b w:val="1"/>
                <w:bCs w:val="1"/>
                <w:color w:val="auto"/>
              </w:rPr>
              <w:t>1.37</w:t>
            </w:r>
          </w:p>
        </w:tc>
        <w:tc>
          <w:tcPr>
            <w:tcW w:w="156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-6 bps</w:t>
            </w:r>
          </w:p>
        </w:tc>
      </w:tr>
      <w:tr>
        <w:trPr>
          <w:trHeight w:val="203"/>
        </w:trPr>
        <w:tc>
          <w:tcPr>
            <w:tcW w:w="6040" w:type="dxa"/>
            <w:vAlign w:val="bottom"/>
            <w:tcBorders>
              <w:left w:val="single" w:sz="8" w:color="auto"/>
              <w:bottom w:val="single" w:sz="8" w:color="auto"/>
              <w:right w:val="single" w:sz="8" w:color="auto"/>
            </w:tcBorders>
          </w:tcPr>
          <w:p>
            <w:pPr>
              <w:spacing w:after="0" w:line="203" w:lineRule="exact"/>
              <w:rPr>
                <w:sz w:val="20"/>
                <w:szCs w:val="20"/>
                <w:color w:val="auto"/>
              </w:rPr>
            </w:pPr>
            <w:r>
              <w:rPr>
                <w:rFonts w:ascii="Calibri" w:cs="Calibri" w:eastAsia="Calibri" w:hAnsi="Calibri"/>
                <w:sz w:val="17"/>
                <w:szCs w:val="17"/>
                <w:b w:val="1"/>
                <w:bCs w:val="1"/>
                <w:color w:val="auto"/>
              </w:rPr>
              <w:t>Regulatory Common Equity Tier 1 Capital Rato (B) / (E)</w:t>
            </w:r>
          </w:p>
        </w:tc>
        <w:tc>
          <w:tcPr>
            <w:tcW w:w="1240" w:type="dxa"/>
            <w:vAlign w:val="bottom"/>
            <w:tcBorders>
              <w:bottom w:val="single" w:sz="8" w:color="auto"/>
            </w:tcBorders>
          </w:tcPr>
          <w:p>
            <w:pPr>
              <w:jc w:val="center"/>
              <w:ind w:left="173"/>
              <w:spacing w:after="0" w:line="203" w:lineRule="exact"/>
              <w:rPr>
                <w:sz w:val="20"/>
                <w:szCs w:val="20"/>
                <w:color w:val="auto"/>
              </w:rPr>
            </w:pPr>
            <w:r>
              <w:rPr>
                <w:rFonts w:ascii="Calibri" w:cs="Calibri" w:eastAsia="Calibri" w:hAnsi="Calibri"/>
                <w:sz w:val="17"/>
                <w:szCs w:val="17"/>
                <w:b w:val="1"/>
                <w:bCs w:val="1"/>
                <w:color w:val="auto"/>
                <w:w w:val="98"/>
              </w:rPr>
              <w:t>2.20</w:t>
            </w:r>
          </w:p>
        </w:tc>
        <w:tc>
          <w:tcPr>
            <w:tcW w:w="1840" w:type="dxa"/>
            <w:vAlign w:val="bottom"/>
            <w:tcBorders>
              <w:bottom w:val="single" w:sz="8" w:color="auto"/>
              <w:right w:val="single" w:sz="8" w:color="auto"/>
            </w:tcBorders>
          </w:tcPr>
          <w:p>
            <w:pPr>
              <w:jc w:val="right"/>
              <w:ind w:right="533"/>
              <w:spacing w:after="0" w:line="203" w:lineRule="exact"/>
              <w:rPr>
                <w:sz w:val="20"/>
                <w:szCs w:val="20"/>
                <w:color w:val="auto"/>
              </w:rPr>
            </w:pPr>
            <w:r>
              <w:rPr>
                <w:rFonts w:ascii="Calibri" w:cs="Calibri" w:eastAsia="Calibri" w:hAnsi="Calibri"/>
                <w:sz w:val="17"/>
                <w:szCs w:val="17"/>
                <w:b w:val="1"/>
                <w:bCs w:val="1"/>
                <w:color w:val="auto"/>
              </w:rPr>
              <w:t>2.02</w:t>
            </w:r>
          </w:p>
        </w:tc>
        <w:tc>
          <w:tcPr>
            <w:tcW w:w="156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-17 bps</w:t>
            </w:r>
          </w:p>
        </w:tc>
      </w:tr>
      <w:tr>
        <w:trPr>
          <w:trHeight w:val="203"/>
        </w:trPr>
        <w:tc>
          <w:tcPr>
            <w:tcW w:w="6040" w:type="dxa"/>
            <w:vAlign w:val="bottom"/>
            <w:tcBorders>
              <w:left w:val="single" w:sz="8" w:color="auto"/>
              <w:bottom w:val="single" w:sz="8" w:color="auto"/>
              <w:right w:val="single" w:sz="8" w:color="auto"/>
            </w:tcBorders>
          </w:tcPr>
          <w:p>
            <w:pPr>
              <w:spacing w:after="0" w:line="203" w:lineRule="exact"/>
              <w:rPr>
                <w:sz w:val="20"/>
                <w:szCs w:val="20"/>
                <w:color w:val="auto"/>
              </w:rPr>
            </w:pPr>
            <w:r>
              <w:rPr>
                <w:rFonts w:ascii="Calibri" w:cs="Calibri" w:eastAsia="Calibri" w:hAnsi="Calibri"/>
                <w:sz w:val="17"/>
                <w:szCs w:val="17"/>
                <w:b w:val="1"/>
                <w:bCs w:val="1"/>
                <w:color w:val="auto"/>
              </w:rPr>
              <w:t>Regulatory Tier 1 Capital Rato (C) / (F)</w:t>
            </w:r>
          </w:p>
        </w:tc>
        <w:tc>
          <w:tcPr>
            <w:tcW w:w="1240" w:type="dxa"/>
            <w:vAlign w:val="bottom"/>
            <w:tcBorders>
              <w:bottom w:val="single" w:sz="8" w:color="auto"/>
            </w:tcBorders>
          </w:tcPr>
          <w:p>
            <w:pPr>
              <w:jc w:val="center"/>
              <w:ind w:left="173"/>
              <w:spacing w:after="0" w:line="203" w:lineRule="exact"/>
              <w:rPr>
                <w:sz w:val="20"/>
                <w:szCs w:val="20"/>
                <w:color w:val="auto"/>
              </w:rPr>
            </w:pPr>
            <w:r>
              <w:rPr>
                <w:rFonts w:ascii="Calibri" w:cs="Calibri" w:eastAsia="Calibri" w:hAnsi="Calibri"/>
                <w:sz w:val="17"/>
                <w:szCs w:val="17"/>
                <w:b w:val="1"/>
                <w:bCs w:val="1"/>
                <w:color w:val="auto"/>
                <w:w w:val="98"/>
              </w:rPr>
              <w:t>1.79</w:t>
            </w:r>
          </w:p>
        </w:tc>
        <w:tc>
          <w:tcPr>
            <w:tcW w:w="1840" w:type="dxa"/>
            <w:vAlign w:val="bottom"/>
            <w:tcBorders>
              <w:bottom w:val="single" w:sz="8" w:color="auto"/>
              <w:right w:val="single" w:sz="8" w:color="auto"/>
            </w:tcBorders>
          </w:tcPr>
          <w:p>
            <w:pPr>
              <w:jc w:val="right"/>
              <w:ind w:right="533"/>
              <w:spacing w:after="0" w:line="203" w:lineRule="exact"/>
              <w:rPr>
                <w:sz w:val="20"/>
                <w:szCs w:val="20"/>
                <w:color w:val="auto"/>
              </w:rPr>
            </w:pPr>
            <w:r>
              <w:rPr>
                <w:rFonts w:ascii="Calibri" w:cs="Calibri" w:eastAsia="Calibri" w:hAnsi="Calibri"/>
                <w:sz w:val="17"/>
                <w:szCs w:val="17"/>
                <w:b w:val="1"/>
                <w:bCs w:val="1"/>
                <w:color w:val="auto"/>
              </w:rPr>
              <w:t>1.67</w:t>
            </w:r>
          </w:p>
        </w:tc>
        <w:tc>
          <w:tcPr>
            <w:tcW w:w="1560" w:type="dxa"/>
            <w:vAlign w:val="bottom"/>
            <w:tcBorders>
              <w:bottom w:val="single" w:sz="8" w:color="auto"/>
              <w:right w:val="single" w:sz="8" w:color="auto"/>
            </w:tcBorders>
          </w:tcPr>
          <w:p>
            <w:pPr>
              <w:jc w:val="center"/>
              <w:spacing w:after="0" w:line="203" w:lineRule="exact"/>
              <w:rPr>
                <w:sz w:val="20"/>
                <w:szCs w:val="20"/>
                <w:color w:val="auto"/>
              </w:rPr>
            </w:pPr>
            <w:r>
              <w:rPr>
                <w:rFonts w:ascii="Calibri" w:cs="Calibri" w:eastAsia="Calibri" w:hAnsi="Calibri"/>
                <w:sz w:val="17"/>
                <w:szCs w:val="17"/>
                <w:b w:val="1"/>
                <w:bCs w:val="1"/>
                <w:color w:val="auto"/>
              </w:rPr>
              <w:t>-12 bps</w:t>
            </w:r>
          </w:p>
        </w:tc>
      </w:tr>
    </w:tbl>
    <w:p>
      <w:pPr>
        <w:spacing w:after="0" w:line="168" w:lineRule="exact"/>
        <w:rPr>
          <w:sz w:val="20"/>
          <w:szCs w:val="20"/>
          <w:color w:val="auto"/>
        </w:rPr>
      </w:pPr>
    </w:p>
    <w:p>
      <w:pPr>
        <w:ind w:left="840" w:hanging="191"/>
        <w:spacing w:after="0"/>
        <w:tabs>
          <w:tab w:leader="none" w:pos="840" w:val="left"/>
        </w:tabs>
        <w:numPr>
          <w:ilvl w:val="0"/>
          <w:numId w:val="50"/>
        </w:numPr>
        <w:rPr>
          <w:rFonts w:ascii="Calibri" w:cs="Calibri" w:eastAsia="Calibri" w:hAnsi="Calibri"/>
          <w:sz w:val="11"/>
          <w:szCs w:val="11"/>
          <w:color w:val="auto"/>
        </w:rPr>
      </w:pPr>
      <w:r>
        <w:rPr>
          <w:rFonts w:ascii="Calibri" w:cs="Calibri" w:eastAsia="Calibri" w:hAnsi="Calibri"/>
          <w:sz w:val="11"/>
          <w:szCs w:val="11"/>
          <w:color w:val="auto"/>
        </w:rPr>
        <w:t>Earnings include Banco de Crédito del Perú and Mibanco Perú. Losses include all subsidiaries.</w:t>
      </w:r>
    </w:p>
    <w:p>
      <w:pPr>
        <w:spacing w:after="0" w:line="49" w:lineRule="exact"/>
        <w:rPr>
          <w:rFonts w:ascii="Calibri" w:cs="Calibri" w:eastAsia="Calibri" w:hAnsi="Calibri"/>
          <w:sz w:val="11"/>
          <w:szCs w:val="11"/>
          <w:color w:val="auto"/>
        </w:rPr>
      </w:pPr>
    </w:p>
    <w:p>
      <w:pPr>
        <w:ind w:left="840" w:hanging="191"/>
        <w:spacing w:after="0"/>
        <w:tabs>
          <w:tab w:leader="none" w:pos="840" w:val="left"/>
        </w:tabs>
        <w:numPr>
          <w:ilvl w:val="0"/>
          <w:numId w:val="50"/>
        </w:numPr>
        <w:rPr>
          <w:rFonts w:ascii="Calibri" w:cs="Calibri" w:eastAsia="Calibri" w:hAnsi="Calibri"/>
          <w:sz w:val="11"/>
          <w:szCs w:val="11"/>
          <w:color w:val="auto"/>
        </w:rPr>
      </w:pPr>
      <w:r>
        <w:rPr>
          <w:rFonts w:ascii="Calibri" w:cs="Calibri" w:eastAsia="Calibri" w:hAnsi="Calibri"/>
          <w:sz w:val="11"/>
          <w:szCs w:val="11"/>
          <w:color w:val="auto"/>
        </w:rPr>
        <w:t>Gains include Investment Grade Government Bonds and Peruvian Central Bank Certfcates of Deposits. Losses include all bonds.</w:t>
      </w:r>
    </w:p>
    <w:p>
      <w:pPr>
        <w:spacing w:after="0" w:line="49" w:lineRule="exact"/>
        <w:rPr>
          <w:rFonts w:ascii="Calibri" w:cs="Calibri" w:eastAsia="Calibri" w:hAnsi="Calibri"/>
          <w:sz w:val="11"/>
          <w:szCs w:val="11"/>
          <w:color w:val="auto"/>
        </w:rPr>
      </w:pPr>
    </w:p>
    <w:p>
      <w:pPr>
        <w:ind w:left="840" w:hanging="191"/>
        <w:spacing w:after="0"/>
        <w:tabs>
          <w:tab w:leader="none" w:pos="840" w:val="left"/>
        </w:tabs>
        <w:numPr>
          <w:ilvl w:val="0"/>
          <w:numId w:val="50"/>
        </w:numPr>
        <w:rPr>
          <w:rFonts w:ascii="Calibri" w:cs="Calibri" w:eastAsia="Calibri" w:hAnsi="Calibri"/>
          <w:sz w:val="11"/>
          <w:szCs w:val="11"/>
          <w:color w:val="auto"/>
        </w:rPr>
      </w:pPr>
      <w:r>
        <w:rPr>
          <w:rFonts w:ascii="Calibri" w:cs="Calibri" w:eastAsia="Calibri" w:hAnsi="Calibri"/>
          <w:sz w:val="11"/>
          <w:szCs w:val="11"/>
          <w:color w:val="auto"/>
        </w:rPr>
        <w:t>Diferent to Goodwill. Includes Diferred Tax Assets.</w:t>
      </w:r>
    </w:p>
    <w:p>
      <w:pPr>
        <w:spacing w:after="0" w:line="49" w:lineRule="exact"/>
        <w:rPr>
          <w:rFonts w:ascii="Calibri" w:cs="Calibri" w:eastAsia="Calibri" w:hAnsi="Calibri"/>
          <w:sz w:val="11"/>
          <w:szCs w:val="11"/>
          <w:color w:val="auto"/>
        </w:rPr>
      </w:pPr>
    </w:p>
    <w:p>
      <w:pPr>
        <w:ind w:left="840" w:hanging="191"/>
        <w:spacing w:after="0"/>
        <w:tabs>
          <w:tab w:leader="none" w:pos="840" w:val="left"/>
        </w:tabs>
        <w:numPr>
          <w:ilvl w:val="0"/>
          <w:numId w:val="50"/>
        </w:numPr>
        <w:rPr>
          <w:rFonts w:ascii="Calibri" w:cs="Calibri" w:eastAsia="Calibri" w:hAnsi="Calibri"/>
          <w:sz w:val="11"/>
          <w:szCs w:val="11"/>
          <w:color w:val="auto"/>
        </w:rPr>
      </w:pPr>
      <w:r>
        <w:rPr>
          <w:rFonts w:ascii="Calibri" w:cs="Calibri" w:eastAsia="Calibri" w:hAnsi="Calibri"/>
          <w:sz w:val="11"/>
          <w:szCs w:val="11"/>
          <w:color w:val="auto"/>
        </w:rPr>
        <w:t>Investments in Equity.</w:t>
      </w:r>
    </w:p>
    <w:p>
      <w:pPr>
        <w:spacing w:after="0" w:line="49" w:lineRule="exact"/>
        <w:rPr>
          <w:rFonts w:ascii="Calibri" w:cs="Calibri" w:eastAsia="Calibri" w:hAnsi="Calibri"/>
          <w:sz w:val="11"/>
          <w:szCs w:val="11"/>
          <w:color w:val="auto"/>
        </w:rPr>
      </w:pPr>
    </w:p>
    <w:p>
      <w:pPr>
        <w:ind w:left="840" w:hanging="191"/>
        <w:spacing w:after="0"/>
        <w:tabs>
          <w:tab w:leader="none" w:pos="840" w:val="left"/>
        </w:tabs>
        <w:numPr>
          <w:ilvl w:val="0"/>
          <w:numId w:val="50"/>
        </w:numPr>
        <w:rPr>
          <w:rFonts w:ascii="Calibri" w:cs="Calibri" w:eastAsia="Calibri" w:hAnsi="Calibri"/>
          <w:sz w:val="11"/>
          <w:szCs w:val="11"/>
          <w:color w:val="auto"/>
        </w:rPr>
      </w:pPr>
      <w:r>
        <w:rPr>
          <w:rFonts w:ascii="Calibri" w:cs="Calibri" w:eastAsia="Calibri" w:hAnsi="Calibri"/>
          <w:sz w:val="11"/>
          <w:szCs w:val="11"/>
          <w:color w:val="auto"/>
        </w:rPr>
        <w:t>Up to 1.25% of total risk-weighted assets of Banco de Crédito del Perú, Solución Empresa Administradora Hipotecaria, Mibanco and Atlantc Security Bank.</w:t>
      </w:r>
    </w:p>
    <w:p>
      <w:pPr>
        <w:spacing w:after="0" w:line="49" w:lineRule="exact"/>
        <w:rPr>
          <w:rFonts w:ascii="Calibri" w:cs="Calibri" w:eastAsia="Calibri" w:hAnsi="Calibri"/>
          <w:sz w:val="11"/>
          <w:szCs w:val="11"/>
          <w:color w:val="auto"/>
        </w:rPr>
      </w:pPr>
    </w:p>
    <w:p>
      <w:pPr>
        <w:ind w:left="840" w:hanging="191"/>
        <w:spacing w:after="0"/>
        <w:tabs>
          <w:tab w:leader="none" w:pos="840" w:val="left"/>
        </w:tabs>
        <w:numPr>
          <w:ilvl w:val="0"/>
          <w:numId w:val="50"/>
        </w:numPr>
        <w:rPr>
          <w:rFonts w:ascii="Calibri" w:cs="Calibri" w:eastAsia="Calibri" w:hAnsi="Calibri"/>
          <w:sz w:val="11"/>
          <w:szCs w:val="11"/>
          <w:color w:val="auto"/>
        </w:rPr>
      </w:pPr>
      <w:r>
        <w:rPr>
          <w:rFonts w:ascii="Calibri" w:cs="Calibri" w:eastAsia="Calibri" w:hAnsi="Calibri"/>
          <w:sz w:val="11"/>
          <w:szCs w:val="11"/>
          <w:color w:val="auto"/>
        </w:rPr>
        <w:t>Investments in Tier 2 Subordinated Debt.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36830</wp:posOffset>
            </wp:positionV>
            <wp:extent cx="713613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940"/>
          </w:cols>
          <w:pgMar w:left="620" w:top="278" w:right="339" w:bottom="1440" w:gutter="0" w:footer="0" w:header="0"/>
        </w:sectPr>
      </w:pPr>
    </w:p>
    <w:bookmarkStart w:id="54" w:name="page55"/>
    <w:bookmarkEnd w:id="54"/>
    <w:p>
      <w:pPr>
        <w:ind w:left="2380"/>
        <w:spacing w:after="0"/>
        <w:tabs>
          <w:tab w:leader="none" w:pos="2660" w:val="left"/>
          <w:tab w:leader="none" w:pos="73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180975</wp:posOffset>
            </wp:positionV>
            <wp:extent cx="7136130" cy="2330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080"/>
        <w:spacing w:after="0"/>
        <w:rPr>
          <w:sz w:val="20"/>
          <w:szCs w:val="20"/>
          <w:color w:val="auto"/>
        </w:rPr>
      </w:pPr>
      <w:r>
        <w:rPr>
          <w:rFonts w:ascii="Calibri" w:cs="Calibri" w:eastAsia="Calibri" w:hAnsi="Calibri"/>
          <w:sz w:val="17"/>
          <w:szCs w:val="17"/>
          <w:b w:val="1"/>
          <w:bCs w:val="1"/>
          <w:color w:val="auto"/>
        </w:rPr>
        <w:t>Regulatory and Capital Adequacy Ratos at BCP Stand-alone</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3100" w:type="dxa"/>
            <w:vAlign w:val="bottom"/>
            <w:tcBorders>
              <w:top w:val="single" w:sz="8" w:color="auto"/>
              <w:left w:val="single" w:sz="8" w:color="auto"/>
              <w:bottom w:val="single" w:sz="8" w:color="2AD2C8"/>
            </w:tcBorders>
            <w:shd w:val="clear" w:color="auto" w:fill="2AD2C8"/>
          </w:tcPr>
          <w:p>
            <w:pPr>
              <w:spacing w:after="0"/>
              <w:rPr>
                <w:sz w:val="20"/>
                <w:szCs w:val="20"/>
                <w:color w:val="auto"/>
              </w:rPr>
            </w:pPr>
            <w:r>
              <w:rPr>
                <w:rFonts w:ascii="Calibri" w:cs="Calibri" w:eastAsia="Calibri" w:hAnsi="Calibri"/>
                <w:sz w:val="12"/>
                <w:szCs w:val="12"/>
                <w:b w:val="1"/>
                <w:bCs w:val="1"/>
                <w:color w:val="FFFFFF"/>
              </w:rPr>
              <w:t>Regulatory Capital</w:t>
            </w:r>
          </w:p>
        </w:tc>
        <w:tc>
          <w:tcPr>
            <w:tcW w:w="1620" w:type="dxa"/>
            <w:vAlign w:val="bottom"/>
            <w:tcBorders>
              <w:top w:val="single" w:sz="8" w:color="auto"/>
              <w:bottom w:val="single" w:sz="8" w:color="2AD2C8"/>
              <w:right w:val="single" w:sz="8" w:color="auto"/>
            </w:tcBorders>
            <w:shd w:val="clear" w:color="auto" w:fill="2AD2C8"/>
          </w:tcPr>
          <w:p>
            <w:pPr>
              <w:spacing w:after="0"/>
              <w:rPr>
                <w:sz w:val="15"/>
                <w:szCs w:val="15"/>
                <w:color w:val="auto"/>
              </w:rPr>
            </w:pPr>
          </w:p>
        </w:tc>
        <w:tc>
          <w:tcPr>
            <w:tcW w:w="1200" w:type="dxa"/>
            <w:vAlign w:val="bottom"/>
            <w:tcBorders>
              <w:top w:val="single" w:sz="8" w:color="auto"/>
              <w:bottom w:val="single" w:sz="8" w:color="2AD2C8"/>
            </w:tcBorders>
            <w:shd w:val="clear" w:color="auto" w:fill="2AD2C8"/>
          </w:tcPr>
          <w:p>
            <w:pPr>
              <w:spacing w:after="0"/>
              <w:rPr>
                <w:sz w:val="15"/>
                <w:szCs w:val="15"/>
                <w:color w:val="auto"/>
              </w:rPr>
            </w:pPr>
          </w:p>
        </w:tc>
        <w:tc>
          <w:tcPr>
            <w:tcW w:w="1360" w:type="dxa"/>
            <w:vAlign w:val="bottom"/>
            <w:tcBorders>
              <w:top w:val="single" w:sz="8" w:color="auto"/>
              <w:bottom w:val="single" w:sz="8" w:color="2AD2C8"/>
            </w:tcBorders>
            <w:shd w:val="clear" w:color="auto" w:fill="2AD2C8"/>
          </w:tcPr>
          <w:p>
            <w:pPr>
              <w:jc w:val="center"/>
              <w:ind w:right="260"/>
              <w:spacing w:after="0"/>
              <w:rPr>
                <w:sz w:val="20"/>
                <w:szCs w:val="20"/>
                <w:color w:val="auto"/>
              </w:rPr>
            </w:pPr>
            <w:r>
              <w:rPr>
                <w:rFonts w:ascii="Calibri" w:cs="Calibri" w:eastAsia="Calibri" w:hAnsi="Calibri"/>
                <w:sz w:val="12"/>
                <w:szCs w:val="12"/>
                <w:b w:val="1"/>
                <w:bCs w:val="1"/>
                <w:color w:val="FFFFFF"/>
              </w:rPr>
              <w:t>Quarter</w:t>
            </w:r>
          </w:p>
        </w:tc>
        <w:tc>
          <w:tcPr>
            <w:tcW w:w="1380" w:type="dxa"/>
            <w:vAlign w:val="bottom"/>
            <w:tcBorders>
              <w:top w:val="single" w:sz="8" w:color="auto"/>
              <w:bottom w:val="single" w:sz="8" w:color="2AD2C8"/>
              <w:right w:val="single" w:sz="8" w:color="auto"/>
            </w:tcBorders>
            <w:shd w:val="clear" w:color="auto" w:fill="2AD2C8"/>
          </w:tcPr>
          <w:p>
            <w:pPr>
              <w:spacing w:after="0"/>
              <w:rPr>
                <w:sz w:val="15"/>
                <w:szCs w:val="15"/>
                <w:color w:val="auto"/>
              </w:rPr>
            </w:pPr>
          </w:p>
        </w:tc>
        <w:tc>
          <w:tcPr>
            <w:tcW w:w="1280" w:type="dxa"/>
            <w:vAlign w:val="bottom"/>
            <w:tcBorders>
              <w:top w:val="single" w:sz="8" w:color="auto"/>
              <w:bottom w:val="single" w:sz="8" w:color="2AD2C8"/>
            </w:tcBorders>
            <w:shd w:val="clear" w:color="auto" w:fill="2AD2C8"/>
          </w:tcPr>
          <w:p>
            <w:pPr>
              <w:jc w:val="right"/>
              <w:spacing w:after="0"/>
              <w:rPr>
                <w:sz w:val="20"/>
                <w:szCs w:val="20"/>
                <w:color w:val="auto"/>
              </w:rPr>
            </w:pPr>
            <w:r>
              <w:rPr>
                <w:rFonts w:ascii="Calibri" w:cs="Calibri" w:eastAsia="Calibri" w:hAnsi="Calibri"/>
                <w:sz w:val="12"/>
                <w:szCs w:val="12"/>
                <w:b w:val="1"/>
                <w:bCs w:val="1"/>
                <w:color w:val="FFFFFF"/>
              </w:rPr>
              <w:t>Change %</w:t>
            </w:r>
          </w:p>
        </w:tc>
        <w:tc>
          <w:tcPr>
            <w:tcW w:w="740" w:type="dxa"/>
            <w:vAlign w:val="bottom"/>
            <w:tcBorders>
              <w:top w:val="single" w:sz="8" w:color="auto"/>
              <w:bottom w:val="single" w:sz="8" w:color="2AD2C8"/>
              <w:right w:val="single" w:sz="8" w:color="auto"/>
            </w:tcBorders>
            <w:shd w:val="clear" w:color="auto" w:fill="2AD2C8"/>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00" w:type="dxa"/>
            <w:vAlign w:val="bottom"/>
            <w:tcBorders>
              <w:left w:val="single" w:sz="8" w:color="auto"/>
              <w:bottom w:val="single" w:sz="8" w:color="2AD2C8"/>
            </w:tcBorders>
            <w:shd w:val="clear" w:color="auto" w:fill="2AD2C8"/>
          </w:tcPr>
          <w:p>
            <w:pPr>
              <w:spacing w:after="0" w:line="135" w:lineRule="exact"/>
              <w:rPr>
                <w:sz w:val="20"/>
                <w:szCs w:val="20"/>
                <w:color w:val="auto"/>
              </w:rPr>
            </w:pPr>
            <w:r>
              <w:rPr>
                <w:rFonts w:ascii="Calibri" w:cs="Calibri" w:eastAsia="Calibri" w:hAnsi="Calibri"/>
                <w:sz w:val="12"/>
                <w:szCs w:val="12"/>
                <w:color w:val="FFFFFF"/>
              </w:rPr>
              <w:t>(S/ thousand)</w:t>
            </w:r>
          </w:p>
        </w:tc>
        <w:tc>
          <w:tcPr>
            <w:tcW w:w="1620" w:type="dxa"/>
            <w:vAlign w:val="bottom"/>
            <w:tcBorders>
              <w:bottom w:val="single" w:sz="8" w:color="2AD2C8"/>
              <w:right w:val="single" w:sz="8" w:color="auto"/>
            </w:tcBorders>
            <w:shd w:val="clear" w:color="auto" w:fill="2AD2C8"/>
          </w:tcPr>
          <w:p>
            <w:pPr>
              <w:spacing w:after="0"/>
              <w:rPr>
                <w:sz w:val="16"/>
                <w:szCs w:val="16"/>
                <w:color w:val="auto"/>
              </w:rPr>
            </w:pPr>
          </w:p>
        </w:tc>
        <w:tc>
          <w:tcPr>
            <w:tcW w:w="1200" w:type="dxa"/>
            <w:vAlign w:val="bottom"/>
            <w:tcBorders>
              <w:bottom w:val="single" w:sz="8" w:color="2AD2C8"/>
            </w:tcBorders>
            <w:shd w:val="clear" w:color="auto" w:fill="2AD2C8"/>
          </w:tcPr>
          <w:p>
            <w:pPr>
              <w:ind w:left="380"/>
              <w:spacing w:after="0"/>
              <w:rPr>
                <w:sz w:val="20"/>
                <w:szCs w:val="20"/>
                <w:color w:val="auto"/>
              </w:rPr>
            </w:pPr>
            <w:r>
              <w:rPr>
                <w:rFonts w:ascii="Calibri" w:cs="Calibri" w:eastAsia="Calibri" w:hAnsi="Calibri"/>
                <w:sz w:val="12"/>
                <w:szCs w:val="12"/>
                <w:b w:val="1"/>
                <w:bCs w:val="1"/>
                <w:color w:val="FFFFFF"/>
              </w:rPr>
              <w:t>Dec 23</w:t>
            </w:r>
          </w:p>
        </w:tc>
        <w:tc>
          <w:tcPr>
            <w:tcW w:w="1360" w:type="dxa"/>
            <w:vAlign w:val="bottom"/>
            <w:tcBorders>
              <w:bottom w:val="single" w:sz="8" w:color="2AD2C8"/>
            </w:tcBorders>
            <w:shd w:val="clear" w:color="auto" w:fill="2AD2C8"/>
          </w:tcPr>
          <w:p>
            <w:pPr>
              <w:jc w:val="center"/>
              <w:ind w:right="260"/>
              <w:spacing w:after="0"/>
              <w:rPr>
                <w:sz w:val="20"/>
                <w:szCs w:val="20"/>
                <w:color w:val="auto"/>
              </w:rPr>
            </w:pPr>
            <w:r>
              <w:rPr>
                <w:rFonts w:ascii="Calibri" w:cs="Calibri" w:eastAsia="Calibri" w:hAnsi="Calibri"/>
                <w:sz w:val="12"/>
                <w:szCs w:val="12"/>
                <w:b w:val="1"/>
                <w:bCs w:val="1"/>
                <w:color w:val="FFFFFF"/>
                <w:w w:val="96"/>
              </w:rPr>
              <w:t>Sep 24</w:t>
            </w:r>
          </w:p>
        </w:tc>
        <w:tc>
          <w:tcPr>
            <w:tcW w:w="1380" w:type="dxa"/>
            <w:vAlign w:val="bottom"/>
            <w:tcBorders>
              <w:bottom w:val="single" w:sz="8" w:color="2AD2C8"/>
              <w:right w:val="single" w:sz="8" w:color="auto"/>
            </w:tcBorders>
            <w:shd w:val="clear" w:color="auto" w:fill="2AD2C8"/>
          </w:tcPr>
          <w:p>
            <w:pPr>
              <w:jc w:val="right"/>
              <w:ind w:right="480"/>
              <w:spacing w:after="0"/>
              <w:rPr>
                <w:sz w:val="20"/>
                <w:szCs w:val="20"/>
                <w:color w:val="auto"/>
              </w:rPr>
            </w:pPr>
            <w:r>
              <w:rPr>
                <w:rFonts w:ascii="Calibri" w:cs="Calibri" w:eastAsia="Calibri" w:hAnsi="Calibri"/>
                <w:sz w:val="12"/>
                <w:szCs w:val="12"/>
                <w:b w:val="1"/>
                <w:bCs w:val="1"/>
                <w:color w:val="FFFFFF"/>
              </w:rPr>
              <w:t>Dec 24</w:t>
            </w:r>
          </w:p>
        </w:tc>
        <w:tc>
          <w:tcPr>
            <w:tcW w:w="1280" w:type="dxa"/>
            <w:vAlign w:val="bottom"/>
            <w:tcBorders>
              <w:bottom w:val="single" w:sz="8" w:color="2AD2C8"/>
            </w:tcBorders>
            <w:shd w:val="clear" w:color="auto" w:fill="2AD2C8"/>
          </w:tcPr>
          <w:p>
            <w:pPr>
              <w:ind w:left="340"/>
              <w:spacing w:after="0"/>
              <w:rPr>
                <w:sz w:val="20"/>
                <w:szCs w:val="20"/>
                <w:color w:val="auto"/>
              </w:rPr>
            </w:pPr>
            <w:r>
              <w:rPr>
                <w:rFonts w:ascii="Calibri" w:cs="Calibri" w:eastAsia="Calibri" w:hAnsi="Calibri"/>
                <w:sz w:val="12"/>
                <w:szCs w:val="12"/>
                <w:b w:val="1"/>
                <w:bCs w:val="1"/>
                <w:color w:val="FFFFFF"/>
              </w:rPr>
              <w:t>QoQ</w:t>
            </w:r>
          </w:p>
        </w:tc>
        <w:tc>
          <w:tcPr>
            <w:tcW w:w="740" w:type="dxa"/>
            <w:vAlign w:val="bottom"/>
            <w:tcBorders>
              <w:bottom w:val="single" w:sz="8" w:color="2AD2C8"/>
              <w:right w:val="single" w:sz="8" w:color="auto"/>
            </w:tcBorders>
            <w:shd w:val="clear" w:color="auto" w:fill="2AD2C8"/>
          </w:tcPr>
          <w:p>
            <w:pPr>
              <w:ind w:left="100"/>
              <w:spacing w:after="0"/>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57"/>
        </w:trPr>
        <w:tc>
          <w:tcPr>
            <w:tcW w:w="3100" w:type="dxa"/>
            <w:vAlign w:val="bottom"/>
            <w:tcBorders>
              <w:top w:val="single" w:sz="8" w:color="auto"/>
              <w:left w:val="single" w:sz="8" w:color="auto"/>
            </w:tcBorders>
          </w:tcPr>
          <w:p>
            <w:pPr>
              <w:ind w:left="160"/>
              <w:spacing w:after="0"/>
              <w:rPr>
                <w:sz w:val="20"/>
                <w:szCs w:val="20"/>
                <w:color w:val="auto"/>
              </w:rPr>
            </w:pPr>
            <w:r>
              <w:rPr>
                <w:rFonts w:ascii="Calibri" w:cs="Calibri" w:eastAsia="Calibri" w:hAnsi="Calibri"/>
                <w:sz w:val="12"/>
                <w:szCs w:val="12"/>
                <w:color w:val="auto"/>
              </w:rPr>
              <w:t>Capital Stock</w:t>
            </w:r>
          </w:p>
        </w:tc>
        <w:tc>
          <w:tcPr>
            <w:tcW w:w="162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tcBorders>
          </w:tcPr>
          <w:p>
            <w:pPr>
              <w:jc w:val="center"/>
              <w:ind w:right="20"/>
              <w:spacing w:after="0"/>
              <w:rPr>
                <w:sz w:val="20"/>
                <w:szCs w:val="20"/>
                <w:color w:val="auto"/>
              </w:rPr>
            </w:pPr>
            <w:r>
              <w:rPr>
                <w:rFonts w:ascii="Calibri" w:cs="Calibri" w:eastAsia="Calibri" w:hAnsi="Calibri"/>
                <w:sz w:val="12"/>
                <w:szCs w:val="12"/>
                <w:color w:val="auto"/>
              </w:rPr>
              <w:t>12,973,175</w:t>
            </w:r>
          </w:p>
        </w:tc>
        <w:tc>
          <w:tcPr>
            <w:tcW w:w="1360" w:type="dxa"/>
            <w:vAlign w:val="bottom"/>
            <w:tcBorders>
              <w:top w:val="single" w:sz="8" w:color="auto"/>
            </w:tcBorders>
          </w:tcPr>
          <w:p>
            <w:pPr>
              <w:jc w:val="center"/>
              <w:spacing w:after="0"/>
              <w:rPr>
                <w:sz w:val="20"/>
                <w:szCs w:val="20"/>
                <w:color w:val="auto"/>
              </w:rPr>
            </w:pPr>
            <w:r>
              <w:rPr>
                <w:rFonts w:ascii="Calibri" w:cs="Calibri" w:eastAsia="Calibri" w:hAnsi="Calibri"/>
                <w:sz w:val="12"/>
                <w:szCs w:val="12"/>
                <w:color w:val="auto"/>
              </w:rPr>
              <w:t>12,973,175</w:t>
            </w:r>
          </w:p>
        </w:tc>
        <w:tc>
          <w:tcPr>
            <w:tcW w:w="13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12,973,175</w:t>
            </w:r>
          </w:p>
        </w:tc>
        <w:tc>
          <w:tcPr>
            <w:tcW w:w="1280" w:type="dxa"/>
            <w:vAlign w:val="bottom"/>
            <w:tcBorders>
              <w:top w:val="single" w:sz="8" w:color="auto"/>
            </w:tcBorders>
          </w:tcPr>
          <w:p>
            <w:pPr>
              <w:jc w:val="center"/>
              <w:ind w:right="260"/>
              <w:spacing w:after="0"/>
              <w:rPr>
                <w:sz w:val="20"/>
                <w:szCs w:val="20"/>
                <w:color w:val="auto"/>
              </w:rPr>
            </w:pPr>
            <w:r>
              <w:rPr>
                <w:rFonts w:ascii="Calibri" w:cs="Calibri" w:eastAsia="Calibri" w:hAnsi="Calibri"/>
                <w:sz w:val="12"/>
                <w:szCs w:val="12"/>
                <w:color w:val="auto"/>
              </w:rPr>
              <w:t>0.0%</w:t>
            </w:r>
          </w:p>
        </w:tc>
        <w:tc>
          <w:tcPr>
            <w:tcW w:w="740" w:type="dxa"/>
            <w:vAlign w:val="bottom"/>
            <w:tcBorders>
              <w:top w:val="single" w:sz="8" w:color="auto"/>
              <w:right w:val="single" w:sz="8" w:color="auto"/>
            </w:tcBorders>
          </w:tcPr>
          <w:p>
            <w:pPr>
              <w:jc w:val="center"/>
              <w:ind w:right="240"/>
              <w:spacing w:after="0"/>
              <w:rPr>
                <w:sz w:val="20"/>
                <w:szCs w:val="20"/>
                <w:color w:val="auto"/>
              </w:rPr>
            </w:pPr>
            <w:r>
              <w:rPr>
                <w:rFonts w:ascii="Calibri" w:cs="Calibri" w:eastAsia="Calibri" w:hAnsi="Calibri"/>
                <w:sz w:val="12"/>
                <w:szCs w:val="12"/>
                <w:color w:val="auto"/>
              </w:rPr>
              <w:t>0.0%</w:t>
            </w:r>
          </w:p>
        </w:tc>
        <w:tc>
          <w:tcPr>
            <w:tcW w:w="0" w:type="dxa"/>
            <w:vAlign w:val="bottom"/>
          </w:tcPr>
          <w:p>
            <w:pPr>
              <w:spacing w:after="0"/>
              <w:rPr>
                <w:sz w:val="1"/>
                <w:szCs w:val="1"/>
                <w:color w:val="auto"/>
              </w:rPr>
            </w:pPr>
          </w:p>
        </w:tc>
      </w:tr>
      <w:tr>
        <w:trPr>
          <w:trHeight w:val="157"/>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Reserves</w:t>
            </w:r>
          </w:p>
        </w:tc>
        <w:tc>
          <w:tcPr>
            <w:tcW w:w="1620" w:type="dxa"/>
            <w:vAlign w:val="bottom"/>
            <w:tcBorders>
              <w:right w:val="single" w:sz="8" w:color="auto"/>
            </w:tcBorders>
          </w:tcPr>
          <w:p>
            <w:pPr>
              <w:spacing w:after="0"/>
              <w:rPr>
                <w:sz w:val="13"/>
                <w:szCs w:val="13"/>
                <w:color w:val="auto"/>
              </w:rPr>
            </w:pPr>
          </w:p>
        </w:tc>
        <w:tc>
          <w:tcPr>
            <w:tcW w:w="1200" w:type="dxa"/>
            <w:vAlign w:val="bottom"/>
          </w:tcPr>
          <w:p>
            <w:pPr>
              <w:jc w:val="center"/>
              <w:ind w:right="40"/>
              <w:spacing w:after="0"/>
              <w:rPr>
                <w:sz w:val="20"/>
                <w:szCs w:val="20"/>
                <w:color w:val="auto"/>
              </w:rPr>
            </w:pPr>
            <w:r>
              <w:rPr>
                <w:rFonts w:ascii="Calibri" w:cs="Calibri" w:eastAsia="Calibri" w:hAnsi="Calibri"/>
                <w:sz w:val="12"/>
                <w:szCs w:val="12"/>
                <w:color w:val="auto"/>
              </w:rPr>
              <w:t>6,590,921</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6,591,330</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6,124,302</w:t>
            </w:r>
          </w:p>
        </w:tc>
        <w:tc>
          <w:tcPr>
            <w:tcW w:w="1280" w:type="dxa"/>
            <w:vAlign w:val="bottom"/>
          </w:tcPr>
          <w:p>
            <w:pPr>
              <w:jc w:val="center"/>
              <w:ind w:right="260"/>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7.1%</w:t>
            </w:r>
          </w:p>
        </w:tc>
        <w:tc>
          <w:tcPr>
            <w:tcW w:w="740" w:type="dxa"/>
            <w:vAlign w:val="bottom"/>
            <w:tcBorders>
              <w:right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7.1%</w:t>
            </w:r>
          </w:p>
        </w:tc>
        <w:tc>
          <w:tcPr>
            <w:tcW w:w="0" w:type="dxa"/>
            <w:vAlign w:val="bottom"/>
          </w:tcPr>
          <w:p>
            <w:pPr>
              <w:spacing w:after="0"/>
              <w:rPr>
                <w:sz w:val="1"/>
                <w:szCs w:val="1"/>
                <w:color w:val="auto"/>
              </w:rPr>
            </w:pPr>
          </w:p>
        </w:tc>
      </w:tr>
      <w:tr>
        <w:trPr>
          <w:trHeight w:val="156"/>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Accumulated earnings</w:t>
            </w:r>
          </w:p>
        </w:tc>
        <w:tc>
          <w:tcPr>
            <w:tcW w:w="1620" w:type="dxa"/>
            <w:vAlign w:val="bottom"/>
            <w:tcBorders>
              <w:right w:val="single" w:sz="8" w:color="auto"/>
            </w:tcBorders>
          </w:tcPr>
          <w:p>
            <w:pPr>
              <w:spacing w:after="0"/>
              <w:rPr>
                <w:sz w:val="13"/>
                <w:szCs w:val="13"/>
                <w:color w:val="auto"/>
              </w:rPr>
            </w:pPr>
          </w:p>
        </w:tc>
        <w:tc>
          <w:tcPr>
            <w:tcW w:w="1200" w:type="dxa"/>
            <w:vAlign w:val="bottom"/>
          </w:tcPr>
          <w:p>
            <w:pPr>
              <w:jc w:val="center"/>
              <w:ind w:right="40"/>
              <w:spacing w:after="0"/>
              <w:rPr>
                <w:sz w:val="20"/>
                <w:szCs w:val="20"/>
                <w:color w:val="auto"/>
              </w:rPr>
            </w:pPr>
            <w:r>
              <w:rPr>
                <w:rFonts w:ascii="Calibri" w:cs="Calibri" w:eastAsia="Calibri" w:hAnsi="Calibri"/>
                <w:sz w:val="12"/>
                <w:szCs w:val="12"/>
                <w:color w:val="auto"/>
              </w:rPr>
              <w:t>5,383,865</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5,426,132</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6,589,252</w:t>
            </w:r>
          </w:p>
        </w:tc>
        <w:tc>
          <w:tcPr>
            <w:tcW w:w="1280" w:type="dxa"/>
            <w:vAlign w:val="bottom"/>
          </w:tcPr>
          <w:p>
            <w:pPr>
              <w:jc w:val="center"/>
              <w:ind w:right="280"/>
              <w:spacing w:after="0"/>
              <w:rPr>
                <w:sz w:val="20"/>
                <w:szCs w:val="20"/>
                <w:color w:val="auto"/>
              </w:rPr>
            </w:pPr>
            <w:r>
              <w:rPr>
                <w:rFonts w:ascii="Calibri" w:cs="Calibri" w:eastAsia="Calibri" w:hAnsi="Calibri"/>
                <w:sz w:val="12"/>
                <w:szCs w:val="12"/>
                <w:color w:val="auto"/>
              </w:rPr>
              <w:t>21.4%</w:t>
            </w:r>
          </w:p>
        </w:tc>
        <w:tc>
          <w:tcPr>
            <w:tcW w:w="740" w:type="dxa"/>
            <w:vAlign w:val="bottom"/>
            <w:tcBorders>
              <w:right w:val="single" w:sz="8" w:color="auto"/>
            </w:tcBorders>
          </w:tcPr>
          <w:p>
            <w:pPr>
              <w:jc w:val="center"/>
              <w:ind w:right="260"/>
              <w:spacing w:after="0"/>
              <w:rPr>
                <w:sz w:val="20"/>
                <w:szCs w:val="20"/>
                <w:color w:val="auto"/>
              </w:rPr>
            </w:pPr>
            <w:r>
              <w:rPr>
                <w:rFonts w:ascii="Calibri" w:cs="Calibri" w:eastAsia="Calibri" w:hAnsi="Calibri"/>
                <w:sz w:val="12"/>
                <w:szCs w:val="12"/>
                <w:color w:val="auto"/>
              </w:rPr>
              <w:t>22.4%</w:t>
            </w:r>
          </w:p>
        </w:tc>
        <w:tc>
          <w:tcPr>
            <w:tcW w:w="0" w:type="dxa"/>
            <w:vAlign w:val="bottom"/>
          </w:tcPr>
          <w:p>
            <w:pPr>
              <w:spacing w:after="0"/>
              <w:rPr>
                <w:sz w:val="1"/>
                <w:szCs w:val="1"/>
                <w:color w:val="auto"/>
              </w:rPr>
            </w:pPr>
          </w:p>
        </w:tc>
      </w:tr>
      <w:tr>
        <w:trPr>
          <w:trHeight w:val="172"/>
        </w:trPr>
        <w:tc>
          <w:tcPr>
            <w:tcW w:w="3100" w:type="dxa"/>
            <w:vAlign w:val="bottom"/>
            <w:tcBorders>
              <w:left w:val="single" w:sz="8" w:color="auto"/>
            </w:tcBorders>
          </w:tcPr>
          <w:p>
            <w:pPr>
              <w:ind w:left="160"/>
              <w:spacing w:after="0" w:line="172" w:lineRule="exact"/>
              <w:rPr>
                <w:sz w:val="20"/>
                <w:szCs w:val="20"/>
                <w:color w:val="auto"/>
              </w:rPr>
            </w:pPr>
            <w:r>
              <w:rPr>
                <w:rFonts w:ascii="Calibri" w:cs="Calibri" w:eastAsia="Calibri" w:hAnsi="Calibri"/>
                <w:sz w:val="12"/>
                <w:szCs w:val="12"/>
                <w:color w:val="auto"/>
              </w:rPr>
              <w:t xml:space="preserve">Loan loss reserves </w:t>
            </w:r>
            <w:r>
              <w:rPr>
                <w:rFonts w:ascii="Calibri" w:cs="Calibri" w:eastAsia="Calibri" w:hAnsi="Calibri"/>
                <w:sz w:val="18"/>
                <w:szCs w:val="18"/>
                <w:color w:val="auto"/>
                <w:vertAlign w:val="superscript"/>
              </w:rPr>
              <w:t>(1)</w:t>
            </w:r>
          </w:p>
        </w:tc>
        <w:tc>
          <w:tcPr>
            <w:tcW w:w="1620" w:type="dxa"/>
            <w:vAlign w:val="bottom"/>
            <w:tcBorders>
              <w:right w:val="single" w:sz="8" w:color="auto"/>
            </w:tcBorders>
          </w:tcPr>
          <w:p>
            <w:pPr>
              <w:spacing w:after="0"/>
              <w:rPr>
                <w:sz w:val="14"/>
                <w:szCs w:val="14"/>
                <w:color w:val="auto"/>
              </w:rPr>
            </w:pPr>
          </w:p>
        </w:tc>
        <w:tc>
          <w:tcPr>
            <w:tcW w:w="1200" w:type="dxa"/>
            <w:vAlign w:val="bottom"/>
          </w:tcPr>
          <w:p>
            <w:pPr>
              <w:jc w:val="center"/>
              <w:ind w:right="40"/>
              <w:spacing w:after="0"/>
              <w:rPr>
                <w:sz w:val="20"/>
                <w:szCs w:val="20"/>
                <w:color w:val="auto"/>
              </w:rPr>
            </w:pPr>
            <w:r>
              <w:rPr>
                <w:rFonts w:ascii="Calibri" w:cs="Calibri" w:eastAsia="Calibri" w:hAnsi="Calibri"/>
                <w:sz w:val="12"/>
                <w:szCs w:val="12"/>
                <w:color w:val="auto"/>
              </w:rPr>
              <w:t>1,695,577</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1,689,307</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1,757,256</w:t>
            </w:r>
          </w:p>
        </w:tc>
        <w:tc>
          <w:tcPr>
            <w:tcW w:w="1280" w:type="dxa"/>
            <w:vAlign w:val="bottom"/>
          </w:tcPr>
          <w:p>
            <w:pPr>
              <w:jc w:val="center"/>
              <w:ind w:right="260"/>
              <w:spacing w:after="0"/>
              <w:rPr>
                <w:sz w:val="20"/>
                <w:szCs w:val="20"/>
                <w:color w:val="auto"/>
              </w:rPr>
            </w:pPr>
            <w:r>
              <w:rPr>
                <w:rFonts w:ascii="Calibri" w:cs="Calibri" w:eastAsia="Calibri" w:hAnsi="Calibri"/>
                <w:sz w:val="12"/>
                <w:szCs w:val="12"/>
                <w:color w:val="auto"/>
              </w:rPr>
              <w:t>4.0%</w:t>
            </w:r>
          </w:p>
        </w:tc>
        <w:tc>
          <w:tcPr>
            <w:tcW w:w="740" w:type="dxa"/>
            <w:vAlign w:val="bottom"/>
            <w:tcBorders>
              <w:right w:val="single" w:sz="8" w:color="auto"/>
            </w:tcBorders>
          </w:tcPr>
          <w:p>
            <w:pPr>
              <w:jc w:val="center"/>
              <w:ind w:right="240"/>
              <w:spacing w:after="0"/>
              <w:rPr>
                <w:sz w:val="20"/>
                <w:szCs w:val="20"/>
                <w:color w:val="auto"/>
              </w:rPr>
            </w:pPr>
            <w:r>
              <w:rPr>
                <w:rFonts w:ascii="Calibri" w:cs="Calibri" w:eastAsia="Calibri" w:hAnsi="Calibri"/>
                <w:sz w:val="12"/>
                <w:szCs w:val="12"/>
                <w:color w:val="auto"/>
              </w:rPr>
              <w:t>3.6%</w:t>
            </w:r>
          </w:p>
        </w:tc>
        <w:tc>
          <w:tcPr>
            <w:tcW w:w="0" w:type="dxa"/>
            <w:vAlign w:val="bottom"/>
          </w:tcPr>
          <w:p>
            <w:pPr>
              <w:spacing w:after="0"/>
              <w:rPr>
                <w:sz w:val="1"/>
                <w:szCs w:val="1"/>
                <w:color w:val="auto"/>
              </w:rPr>
            </w:pPr>
          </w:p>
        </w:tc>
      </w:tr>
      <w:tr>
        <w:trPr>
          <w:trHeight w:val="157"/>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Subordinated Debt</w:t>
            </w:r>
          </w:p>
        </w:tc>
        <w:tc>
          <w:tcPr>
            <w:tcW w:w="1620" w:type="dxa"/>
            <w:vAlign w:val="bottom"/>
            <w:tcBorders>
              <w:right w:val="single" w:sz="8" w:color="auto"/>
            </w:tcBorders>
          </w:tcPr>
          <w:p>
            <w:pPr>
              <w:spacing w:after="0"/>
              <w:rPr>
                <w:sz w:val="13"/>
                <w:szCs w:val="13"/>
                <w:color w:val="auto"/>
              </w:rPr>
            </w:pPr>
          </w:p>
        </w:tc>
        <w:tc>
          <w:tcPr>
            <w:tcW w:w="1200" w:type="dxa"/>
            <w:vAlign w:val="bottom"/>
          </w:tcPr>
          <w:p>
            <w:pPr>
              <w:jc w:val="center"/>
              <w:ind w:right="40"/>
              <w:spacing w:after="0"/>
              <w:rPr>
                <w:sz w:val="20"/>
                <w:szCs w:val="20"/>
                <w:color w:val="auto"/>
              </w:rPr>
            </w:pPr>
            <w:r>
              <w:rPr>
                <w:rFonts w:ascii="Calibri" w:cs="Calibri" w:eastAsia="Calibri" w:hAnsi="Calibri"/>
                <w:sz w:val="12"/>
                <w:szCs w:val="12"/>
                <w:color w:val="auto"/>
              </w:rPr>
              <w:t>5,007,150</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7,232,550</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7,339,800</w:t>
            </w:r>
          </w:p>
        </w:tc>
        <w:tc>
          <w:tcPr>
            <w:tcW w:w="1280" w:type="dxa"/>
            <w:vAlign w:val="bottom"/>
          </w:tcPr>
          <w:p>
            <w:pPr>
              <w:jc w:val="center"/>
              <w:ind w:right="260"/>
              <w:spacing w:after="0"/>
              <w:rPr>
                <w:sz w:val="20"/>
                <w:szCs w:val="20"/>
                <w:color w:val="auto"/>
              </w:rPr>
            </w:pPr>
            <w:r>
              <w:rPr>
                <w:rFonts w:ascii="Calibri" w:cs="Calibri" w:eastAsia="Calibri" w:hAnsi="Calibri"/>
                <w:sz w:val="12"/>
                <w:szCs w:val="12"/>
                <w:color w:val="auto"/>
              </w:rPr>
              <w:t>1.5%</w:t>
            </w:r>
          </w:p>
        </w:tc>
        <w:tc>
          <w:tcPr>
            <w:tcW w:w="740" w:type="dxa"/>
            <w:vAlign w:val="bottom"/>
            <w:tcBorders>
              <w:right w:val="single" w:sz="8" w:color="auto"/>
            </w:tcBorders>
          </w:tcPr>
          <w:p>
            <w:pPr>
              <w:jc w:val="center"/>
              <w:ind w:right="260"/>
              <w:spacing w:after="0"/>
              <w:rPr>
                <w:sz w:val="20"/>
                <w:szCs w:val="20"/>
                <w:color w:val="auto"/>
              </w:rPr>
            </w:pPr>
            <w:r>
              <w:rPr>
                <w:rFonts w:ascii="Calibri" w:cs="Calibri" w:eastAsia="Calibri" w:hAnsi="Calibri"/>
                <w:sz w:val="12"/>
                <w:szCs w:val="12"/>
                <w:color w:val="auto"/>
              </w:rPr>
              <w:t>46.6%</w:t>
            </w:r>
          </w:p>
        </w:tc>
        <w:tc>
          <w:tcPr>
            <w:tcW w:w="0" w:type="dxa"/>
            <w:vAlign w:val="bottom"/>
          </w:tcPr>
          <w:p>
            <w:pPr>
              <w:spacing w:after="0"/>
              <w:rPr>
                <w:sz w:val="1"/>
                <w:szCs w:val="1"/>
                <w:color w:val="auto"/>
              </w:rPr>
            </w:pPr>
          </w:p>
        </w:tc>
      </w:tr>
      <w:tr>
        <w:trPr>
          <w:trHeight w:val="157"/>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Unrealized Proft or Losses</w:t>
            </w:r>
          </w:p>
        </w:tc>
        <w:tc>
          <w:tcPr>
            <w:tcW w:w="1620" w:type="dxa"/>
            <w:vAlign w:val="bottom"/>
            <w:tcBorders>
              <w:right w:val="single" w:sz="8" w:color="auto"/>
            </w:tcBorders>
          </w:tcPr>
          <w:p>
            <w:pPr>
              <w:spacing w:after="0"/>
              <w:rPr>
                <w:sz w:val="13"/>
                <w:szCs w:val="13"/>
                <w:color w:val="auto"/>
              </w:rPr>
            </w:pPr>
          </w:p>
        </w:tc>
        <w:tc>
          <w:tcPr>
            <w:tcW w:w="1200" w:type="dxa"/>
            <w:vAlign w:val="bottom"/>
          </w:tcPr>
          <w:p>
            <w:pPr>
              <w:jc w:val="center"/>
              <w:ind w:right="60"/>
              <w:spacing w:after="0"/>
              <w:rPr>
                <w:sz w:val="20"/>
                <w:szCs w:val="20"/>
                <w:color w:val="auto"/>
              </w:rPr>
            </w:pPr>
            <w:r>
              <w:rPr>
                <w:rFonts w:ascii="Calibri" w:cs="Calibri" w:eastAsia="Calibri" w:hAnsi="Calibri"/>
                <w:sz w:val="12"/>
                <w:szCs w:val="12"/>
                <w:color w:val="auto"/>
              </w:rPr>
              <w:t>(668,717)</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(322,210)</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8"/>
              </w:rPr>
              <w:t>(413,658)</w:t>
            </w:r>
          </w:p>
        </w:tc>
        <w:tc>
          <w:tcPr>
            <w:tcW w:w="1280" w:type="dxa"/>
            <w:vAlign w:val="bottom"/>
          </w:tcPr>
          <w:p>
            <w:pPr>
              <w:jc w:val="center"/>
              <w:ind w:right="280"/>
              <w:spacing w:after="0"/>
              <w:rPr>
                <w:sz w:val="20"/>
                <w:szCs w:val="20"/>
                <w:color w:val="auto"/>
              </w:rPr>
            </w:pPr>
            <w:r>
              <w:rPr>
                <w:rFonts w:ascii="Calibri" w:cs="Calibri" w:eastAsia="Calibri" w:hAnsi="Calibri"/>
                <w:sz w:val="12"/>
                <w:szCs w:val="12"/>
                <w:color w:val="auto"/>
              </w:rPr>
              <w:t>28.4%</w:t>
            </w:r>
          </w:p>
        </w:tc>
        <w:tc>
          <w:tcPr>
            <w:tcW w:w="740" w:type="dxa"/>
            <w:vAlign w:val="bottom"/>
            <w:tcBorders>
              <w:right w:val="single" w:sz="8" w:color="auto"/>
            </w:tcBorders>
          </w:tcPr>
          <w:p>
            <w:pPr>
              <w:jc w:val="center"/>
              <w:ind w:right="260"/>
              <w:spacing w:after="0"/>
              <w:rPr>
                <w:sz w:val="20"/>
                <w:szCs w:val="20"/>
                <w:color w:val="auto"/>
              </w:rPr>
            </w:pPr>
            <w:r>
              <w:rPr>
                <w:rFonts w:ascii="Calibri" w:cs="Calibri" w:eastAsia="Calibri" w:hAnsi="Calibri"/>
                <w:sz w:val="12"/>
                <w:szCs w:val="12"/>
                <w:color w:val="auto"/>
              </w:rPr>
              <w:t>-38.1%</w:t>
            </w:r>
          </w:p>
        </w:tc>
        <w:tc>
          <w:tcPr>
            <w:tcW w:w="0" w:type="dxa"/>
            <w:vAlign w:val="bottom"/>
          </w:tcPr>
          <w:p>
            <w:pPr>
              <w:spacing w:after="0"/>
              <w:rPr>
                <w:sz w:val="1"/>
                <w:szCs w:val="1"/>
                <w:color w:val="auto"/>
              </w:rPr>
            </w:pPr>
          </w:p>
        </w:tc>
      </w:tr>
      <w:tr>
        <w:trPr>
          <w:trHeight w:val="144"/>
        </w:trPr>
        <w:tc>
          <w:tcPr>
            <w:tcW w:w="4720" w:type="dxa"/>
            <w:vAlign w:val="bottom"/>
            <w:tcBorders>
              <w:left w:val="single" w:sz="8" w:color="auto"/>
              <w:right w:val="single" w:sz="8" w:color="auto"/>
            </w:tcBorders>
            <w:gridSpan w:val="2"/>
          </w:tcPr>
          <w:p>
            <w:pPr>
              <w:ind w:left="160"/>
              <w:spacing w:after="0" w:line="145" w:lineRule="exact"/>
              <w:rPr>
                <w:sz w:val="20"/>
                <w:szCs w:val="20"/>
                <w:color w:val="auto"/>
              </w:rPr>
            </w:pPr>
            <w:r>
              <w:rPr>
                <w:rFonts w:ascii="Calibri" w:cs="Calibri" w:eastAsia="Calibri" w:hAnsi="Calibri"/>
                <w:sz w:val="12"/>
                <w:szCs w:val="12"/>
                <w:color w:val="auto"/>
              </w:rPr>
              <w:t>Investment in subsidiaries and others, net of unrealized proft and net income in</w:t>
            </w:r>
          </w:p>
        </w:tc>
        <w:tc>
          <w:tcPr>
            <w:tcW w:w="1200" w:type="dxa"/>
            <w:vAlign w:val="bottom"/>
            <w:vMerge w:val="restart"/>
          </w:tcPr>
          <w:p>
            <w:pPr>
              <w:jc w:val="center"/>
              <w:ind w:right="40"/>
              <w:spacing w:after="0"/>
              <w:rPr>
                <w:sz w:val="20"/>
                <w:szCs w:val="20"/>
                <w:color w:val="auto"/>
              </w:rPr>
            </w:pPr>
            <w:r>
              <w:rPr>
                <w:rFonts w:ascii="Calibri" w:cs="Calibri" w:eastAsia="Calibri" w:hAnsi="Calibri"/>
                <w:sz w:val="12"/>
                <w:szCs w:val="12"/>
                <w:color w:val="auto"/>
              </w:rPr>
              <w:t>(2,772,786)</w:t>
            </w:r>
          </w:p>
        </w:tc>
        <w:tc>
          <w:tcPr>
            <w:tcW w:w="1360" w:type="dxa"/>
            <w:vAlign w:val="bottom"/>
            <w:vMerge w:val="restart"/>
          </w:tcPr>
          <w:p>
            <w:pPr>
              <w:jc w:val="center"/>
              <w:spacing w:after="0"/>
              <w:rPr>
                <w:sz w:val="20"/>
                <w:szCs w:val="20"/>
                <w:color w:val="auto"/>
              </w:rPr>
            </w:pPr>
            <w:r>
              <w:rPr>
                <w:rFonts w:ascii="Calibri" w:cs="Calibri" w:eastAsia="Calibri" w:hAnsi="Calibri"/>
                <w:sz w:val="12"/>
                <w:szCs w:val="12"/>
                <w:color w:val="auto"/>
              </w:rPr>
              <w:t>(2,537,005)</w:t>
            </w:r>
          </w:p>
        </w:tc>
        <w:tc>
          <w:tcPr>
            <w:tcW w:w="13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rPr>
              <w:t>(2,477,732)</w:t>
            </w:r>
          </w:p>
        </w:tc>
        <w:tc>
          <w:tcPr>
            <w:tcW w:w="1280" w:type="dxa"/>
            <w:vAlign w:val="bottom"/>
            <w:vMerge w:val="restart"/>
          </w:tcPr>
          <w:p>
            <w:pPr>
              <w:jc w:val="center"/>
              <w:ind w:right="260"/>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2.3%</w:t>
            </w:r>
          </w:p>
        </w:tc>
        <w:tc>
          <w:tcPr>
            <w:tcW w:w="740" w:type="dxa"/>
            <w:vAlign w:val="bottom"/>
            <w:tcBorders>
              <w:right w:val="single" w:sz="8" w:color="auto"/>
            </w:tcBorders>
            <w:vMerge w:val="restart"/>
          </w:tcPr>
          <w:p>
            <w:pPr>
              <w:jc w:val="center"/>
              <w:ind w:right="260"/>
              <w:spacing w:after="0"/>
              <w:rPr>
                <w:sz w:val="20"/>
                <w:szCs w:val="20"/>
                <w:color w:val="auto"/>
              </w:rPr>
            </w:pPr>
            <w:r>
              <w:rPr>
                <w:rFonts w:ascii="Calibri" w:cs="Calibri" w:eastAsia="Calibri" w:hAnsi="Calibri"/>
                <w:sz w:val="12"/>
                <w:szCs w:val="12"/>
                <w:color w:val="auto"/>
              </w:rPr>
              <w:t>-10.6%</w:t>
            </w:r>
          </w:p>
        </w:tc>
        <w:tc>
          <w:tcPr>
            <w:tcW w:w="0" w:type="dxa"/>
            <w:vAlign w:val="bottom"/>
          </w:tcPr>
          <w:p>
            <w:pPr>
              <w:spacing w:after="0"/>
              <w:rPr>
                <w:sz w:val="1"/>
                <w:szCs w:val="1"/>
                <w:color w:val="auto"/>
              </w:rPr>
            </w:pPr>
          </w:p>
        </w:tc>
      </w:tr>
      <w:tr>
        <w:trPr>
          <w:trHeight w:val="146"/>
        </w:trPr>
        <w:tc>
          <w:tcPr>
            <w:tcW w:w="3100" w:type="dxa"/>
            <w:vAlign w:val="bottom"/>
            <w:tcBorders>
              <w:left w:val="single" w:sz="8" w:color="auto"/>
            </w:tcBorders>
          </w:tcPr>
          <w:p>
            <w:pPr>
              <w:ind w:left="280"/>
              <w:spacing w:after="0"/>
              <w:rPr>
                <w:sz w:val="20"/>
                <w:szCs w:val="20"/>
                <w:color w:val="auto"/>
              </w:rPr>
            </w:pPr>
            <w:r>
              <w:rPr>
                <w:rFonts w:ascii="Calibri" w:cs="Calibri" w:eastAsia="Calibri" w:hAnsi="Calibri"/>
                <w:sz w:val="12"/>
                <w:szCs w:val="12"/>
                <w:color w:val="auto"/>
              </w:rPr>
              <w:t>subsidiaries</w:t>
            </w:r>
          </w:p>
        </w:tc>
        <w:tc>
          <w:tcPr>
            <w:tcW w:w="1620" w:type="dxa"/>
            <w:vAlign w:val="bottom"/>
            <w:tcBorders>
              <w:right w:val="single" w:sz="8" w:color="auto"/>
            </w:tcBorders>
          </w:tcPr>
          <w:p>
            <w:pPr>
              <w:spacing w:after="0"/>
              <w:rPr>
                <w:sz w:val="12"/>
                <w:szCs w:val="12"/>
                <w:color w:val="auto"/>
              </w:rPr>
            </w:pPr>
          </w:p>
        </w:tc>
        <w:tc>
          <w:tcPr>
            <w:tcW w:w="12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3"/>
                <w:szCs w:val="13"/>
                <w:color w:val="auto"/>
              </w:rPr>
              <w:t>Intangibles</w:t>
            </w:r>
          </w:p>
        </w:tc>
        <w:tc>
          <w:tcPr>
            <w:tcW w:w="1620" w:type="dxa"/>
            <w:vAlign w:val="bottom"/>
            <w:tcBorders>
              <w:right w:val="single" w:sz="8" w:color="auto"/>
            </w:tcBorders>
          </w:tcPr>
          <w:p>
            <w:pPr>
              <w:spacing w:after="0"/>
              <w:rPr>
                <w:sz w:val="14"/>
                <w:szCs w:val="14"/>
                <w:color w:val="auto"/>
              </w:rPr>
            </w:pPr>
          </w:p>
        </w:tc>
        <w:tc>
          <w:tcPr>
            <w:tcW w:w="1200" w:type="dxa"/>
            <w:vAlign w:val="bottom"/>
          </w:tcPr>
          <w:p>
            <w:pPr>
              <w:jc w:val="center"/>
              <w:ind w:right="40"/>
              <w:spacing w:after="0"/>
              <w:rPr>
                <w:sz w:val="20"/>
                <w:szCs w:val="20"/>
                <w:color w:val="auto"/>
              </w:rPr>
            </w:pPr>
            <w:r>
              <w:rPr>
                <w:rFonts w:ascii="Calibri" w:cs="Calibri" w:eastAsia="Calibri" w:hAnsi="Calibri"/>
                <w:sz w:val="12"/>
                <w:szCs w:val="12"/>
                <w:color w:val="auto"/>
              </w:rPr>
              <w:t>(1,294,279)</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(1,330,135)</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(1,515,214)</w:t>
            </w:r>
          </w:p>
        </w:tc>
        <w:tc>
          <w:tcPr>
            <w:tcW w:w="1280" w:type="dxa"/>
            <w:vAlign w:val="bottom"/>
          </w:tcPr>
          <w:p>
            <w:pPr>
              <w:jc w:val="center"/>
              <w:ind w:right="280"/>
              <w:spacing w:after="0"/>
              <w:rPr>
                <w:sz w:val="20"/>
                <w:szCs w:val="20"/>
                <w:color w:val="auto"/>
              </w:rPr>
            </w:pPr>
            <w:r>
              <w:rPr>
                <w:rFonts w:ascii="Calibri" w:cs="Calibri" w:eastAsia="Calibri" w:hAnsi="Calibri"/>
                <w:sz w:val="12"/>
                <w:szCs w:val="12"/>
                <w:color w:val="auto"/>
              </w:rPr>
              <w:t>13.9%</w:t>
            </w:r>
          </w:p>
        </w:tc>
        <w:tc>
          <w:tcPr>
            <w:tcW w:w="740" w:type="dxa"/>
            <w:vAlign w:val="bottom"/>
            <w:tcBorders>
              <w:right w:val="single" w:sz="8" w:color="auto"/>
            </w:tcBorders>
          </w:tcPr>
          <w:p>
            <w:pPr>
              <w:jc w:val="center"/>
              <w:ind w:right="260"/>
              <w:spacing w:after="0"/>
              <w:rPr>
                <w:sz w:val="20"/>
                <w:szCs w:val="20"/>
                <w:color w:val="auto"/>
              </w:rPr>
            </w:pPr>
            <w:r>
              <w:rPr>
                <w:rFonts w:ascii="Calibri" w:cs="Calibri" w:eastAsia="Calibri" w:hAnsi="Calibri"/>
                <w:sz w:val="12"/>
                <w:szCs w:val="12"/>
                <w:color w:val="auto"/>
              </w:rPr>
              <w:t>17.1%</w:t>
            </w:r>
          </w:p>
        </w:tc>
        <w:tc>
          <w:tcPr>
            <w:tcW w:w="0" w:type="dxa"/>
            <w:vAlign w:val="bottom"/>
          </w:tcPr>
          <w:p>
            <w:pPr>
              <w:spacing w:after="0"/>
              <w:rPr>
                <w:sz w:val="1"/>
                <w:szCs w:val="1"/>
                <w:color w:val="auto"/>
              </w:rPr>
            </w:pPr>
          </w:p>
        </w:tc>
      </w:tr>
      <w:tr>
        <w:trPr>
          <w:trHeight w:val="164"/>
        </w:trPr>
        <w:tc>
          <w:tcPr>
            <w:tcW w:w="3100" w:type="dxa"/>
            <w:vAlign w:val="bottom"/>
            <w:tcBorders>
              <w:left w:val="single" w:sz="8" w:color="auto"/>
              <w:bottom w:val="single" w:sz="8" w:color="auto"/>
            </w:tcBorders>
          </w:tcPr>
          <w:p>
            <w:pPr>
              <w:ind w:left="160"/>
              <w:spacing w:after="0"/>
              <w:rPr>
                <w:sz w:val="20"/>
                <w:szCs w:val="20"/>
                <w:color w:val="auto"/>
              </w:rPr>
            </w:pPr>
            <w:r>
              <w:rPr>
                <w:rFonts w:ascii="Calibri" w:cs="Calibri" w:eastAsia="Calibri" w:hAnsi="Calibri"/>
                <w:sz w:val="12"/>
                <w:szCs w:val="12"/>
                <w:color w:val="auto"/>
              </w:rPr>
              <w:t>Goodwill</w:t>
            </w:r>
          </w:p>
        </w:tc>
        <w:tc>
          <w:tcPr>
            <w:tcW w:w="16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tcPr>
          <w:p>
            <w:pPr>
              <w:jc w:val="center"/>
              <w:ind w:right="60"/>
              <w:spacing w:after="0"/>
              <w:rPr>
                <w:sz w:val="20"/>
                <w:szCs w:val="20"/>
                <w:color w:val="auto"/>
              </w:rPr>
            </w:pPr>
            <w:r>
              <w:rPr>
                <w:rFonts w:ascii="Calibri" w:cs="Calibri" w:eastAsia="Calibri" w:hAnsi="Calibri"/>
                <w:sz w:val="12"/>
                <w:szCs w:val="12"/>
                <w:color w:val="auto"/>
              </w:rPr>
              <w:t>(122,083)</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(122,083)</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w w:val="98"/>
              </w:rPr>
              <w:t>(122,083)</w:t>
            </w:r>
          </w:p>
        </w:tc>
        <w:tc>
          <w:tcPr>
            <w:tcW w:w="1280" w:type="dxa"/>
            <w:vAlign w:val="bottom"/>
            <w:tcBorders>
              <w:bottom w:val="single" w:sz="8" w:color="auto"/>
            </w:tcBorders>
          </w:tcPr>
          <w:p>
            <w:pPr>
              <w:jc w:val="center"/>
              <w:ind w:right="260"/>
              <w:spacing w:after="0"/>
              <w:rPr>
                <w:sz w:val="20"/>
                <w:szCs w:val="20"/>
                <w:color w:val="auto"/>
              </w:rPr>
            </w:pPr>
            <w:r>
              <w:rPr>
                <w:rFonts w:ascii="Calibri" w:cs="Calibri" w:eastAsia="Calibri" w:hAnsi="Calibri"/>
                <w:sz w:val="12"/>
                <w:szCs w:val="12"/>
                <w:color w:val="auto"/>
              </w:rPr>
              <w:t>0.0%</w:t>
            </w:r>
          </w:p>
        </w:tc>
        <w:tc>
          <w:tcPr>
            <w:tcW w:w="740" w:type="dxa"/>
            <w:vAlign w:val="bottom"/>
            <w:tcBorders>
              <w:bottom w:val="single" w:sz="8" w:color="auto"/>
              <w:right w:val="single" w:sz="8" w:color="auto"/>
            </w:tcBorders>
          </w:tcPr>
          <w:p>
            <w:pPr>
              <w:jc w:val="center"/>
              <w:ind w:right="240"/>
              <w:spacing w:after="0"/>
              <w:rPr>
                <w:sz w:val="20"/>
                <w:szCs w:val="20"/>
                <w:color w:val="auto"/>
              </w:rPr>
            </w:pPr>
            <w:r>
              <w:rPr>
                <w:rFonts w:ascii="Calibri" w:cs="Calibri" w:eastAsia="Calibri" w:hAnsi="Calibri"/>
                <w:sz w:val="12"/>
                <w:szCs w:val="12"/>
                <w:color w:val="auto"/>
              </w:rPr>
              <w:t>0.0%</w:t>
            </w:r>
          </w:p>
        </w:tc>
        <w:tc>
          <w:tcPr>
            <w:tcW w:w="0" w:type="dxa"/>
            <w:vAlign w:val="bottom"/>
          </w:tcPr>
          <w:p>
            <w:pPr>
              <w:spacing w:after="0"/>
              <w:rPr>
                <w:sz w:val="1"/>
                <w:szCs w:val="1"/>
                <w:color w:val="auto"/>
              </w:rPr>
            </w:pPr>
          </w:p>
        </w:tc>
      </w:tr>
      <w:tr>
        <w:trPr>
          <w:trHeight w:val="164"/>
        </w:trPr>
        <w:tc>
          <w:tcPr>
            <w:tcW w:w="3100" w:type="dxa"/>
            <w:vAlign w:val="bottom"/>
            <w:tcBorders>
              <w:left w:val="single" w:sz="8" w:color="auto"/>
              <w:bottom w:val="single" w:sz="8" w:color="auto"/>
            </w:tcBorders>
          </w:tcPr>
          <w:p>
            <w:pPr>
              <w:spacing w:after="0"/>
              <w:rPr>
                <w:sz w:val="20"/>
                <w:szCs w:val="20"/>
                <w:color w:val="auto"/>
              </w:rPr>
            </w:pPr>
            <w:r>
              <w:rPr>
                <w:rFonts w:ascii="Calibri" w:cs="Calibri" w:eastAsia="Calibri" w:hAnsi="Calibri"/>
                <w:sz w:val="12"/>
                <w:szCs w:val="12"/>
                <w:b w:val="1"/>
                <w:bCs w:val="1"/>
                <w:color w:val="auto"/>
              </w:rPr>
              <w:t>Total Regulatory Capital</w:t>
            </w:r>
          </w:p>
        </w:tc>
        <w:tc>
          <w:tcPr>
            <w:tcW w:w="16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0"/>
              <w:spacing w:after="0"/>
              <w:rPr>
                <w:sz w:val="20"/>
                <w:szCs w:val="20"/>
                <w:color w:val="auto"/>
              </w:rPr>
            </w:pPr>
            <w:r>
              <w:rPr>
                <w:rFonts w:ascii="Calibri" w:cs="Calibri" w:eastAsia="Calibri" w:hAnsi="Calibri"/>
                <w:sz w:val="12"/>
                <w:szCs w:val="12"/>
                <w:b w:val="1"/>
                <w:bCs w:val="1"/>
                <w:color w:val="auto"/>
              </w:rPr>
              <w:t>26,792,823</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29,601,060</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30,255,097</w:t>
            </w:r>
          </w:p>
        </w:tc>
        <w:tc>
          <w:tcPr>
            <w:tcW w:w="1280" w:type="dxa"/>
            <w:vAlign w:val="bottom"/>
            <w:tcBorders>
              <w:bottom w:val="single" w:sz="8" w:color="auto"/>
            </w:tcBorders>
          </w:tcPr>
          <w:p>
            <w:pPr>
              <w:jc w:val="center"/>
              <w:ind w:right="260"/>
              <w:spacing w:after="0"/>
              <w:rPr>
                <w:sz w:val="20"/>
                <w:szCs w:val="20"/>
                <w:color w:val="auto"/>
              </w:rPr>
            </w:pPr>
            <w:r>
              <w:rPr>
                <w:rFonts w:ascii="Calibri" w:cs="Calibri" w:eastAsia="Calibri" w:hAnsi="Calibri"/>
                <w:sz w:val="12"/>
                <w:szCs w:val="12"/>
                <w:b w:val="1"/>
                <w:bCs w:val="1"/>
                <w:color w:val="auto"/>
                <w:w w:val="99"/>
              </w:rPr>
              <w:t>2.2%</w:t>
            </w:r>
          </w:p>
        </w:tc>
        <w:tc>
          <w:tcPr>
            <w:tcW w:w="740" w:type="dxa"/>
            <w:vAlign w:val="bottom"/>
            <w:tcBorders>
              <w:bottom w:val="single" w:sz="8" w:color="auto"/>
              <w:right w:val="single" w:sz="8" w:color="auto"/>
            </w:tcBorders>
          </w:tcPr>
          <w:p>
            <w:pPr>
              <w:jc w:val="center"/>
              <w:ind w:right="260"/>
              <w:spacing w:after="0"/>
              <w:rPr>
                <w:sz w:val="20"/>
                <w:szCs w:val="20"/>
                <w:color w:val="auto"/>
              </w:rPr>
            </w:pPr>
            <w:r>
              <w:rPr>
                <w:rFonts w:ascii="Calibri" w:cs="Calibri" w:eastAsia="Calibri" w:hAnsi="Calibri"/>
                <w:sz w:val="12"/>
                <w:szCs w:val="12"/>
                <w:b w:val="1"/>
                <w:bCs w:val="1"/>
                <w:color w:val="auto"/>
                <w:w w:val="99"/>
              </w:rPr>
              <w:t>12.9%</w:t>
            </w:r>
          </w:p>
        </w:tc>
        <w:tc>
          <w:tcPr>
            <w:tcW w:w="0" w:type="dxa"/>
            <w:vAlign w:val="bottom"/>
          </w:tcPr>
          <w:p>
            <w:pPr>
              <w:spacing w:after="0"/>
              <w:rPr>
                <w:sz w:val="1"/>
                <w:szCs w:val="1"/>
                <w:color w:val="auto"/>
              </w:rPr>
            </w:pPr>
          </w:p>
        </w:tc>
      </w:tr>
      <w:tr>
        <w:trPr>
          <w:trHeight w:val="168"/>
        </w:trPr>
        <w:tc>
          <w:tcPr>
            <w:tcW w:w="3100" w:type="dxa"/>
            <w:vAlign w:val="bottom"/>
            <w:tcBorders>
              <w:left w:val="single" w:sz="8" w:color="auto"/>
              <w:bottom w:val="single" w:sz="8" w:color="auto"/>
            </w:tcBorders>
          </w:tcPr>
          <w:p>
            <w:pPr>
              <w:spacing w:after="0" w:line="168" w:lineRule="exact"/>
              <w:rPr>
                <w:sz w:val="20"/>
                <w:szCs w:val="20"/>
                <w:color w:val="auto"/>
              </w:rPr>
            </w:pPr>
            <w:r>
              <w:rPr>
                <w:rFonts w:ascii="Calibri" w:cs="Calibri" w:eastAsia="Calibri" w:hAnsi="Calibri"/>
                <w:sz w:val="11"/>
                <w:szCs w:val="11"/>
                <w:b w:val="1"/>
                <w:bCs w:val="1"/>
                <w:color w:val="auto"/>
              </w:rPr>
              <w:t xml:space="preserve">Tier 1 Common Equity </w:t>
            </w:r>
            <w:r>
              <w:rPr>
                <w:rFonts w:ascii="Calibri" w:cs="Calibri" w:eastAsia="Calibri" w:hAnsi="Calibri"/>
                <w:sz w:val="18"/>
                <w:szCs w:val="18"/>
                <w:b w:val="1"/>
                <w:bCs w:val="1"/>
                <w:color w:val="auto"/>
                <w:vertAlign w:val="superscript"/>
              </w:rPr>
              <w:t>(2)</w:t>
            </w:r>
          </w:p>
        </w:tc>
        <w:tc>
          <w:tcPr>
            <w:tcW w:w="16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0"/>
              <w:spacing w:after="0"/>
              <w:rPr>
                <w:sz w:val="20"/>
                <w:szCs w:val="20"/>
                <w:color w:val="auto"/>
              </w:rPr>
            </w:pPr>
            <w:r>
              <w:rPr>
                <w:rFonts w:ascii="Calibri" w:cs="Calibri" w:eastAsia="Calibri" w:hAnsi="Calibri"/>
                <w:sz w:val="12"/>
                <w:szCs w:val="12"/>
                <w:b w:val="1"/>
                <w:bCs w:val="1"/>
                <w:color w:val="auto"/>
              </w:rPr>
              <w:t>20,090,096</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20,679,203</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21,158,042</w:t>
            </w:r>
          </w:p>
        </w:tc>
        <w:tc>
          <w:tcPr>
            <w:tcW w:w="1280" w:type="dxa"/>
            <w:vAlign w:val="bottom"/>
            <w:tcBorders>
              <w:bottom w:val="single" w:sz="8" w:color="auto"/>
            </w:tcBorders>
          </w:tcPr>
          <w:p>
            <w:pPr>
              <w:jc w:val="center"/>
              <w:ind w:right="260"/>
              <w:spacing w:after="0"/>
              <w:rPr>
                <w:sz w:val="20"/>
                <w:szCs w:val="20"/>
                <w:color w:val="auto"/>
              </w:rPr>
            </w:pPr>
            <w:r>
              <w:rPr>
                <w:rFonts w:ascii="Calibri" w:cs="Calibri" w:eastAsia="Calibri" w:hAnsi="Calibri"/>
                <w:sz w:val="12"/>
                <w:szCs w:val="12"/>
                <w:b w:val="1"/>
                <w:bCs w:val="1"/>
                <w:color w:val="auto"/>
                <w:w w:val="99"/>
              </w:rPr>
              <w:t>2.3%</w:t>
            </w:r>
          </w:p>
        </w:tc>
        <w:tc>
          <w:tcPr>
            <w:tcW w:w="740" w:type="dxa"/>
            <w:vAlign w:val="bottom"/>
            <w:tcBorders>
              <w:bottom w:val="single" w:sz="8" w:color="auto"/>
              <w:right w:val="single" w:sz="8" w:color="auto"/>
            </w:tcBorders>
          </w:tcPr>
          <w:p>
            <w:pPr>
              <w:jc w:val="center"/>
              <w:ind w:right="240"/>
              <w:spacing w:after="0"/>
              <w:rPr>
                <w:sz w:val="20"/>
                <w:szCs w:val="20"/>
                <w:color w:val="auto"/>
              </w:rPr>
            </w:pPr>
            <w:r>
              <w:rPr>
                <w:rFonts w:ascii="Calibri" w:cs="Calibri" w:eastAsia="Calibri" w:hAnsi="Calibri"/>
                <w:sz w:val="12"/>
                <w:szCs w:val="12"/>
                <w:b w:val="1"/>
                <w:bCs w:val="1"/>
                <w:color w:val="auto"/>
                <w:w w:val="99"/>
              </w:rPr>
              <w:t>5.3%</w:t>
            </w:r>
          </w:p>
        </w:tc>
        <w:tc>
          <w:tcPr>
            <w:tcW w:w="0" w:type="dxa"/>
            <w:vAlign w:val="bottom"/>
          </w:tcPr>
          <w:p>
            <w:pPr>
              <w:spacing w:after="0"/>
              <w:rPr>
                <w:sz w:val="1"/>
                <w:szCs w:val="1"/>
                <w:color w:val="auto"/>
              </w:rPr>
            </w:pPr>
          </w:p>
        </w:tc>
      </w:tr>
      <w:tr>
        <w:trPr>
          <w:trHeight w:val="164"/>
        </w:trPr>
        <w:tc>
          <w:tcPr>
            <w:tcW w:w="3100" w:type="dxa"/>
            <w:vAlign w:val="bottom"/>
            <w:tcBorders>
              <w:left w:val="single" w:sz="8" w:color="auto"/>
              <w:bottom w:val="single" w:sz="8" w:color="auto"/>
            </w:tcBorders>
          </w:tcPr>
          <w:p>
            <w:pPr>
              <w:spacing w:after="0" w:line="164" w:lineRule="exact"/>
              <w:rPr>
                <w:sz w:val="20"/>
                <w:szCs w:val="20"/>
                <w:color w:val="auto"/>
              </w:rPr>
            </w:pPr>
            <w:r>
              <w:rPr>
                <w:rFonts w:ascii="Calibri" w:cs="Calibri" w:eastAsia="Calibri" w:hAnsi="Calibri"/>
                <w:sz w:val="11"/>
                <w:szCs w:val="11"/>
                <w:b w:val="1"/>
                <w:bCs w:val="1"/>
                <w:color w:val="auto"/>
              </w:rPr>
              <w:t xml:space="preserve">Regulatory Tier 1 Capital </w:t>
            </w:r>
            <w:r>
              <w:rPr>
                <w:rFonts w:ascii="Calibri" w:cs="Calibri" w:eastAsia="Calibri" w:hAnsi="Calibri"/>
                <w:sz w:val="17"/>
                <w:szCs w:val="17"/>
                <w:b w:val="1"/>
                <w:bCs w:val="1"/>
                <w:color w:val="auto"/>
                <w:vertAlign w:val="superscript"/>
              </w:rPr>
              <w:t>(3)</w:t>
            </w:r>
          </w:p>
        </w:tc>
        <w:tc>
          <w:tcPr>
            <w:tcW w:w="16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0"/>
              <w:spacing w:after="0"/>
              <w:rPr>
                <w:sz w:val="20"/>
                <w:szCs w:val="20"/>
                <w:color w:val="auto"/>
              </w:rPr>
            </w:pPr>
            <w:r>
              <w:rPr>
                <w:rFonts w:ascii="Calibri" w:cs="Calibri" w:eastAsia="Calibri" w:hAnsi="Calibri"/>
                <w:sz w:val="12"/>
                <w:szCs w:val="12"/>
                <w:b w:val="1"/>
                <w:bCs w:val="1"/>
                <w:color w:val="auto"/>
              </w:rPr>
              <w:t>20,090,096</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20,679,203</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21,158,042</w:t>
            </w:r>
          </w:p>
        </w:tc>
        <w:tc>
          <w:tcPr>
            <w:tcW w:w="1280" w:type="dxa"/>
            <w:vAlign w:val="bottom"/>
            <w:tcBorders>
              <w:bottom w:val="single" w:sz="8" w:color="auto"/>
            </w:tcBorders>
          </w:tcPr>
          <w:p>
            <w:pPr>
              <w:jc w:val="center"/>
              <w:ind w:right="260"/>
              <w:spacing w:after="0"/>
              <w:rPr>
                <w:sz w:val="20"/>
                <w:szCs w:val="20"/>
                <w:color w:val="auto"/>
              </w:rPr>
            </w:pPr>
            <w:r>
              <w:rPr>
                <w:rFonts w:ascii="Calibri" w:cs="Calibri" w:eastAsia="Calibri" w:hAnsi="Calibri"/>
                <w:sz w:val="12"/>
                <w:szCs w:val="12"/>
                <w:b w:val="1"/>
                <w:bCs w:val="1"/>
                <w:color w:val="auto"/>
                <w:w w:val="99"/>
              </w:rPr>
              <w:t>2.3%</w:t>
            </w:r>
          </w:p>
        </w:tc>
        <w:tc>
          <w:tcPr>
            <w:tcW w:w="740" w:type="dxa"/>
            <w:vAlign w:val="bottom"/>
            <w:tcBorders>
              <w:bottom w:val="single" w:sz="8" w:color="auto"/>
              <w:right w:val="single" w:sz="8" w:color="auto"/>
            </w:tcBorders>
          </w:tcPr>
          <w:p>
            <w:pPr>
              <w:jc w:val="center"/>
              <w:ind w:right="240"/>
              <w:spacing w:after="0"/>
              <w:rPr>
                <w:sz w:val="20"/>
                <w:szCs w:val="20"/>
                <w:color w:val="auto"/>
              </w:rPr>
            </w:pPr>
            <w:r>
              <w:rPr>
                <w:rFonts w:ascii="Calibri" w:cs="Calibri" w:eastAsia="Calibri" w:hAnsi="Calibri"/>
                <w:sz w:val="12"/>
                <w:szCs w:val="12"/>
                <w:b w:val="1"/>
                <w:bCs w:val="1"/>
                <w:color w:val="auto"/>
                <w:w w:val="99"/>
              </w:rPr>
              <w:t>5.3%</w:t>
            </w:r>
          </w:p>
        </w:tc>
        <w:tc>
          <w:tcPr>
            <w:tcW w:w="0" w:type="dxa"/>
            <w:vAlign w:val="bottom"/>
          </w:tcPr>
          <w:p>
            <w:pPr>
              <w:spacing w:after="0"/>
              <w:rPr>
                <w:sz w:val="1"/>
                <w:szCs w:val="1"/>
                <w:color w:val="auto"/>
              </w:rPr>
            </w:pPr>
          </w:p>
        </w:tc>
      </w:tr>
      <w:tr>
        <w:trPr>
          <w:trHeight w:val="164"/>
        </w:trPr>
        <w:tc>
          <w:tcPr>
            <w:tcW w:w="3100" w:type="dxa"/>
            <w:vAlign w:val="bottom"/>
            <w:tcBorders>
              <w:left w:val="single" w:sz="8" w:color="auto"/>
              <w:bottom w:val="single" w:sz="8" w:color="auto"/>
            </w:tcBorders>
          </w:tcPr>
          <w:p>
            <w:pPr>
              <w:spacing w:after="0" w:line="164" w:lineRule="exact"/>
              <w:rPr>
                <w:sz w:val="20"/>
                <w:szCs w:val="20"/>
                <w:color w:val="auto"/>
              </w:rPr>
            </w:pPr>
            <w:r>
              <w:rPr>
                <w:rFonts w:ascii="Calibri" w:cs="Calibri" w:eastAsia="Calibri" w:hAnsi="Calibri"/>
                <w:sz w:val="11"/>
                <w:szCs w:val="11"/>
                <w:b w:val="1"/>
                <w:bCs w:val="1"/>
                <w:color w:val="auto"/>
              </w:rPr>
              <w:t xml:space="preserve">Regulatory Tier 2 Capital </w:t>
            </w:r>
            <w:r>
              <w:rPr>
                <w:rFonts w:ascii="Calibri" w:cs="Calibri" w:eastAsia="Calibri" w:hAnsi="Calibri"/>
                <w:sz w:val="17"/>
                <w:szCs w:val="17"/>
                <w:b w:val="1"/>
                <w:bCs w:val="1"/>
                <w:color w:val="auto"/>
                <w:vertAlign w:val="superscript"/>
              </w:rPr>
              <w:t>(4)</w:t>
            </w:r>
          </w:p>
        </w:tc>
        <w:tc>
          <w:tcPr>
            <w:tcW w:w="16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tcBorders>
          </w:tcPr>
          <w:p>
            <w:pPr>
              <w:jc w:val="center"/>
              <w:ind w:right="40"/>
              <w:spacing w:after="0"/>
              <w:rPr>
                <w:sz w:val="20"/>
                <w:szCs w:val="20"/>
                <w:color w:val="auto"/>
              </w:rPr>
            </w:pPr>
            <w:r>
              <w:rPr>
                <w:rFonts w:ascii="Calibri" w:cs="Calibri" w:eastAsia="Calibri" w:hAnsi="Calibri"/>
                <w:sz w:val="12"/>
                <w:szCs w:val="12"/>
                <w:b w:val="1"/>
                <w:bCs w:val="1"/>
                <w:color w:val="auto"/>
              </w:rPr>
              <w:t>6,702,727</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8,921,857</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9,097,056</w:t>
            </w:r>
          </w:p>
        </w:tc>
        <w:tc>
          <w:tcPr>
            <w:tcW w:w="1280" w:type="dxa"/>
            <w:vAlign w:val="bottom"/>
            <w:tcBorders>
              <w:bottom w:val="single" w:sz="8" w:color="auto"/>
            </w:tcBorders>
          </w:tcPr>
          <w:p>
            <w:pPr>
              <w:jc w:val="center"/>
              <w:ind w:right="260"/>
              <w:spacing w:after="0"/>
              <w:rPr>
                <w:sz w:val="20"/>
                <w:szCs w:val="20"/>
                <w:color w:val="auto"/>
              </w:rPr>
            </w:pPr>
            <w:r>
              <w:rPr>
                <w:rFonts w:ascii="Calibri" w:cs="Calibri" w:eastAsia="Calibri" w:hAnsi="Calibri"/>
                <w:sz w:val="12"/>
                <w:szCs w:val="12"/>
                <w:b w:val="1"/>
                <w:bCs w:val="1"/>
                <w:color w:val="auto"/>
                <w:w w:val="99"/>
              </w:rPr>
              <w:t>2.0%</w:t>
            </w:r>
          </w:p>
        </w:tc>
        <w:tc>
          <w:tcPr>
            <w:tcW w:w="740" w:type="dxa"/>
            <w:vAlign w:val="bottom"/>
            <w:tcBorders>
              <w:bottom w:val="single" w:sz="8" w:color="auto"/>
              <w:right w:val="single" w:sz="8" w:color="auto"/>
            </w:tcBorders>
          </w:tcPr>
          <w:p>
            <w:pPr>
              <w:jc w:val="center"/>
              <w:ind w:right="260"/>
              <w:spacing w:after="0"/>
              <w:rPr>
                <w:sz w:val="20"/>
                <w:szCs w:val="20"/>
                <w:color w:val="auto"/>
              </w:rPr>
            </w:pPr>
            <w:r>
              <w:rPr>
                <w:rFonts w:ascii="Calibri" w:cs="Calibri" w:eastAsia="Calibri" w:hAnsi="Calibri"/>
                <w:sz w:val="12"/>
                <w:szCs w:val="12"/>
                <w:b w:val="1"/>
                <w:bCs w:val="1"/>
                <w:color w:val="auto"/>
                <w:w w:val="99"/>
              </w:rPr>
              <w:t>35.7%</w:t>
            </w:r>
          </w:p>
        </w:tc>
        <w:tc>
          <w:tcPr>
            <w:tcW w:w="0" w:type="dxa"/>
            <w:vAlign w:val="bottom"/>
          </w:tcPr>
          <w:p>
            <w:pPr>
              <w:spacing w:after="0"/>
              <w:rPr>
                <w:sz w:val="1"/>
                <w:szCs w:val="1"/>
                <w:color w:val="auto"/>
              </w:rPr>
            </w:pPr>
          </w:p>
        </w:tc>
      </w:tr>
      <w:tr>
        <w:trPr>
          <w:trHeight w:val="190"/>
        </w:trPr>
        <w:tc>
          <w:tcPr>
            <w:tcW w:w="3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100" w:type="dxa"/>
            <w:vAlign w:val="bottom"/>
            <w:tcBorders>
              <w:left w:val="single" w:sz="8" w:color="auto"/>
            </w:tcBorders>
            <w:shd w:val="clear" w:color="auto" w:fill="2AD2C8"/>
          </w:tcPr>
          <w:p>
            <w:pPr>
              <w:spacing w:after="0" w:line="141" w:lineRule="exact"/>
              <w:rPr>
                <w:sz w:val="20"/>
                <w:szCs w:val="20"/>
                <w:color w:val="auto"/>
              </w:rPr>
            </w:pPr>
            <w:r>
              <w:rPr>
                <w:rFonts w:ascii="Calibri" w:cs="Calibri" w:eastAsia="Calibri" w:hAnsi="Calibri"/>
                <w:sz w:val="12"/>
                <w:szCs w:val="12"/>
                <w:b w:val="1"/>
                <w:bCs w:val="1"/>
                <w:color w:val="FFFFFF"/>
              </w:rPr>
              <w:t>Total risk-weighted assets</w:t>
            </w:r>
          </w:p>
        </w:tc>
        <w:tc>
          <w:tcPr>
            <w:tcW w:w="1620" w:type="dxa"/>
            <w:vAlign w:val="bottom"/>
            <w:tcBorders>
              <w:right w:val="single" w:sz="8" w:color="auto"/>
            </w:tcBorders>
            <w:shd w:val="clear" w:color="auto" w:fill="2AD2C8"/>
          </w:tcPr>
          <w:p>
            <w:pPr>
              <w:spacing w:after="0"/>
              <w:rPr>
                <w:sz w:val="12"/>
                <w:szCs w:val="12"/>
                <w:color w:val="auto"/>
              </w:rPr>
            </w:pPr>
          </w:p>
        </w:tc>
        <w:tc>
          <w:tcPr>
            <w:tcW w:w="1200" w:type="dxa"/>
            <w:vAlign w:val="bottom"/>
            <w:shd w:val="clear" w:color="auto" w:fill="2AD2C8"/>
          </w:tcPr>
          <w:p>
            <w:pPr>
              <w:spacing w:after="0"/>
              <w:rPr>
                <w:sz w:val="12"/>
                <w:szCs w:val="12"/>
                <w:color w:val="auto"/>
              </w:rPr>
            </w:pPr>
          </w:p>
        </w:tc>
        <w:tc>
          <w:tcPr>
            <w:tcW w:w="1360" w:type="dxa"/>
            <w:vAlign w:val="bottom"/>
            <w:shd w:val="clear" w:color="auto" w:fill="2AD2C8"/>
          </w:tcPr>
          <w:p>
            <w:pPr>
              <w:jc w:val="center"/>
              <w:ind w:right="260"/>
              <w:spacing w:after="0" w:line="141" w:lineRule="exact"/>
              <w:rPr>
                <w:sz w:val="20"/>
                <w:szCs w:val="20"/>
                <w:color w:val="auto"/>
              </w:rPr>
            </w:pPr>
            <w:r>
              <w:rPr>
                <w:rFonts w:ascii="Calibri" w:cs="Calibri" w:eastAsia="Calibri" w:hAnsi="Calibri"/>
                <w:sz w:val="12"/>
                <w:szCs w:val="12"/>
                <w:b w:val="1"/>
                <w:bCs w:val="1"/>
                <w:color w:val="FFFFFF"/>
              </w:rPr>
              <w:t>Quarter</w:t>
            </w:r>
          </w:p>
        </w:tc>
        <w:tc>
          <w:tcPr>
            <w:tcW w:w="1380" w:type="dxa"/>
            <w:vAlign w:val="bottom"/>
            <w:tcBorders>
              <w:right w:val="single" w:sz="8" w:color="auto"/>
            </w:tcBorders>
            <w:shd w:val="clear" w:color="auto" w:fill="2AD2C8"/>
          </w:tcPr>
          <w:p>
            <w:pPr>
              <w:spacing w:after="0"/>
              <w:rPr>
                <w:sz w:val="12"/>
                <w:szCs w:val="12"/>
                <w:color w:val="auto"/>
              </w:rPr>
            </w:pPr>
          </w:p>
        </w:tc>
        <w:tc>
          <w:tcPr>
            <w:tcW w:w="2020" w:type="dxa"/>
            <w:vAlign w:val="bottom"/>
            <w:tcBorders>
              <w:right w:val="single" w:sz="8" w:color="auto"/>
            </w:tcBorders>
            <w:gridSpan w:val="2"/>
            <w:shd w:val="clear" w:color="auto" w:fill="2AD2C8"/>
          </w:tcPr>
          <w:p>
            <w:pPr>
              <w:ind w:left="880"/>
              <w:spacing w:after="0" w:line="141" w:lineRule="exact"/>
              <w:rPr>
                <w:sz w:val="20"/>
                <w:szCs w:val="20"/>
                <w:color w:val="auto"/>
              </w:rPr>
            </w:pPr>
            <w:r>
              <w:rPr>
                <w:rFonts w:ascii="Calibri" w:cs="Calibri" w:eastAsia="Calibri" w:hAnsi="Calibri"/>
                <w:sz w:val="12"/>
                <w:szCs w:val="12"/>
                <w:b w:val="1"/>
                <w:bCs w:val="1"/>
                <w:color w:val="FFFFFF"/>
              </w:rPr>
              <w:t>Change %</w:t>
            </w:r>
          </w:p>
        </w:tc>
        <w:tc>
          <w:tcPr>
            <w:tcW w:w="0" w:type="dxa"/>
            <w:vAlign w:val="bottom"/>
          </w:tcPr>
          <w:p>
            <w:pPr>
              <w:spacing w:after="0"/>
              <w:rPr>
                <w:sz w:val="1"/>
                <w:szCs w:val="1"/>
                <w:color w:val="auto"/>
              </w:rPr>
            </w:pPr>
          </w:p>
        </w:tc>
      </w:tr>
      <w:tr>
        <w:trPr>
          <w:trHeight w:val="233"/>
        </w:trPr>
        <w:tc>
          <w:tcPr>
            <w:tcW w:w="3100" w:type="dxa"/>
            <w:vAlign w:val="bottom"/>
            <w:tcBorders>
              <w:left w:val="single" w:sz="8" w:color="auto"/>
              <w:bottom w:val="single" w:sz="8" w:color="2AD2C8"/>
            </w:tcBorders>
            <w:shd w:val="clear" w:color="auto" w:fill="2AD2C8"/>
          </w:tcPr>
          <w:p>
            <w:pPr>
              <w:spacing w:after="0"/>
              <w:rPr>
                <w:sz w:val="20"/>
                <w:szCs w:val="20"/>
                <w:color w:val="auto"/>
              </w:rPr>
            </w:pPr>
            <w:r>
              <w:rPr>
                <w:rFonts w:ascii="Calibri" w:cs="Calibri" w:eastAsia="Calibri" w:hAnsi="Calibri"/>
                <w:sz w:val="12"/>
                <w:szCs w:val="12"/>
                <w:color w:val="FFFFFF"/>
              </w:rPr>
              <w:t>(S/ thousand)</w:t>
            </w:r>
          </w:p>
        </w:tc>
        <w:tc>
          <w:tcPr>
            <w:tcW w:w="1620" w:type="dxa"/>
            <w:vAlign w:val="bottom"/>
            <w:tcBorders>
              <w:bottom w:val="single" w:sz="8" w:color="2AD2C8"/>
              <w:right w:val="single" w:sz="8" w:color="auto"/>
            </w:tcBorders>
            <w:shd w:val="clear" w:color="auto" w:fill="2AD2C8"/>
          </w:tcPr>
          <w:p>
            <w:pPr>
              <w:spacing w:after="0"/>
              <w:rPr>
                <w:sz w:val="19"/>
                <w:szCs w:val="19"/>
                <w:color w:val="auto"/>
              </w:rPr>
            </w:pPr>
          </w:p>
        </w:tc>
        <w:tc>
          <w:tcPr>
            <w:tcW w:w="1200" w:type="dxa"/>
            <w:vAlign w:val="bottom"/>
            <w:tcBorders>
              <w:bottom w:val="single" w:sz="8" w:color="2AD2C8"/>
            </w:tcBorders>
            <w:shd w:val="clear" w:color="auto" w:fill="2AD2C8"/>
          </w:tcPr>
          <w:p>
            <w:pPr>
              <w:ind w:left="380"/>
              <w:spacing w:after="0"/>
              <w:rPr>
                <w:sz w:val="20"/>
                <w:szCs w:val="20"/>
                <w:color w:val="auto"/>
              </w:rPr>
            </w:pPr>
            <w:r>
              <w:rPr>
                <w:rFonts w:ascii="Calibri" w:cs="Calibri" w:eastAsia="Calibri" w:hAnsi="Calibri"/>
                <w:sz w:val="12"/>
                <w:szCs w:val="12"/>
                <w:b w:val="1"/>
                <w:bCs w:val="1"/>
                <w:color w:val="FFFFFF"/>
              </w:rPr>
              <w:t>Dec 23</w:t>
            </w:r>
          </w:p>
        </w:tc>
        <w:tc>
          <w:tcPr>
            <w:tcW w:w="1360" w:type="dxa"/>
            <w:vAlign w:val="bottom"/>
            <w:tcBorders>
              <w:bottom w:val="single" w:sz="8" w:color="2AD2C8"/>
            </w:tcBorders>
            <w:shd w:val="clear" w:color="auto" w:fill="2AD2C8"/>
          </w:tcPr>
          <w:p>
            <w:pPr>
              <w:jc w:val="center"/>
              <w:ind w:right="280"/>
              <w:spacing w:after="0"/>
              <w:rPr>
                <w:sz w:val="20"/>
                <w:szCs w:val="20"/>
                <w:color w:val="auto"/>
              </w:rPr>
            </w:pPr>
            <w:r>
              <w:rPr>
                <w:rFonts w:ascii="Calibri" w:cs="Calibri" w:eastAsia="Calibri" w:hAnsi="Calibri"/>
                <w:sz w:val="12"/>
                <w:szCs w:val="12"/>
                <w:b w:val="1"/>
                <w:bCs w:val="1"/>
                <w:color w:val="FFFFFF"/>
              </w:rPr>
              <w:t>Sep 24</w:t>
            </w:r>
          </w:p>
        </w:tc>
        <w:tc>
          <w:tcPr>
            <w:tcW w:w="1380" w:type="dxa"/>
            <w:vAlign w:val="bottom"/>
            <w:tcBorders>
              <w:bottom w:val="single" w:sz="8" w:color="2AD2C8"/>
              <w:right w:val="single" w:sz="8" w:color="auto"/>
            </w:tcBorders>
            <w:shd w:val="clear" w:color="auto" w:fill="2AD2C8"/>
          </w:tcPr>
          <w:p>
            <w:pPr>
              <w:jc w:val="right"/>
              <w:ind w:right="480"/>
              <w:spacing w:after="0"/>
              <w:rPr>
                <w:sz w:val="20"/>
                <w:szCs w:val="20"/>
                <w:color w:val="auto"/>
              </w:rPr>
            </w:pPr>
            <w:r>
              <w:rPr>
                <w:rFonts w:ascii="Calibri" w:cs="Calibri" w:eastAsia="Calibri" w:hAnsi="Calibri"/>
                <w:sz w:val="12"/>
                <w:szCs w:val="12"/>
                <w:b w:val="1"/>
                <w:bCs w:val="1"/>
                <w:color w:val="FFFFFF"/>
              </w:rPr>
              <w:t>Dec 24</w:t>
            </w:r>
          </w:p>
        </w:tc>
        <w:tc>
          <w:tcPr>
            <w:tcW w:w="1280" w:type="dxa"/>
            <w:vAlign w:val="bottom"/>
            <w:tcBorders>
              <w:bottom w:val="single" w:sz="8" w:color="2AD2C8"/>
            </w:tcBorders>
            <w:shd w:val="clear" w:color="auto" w:fill="2AD2C8"/>
          </w:tcPr>
          <w:p>
            <w:pPr>
              <w:jc w:val="center"/>
              <w:ind w:left="100"/>
              <w:spacing w:after="0"/>
              <w:rPr>
                <w:sz w:val="20"/>
                <w:szCs w:val="20"/>
                <w:color w:val="auto"/>
              </w:rPr>
            </w:pPr>
            <w:r>
              <w:rPr>
                <w:rFonts w:ascii="Calibri" w:cs="Calibri" w:eastAsia="Calibri" w:hAnsi="Calibri"/>
                <w:sz w:val="12"/>
                <w:szCs w:val="12"/>
                <w:b w:val="1"/>
                <w:bCs w:val="1"/>
                <w:color w:val="FFFFFF"/>
              </w:rPr>
              <w:t>QoQ</w:t>
            </w:r>
          </w:p>
        </w:tc>
        <w:tc>
          <w:tcPr>
            <w:tcW w:w="740" w:type="dxa"/>
            <w:vAlign w:val="bottom"/>
            <w:tcBorders>
              <w:bottom w:val="single" w:sz="8" w:color="2AD2C8"/>
              <w:right w:val="single" w:sz="8" w:color="auto"/>
            </w:tcBorders>
            <w:shd w:val="clear" w:color="auto" w:fill="2AD2C8"/>
          </w:tcPr>
          <w:p>
            <w:pPr>
              <w:ind w:left="340"/>
              <w:spacing w:after="0"/>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57"/>
        </w:trPr>
        <w:tc>
          <w:tcPr>
            <w:tcW w:w="3100" w:type="dxa"/>
            <w:vAlign w:val="bottom"/>
            <w:tcBorders>
              <w:top w:val="single" w:sz="8" w:color="auto"/>
              <w:left w:val="single" w:sz="8" w:color="auto"/>
            </w:tcBorders>
          </w:tcPr>
          <w:p>
            <w:pPr>
              <w:ind w:left="160"/>
              <w:spacing w:after="0" w:line="157" w:lineRule="exact"/>
              <w:rPr>
                <w:sz w:val="20"/>
                <w:szCs w:val="20"/>
                <w:color w:val="auto"/>
              </w:rPr>
            </w:pPr>
            <w:r>
              <w:rPr>
                <w:rFonts w:ascii="Calibri" w:cs="Calibri" w:eastAsia="Calibri" w:hAnsi="Calibri"/>
                <w:sz w:val="13"/>
                <w:szCs w:val="13"/>
                <w:color w:val="auto"/>
              </w:rPr>
              <w:t>Market risk-weighted assets</w:t>
            </w:r>
          </w:p>
        </w:tc>
        <w:tc>
          <w:tcPr>
            <w:tcW w:w="162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tcBorders>
          </w:tcPr>
          <w:p>
            <w:pPr>
              <w:jc w:val="center"/>
              <w:ind w:right="40"/>
              <w:spacing w:after="0"/>
              <w:rPr>
                <w:sz w:val="20"/>
                <w:szCs w:val="20"/>
                <w:color w:val="auto"/>
              </w:rPr>
            </w:pPr>
            <w:r>
              <w:rPr>
                <w:rFonts w:ascii="Calibri" w:cs="Calibri" w:eastAsia="Calibri" w:hAnsi="Calibri"/>
                <w:sz w:val="12"/>
                <w:szCs w:val="12"/>
                <w:color w:val="auto"/>
              </w:rPr>
              <w:t>2,680,010</w:t>
            </w:r>
          </w:p>
        </w:tc>
        <w:tc>
          <w:tcPr>
            <w:tcW w:w="1360" w:type="dxa"/>
            <w:vAlign w:val="bottom"/>
            <w:tcBorders>
              <w:top w:val="single" w:sz="8" w:color="auto"/>
            </w:tcBorders>
          </w:tcPr>
          <w:p>
            <w:pPr>
              <w:jc w:val="center"/>
              <w:spacing w:after="0"/>
              <w:rPr>
                <w:sz w:val="20"/>
                <w:szCs w:val="20"/>
                <w:color w:val="auto"/>
              </w:rPr>
            </w:pPr>
            <w:r>
              <w:rPr>
                <w:rFonts w:ascii="Calibri" w:cs="Calibri" w:eastAsia="Calibri" w:hAnsi="Calibri"/>
                <w:sz w:val="12"/>
                <w:szCs w:val="12"/>
                <w:color w:val="auto"/>
                <w:w w:val="98"/>
              </w:rPr>
              <w:t>4,301,156</w:t>
            </w:r>
          </w:p>
        </w:tc>
        <w:tc>
          <w:tcPr>
            <w:tcW w:w="13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3,922,295</w:t>
            </w:r>
          </w:p>
        </w:tc>
        <w:tc>
          <w:tcPr>
            <w:tcW w:w="1280" w:type="dxa"/>
            <w:vAlign w:val="bottom"/>
            <w:tcBorders>
              <w:top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8.8%</w:t>
            </w:r>
          </w:p>
        </w:tc>
        <w:tc>
          <w:tcPr>
            <w:tcW w:w="740" w:type="dxa"/>
            <w:vAlign w:val="bottom"/>
            <w:tcBorders>
              <w:top w:val="single" w:sz="8" w:color="auto"/>
              <w:right w:val="single" w:sz="8" w:color="auto"/>
            </w:tcBorders>
          </w:tcPr>
          <w:p>
            <w:pPr>
              <w:jc w:val="center"/>
              <w:ind w:right="40"/>
              <w:spacing w:after="0"/>
              <w:rPr>
                <w:sz w:val="20"/>
                <w:szCs w:val="20"/>
                <w:color w:val="auto"/>
              </w:rPr>
            </w:pPr>
            <w:r>
              <w:rPr>
                <w:rFonts w:ascii="Calibri" w:cs="Calibri" w:eastAsia="Calibri" w:hAnsi="Calibri"/>
                <w:sz w:val="12"/>
                <w:szCs w:val="12"/>
                <w:color w:val="auto"/>
              </w:rPr>
              <w:t>46.4%</w:t>
            </w:r>
          </w:p>
        </w:tc>
        <w:tc>
          <w:tcPr>
            <w:tcW w:w="0" w:type="dxa"/>
            <w:vAlign w:val="bottom"/>
          </w:tcPr>
          <w:p>
            <w:pPr>
              <w:spacing w:after="0"/>
              <w:rPr>
                <w:sz w:val="1"/>
                <w:szCs w:val="1"/>
                <w:color w:val="auto"/>
              </w:rPr>
            </w:pPr>
          </w:p>
        </w:tc>
      </w:tr>
      <w:tr>
        <w:trPr>
          <w:trHeight w:val="159"/>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Credit risk-weighted assets</w:t>
            </w:r>
          </w:p>
        </w:tc>
        <w:tc>
          <w:tcPr>
            <w:tcW w:w="1620" w:type="dxa"/>
            <w:vAlign w:val="bottom"/>
            <w:tcBorders>
              <w:right w:val="single" w:sz="8" w:color="auto"/>
            </w:tcBorders>
          </w:tcPr>
          <w:p>
            <w:pPr>
              <w:spacing w:after="0"/>
              <w:rPr>
                <w:sz w:val="13"/>
                <w:szCs w:val="13"/>
                <w:color w:val="auto"/>
              </w:rPr>
            </w:pPr>
          </w:p>
        </w:tc>
        <w:tc>
          <w:tcPr>
            <w:tcW w:w="1200" w:type="dxa"/>
            <w:vAlign w:val="bottom"/>
          </w:tcPr>
          <w:p>
            <w:pPr>
              <w:jc w:val="center"/>
              <w:ind w:right="40"/>
              <w:spacing w:after="0"/>
              <w:rPr>
                <w:sz w:val="20"/>
                <w:szCs w:val="20"/>
                <w:color w:val="auto"/>
              </w:rPr>
            </w:pPr>
            <w:r>
              <w:rPr>
                <w:rFonts w:ascii="Calibri" w:cs="Calibri" w:eastAsia="Calibri" w:hAnsi="Calibri"/>
                <w:sz w:val="12"/>
                <w:szCs w:val="12"/>
                <w:color w:val="auto"/>
              </w:rPr>
              <w:t>134,427,146</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133,937,442</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139,402,972</w:t>
            </w:r>
          </w:p>
        </w:tc>
        <w:tc>
          <w:tcPr>
            <w:tcW w:w="1280" w:type="dxa"/>
            <w:vAlign w:val="bottom"/>
          </w:tcPr>
          <w:p>
            <w:pPr>
              <w:jc w:val="center"/>
              <w:ind w:left="100"/>
              <w:spacing w:after="0"/>
              <w:rPr>
                <w:sz w:val="20"/>
                <w:szCs w:val="20"/>
                <w:color w:val="auto"/>
              </w:rPr>
            </w:pPr>
            <w:r>
              <w:rPr>
                <w:rFonts w:ascii="Calibri" w:cs="Calibri" w:eastAsia="Calibri" w:hAnsi="Calibri"/>
                <w:sz w:val="12"/>
                <w:szCs w:val="12"/>
                <w:color w:val="auto"/>
              </w:rPr>
              <w:t>4.1%</w:t>
            </w:r>
          </w:p>
        </w:tc>
        <w:tc>
          <w:tcPr>
            <w:tcW w:w="740" w:type="dxa"/>
            <w:vAlign w:val="bottom"/>
            <w:tcBorders>
              <w:right w:val="single" w:sz="8" w:color="auto"/>
            </w:tcBorders>
          </w:tcPr>
          <w:p>
            <w:pPr>
              <w:jc w:val="center"/>
              <w:ind w:right="40"/>
              <w:spacing w:after="0"/>
              <w:rPr>
                <w:sz w:val="20"/>
                <w:szCs w:val="20"/>
                <w:color w:val="auto"/>
              </w:rPr>
            </w:pPr>
            <w:r>
              <w:rPr>
                <w:rFonts w:ascii="Calibri" w:cs="Calibri" w:eastAsia="Calibri" w:hAnsi="Calibri"/>
                <w:sz w:val="12"/>
                <w:szCs w:val="12"/>
                <w:color w:val="auto"/>
              </w:rPr>
              <w:t>3.7%</w:t>
            </w:r>
          </w:p>
        </w:tc>
        <w:tc>
          <w:tcPr>
            <w:tcW w:w="0" w:type="dxa"/>
            <w:vAlign w:val="bottom"/>
          </w:tcPr>
          <w:p>
            <w:pPr>
              <w:spacing w:after="0"/>
              <w:rPr>
                <w:sz w:val="1"/>
                <w:szCs w:val="1"/>
                <w:color w:val="auto"/>
              </w:rPr>
            </w:pPr>
          </w:p>
        </w:tc>
      </w:tr>
      <w:tr>
        <w:trPr>
          <w:trHeight w:val="159"/>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3"/>
                <w:szCs w:val="13"/>
                <w:color w:val="auto"/>
              </w:rPr>
              <w:t>Operatonal risk-weighted assets</w:t>
            </w:r>
          </w:p>
        </w:tc>
        <w:tc>
          <w:tcPr>
            <w:tcW w:w="1620" w:type="dxa"/>
            <w:vAlign w:val="bottom"/>
            <w:tcBorders>
              <w:right w:val="single" w:sz="8" w:color="auto"/>
            </w:tcBorders>
          </w:tcPr>
          <w:p>
            <w:pPr>
              <w:spacing w:after="0"/>
              <w:rPr>
                <w:sz w:val="13"/>
                <w:szCs w:val="13"/>
                <w:color w:val="auto"/>
              </w:rPr>
            </w:pPr>
          </w:p>
        </w:tc>
        <w:tc>
          <w:tcPr>
            <w:tcW w:w="1200" w:type="dxa"/>
            <w:vAlign w:val="bottom"/>
          </w:tcPr>
          <w:p>
            <w:pPr>
              <w:jc w:val="center"/>
              <w:ind w:right="40"/>
              <w:spacing w:after="0"/>
              <w:rPr>
                <w:sz w:val="20"/>
                <w:szCs w:val="20"/>
                <w:color w:val="auto"/>
              </w:rPr>
            </w:pPr>
            <w:r>
              <w:rPr>
                <w:rFonts w:ascii="Calibri" w:cs="Calibri" w:eastAsia="Calibri" w:hAnsi="Calibri"/>
                <w:sz w:val="12"/>
                <w:szCs w:val="12"/>
                <w:color w:val="auto"/>
                <w:w w:val="98"/>
              </w:rPr>
              <w:t>16,365,974</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17,871,737</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18,409,113</w:t>
            </w:r>
          </w:p>
        </w:tc>
        <w:tc>
          <w:tcPr>
            <w:tcW w:w="1280" w:type="dxa"/>
            <w:vAlign w:val="bottom"/>
          </w:tcPr>
          <w:p>
            <w:pPr>
              <w:jc w:val="center"/>
              <w:ind w:left="100"/>
              <w:spacing w:after="0"/>
              <w:rPr>
                <w:sz w:val="20"/>
                <w:szCs w:val="20"/>
                <w:color w:val="auto"/>
              </w:rPr>
            </w:pPr>
            <w:r>
              <w:rPr>
                <w:rFonts w:ascii="Calibri" w:cs="Calibri" w:eastAsia="Calibri" w:hAnsi="Calibri"/>
                <w:sz w:val="12"/>
                <w:szCs w:val="12"/>
                <w:color w:val="auto"/>
              </w:rPr>
              <w:t>3.0%</w:t>
            </w:r>
          </w:p>
        </w:tc>
        <w:tc>
          <w:tcPr>
            <w:tcW w:w="740" w:type="dxa"/>
            <w:vAlign w:val="bottom"/>
            <w:tcBorders>
              <w:right w:val="single" w:sz="8" w:color="auto"/>
            </w:tcBorders>
          </w:tcPr>
          <w:p>
            <w:pPr>
              <w:jc w:val="center"/>
              <w:ind w:right="40"/>
              <w:spacing w:after="0"/>
              <w:rPr>
                <w:sz w:val="20"/>
                <w:szCs w:val="20"/>
                <w:color w:val="auto"/>
              </w:rPr>
            </w:pPr>
            <w:r>
              <w:rPr>
                <w:rFonts w:ascii="Calibri" w:cs="Calibri" w:eastAsia="Calibri" w:hAnsi="Calibri"/>
                <w:sz w:val="12"/>
                <w:szCs w:val="12"/>
                <w:color w:val="auto"/>
              </w:rPr>
              <w:t>12.5%</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3100" w:type="dxa"/>
            <w:vAlign w:val="bottom"/>
            <w:tcBorders>
              <w:left w:val="single" w:sz="8" w:color="auto"/>
              <w:bottom w:val="single" w:sz="8" w:color="auto"/>
            </w:tcBorders>
          </w:tcPr>
          <w:p>
            <w:pPr>
              <w:spacing w:after="0"/>
              <w:rPr>
                <w:sz w:val="20"/>
                <w:szCs w:val="20"/>
                <w:color w:val="auto"/>
              </w:rPr>
            </w:pPr>
            <w:r>
              <w:rPr>
                <w:rFonts w:ascii="Calibri" w:cs="Calibri" w:eastAsia="Calibri" w:hAnsi="Calibri"/>
                <w:sz w:val="12"/>
                <w:szCs w:val="12"/>
                <w:b w:val="1"/>
                <w:bCs w:val="1"/>
                <w:color w:val="auto"/>
              </w:rPr>
              <w:t>Total</w:t>
            </w:r>
          </w:p>
        </w:tc>
        <w:tc>
          <w:tcPr>
            <w:tcW w:w="16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tcBorders>
          </w:tcPr>
          <w:p>
            <w:pPr>
              <w:jc w:val="center"/>
              <w:ind w:right="40"/>
              <w:spacing w:after="0"/>
              <w:rPr>
                <w:sz w:val="20"/>
                <w:szCs w:val="20"/>
                <w:color w:val="auto"/>
              </w:rPr>
            </w:pPr>
            <w:r>
              <w:rPr>
                <w:rFonts w:ascii="Calibri" w:cs="Calibri" w:eastAsia="Calibri" w:hAnsi="Calibri"/>
                <w:sz w:val="12"/>
                <w:szCs w:val="12"/>
                <w:b w:val="1"/>
                <w:bCs w:val="1"/>
                <w:color w:val="auto"/>
              </w:rPr>
              <w:t>153,473,130</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156,110,335</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161,734,381</w:t>
            </w:r>
          </w:p>
        </w:tc>
        <w:tc>
          <w:tcPr>
            <w:tcW w:w="1280" w:type="dxa"/>
            <w:vAlign w:val="bottom"/>
            <w:tcBorders>
              <w:bottom w:val="single" w:sz="8" w:color="auto"/>
            </w:tcBorders>
          </w:tcPr>
          <w:p>
            <w:pPr>
              <w:jc w:val="center"/>
              <w:ind w:left="100"/>
              <w:spacing w:after="0"/>
              <w:rPr>
                <w:sz w:val="20"/>
                <w:szCs w:val="20"/>
                <w:color w:val="auto"/>
              </w:rPr>
            </w:pPr>
            <w:r>
              <w:rPr>
                <w:rFonts w:ascii="Calibri" w:cs="Calibri" w:eastAsia="Calibri" w:hAnsi="Calibri"/>
                <w:sz w:val="12"/>
                <w:szCs w:val="12"/>
                <w:b w:val="1"/>
                <w:bCs w:val="1"/>
                <w:color w:val="auto"/>
                <w:w w:val="99"/>
              </w:rPr>
              <w:t>3.6%</w:t>
            </w:r>
          </w:p>
        </w:tc>
        <w:tc>
          <w:tcPr>
            <w:tcW w:w="740" w:type="dxa"/>
            <w:vAlign w:val="bottom"/>
            <w:tcBorders>
              <w:bottom w:val="single" w:sz="8" w:color="auto"/>
              <w:right w:val="single" w:sz="8" w:color="auto"/>
            </w:tcBorders>
          </w:tcPr>
          <w:p>
            <w:pPr>
              <w:jc w:val="center"/>
              <w:ind w:right="40"/>
              <w:spacing w:after="0"/>
              <w:rPr>
                <w:sz w:val="20"/>
                <w:szCs w:val="20"/>
                <w:color w:val="auto"/>
              </w:rPr>
            </w:pPr>
            <w:r>
              <w:rPr>
                <w:rFonts w:ascii="Calibri" w:cs="Calibri" w:eastAsia="Calibri" w:hAnsi="Calibri"/>
                <w:sz w:val="12"/>
                <w:szCs w:val="12"/>
                <w:b w:val="1"/>
                <w:bCs w:val="1"/>
                <w:color w:val="auto"/>
                <w:w w:val="99"/>
              </w:rPr>
              <w:t>5.4%</w:t>
            </w:r>
          </w:p>
        </w:tc>
        <w:tc>
          <w:tcPr>
            <w:tcW w:w="0" w:type="dxa"/>
            <w:vAlign w:val="bottom"/>
          </w:tcPr>
          <w:p>
            <w:pPr>
              <w:spacing w:after="0"/>
              <w:rPr>
                <w:sz w:val="1"/>
                <w:szCs w:val="1"/>
                <w:color w:val="auto"/>
              </w:rPr>
            </w:pPr>
          </w:p>
        </w:tc>
      </w:tr>
      <w:tr>
        <w:trPr>
          <w:trHeight w:val="181"/>
        </w:trPr>
        <w:tc>
          <w:tcPr>
            <w:tcW w:w="3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tcBorders>
              <w:left w:val="single" w:sz="8" w:color="auto"/>
              <w:bottom w:val="single" w:sz="8" w:color="2AD2C8"/>
            </w:tcBorders>
            <w:shd w:val="clear" w:color="auto" w:fill="2AD2C8"/>
          </w:tcPr>
          <w:p>
            <w:pPr>
              <w:spacing w:after="0" w:line="141" w:lineRule="exact"/>
              <w:rPr>
                <w:sz w:val="20"/>
                <w:szCs w:val="20"/>
                <w:color w:val="auto"/>
              </w:rPr>
            </w:pPr>
            <w:r>
              <w:rPr>
                <w:rFonts w:ascii="Calibri" w:cs="Calibri" w:eastAsia="Calibri" w:hAnsi="Calibri"/>
                <w:sz w:val="12"/>
                <w:szCs w:val="12"/>
                <w:b w:val="1"/>
                <w:bCs w:val="1"/>
                <w:color w:val="FFFFFF"/>
              </w:rPr>
              <w:t>Capital requirement</w:t>
            </w:r>
          </w:p>
        </w:tc>
        <w:tc>
          <w:tcPr>
            <w:tcW w:w="1620" w:type="dxa"/>
            <w:vAlign w:val="bottom"/>
            <w:tcBorders>
              <w:bottom w:val="single" w:sz="8" w:color="2AD2C8"/>
              <w:right w:val="single" w:sz="8" w:color="auto"/>
            </w:tcBorders>
            <w:shd w:val="clear" w:color="auto" w:fill="2AD2C8"/>
          </w:tcPr>
          <w:p>
            <w:pPr>
              <w:spacing w:after="0"/>
              <w:rPr>
                <w:sz w:val="13"/>
                <w:szCs w:val="13"/>
                <w:color w:val="auto"/>
              </w:rPr>
            </w:pPr>
          </w:p>
        </w:tc>
        <w:tc>
          <w:tcPr>
            <w:tcW w:w="1200" w:type="dxa"/>
            <w:vAlign w:val="bottom"/>
            <w:tcBorders>
              <w:bottom w:val="single" w:sz="8" w:color="2AD2C8"/>
            </w:tcBorders>
            <w:shd w:val="clear" w:color="auto" w:fill="2AD2C8"/>
          </w:tcPr>
          <w:p>
            <w:pPr>
              <w:spacing w:after="0"/>
              <w:rPr>
                <w:sz w:val="13"/>
                <w:szCs w:val="13"/>
                <w:color w:val="auto"/>
              </w:rPr>
            </w:pPr>
          </w:p>
        </w:tc>
        <w:tc>
          <w:tcPr>
            <w:tcW w:w="1360" w:type="dxa"/>
            <w:vAlign w:val="bottom"/>
            <w:tcBorders>
              <w:bottom w:val="single" w:sz="8" w:color="2AD2C8"/>
            </w:tcBorders>
            <w:shd w:val="clear" w:color="auto" w:fill="2AD2C8"/>
          </w:tcPr>
          <w:p>
            <w:pPr>
              <w:jc w:val="center"/>
              <w:spacing w:after="0" w:line="141" w:lineRule="exact"/>
              <w:rPr>
                <w:sz w:val="20"/>
                <w:szCs w:val="20"/>
                <w:color w:val="auto"/>
              </w:rPr>
            </w:pPr>
            <w:r>
              <w:rPr>
                <w:rFonts w:ascii="Calibri" w:cs="Calibri" w:eastAsia="Calibri" w:hAnsi="Calibri"/>
                <w:sz w:val="12"/>
                <w:szCs w:val="12"/>
                <w:b w:val="1"/>
                <w:bCs w:val="1"/>
                <w:color w:val="FFFFFF"/>
              </w:rPr>
              <w:t>Quarter</w:t>
            </w:r>
          </w:p>
        </w:tc>
        <w:tc>
          <w:tcPr>
            <w:tcW w:w="1380" w:type="dxa"/>
            <w:vAlign w:val="bottom"/>
            <w:tcBorders>
              <w:bottom w:val="single" w:sz="8" w:color="2AD2C8"/>
              <w:right w:val="single" w:sz="8" w:color="auto"/>
            </w:tcBorders>
            <w:shd w:val="clear" w:color="auto" w:fill="2AD2C8"/>
          </w:tcPr>
          <w:p>
            <w:pPr>
              <w:spacing w:after="0"/>
              <w:rPr>
                <w:sz w:val="13"/>
                <w:szCs w:val="13"/>
                <w:color w:val="auto"/>
              </w:rPr>
            </w:pPr>
          </w:p>
        </w:tc>
        <w:tc>
          <w:tcPr>
            <w:tcW w:w="1280" w:type="dxa"/>
            <w:vAlign w:val="bottom"/>
            <w:tcBorders>
              <w:bottom w:val="single" w:sz="8" w:color="2AD2C8"/>
            </w:tcBorders>
            <w:shd w:val="clear" w:color="auto" w:fill="2AD2C8"/>
          </w:tcPr>
          <w:p>
            <w:pPr>
              <w:jc w:val="right"/>
              <w:ind w:right="20"/>
              <w:spacing w:after="0" w:line="141" w:lineRule="exact"/>
              <w:rPr>
                <w:sz w:val="20"/>
                <w:szCs w:val="20"/>
                <w:color w:val="auto"/>
              </w:rPr>
            </w:pPr>
            <w:r>
              <w:rPr>
                <w:rFonts w:ascii="Calibri" w:cs="Calibri" w:eastAsia="Calibri" w:hAnsi="Calibri"/>
                <w:sz w:val="12"/>
                <w:szCs w:val="12"/>
                <w:b w:val="1"/>
                <w:bCs w:val="1"/>
                <w:color w:val="FFFFFF"/>
              </w:rPr>
              <w:t>Change %</w:t>
            </w:r>
          </w:p>
        </w:tc>
        <w:tc>
          <w:tcPr>
            <w:tcW w:w="740" w:type="dxa"/>
            <w:vAlign w:val="bottom"/>
            <w:tcBorders>
              <w:bottom w:val="single" w:sz="8" w:color="2AD2C8"/>
              <w:right w:val="single" w:sz="8" w:color="auto"/>
            </w:tcBorders>
            <w:shd w:val="clear" w:color="auto" w:fill="2AD2C8"/>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00" w:type="dxa"/>
            <w:vAlign w:val="bottom"/>
            <w:tcBorders>
              <w:left w:val="single" w:sz="8" w:color="auto"/>
              <w:bottom w:val="single" w:sz="8" w:color="2AD2C8"/>
            </w:tcBorders>
            <w:shd w:val="clear" w:color="auto" w:fill="2AD2C8"/>
          </w:tcPr>
          <w:p>
            <w:pPr>
              <w:spacing w:after="0"/>
              <w:rPr>
                <w:sz w:val="20"/>
                <w:szCs w:val="20"/>
                <w:color w:val="auto"/>
              </w:rPr>
            </w:pPr>
            <w:r>
              <w:rPr>
                <w:rFonts w:ascii="Calibri" w:cs="Calibri" w:eastAsia="Calibri" w:hAnsi="Calibri"/>
                <w:sz w:val="12"/>
                <w:szCs w:val="12"/>
                <w:color w:val="FFFFFF"/>
              </w:rPr>
              <w:t>(S/ thousand)</w:t>
            </w:r>
          </w:p>
        </w:tc>
        <w:tc>
          <w:tcPr>
            <w:tcW w:w="1620" w:type="dxa"/>
            <w:vAlign w:val="bottom"/>
            <w:tcBorders>
              <w:bottom w:val="single" w:sz="8" w:color="2AD2C8"/>
              <w:right w:val="single" w:sz="8" w:color="auto"/>
            </w:tcBorders>
            <w:shd w:val="clear" w:color="auto" w:fill="2AD2C8"/>
          </w:tcPr>
          <w:p>
            <w:pPr>
              <w:spacing w:after="0"/>
              <w:rPr>
                <w:sz w:val="15"/>
                <w:szCs w:val="15"/>
                <w:color w:val="auto"/>
              </w:rPr>
            </w:pPr>
          </w:p>
        </w:tc>
        <w:tc>
          <w:tcPr>
            <w:tcW w:w="1200" w:type="dxa"/>
            <w:vAlign w:val="bottom"/>
            <w:tcBorders>
              <w:bottom w:val="single" w:sz="8" w:color="2AD2C8"/>
            </w:tcBorders>
            <w:shd w:val="clear" w:color="auto" w:fill="2AD2C8"/>
          </w:tcPr>
          <w:p>
            <w:pPr>
              <w:ind w:left="420"/>
              <w:spacing w:after="0" w:line="135" w:lineRule="exact"/>
              <w:rPr>
                <w:sz w:val="20"/>
                <w:szCs w:val="20"/>
                <w:color w:val="auto"/>
              </w:rPr>
            </w:pPr>
            <w:r>
              <w:rPr>
                <w:rFonts w:ascii="Calibri" w:cs="Calibri" w:eastAsia="Calibri" w:hAnsi="Calibri"/>
                <w:sz w:val="12"/>
                <w:szCs w:val="12"/>
                <w:b w:val="1"/>
                <w:bCs w:val="1"/>
                <w:color w:val="FFFFFF"/>
              </w:rPr>
              <w:t>Dec 23</w:t>
            </w:r>
          </w:p>
        </w:tc>
        <w:tc>
          <w:tcPr>
            <w:tcW w:w="1360" w:type="dxa"/>
            <w:vAlign w:val="bottom"/>
            <w:tcBorders>
              <w:bottom w:val="single" w:sz="8" w:color="2AD2C8"/>
            </w:tcBorders>
            <w:shd w:val="clear" w:color="auto" w:fill="2AD2C8"/>
          </w:tcPr>
          <w:p>
            <w:pPr>
              <w:jc w:val="center"/>
              <w:spacing w:after="0"/>
              <w:rPr>
                <w:sz w:val="20"/>
                <w:szCs w:val="20"/>
                <w:color w:val="auto"/>
              </w:rPr>
            </w:pPr>
            <w:r>
              <w:rPr>
                <w:rFonts w:ascii="Calibri" w:cs="Calibri" w:eastAsia="Calibri" w:hAnsi="Calibri"/>
                <w:sz w:val="12"/>
                <w:szCs w:val="12"/>
                <w:b w:val="1"/>
                <w:bCs w:val="1"/>
                <w:color w:val="FFFFFF"/>
              </w:rPr>
              <w:t>Sep 24</w:t>
            </w:r>
          </w:p>
        </w:tc>
        <w:tc>
          <w:tcPr>
            <w:tcW w:w="1380" w:type="dxa"/>
            <w:vAlign w:val="bottom"/>
            <w:tcBorders>
              <w:bottom w:val="single" w:sz="8" w:color="2AD2C8"/>
              <w:right w:val="single" w:sz="8" w:color="auto"/>
            </w:tcBorders>
            <w:shd w:val="clear" w:color="auto" w:fill="2AD2C8"/>
          </w:tcPr>
          <w:p>
            <w:pPr>
              <w:jc w:val="right"/>
              <w:ind w:right="500"/>
              <w:spacing w:after="0" w:line="135" w:lineRule="exact"/>
              <w:rPr>
                <w:sz w:val="20"/>
                <w:szCs w:val="20"/>
                <w:color w:val="auto"/>
              </w:rPr>
            </w:pPr>
            <w:r>
              <w:rPr>
                <w:rFonts w:ascii="Calibri" w:cs="Calibri" w:eastAsia="Calibri" w:hAnsi="Calibri"/>
                <w:sz w:val="12"/>
                <w:szCs w:val="12"/>
                <w:b w:val="1"/>
                <w:bCs w:val="1"/>
                <w:color w:val="FFFFFF"/>
              </w:rPr>
              <w:t>Dec 24</w:t>
            </w:r>
          </w:p>
        </w:tc>
        <w:tc>
          <w:tcPr>
            <w:tcW w:w="1280" w:type="dxa"/>
            <w:vAlign w:val="bottom"/>
            <w:tcBorders>
              <w:bottom w:val="single" w:sz="8" w:color="2AD2C8"/>
            </w:tcBorders>
            <w:shd w:val="clear" w:color="auto" w:fill="2AD2C8"/>
          </w:tcPr>
          <w:p>
            <w:pPr>
              <w:ind w:left="340"/>
              <w:spacing w:after="0"/>
              <w:rPr>
                <w:sz w:val="20"/>
                <w:szCs w:val="20"/>
                <w:color w:val="auto"/>
              </w:rPr>
            </w:pPr>
            <w:r>
              <w:rPr>
                <w:rFonts w:ascii="Calibri" w:cs="Calibri" w:eastAsia="Calibri" w:hAnsi="Calibri"/>
                <w:sz w:val="12"/>
                <w:szCs w:val="12"/>
                <w:b w:val="1"/>
                <w:bCs w:val="1"/>
                <w:color w:val="FFFFFF"/>
              </w:rPr>
              <w:t>QoQ</w:t>
            </w:r>
          </w:p>
        </w:tc>
        <w:tc>
          <w:tcPr>
            <w:tcW w:w="740" w:type="dxa"/>
            <w:vAlign w:val="bottom"/>
            <w:tcBorders>
              <w:bottom w:val="single" w:sz="8" w:color="2AD2C8"/>
              <w:right w:val="single" w:sz="8" w:color="auto"/>
            </w:tcBorders>
            <w:shd w:val="clear" w:color="auto" w:fill="2AD2C8"/>
          </w:tcPr>
          <w:p>
            <w:pPr>
              <w:ind w:left="120"/>
              <w:spacing w:after="0"/>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57"/>
        </w:trPr>
        <w:tc>
          <w:tcPr>
            <w:tcW w:w="3100" w:type="dxa"/>
            <w:vAlign w:val="bottom"/>
            <w:tcBorders>
              <w:top w:val="single" w:sz="8" w:color="auto"/>
              <w:left w:val="single" w:sz="8" w:color="auto"/>
            </w:tcBorders>
          </w:tcPr>
          <w:p>
            <w:pPr>
              <w:ind w:left="160"/>
              <w:spacing w:after="0" w:line="157" w:lineRule="exact"/>
              <w:rPr>
                <w:sz w:val="20"/>
                <w:szCs w:val="20"/>
                <w:color w:val="auto"/>
              </w:rPr>
            </w:pPr>
            <w:r>
              <w:rPr>
                <w:rFonts w:ascii="Calibri" w:cs="Calibri" w:eastAsia="Calibri" w:hAnsi="Calibri"/>
                <w:sz w:val="13"/>
                <w:szCs w:val="13"/>
                <w:color w:val="auto"/>
              </w:rPr>
              <w:t>Market risk capital requirement</w:t>
            </w:r>
          </w:p>
        </w:tc>
        <w:tc>
          <w:tcPr>
            <w:tcW w:w="1620" w:type="dxa"/>
            <w:vAlign w:val="bottom"/>
            <w:tcBorders>
              <w:top w:val="single" w:sz="8" w:color="auto"/>
              <w:right w:val="single" w:sz="8" w:color="auto"/>
            </w:tcBorders>
          </w:tcPr>
          <w:p>
            <w:pPr>
              <w:spacing w:after="0"/>
              <w:rPr>
                <w:sz w:val="13"/>
                <w:szCs w:val="13"/>
                <w:color w:val="auto"/>
              </w:rPr>
            </w:pPr>
          </w:p>
        </w:tc>
        <w:tc>
          <w:tcPr>
            <w:tcW w:w="1200" w:type="dxa"/>
            <w:vAlign w:val="bottom"/>
            <w:tcBorders>
              <w:top w:val="single" w:sz="8" w:color="auto"/>
            </w:tcBorders>
          </w:tcPr>
          <w:p>
            <w:pPr>
              <w:jc w:val="center"/>
              <w:spacing w:after="0"/>
              <w:rPr>
                <w:sz w:val="20"/>
                <w:szCs w:val="20"/>
                <w:color w:val="auto"/>
              </w:rPr>
            </w:pPr>
            <w:r>
              <w:rPr>
                <w:rFonts w:ascii="Calibri" w:cs="Calibri" w:eastAsia="Calibri" w:hAnsi="Calibri"/>
                <w:sz w:val="12"/>
                <w:szCs w:val="12"/>
                <w:color w:val="auto"/>
              </w:rPr>
              <w:t>268,001</w:t>
            </w:r>
          </w:p>
        </w:tc>
        <w:tc>
          <w:tcPr>
            <w:tcW w:w="1360" w:type="dxa"/>
            <w:vAlign w:val="bottom"/>
            <w:tcBorders>
              <w:top w:val="single" w:sz="8" w:color="auto"/>
            </w:tcBorders>
          </w:tcPr>
          <w:p>
            <w:pPr>
              <w:jc w:val="center"/>
              <w:spacing w:after="0"/>
              <w:rPr>
                <w:sz w:val="20"/>
                <w:szCs w:val="20"/>
                <w:color w:val="auto"/>
              </w:rPr>
            </w:pPr>
            <w:r>
              <w:rPr>
                <w:rFonts w:ascii="Calibri" w:cs="Calibri" w:eastAsia="Calibri" w:hAnsi="Calibri"/>
                <w:sz w:val="12"/>
                <w:szCs w:val="12"/>
                <w:color w:val="auto"/>
              </w:rPr>
              <w:t>430,116</w:t>
            </w:r>
          </w:p>
        </w:tc>
        <w:tc>
          <w:tcPr>
            <w:tcW w:w="13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392,230</w:t>
            </w:r>
          </w:p>
        </w:tc>
        <w:tc>
          <w:tcPr>
            <w:tcW w:w="1280" w:type="dxa"/>
            <w:vAlign w:val="bottom"/>
            <w:tcBorders>
              <w:top w:val="single" w:sz="8" w:color="auto"/>
            </w:tcBorders>
          </w:tcPr>
          <w:p>
            <w:pPr>
              <w:jc w:val="center"/>
              <w:ind w:right="300"/>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8.8%</w:t>
            </w:r>
          </w:p>
        </w:tc>
        <w:tc>
          <w:tcPr>
            <w:tcW w:w="740" w:type="dxa"/>
            <w:vAlign w:val="bottom"/>
            <w:tcBorders>
              <w:top w:val="single" w:sz="8" w:color="auto"/>
              <w:right w:val="single" w:sz="8" w:color="auto"/>
            </w:tcBorders>
          </w:tcPr>
          <w:p>
            <w:pPr>
              <w:jc w:val="center"/>
              <w:ind w:right="280"/>
              <w:spacing w:after="0"/>
              <w:rPr>
                <w:sz w:val="20"/>
                <w:szCs w:val="20"/>
                <w:color w:val="auto"/>
              </w:rPr>
            </w:pPr>
            <w:r>
              <w:rPr>
                <w:rFonts w:ascii="Calibri" w:cs="Calibri" w:eastAsia="Calibri" w:hAnsi="Calibri"/>
                <w:sz w:val="12"/>
                <w:szCs w:val="12"/>
                <w:color w:val="auto"/>
              </w:rPr>
              <w:t>46.4%</w:t>
            </w:r>
          </w:p>
        </w:tc>
        <w:tc>
          <w:tcPr>
            <w:tcW w:w="0" w:type="dxa"/>
            <w:vAlign w:val="bottom"/>
          </w:tcPr>
          <w:p>
            <w:pPr>
              <w:spacing w:after="0"/>
              <w:rPr>
                <w:sz w:val="1"/>
                <w:szCs w:val="1"/>
                <w:color w:val="auto"/>
              </w:rPr>
            </w:pPr>
          </w:p>
        </w:tc>
      </w:tr>
      <w:tr>
        <w:trPr>
          <w:trHeight w:val="159"/>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Credit risk capital requirement</w:t>
            </w:r>
          </w:p>
        </w:tc>
        <w:tc>
          <w:tcPr>
            <w:tcW w:w="1620" w:type="dxa"/>
            <w:vAlign w:val="bottom"/>
            <w:tcBorders>
              <w:right w:val="single" w:sz="8" w:color="auto"/>
            </w:tcBorders>
          </w:tcPr>
          <w:p>
            <w:pPr>
              <w:spacing w:after="0"/>
              <w:rPr>
                <w:sz w:val="13"/>
                <w:szCs w:val="13"/>
                <w:color w:val="auto"/>
              </w:rPr>
            </w:pPr>
          </w:p>
        </w:tc>
        <w:tc>
          <w:tcPr>
            <w:tcW w:w="1200" w:type="dxa"/>
            <w:vAlign w:val="bottom"/>
          </w:tcPr>
          <w:p>
            <w:pPr>
              <w:jc w:val="center"/>
              <w:spacing w:after="0"/>
              <w:rPr>
                <w:sz w:val="20"/>
                <w:szCs w:val="20"/>
                <w:color w:val="auto"/>
              </w:rPr>
            </w:pPr>
            <w:r>
              <w:rPr>
                <w:rFonts w:ascii="Calibri" w:cs="Calibri" w:eastAsia="Calibri" w:hAnsi="Calibri"/>
                <w:sz w:val="12"/>
                <w:szCs w:val="12"/>
                <w:color w:val="auto"/>
              </w:rPr>
              <w:t>12,098,443</w:t>
            </w:r>
          </w:p>
        </w:tc>
        <w:tc>
          <w:tcPr>
            <w:tcW w:w="1360" w:type="dxa"/>
            <w:vAlign w:val="bottom"/>
          </w:tcPr>
          <w:p>
            <w:pPr>
              <w:jc w:val="center"/>
              <w:spacing w:after="0"/>
              <w:rPr>
                <w:sz w:val="20"/>
                <w:szCs w:val="20"/>
                <w:color w:val="auto"/>
              </w:rPr>
            </w:pPr>
            <w:r>
              <w:rPr>
                <w:rFonts w:ascii="Calibri" w:cs="Calibri" w:eastAsia="Calibri" w:hAnsi="Calibri"/>
                <w:sz w:val="12"/>
                <w:szCs w:val="12"/>
                <w:color w:val="auto"/>
                <w:w w:val="98"/>
              </w:rPr>
              <w:t>12,724,057</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13,243,282</w:t>
            </w:r>
          </w:p>
        </w:tc>
        <w:tc>
          <w:tcPr>
            <w:tcW w:w="1280" w:type="dxa"/>
            <w:vAlign w:val="bottom"/>
          </w:tcPr>
          <w:p>
            <w:pPr>
              <w:ind w:left="340"/>
              <w:spacing w:after="0"/>
              <w:rPr>
                <w:sz w:val="20"/>
                <w:szCs w:val="20"/>
                <w:color w:val="auto"/>
              </w:rPr>
            </w:pPr>
            <w:r>
              <w:rPr>
                <w:rFonts w:ascii="Calibri" w:cs="Calibri" w:eastAsia="Calibri" w:hAnsi="Calibri"/>
                <w:sz w:val="12"/>
                <w:szCs w:val="12"/>
                <w:color w:val="auto"/>
              </w:rPr>
              <w:t>4.1%</w:t>
            </w:r>
          </w:p>
        </w:tc>
        <w:tc>
          <w:tcPr>
            <w:tcW w:w="740" w:type="dxa"/>
            <w:vAlign w:val="bottom"/>
            <w:tcBorders>
              <w:right w:val="single" w:sz="8" w:color="auto"/>
            </w:tcBorders>
          </w:tcPr>
          <w:p>
            <w:pPr>
              <w:jc w:val="center"/>
              <w:ind w:right="280"/>
              <w:spacing w:after="0"/>
              <w:rPr>
                <w:sz w:val="20"/>
                <w:szCs w:val="20"/>
                <w:color w:val="auto"/>
              </w:rPr>
            </w:pPr>
            <w:r>
              <w:rPr>
                <w:rFonts w:ascii="Calibri" w:cs="Calibri" w:eastAsia="Calibri" w:hAnsi="Calibri"/>
                <w:sz w:val="12"/>
                <w:szCs w:val="12"/>
                <w:color w:val="auto"/>
              </w:rPr>
              <w:t>9.5%</w:t>
            </w:r>
          </w:p>
        </w:tc>
        <w:tc>
          <w:tcPr>
            <w:tcW w:w="0" w:type="dxa"/>
            <w:vAlign w:val="bottom"/>
          </w:tcPr>
          <w:p>
            <w:pPr>
              <w:spacing w:after="0"/>
              <w:rPr>
                <w:sz w:val="1"/>
                <w:szCs w:val="1"/>
                <w:color w:val="auto"/>
              </w:rPr>
            </w:pPr>
          </w:p>
        </w:tc>
      </w:tr>
      <w:tr>
        <w:trPr>
          <w:trHeight w:val="159"/>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3"/>
                <w:szCs w:val="13"/>
                <w:color w:val="auto"/>
              </w:rPr>
              <w:t>Operatonal risk capital requirement</w:t>
            </w:r>
          </w:p>
        </w:tc>
        <w:tc>
          <w:tcPr>
            <w:tcW w:w="1620" w:type="dxa"/>
            <w:vAlign w:val="bottom"/>
            <w:tcBorders>
              <w:right w:val="single" w:sz="8" w:color="auto"/>
            </w:tcBorders>
          </w:tcPr>
          <w:p>
            <w:pPr>
              <w:spacing w:after="0"/>
              <w:rPr>
                <w:sz w:val="13"/>
                <w:szCs w:val="13"/>
                <w:color w:val="auto"/>
              </w:rPr>
            </w:pPr>
          </w:p>
        </w:tc>
        <w:tc>
          <w:tcPr>
            <w:tcW w:w="1200" w:type="dxa"/>
            <w:vAlign w:val="bottom"/>
          </w:tcPr>
          <w:p>
            <w:pPr>
              <w:jc w:val="center"/>
              <w:spacing w:after="0"/>
              <w:rPr>
                <w:sz w:val="20"/>
                <w:szCs w:val="20"/>
                <w:color w:val="auto"/>
              </w:rPr>
            </w:pPr>
            <w:r>
              <w:rPr>
                <w:rFonts w:ascii="Calibri" w:cs="Calibri" w:eastAsia="Calibri" w:hAnsi="Calibri"/>
                <w:sz w:val="12"/>
                <w:szCs w:val="12"/>
                <w:color w:val="auto"/>
              </w:rPr>
              <w:t>1,636,597</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1,787,174</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1,840,911</w:t>
            </w:r>
          </w:p>
        </w:tc>
        <w:tc>
          <w:tcPr>
            <w:tcW w:w="1280" w:type="dxa"/>
            <w:vAlign w:val="bottom"/>
          </w:tcPr>
          <w:p>
            <w:pPr>
              <w:jc w:val="center"/>
              <w:ind w:right="300"/>
              <w:spacing w:after="0"/>
              <w:rPr>
                <w:sz w:val="20"/>
                <w:szCs w:val="20"/>
                <w:color w:val="auto"/>
              </w:rPr>
            </w:pPr>
            <w:r>
              <w:rPr>
                <w:rFonts w:ascii="Calibri" w:cs="Calibri" w:eastAsia="Calibri" w:hAnsi="Calibri"/>
                <w:sz w:val="12"/>
                <w:szCs w:val="12"/>
                <w:color w:val="auto"/>
              </w:rPr>
              <w:t>3.0%</w:t>
            </w:r>
          </w:p>
        </w:tc>
        <w:tc>
          <w:tcPr>
            <w:tcW w:w="740" w:type="dxa"/>
            <w:vAlign w:val="bottom"/>
            <w:tcBorders>
              <w:right w:val="single" w:sz="8" w:color="auto"/>
            </w:tcBorders>
          </w:tcPr>
          <w:p>
            <w:pPr>
              <w:jc w:val="center"/>
              <w:ind w:right="280"/>
              <w:spacing w:after="0"/>
              <w:rPr>
                <w:sz w:val="20"/>
                <w:szCs w:val="20"/>
                <w:color w:val="auto"/>
              </w:rPr>
            </w:pPr>
            <w:r>
              <w:rPr>
                <w:rFonts w:ascii="Calibri" w:cs="Calibri" w:eastAsia="Calibri" w:hAnsi="Calibri"/>
                <w:sz w:val="12"/>
                <w:szCs w:val="12"/>
                <w:color w:val="auto"/>
              </w:rPr>
              <w:t>12.5%</w:t>
            </w:r>
          </w:p>
        </w:tc>
        <w:tc>
          <w:tcPr>
            <w:tcW w:w="0" w:type="dxa"/>
            <w:vAlign w:val="bottom"/>
          </w:tcPr>
          <w:p>
            <w:pPr>
              <w:spacing w:after="0"/>
              <w:rPr>
                <w:sz w:val="1"/>
                <w:szCs w:val="1"/>
                <w:color w:val="auto"/>
              </w:rPr>
            </w:pPr>
          </w:p>
        </w:tc>
      </w:tr>
      <w:tr>
        <w:trPr>
          <w:trHeight w:val="170"/>
        </w:trPr>
        <w:tc>
          <w:tcPr>
            <w:tcW w:w="3100" w:type="dxa"/>
            <w:vAlign w:val="bottom"/>
            <w:tcBorders>
              <w:left w:val="single" w:sz="8" w:color="auto"/>
            </w:tcBorders>
          </w:tcPr>
          <w:p>
            <w:pPr>
              <w:ind w:left="160"/>
              <w:spacing w:after="0"/>
              <w:rPr>
                <w:sz w:val="20"/>
                <w:szCs w:val="20"/>
                <w:color w:val="auto"/>
              </w:rPr>
            </w:pPr>
            <w:r>
              <w:rPr>
                <w:rFonts w:ascii="Calibri" w:cs="Calibri" w:eastAsia="Calibri" w:hAnsi="Calibri"/>
                <w:sz w:val="13"/>
                <w:szCs w:val="13"/>
                <w:color w:val="auto"/>
              </w:rPr>
              <w:t>Additonal capital requirements</w:t>
            </w:r>
          </w:p>
        </w:tc>
        <w:tc>
          <w:tcPr>
            <w:tcW w:w="1620" w:type="dxa"/>
            <w:vAlign w:val="bottom"/>
            <w:tcBorders>
              <w:right w:val="single" w:sz="8" w:color="auto"/>
            </w:tcBorders>
          </w:tcPr>
          <w:p>
            <w:pPr>
              <w:spacing w:after="0"/>
              <w:rPr>
                <w:sz w:val="14"/>
                <w:szCs w:val="14"/>
                <w:color w:val="auto"/>
              </w:rPr>
            </w:pPr>
          </w:p>
        </w:tc>
        <w:tc>
          <w:tcPr>
            <w:tcW w:w="1200" w:type="dxa"/>
            <w:vAlign w:val="bottom"/>
          </w:tcPr>
          <w:p>
            <w:pPr>
              <w:jc w:val="center"/>
              <w:spacing w:after="0"/>
              <w:rPr>
                <w:sz w:val="20"/>
                <w:szCs w:val="20"/>
                <w:color w:val="auto"/>
              </w:rPr>
            </w:pPr>
            <w:r>
              <w:rPr>
                <w:rFonts w:ascii="Calibri" w:cs="Calibri" w:eastAsia="Calibri" w:hAnsi="Calibri"/>
                <w:sz w:val="12"/>
                <w:szCs w:val="12"/>
                <w:color w:val="auto"/>
              </w:rPr>
              <w:t>5,383,837</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5,647,686</w:t>
            </w:r>
          </w:p>
        </w:tc>
        <w:tc>
          <w:tcPr>
            <w:tcW w:w="138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6,882,642</w:t>
            </w:r>
          </w:p>
        </w:tc>
        <w:tc>
          <w:tcPr>
            <w:tcW w:w="1280" w:type="dxa"/>
            <w:vAlign w:val="bottom"/>
          </w:tcPr>
          <w:p>
            <w:pPr>
              <w:jc w:val="center"/>
              <w:ind w:right="320"/>
              <w:spacing w:after="0"/>
              <w:rPr>
                <w:sz w:val="20"/>
                <w:szCs w:val="20"/>
                <w:color w:val="auto"/>
              </w:rPr>
            </w:pPr>
            <w:r>
              <w:rPr>
                <w:rFonts w:ascii="Calibri" w:cs="Calibri" w:eastAsia="Calibri" w:hAnsi="Calibri"/>
                <w:sz w:val="12"/>
                <w:szCs w:val="12"/>
                <w:color w:val="auto"/>
              </w:rPr>
              <w:t>21.9%</w:t>
            </w:r>
          </w:p>
        </w:tc>
        <w:tc>
          <w:tcPr>
            <w:tcW w:w="740" w:type="dxa"/>
            <w:vAlign w:val="bottom"/>
            <w:tcBorders>
              <w:right w:val="single" w:sz="8" w:color="auto"/>
            </w:tcBorders>
          </w:tcPr>
          <w:p>
            <w:pPr>
              <w:jc w:val="center"/>
              <w:ind w:right="280"/>
              <w:spacing w:after="0"/>
              <w:rPr>
                <w:sz w:val="20"/>
                <w:szCs w:val="20"/>
                <w:color w:val="auto"/>
              </w:rPr>
            </w:pPr>
            <w:r>
              <w:rPr>
                <w:rFonts w:ascii="Calibri" w:cs="Calibri" w:eastAsia="Calibri" w:hAnsi="Calibri"/>
                <w:sz w:val="12"/>
                <w:szCs w:val="12"/>
                <w:color w:val="auto"/>
              </w:rPr>
              <w:t>27.8%</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3100" w:type="dxa"/>
            <w:vAlign w:val="bottom"/>
            <w:tcBorders>
              <w:left w:val="single" w:sz="8" w:color="auto"/>
              <w:bottom w:val="single" w:sz="8" w:color="auto"/>
            </w:tcBorders>
          </w:tcPr>
          <w:p>
            <w:pPr>
              <w:spacing w:after="0"/>
              <w:rPr>
                <w:sz w:val="20"/>
                <w:szCs w:val="20"/>
                <w:color w:val="auto"/>
              </w:rPr>
            </w:pPr>
            <w:r>
              <w:rPr>
                <w:rFonts w:ascii="Calibri" w:cs="Calibri" w:eastAsia="Calibri" w:hAnsi="Calibri"/>
                <w:sz w:val="12"/>
                <w:szCs w:val="12"/>
                <w:b w:val="1"/>
                <w:bCs w:val="1"/>
                <w:color w:val="auto"/>
              </w:rPr>
              <w:t>Total</w:t>
            </w:r>
          </w:p>
        </w:tc>
        <w:tc>
          <w:tcPr>
            <w:tcW w:w="16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19,386,878</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20,589,033</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22,359,066</w:t>
            </w:r>
          </w:p>
        </w:tc>
        <w:tc>
          <w:tcPr>
            <w:tcW w:w="1280" w:type="dxa"/>
            <w:vAlign w:val="bottom"/>
            <w:tcBorders>
              <w:bottom w:val="single" w:sz="8" w:color="auto"/>
            </w:tcBorders>
          </w:tcPr>
          <w:p>
            <w:pPr>
              <w:jc w:val="center"/>
              <w:ind w:right="300"/>
              <w:spacing w:after="0"/>
              <w:rPr>
                <w:sz w:val="20"/>
                <w:szCs w:val="20"/>
                <w:color w:val="auto"/>
              </w:rPr>
            </w:pPr>
            <w:r>
              <w:rPr>
                <w:rFonts w:ascii="Calibri" w:cs="Calibri" w:eastAsia="Calibri" w:hAnsi="Calibri"/>
                <w:sz w:val="12"/>
                <w:szCs w:val="12"/>
                <w:b w:val="1"/>
                <w:bCs w:val="1"/>
                <w:color w:val="auto"/>
                <w:w w:val="99"/>
              </w:rPr>
              <w:t>8.6%</w:t>
            </w:r>
          </w:p>
        </w:tc>
        <w:tc>
          <w:tcPr>
            <w:tcW w:w="740" w:type="dxa"/>
            <w:vAlign w:val="bottom"/>
            <w:tcBorders>
              <w:bottom w:val="single" w:sz="8" w:color="auto"/>
              <w:right w:val="single" w:sz="8" w:color="auto"/>
            </w:tcBorders>
          </w:tcPr>
          <w:p>
            <w:pPr>
              <w:jc w:val="center"/>
              <w:ind w:right="280"/>
              <w:spacing w:after="0"/>
              <w:rPr>
                <w:sz w:val="20"/>
                <w:szCs w:val="20"/>
                <w:color w:val="auto"/>
              </w:rPr>
            </w:pPr>
            <w:r>
              <w:rPr>
                <w:rFonts w:ascii="Calibri" w:cs="Calibri" w:eastAsia="Calibri" w:hAnsi="Calibri"/>
                <w:sz w:val="12"/>
                <w:szCs w:val="12"/>
                <w:b w:val="1"/>
                <w:bCs w:val="1"/>
                <w:color w:val="auto"/>
              </w:rPr>
              <w:t>15.3%</w:t>
            </w:r>
          </w:p>
        </w:tc>
        <w:tc>
          <w:tcPr>
            <w:tcW w:w="0" w:type="dxa"/>
            <w:vAlign w:val="bottom"/>
          </w:tcPr>
          <w:p>
            <w:pPr>
              <w:spacing w:after="0"/>
              <w:rPr>
                <w:sz w:val="1"/>
                <w:szCs w:val="1"/>
                <w:color w:val="auto"/>
              </w:rPr>
            </w:pPr>
          </w:p>
        </w:tc>
      </w:tr>
      <w:tr>
        <w:trPr>
          <w:trHeight w:val="333"/>
        </w:trPr>
        <w:tc>
          <w:tcPr>
            <w:tcW w:w="3100" w:type="dxa"/>
            <w:vAlign w:val="bottom"/>
          </w:tcPr>
          <w:p>
            <w:pPr>
              <w:spacing w:after="0"/>
              <w:rPr>
                <w:sz w:val="24"/>
                <w:szCs w:val="24"/>
                <w:color w:val="auto"/>
              </w:rPr>
            </w:pPr>
          </w:p>
        </w:tc>
        <w:tc>
          <w:tcPr>
            <w:tcW w:w="4180" w:type="dxa"/>
            <w:vAlign w:val="bottom"/>
            <w:gridSpan w:val="3"/>
          </w:tcPr>
          <w:p>
            <w:pPr>
              <w:ind w:left="1000"/>
              <w:spacing w:after="0"/>
              <w:rPr>
                <w:sz w:val="20"/>
                <w:szCs w:val="20"/>
                <w:color w:val="auto"/>
              </w:rPr>
            </w:pPr>
            <w:r>
              <w:rPr>
                <w:rFonts w:ascii="Calibri" w:cs="Calibri" w:eastAsia="Calibri" w:hAnsi="Calibri"/>
                <w:sz w:val="14"/>
                <w:szCs w:val="14"/>
                <w:b w:val="1"/>
                <w:bCs w:val="1"/>
                <w:color w:val="auto"/>
              </w:rPr>
              <w:t>Capital Ratos under Local Regulaton</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100" w:type="dxa"/>
            <w:vAlign w:val="bottom"/>
            <w:tcBorders>
              <w:left w:val="single" w:sz="8" w:color="auto"/>
            </w:tcBorders>
            <w:shd w:val="clear" w:color="auto" w:fill="2AD2C8"/>
          </w:tcPr>
          <w:p>
            <w:pPr>
              <w:spacing w:after="0" w:line="141" w:lineRule="exact"/>
              <w:rPr>
                <w:sz w:val="20"/>
                <w:szCs w:val="20"/>
                <w:color w:val="auto"/>
              </w:rPr>
            </w:pPr>
            <w:r>
              <w:rPr>
                <w:rFonts w:ascii="Calibri" w:cs="Calibri" w:eastAsia="Calibri" w:hAnsi="Calibri"/>
                <w:sz w:val="12"/>
                <w:szCs w:val="12"/>
                <w:b w:val="1"/>
                <w:bCs w:val="1"/>
                <w:color w:val="FFFFFF"/>
              </w:rPr>
              <w:t>Capital ratos under Local Regulaton</w:t>
            </w:r>
          </w:p>
        </w:tc>
        <w:tc>
          <w:tcPr>
            <w:tcW w:w="1620" w:type="dxa"/>
            <w:vAlign w:val="bottom"/>
            <w:tcBorders>
              <w:right w:val="single" w:sz="8" w:color="auto"/>
            </w:tcBorders>
            <w:shd w:val="clear" w:color="auto" w:fill="2AD2C8"/>
          </w:tcPr>
          <w:p>
            <w:pPr>
              <w:spacing w:after="0"/>
              <w:rPr>
                <w:sz w:val="12"/>
                <w:szCs w:val="12"/>
                <w:color w:val="auto"/>
              </w:rPr>
            </w:pPr>
          </w:p>
        </w:tc>
        <w:tc>
          <w:tcPr>
            <w:tcW w:w="1200" w:type="dxa"/>
            <w:vAlign w:val="bottom"/>
            <w:shd w:val="clear" w:color="auto" w:fill="2AD2C8"/>
          </w:tcPr>
          <w:p>
            <w:pPr>
              <w:spacing w:after="0"/>
              <w:rPr>
                <w:sz w:val="12"/>
                <w:szCs w:val="12"/>
                <w:color w:val="auto"/>
              </w:rPr>
            </w:pPr>
          </w:p>
        </w:tc>
        <w:tc>
          <w:tcPr>
            <w:tcW w:w="1360" w:type="dxa"/>
            <w:vAlign w:val="bottom"/>
            <w:shd w:val="clear" w:color="auto" w:fill="2AD2C8"/>
          </w:tcPr>
          <w:p>
            <w:pPr>
              <w:jc w:val="center"/>
              <w:ind w:left="100"/>
              <w:spacing w:after="0" w:line="141" w:lineRule="exact"/>
              <w:rPr>
                <w:sz w:val="20"/>
                <w:szCs w:val="20"/>
                <w:color w:val="auto"/>
              </w:rPr>
            </w:pPr>
            <w:r>
              <w:rPr>
                <w:rFonts w:ascii="Calibri" w:cs="Calibri" w:eastAsia="Calibri" w:hAnsi="Calibri"/>
                <w:sz w:val="12"/>
                <w:szCs w:val="12"/>
                <w:b w:val="1"/>
                <w:bCs w:val="1"/>
                <w:color w:val="FFFFFF"/>
              </w:rPr>
              <w:t>Quarter</w:t>
            </w:r>
          </w:p>
        </w:tc>
        <w:tc>
          <w:tcPr>
            <w:tcW w:w="1380" w:type="dxa"/>
            <w:vAlign w:val="bottom"/>
            <w:tcBorders>
              <w:right w:val="single" w:sz="8" w:color="auto"/>
            </w:tcBorders>
            <w:shd w:val="clear" w:color="auto" w:fill="2AD2C8"/>
          </w:tcPr>
          <w:p>
            <w:pPr>
              <w:jc w:val="right"/>
              <w:ind w:right="440"/>
              <w:spacing w:after="0" w:line="141" w:lineRule="exact"/>
              <w:rPr>
                <w:sz w:val="20"/>
                <w:szCs w:val="20"/>
                <w:color w:val="auto"/>
              </w:rPr>
            </w:pPr>
            <w:r>
              <w:rPr>
                <w:rFonts w:ascii="Calibri" w:cs="Calibri" w:eastAsia="Calibri" w:hAnsi="Calibri"/>
                <w:sz w:val="12"/>
                <w:szCs w:val="12"/>
                <w:b w:val="1"/>
                <w:bCs w:val="1"/>
                <w:color w:val="FFFFFF"/>
              </w:rPr>
              <w:t>Dec 24</w:t>
            </w:r>
          </w:p>
        </w:tc>
        <w:tc>
          <w:tcPr>
            <w:tcW w:w="1280" w:type="dxa"/>
            <w:vAlign w:val="bottom"/>
            <w:shd w:val="clear" w:color="auto" w:fill="2AD2C8"/>
          </w:tcPr>
          <w:p>
            <w:pPr>
              <w:jc w:val="right"/>
              <w:ind w:right="60"/>
              <w:spacing w:after="0" w:line="141" w:lineRule="exact"/>
              <w:rPr>
                <w:sz w:val="20"/>
                <w:szCs w:val="20"/>
                <w:color w:val="auto"/>
              </w:rPr>
            </w:pPr>
            <w:r>
              <w:rPr>
                <w:rFonts w:ascii="Calibri" w:cs="Calibri" w:eastAsia="Calibri" w:hAnsi="Calibri"/>
                <w:sz w:val="12"/>
                <w:szCs w:val="12"/>
                <w:b w:val="1"/>
                <w:bCs w:val="1"/>
                <w:color w:val="FFFFFF"/>
              </w:rPr>
              <w:t>% Change</w:t>
            </w:r>
          </w:p>
        </w:tc>
        <w:tc>
          <w:tcPr>
            <w:tcW w:w="740" w:type="dxa"/>
            <w:vAlign w:val="bottom"/>
            <w:tcBorders>
              <w:right w:val="single" w:sz="8" w:color="auto"/>
            </w:tcBorders>
            <w:shd w:val="clear" w:color="auto" w:fill="2AD2C8"/>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100" w:type="dxa"/>
            <w:vAlign w:val="bottom"/>
            <w:tcBorders>
              <w:left w:val="single" w:sz="8" w:color="auto"/>
              <w:bottom w:val="single" w:sz="8" w:color="2AD2C8"/>
            </w:tcBorders>
            <w:shd w:val="clear" w:color="auto" w:fill="2AD2C8"/>
          </w:tcPr>
          <w:p>
            <w:pPr>
              <w:spacing w:after="0"/>
              <w:rPr>
                <w:sz w:val="19"/>
                <w:szCs w:val="19"/>
                <w:color w:val="auto"/>
              </w:rPr>
            </w:pPr>
          </w:p>
        </w:tc>
        <w:tc>
          <w:tcPr>
            <w:tcW w:w="1620" w:type="dxa"/>
            <w:vAlign w:val="bottom"/>
            <w:tcBorders>
              <w:bottom w:val="single" w:sz="8" w:color="2AD2C8"/>
              <w:right w:val="single" w:sz="8" w:color="auto"/>
            </w:tcBorders>
            <w:shd w:val="clear" w:color="auto" w:fill="2AD2C8"/>
          </w:tcPr>
          <w:p>
            <w:pPr>
              <w:spacing w:after="0"/>
              <w:rPr>
                <w:sz w:val="19"/>
                <w:szCs w:val="19"/>
                <w:color w:val="auto"/>
              </w:rPr>
            </w:pPr>
          </w:p>
        </w:tc>
        <w:tc>
          <w:tcPr>
            <w:tcW w:w="1200" w:type="dxa"/>
            <w:vAlign w:val="bottom"/>
            <w:tcBorders>
              <w:bottom w:val="single" w:sz="8" w:color="2AD2C8"/>
            </w:tcBorders>
            <w:shd w:val="clear" w:color="auto" w:fill="2AD2C8"/>
          </w:tcPr>
          <w:p>
            <w:pPr>
              <w:jc w:val="center"/>
              <w:ind w:left="40"/>
              <w:spacing w:after="0"/>
              <w:rPr>
                <w:sz w:val="20"/>
                <w:szCs w:val="20"/>
                <w:color w:val="auto"/>
              </w:rPr>
            </w:pPr>
            <w:r>
              <w:rPr>
                <w:rFonts w:ascii="Calibri" w:cs="Calibri" w:eastAsia="Calibri" w:hAnsi="Calibri"/>
                <w:sz w:val="12"/>
                <w:szCs w:val="12"/>
                <w:b w:val="1"/>
                <w:bCs w:val="1"/>
                <w:color w:val="FFFFFF"/>
              </w:rPr>
              <w:t>Dec 23</w:t>
            </w:r>
          </w:p>
        </w:tc>
        <w:tc>
          <w:tcPr>
            <w:tcW w:w="1360" w:type="dxa"/>
            <w:vAlign w:val="bottom"/>
            <w:tcBorders>
              <w:bottom w:val="single" w:sz="8" w:color="2AD2C8"/>
            </w:tcBorders>
            <w:shd w:val="clear" w:color="auto" w:fill="2AD2C8"/>
          </w:tcPr>
          <w:p>
            <w:pPr>
              <w:jc w:val="center"/>
              <w:ind w:left="120"/>
              <w:spacing w:after="0"/>
              <w:rPr>
                <w:sz w:val="20"/>
                <w:szCs w:val="20"/>
                <w:color w:val="auto"/>
              </w:rPr>
            </w:pPr>
            <w:r>
              <w:rPr>
                <w:rFonts w:ascii="Calibri" w:cs="Calibri" w:eastAsia="Calibri" w:hAnsi="Calibri"/>
                <w:sz w:val="12"/>
                <w:szCs w:val="12"/>
                <w:b w:val="1"/>
                <w:bCs w:val="1"/>
                <w:color w:val="FFFFFF"/>
              </w:rPr>
              <w:t>Sep 24</w:t>
            </w:r>
          </w:p>
        </w:tc>
        <w:tc>
          <w:tcPr>
            <w:tcW w:w="1380" w:type="dxa"/>
            <w:vAlign w:val="bottom"/>
            <w:tcBorders>
              <w:bottom w:val="single" w:sz="8" w:color="2AD2C8"/>
              <w:right w:val="single" w:sz="8" w:color="auto"/>
            </w:tcBorders>
            <w:shd w:val="clear" w:color="auto" w:fill="2AD2C8"/>
          </w:tcPr>
          <w:p>
            <w:pPr>
              <w:spacing w:after="0"/>
              <w:rPr>
                <w:sz w:val="19"/>
                <w:szCs w:val="19"/>
                <w:color w:val="auto"/>
              </w:rPr>
            </w:pPr>
          </w:p>
        </w:tc>
        <w:tc>
          <w:tcPr>
            <w:tcW w:w="1280" w:type="dxa"/>
            <w:vAlign w:val="bottom"/>
            <w:tcBorders>
              <w:bottom w:val="single" w:sz="8" w:color="2AD2C8"/>
            </w:tcBorders>
            <w:shd w:val="clear" w:color="auto" w:fill="2AD2C8"/>
          </w:tcPr>
          <w:p>
            <w:pPr>
              <w:jc w:val="right"/>
              <w:ind w:right="560"/>
              <w:spacing w:after="0"/>
              <w:rPr>
                <w:sz w:val="20"/>
                <w:szCs w:val="20"/>
                <w:color w:val="auto"/>
              </w:rPr>
            </w:pPr>
            <w:r>
              <w:rPr>
                <w:rFonts w:ascii="Calibri" w:cs="Calibri" w:eastAsia="Calibri" w:hAnsi="Calibri"/>
                <w:sz w:val="12"/>
                <w:szCs w:val="12"/>
                <w:b w:val="1"/>
                <w:bCs w:val="1"/>
                <w:color w:val="FFFFFF"/>
              </w:rPr>
              <w:t>QoQ</w:t>
            </w:r>
          </w:p>
        </w:tc>
        <w:tc>
          <w:tcPr>
            <w:tcW w:w="740" w:type="dxa"/>
            <w:vAlign w:val="bottom"/>
            <w:tcBorders>
              <w:bottom w:val="single" w:sz="8" w:color="2AD2C8"/>
              <w:right w:val="single" w:sz="8" w:color="auto"/>
            </w:tcBorders>
            <w:shd w:val="clear" w:color="auto" w:fill="2AD2C8"/>
          </w:tcPr>
          <w:p>
            <w:pPr>
              <w:ind w:left="180"/>
              <w:spacing w:after="0"/>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27"/>
        </w:trPr>
        <w:tc>
          <w:tcPr>
            <w:tcW w:w="3100" w:type="dxa"/>
            <w:vAlign w:val="bottom"/>
            <w:tcBorders>
              <w:top w:val="single" w:sz="8" w:color="auto"/>
              <w:left w:val="single" w:sz="8" w:color="auto"/>
            </w:tcBorders>
          </w:tcPr>
          <w:p>
            <w:pPr>
              <w:spacing w:after="0" w:line="127" w:lineRule="exact"/>
              <w:rPr>
                <w:sz w:val="20"/>
                <w:szCs w:val="20"/>
                <w:color w:val="auto"/>
              </w:rPr>
            </w:pPr>
            <w:r>
              <w:rPr>
                <w:rFonts w:ascii="Calibri" w:cs="Calibri" w:eastAsia="Calibri" w:hAnsi="Calibri"/>
                <w:sz w:val="12"/>
                <w:szCs w:val="12"/>
                <w:b w:val="1"/>
                <w:bCs w:val="1"/>
                <w:color w:val="auto"/>
              </w:rPr>
              <w:t>Common Equity Tier 1 rato</w:t>
            </w:r>
          </w:p>
        </w:tc>
        <w:tc>
          <w:tcPr>
            <w:tcW w:w="1620" w:type="dxa"/>
            <w:vAlign w:val="bottom"/>
            <w:tcBorders>
              <w:top w:val="single" w:sz="8" w:color="auto"/>
              <w:right w:val="single" w:sz="8" w:color="auto"/>
            </w:tcBorders>
          </w:tcPr>
          <w:p>
            <w:pPr>
              <w:spacing w:after="0"/>
              <w:rPr>
                <w:sz w:val="11"/>
                <w:szCs w:val="11"/>
                <w:color w:val="auto"/>
              </w:rPr>
            </w:pPr>
          </w:p>
        </w:tc>
        <w:tc>
          <w:tcPr>
            <w:tcW w:w="1200" w:type="dxa"/>
            <w:vAlign w:val="bottom"/>
            <w:tcBorders>
              <w:top w:val="single" w:sz="8" w:color="auto"/>
            </w:tcBorders>
          </w:tcPr>
          <w:p>
            <w:pPr>
              <w:jc w:val="center"/>
              <w:ind w:left="60"/>
              <w:spacing w:after="0"/>
              <w:rPr>
                <w:sz w:val="20"/>
                <w:szCs w:val="20"/>
                <w:color w:val="auto"/>
              </w:rPr>
            </w:pPr>
            <w:r>
              <w:rPr>
                <w:rFonts w:ascii="Calibri" w:cs="Calibri" w:eastAsia="Calibri" w:hAnsi="Calibri"/>
                <w:sz w:val="10"/>
                <w:szCs w:val="10"/>
                <w:color w:val="auto"/>
                <w:w w:val="93"/>
              </w:rPr>
              <w:t>13.09%</w:t>
            </w:r>
          </w:p>
        </w:tc>
        <w:tc>
          <w:tcPr>
            <w:tcW w:w="1360" w:type="dxa"/>
            <w:vAlign w:val="bottom"/>
            <w:tcBorders>
              <w:top w:val="single" w:sz="8" w:color="auto"/>
            </w:tcBorders>
          </w:tcPr>
          <w:p>
            <w:pPr>
              <w:jc w:val="center"/>
              <w:ind w:left="120"/>
              <w:spacing w:after="0"/>
              <w:rPr>
                <w:sz w:val="20"/>
                <w:szCs w:val="20"/>
                <w:color w:val="auto"/>
              </w:rPr>
            </w:pPr>
            <w:r>
              <w:rPr>
                <w:rFonts w:ascii="Calibri" w:cs="Calibri" w:eastAsia="Calibri" w:hAnsi="Calibri"/>
                <w:sz w:val="10"/>
                <w:szCs w:val="10"/>
                <w:color w:val="auto"/>
              </w:rPr>
              <w:t>13.25%</w:t>
            </w:r>
          </w:p>
        </w:tc>
        <w:tc>
          <w:tcPr>
            <w:tcW w:w="1380" w:type="dxa"/>
            <w:vAlign w:val="bottom"/>
            <w:tcBorders>
              <w:top w:val="single" w:sz="8" w:color="auto"/>
              <w:right w:val="single" w:sz="8" w:color="auto"/>
            </w:tcBorders>
          </w:tcPr>
          <w:p>
            <w:pPr>
              <w:jc w:val="right"/>
              <w:ind w:right="480"/>
              <w:spacing w:after="0"/>
              <w:rPr>
                <w:sz w:val="20"/>
                <w:szCs w:val="20"/>
                <w:color w:val="auto"/>
              </w:rPr>
            </w:pPr>
            <w:r>
              <w:rPr>
                <w:rFonts w:ascii="Calibri" w:cs="Calibri" w:eastAsia="Calibri" w:hAnsi="Calibri"/>
                <w:sz w:val="10"/>
                <w:szCs w:val="10"/>
                <w:color w:val="auto"/>
              </w:rPr>
              <w:t>13.08%</w:t>
            </w:r>
          </w:p>
        </w:tc>
        <w:tc>
          <w:tcPr>
            <w:tcW w:w="1280" w:type="dxa"/>
            <w:vAlign w:val="bottom"/>
            <w:tcBorders>
              <w:top w:val="single" w:sz="8" w:color="auto"/>
            </w:tcBorders>
          </w:tcPr>
          <w:p>
            <w:pPr>
              <w:jc w:val="right"/>
              <w:ind w:right="560"/>
              <w:spacing w:after="0"/>
              <w:rPr>
                <w:sz w:val="20"/>
                <w:szCs w:val="20"/>
                <w:color w:val="auto"/>
              </w:rPr>
            </w:pPr>
            <w:r>
              <w:rPr>
                <w:rFonts w:ascii="Calibri" w:cs="Calibri" w:eastAsia="Calibri" w:hAnsi="Calibri"/>
                <w:sz w:val="10"/>
                <w:szCs w:val="10"/>
                <w:color w:val="auto"/>
              </w:rPr>
              <w:t>-16 bps</w:t>
            </w:r>
          </w:p>
        </w:tc>
        <w:tc>
          <w:tcPr>
            <w:tcW w:w="740" w:type="dxa"/>
            <w:vAlign w:val="bottom"/>
            <w:tcBorders>
              <w:top w:val="single" w:sz="8" w:color="auto"/>
              <w:right w:val="single" w:sz="8" w:color="auto"/>
            </w:tcBorders>
          </w:tcPr>
          <w:p>
            <w:pPr>
              <w:jc w:val="center"/>
              <w:ind w:right="40"/>
              <w:spacing w:after="0"/>
              <w:rPr>
                <w:sz w:val="20"/>
                <w:szCs w:val="20"/>
                <w:color w:val="auto"/>
              </w:rPr>
            </w:pPr>
            <w:r>
              <w:rPr>
                <w:rFonts w:ascii="Calibri" w:cs="Calibri" w:eastAsia="Calibri" w:hAnsi="Calibri"/>
                <w:sz w:val="10"/>
                <w:szCs w:val="10"/>
                <w:color w:val="auto"/>
                <w:w w:val="96"/>
              </w:rPr>
              <w:t>-1 bps</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tcPr>
          <w:p>
            <w:pPr>
              <w:spacing w:after="0" w:line="145" w:lineRule="exact"/>
              <w:rPr>
                <w:sz w:val="20"/>
                <w:szCs w:val="20"/>
                <w:color w:val="auto"/>
              </w:rPr>
            </w:pPr>
            <w:r>
              <w:rPr>
                <w:rFonts w:ascii="Calibri" w:cs="Calibri" w:eastAsia="Calibri" w:hAnsi="Calibri"/>
                <w:sz w:val="12"/>
                <w:szCs w:val="12"/>
                <w:b w:val="1"/>
                <w:bCs w:val="1"/>
                <w:color w:val="auto"/>
              </w:rPr>
              <w:t>Tier 1 Capital rato</w:t>
            </w:r>
          </w:p>
        </w:tc>
        <w:tc>
          <w:tcPr>
            <w:tcW w:w="1620" w:type="dxa"/>
            <w:vAlign w:val="bottom"/>
            <w:tcBorders>
              <w:right w:val="single" w:sz="8" w:color="auto"/>
            </w:tcBorders>
          </w:tcPr>
          <w:p>
            <w:pPr>
              <w:spacing w:after="0"/>
              <w:rPr>
                <w:sz w:val="12"/>
                <w:szCs w:val="12"/>
                <w:color w:val="auto"/>
              </w:rPr>
            </w:pPr>
          </w:p>
        </w:tc>
        <w:tc>
          <w:tcPr>
            <w:tcW w:w="1200" w:type="dxa"/>
            <w:vAlign w:val="bottom"/>
          </w:tcPr>
          <w:p>
            <w:pPr>
              <w:jc w:val="center"/>
              <w:ind w:left="60"/>
              <w:spacing w:after="0"/>
              <w:rPr>
                <w:sz w:val="20"/>
                <w:szCs w:val="20"/>
                <w:color w:val="auto"/>
              </w:rPr>
            </w:pPr>
            <w:r>
              <w:rPr>
                <w:rFonts w:ascii="Calibri" w:cs="Calibri" w:eastAsia="Calibri" w:hAnsi="Calibri"/>
                <w:sz w:val="10"/>
                <w:szCs w:val="10"/>
                <w:color w:val="auto"/>
                <w:w w:val="93"/>
              </w:rPr>
              <w:t>13.09%</w:t>
            </w:r>
          </w:p>
        </w:tc>
        <w:tc>
          <w:tcPr>
            <w:tcW w:w="1360" w:type="dxa"/>
            <w:vAlign w:val="bottom"/>
          </w:tcPr>
          <w:p>
            <w:pPr>
              <w:jc w:val="center"/>
              <w:ind w:left="120"/>
              <w:spacing w:after="0"/>
              <w:rPr>
                <w:sz w:val="20"/>
                <w:szCs w:val="20"/>
                <w:color w:val="auto"/>
              </w:rPr>
            </w:pPr>
            <w:r>
              <w:rPr>
                <w:rFonts w:ascii="Calibri" w:cs="Calibri" w:eastAsia="Calibri" w:hAnsi="Calibri"/>
                <w:sz w:val="10"/>
                <w:szCs w:val="10"/>
                <w:color w:val="auto"/>
              </w:rPr>
              <w:t>13.25%</w:t>
            </w:r>
          </w:p>
        </w:tc>
        <w:tc>
          <w:tcPr>
            <w:tcW w:w="1380" w:type="dxa"/>
            <w:vAlign w:val="bottom"/>
            <w:tcBorders>
              <w:right w:val="single" w:sz="8" w:color="auto"/>
            </w:tcBorders>
          </w:tcPr>
          <w:p>
            <w:pPr>
              <w:jc w:val="right"/>
              <w:ind w:right="480"/>
              <w:spacing w:after="0"/>
              <w:rPr>
                <w:sz w:val="20"/>
                <w:szCs w:val="20"/>
                <w:color w:val="auto"/>
              </w:rPr>
            </w:pPr>
            <w:r>
              <w:rPr>
                <w:rFonts w:ascii="Calibri" w:cs="Calibri" w:eastAsia="Calibri" w:hAnsi="Calibri"/>
                <w:sz w:val="10"/>
                <w:szCs w:val="10"/>
                <w:color w:val="auto"/>
              </w:rPr>
              <w:t>13.08%</w:t>
            </w:r>
          </w:p>
        </w:tc>
        <w:tc>
          <w:tcPr>
            <w:tcW w:w="1280" w:type="dxa"/>
            <w:vAlign w:val="bottom"/>
          </w:tcPr>
          <w:p>
            <w:pPr>
              <w:jc w:val="right"/>
              <w:ind w:right="560"/>
              <w:spacing w:after="0"/>
              <w:rPr>
                <w:sz w:val="20"/>
                <w:szCs w:val="20"/>
                <w:color w:val="auto"/>
              </w:rPr>
            </w:pPr>
            <w:r>
              <w:rPr>
                <w:rFonts w:ascii="Calibri" w:cs="Calibri" w:eastAsia="Calibri" w:hAnsi="Calibri"/>
                <w:sz w:val="10"/>
                <w:szCs w:val="10"/>
                <w:color w:val="auto"/>
              </w:rPr>
              <w:t>-16 bps</w:t>
            </w:r>
          </w:p>
        </w:tc>
        <w:tc>
          <w:tcPr>
            <w:tcW w:w="740" w:type="dxa"/>
            <w:vAlign w:val="bottom"/>
            <w:tcBorders>
              <w:right w:val="single" w:sz="8" w:color="auto"/>
            </w:tcBorders>
          </w:tcPr>
          <w:p>
            <w:pPr>
              <w:jc w:val="center"/>
              <w:ind w:right="40"/>
              <w:spacing w:after="0"/>
              <w:rPr>
                <w:sz w:val="20"/>
                <w:szCs w:val="20"/>
                <w:color w:val="auto"/>
              </w:rPr>
            </w:pPr>
            <w:r>
              <w:rPr>
                <w:rFonts w:ascii="Calibri" w:cs="Calibri" w:eastAsia="Calibri" w:hAnsi="Calibri"/>
                <w:sz w:val="10"/>
                <w:szCs w:val="10"/>
                <w:color w:val="auto"/>
                <w:w w:val="96"/>
              </w:rPr>
              <w:t>-1 bps</w:t>
            </w:r>
          </w:p>
        </w:tc>
        <w:tc>
          <w:tcPr>
            <w:tcW w:w="0" w:type="dxa"/>
            <w:vAlign w:val="bottom"/>
          </w:tcPr>
          <w:p>
            <w:pPr>
              <w:spacing w:after="0"/>
              <w:rPr>
                <w:sz w:val="1"/>
                <w:szCs w:val="1"/>
                <w:color w:val="auto"/>
              </w:rPr>
            </w:pPr>
          </w:p>
        </w:tc>
      </w:tr>
      <w:tr>
        <w:trPr>
          <w:trHeight w:val="150"/>
        </w:trPr>
        <w:tc>
          <w:tcPr>
            <w:tcW w:w="3100" w:type="dxa"/>
            <w:vAlign w:val="bottom"/>
            <w:tcBorders>
              <w:left w:val="single" w:sz="8" w:color="auto"/>
              <w:bottom w:val="single" w:sz="8" w:color="auto"/>
            </w:tcBorders>
          </w:tcPr>
          <w:p>
            <w:pPr>
              <w:spacing w:after="0"/>
              <w:rPr>
                <w:sz w:val="20"/>
                <w:szCs w:val="20"/>
                <w:color w:val="auto"/>
              </w:rPr>
            </w:pPr>
            <w:r>
              <w:rPr>
                <w:rFonts w:ascii="Calibri" w:cs="Calibri" w:eastAsia="Calibri" w:hAnsi="Calibri"/>
                <w:sz w:val="12"/>
                <w:szCs w:val="12"/>
                <w:b w:val="1"/>
                <w:bCs w:val="1"/>
                <w:color w:val="auto"/>
              </w:rPr>
              <w:t>Regulatory Global Capital rato</w:t>
            </w:r>
          </w:p>
        </w:tc>
        <w:tc>
          <w:tcPr>
            <w:tcW w:w="16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tcBorders>
          </w:tcPr>
          <w:p>
            <w:pPr>
              <w:jc w:val="center"/>
              <w:ind w:left="60"/>
              <w:spacing w:after="0"/>
              <w:rPr>
                <w:sz w:val="20"/>
                <w:szCs w:val="20"/>
                <w:color w:val="auto"/>
              </w:rPr>
            </w:pPr>
            <w:r>
              <w:rPr>
                <w:rFonts w:ascii="Calibri" w:cs="Calibri" w:eastAsia="Calibri" w:hAnsi="Calibri"/>
                <w:sz w:val="10"/>
                <w:szCs w:val="10"/>
                <w:color w:val="auto"/>
                <w:w w:val="93"/>
              </w:rPr>
              <w:t>17.46%</w:t>
            </w:r>
          </w:p>
        </w:tc>
        <w:tc>
          <w:tcPr>
            <w:tcW w:w="1360" w:type="dxa"/>
            <w:vAlign w:val="bottom"/>
            <w:tcBorders>
              <w:bottom w:val="single" w:sz="8" w:color="auto"/>
            </w:tcBorders>
          </w:tcPr>
          <w:p>
            <w:pPr>
              <w:jc w:val="center"/>
              <w:ind w:left="120"/>
              <w:spacing w:after="0"/>
              <w:rPr>
                <w:sz w:val="20"/>
                <w:szCs w:val="20"/>
                <w:color w:val="auto"/>
              </w:rPr>
            </w:pPr>
            <w:r>
              <w:rPr>
                <w:rFonts w:ascii="Calibri" w:cs="Calibri" w:eastAsia="Calibri" w:hAnsi="Calibri"/>
                <w:sz w:val="10"/>
                <w:szCs w:val="10"/>
                <w:color w:val="auto"/>
              </w:rPr>
              <w:t>18.96%</w:t>
            </w:r>
          </w:p>
        </w:tc>
        <w:tc>
          <w:tcPr>
            <w:tcW w:w="1380" w:type="dxa"/>
            <w:vAlign w:val="bottom"/>
            <w:tcBorders>
              <w:bottom w:val="single" w:sz="8" w:color="auto"/>
              <w:right w:val="single" w:sz="8" w:color="auto"/>
            </w:tcBorders>
          </w:tcPr>
          <w:p>
            <w:pPr>
              <w:jc w:val="right"/>
              <w:ind w:right="480"/>
              <w:spacing w:after="0"/>
              <w:rPr>
                <w:sz w:val="20"/>
                <w:szCs w:val="20"/>
                <w:color w:val="auto"/>
              </w:rPr>
            </w:pPr>
            <w:r>
              <w:rPr>
                <w:rFonts w:ascii="Calibri" w:cs="Calibri" w:eastAsia="Calibri" w:hAnsi="Calibri"/>
                <w:sz w:val="10"/>
                <w:szCs w:val="10"/>
                <w:color w:val="auto"/>
              </w:rPr>
              <w:t>18.71%</w:t>
            </w:r>
          </w:p>
        </w:tc>
        <w:tc>
          <w:tcPr>
            <w:tcW w:w="1280" w:type="dxa"/>
            <w:vAlign w:val="bottom"/>
            <w:tcBorders>
              <w:bottom w:val="single" w:sz="8" w:color="auto"/>
            </w:tcBorders>
          </w:tcPr>
          <w:p>
            <w:pPr>
              <w:jc w:val="right"/>
              <w:ind w:right="560"/>
              <w:spacing w:after="0"/>
              <w:rPr>
                <w:sz w:val="20"/>
                <w:szCs w:val="20"/>
                <w:color w:val="auto"/>
              </w:rPr>
            </w:pPr>
            <w:r>
              <w:rPr>
                <w:rFonts w:ascii="Calibri" w:cs="Calibri" w:eastAsia="Calibri" w:hAnsi="Calibri"/>
                <w:sz w:val="10"/>
                <w:szCs w:val="10"/>
                <w:color w:val="auto"/>
              </w:rPr>
              <w:t>-25 bps</w:t>
            </w:r>
          </w:p>
        </w:tc>
        <w:tc>
          <w:tcPr>
            <w:tcW w:w="740" w:type="dxa"/>
            <w:vAlign w:val="bottom"/>
            <w:tcBorders>
              <w:bottom w:val="single" w:sz="8" w:color="auto"/>
              <w:right w:val="single" w:sz="8" w:color="auto"/>
            </w:tcBorders>
          </w:tcPr>
          <w:p>
            <w:pPr>
              <w:jc w:val="center"/>
              <w:ind w:right="40"/>
              <w:spacing w:after="0"/>
              <w:rPr>
                <w:sz w:val="20"/>
                <w:szCs w:val="20"/>
                <w:color w:val="auto"/>
              </w:rPr>
            </w:pPr>
            <w:r>
              <w:rPr>
                <w:rFonts w:ascii="Calibri" w:cs="Calibri" w:eastAsia="Calibri" w:hAnsi="Calibri"/>
                <w:sz w:val="10"/>
                <w:szCs w:val="10"/>
                <w:color w:val="auto"/>
              </w:rPr>
              <w:t>125 bps</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00" w:hanging="151"/>
        <w:spacing w:after="0"/>
        <w:tabs>
          <w:tab w:leader="none" w:pos="800" w:val="left"/>
        </w:tabs>
        <w:numPr>
          <w:ilvl w:val="0"/>
          <w:numId w:val="51"/>
        </w:numPr>
        <w:rPr>
          <w:rFonts w:ascii="Calibri" w:cs="Calibri" w:eastAsia="Calibri" w:hAnsi="Calibri"/>
          <w:sz w:val="11"/>
          <w:szCs w:val="11"/>
          <w:color w:val="auto"/>
        </w:rPr>
      </w:pPr>
      <w:r>
        <w:rPr>
          <w:rFonts w:ascii="Calibri" w:cs="Calibri" w:eastAsia="Calibri" w:hAnsi="Calibri"/>
          <w:sz w:val="11"/>
          <w:szCs w:val="11"/>
          <w:color w:val="auto"/>
        </w:rPr>
        <w:t>Up to 1.25% of total risk-weighted assets.</w:t>
      </w:r>
    </w:p>
    <w:p>
      <w:pPr>
        <w:spacing w:after="0" w:line="56" w:lineRule="exact"/>
        <w:rPr>
          <w:rFonts w:ascii="Calibri" w:cs="Calibri" w:eastAsia="Calibri" w:hAnsi="Calibri"/>
          <w:sz w:val="11"/>
          <w:szCs w:val="11"/>
          <w:color w:val="auto"/>
        </w:rPr>
      </w:pPr>
    </w:p>
    <w:p>
      <w:pPr>
        <w:ind w:left="800" w:right="180" w:hanging="151"/>
        <w:spacing w:after="0" w:line="243" w:lineRule="auto"/>
        <w:tabs>
          <w:tab w:leader="none" w:pos="800" w:val="left"/>
        </w:tabs>
        <w:numPr>
          <w:ilvl w:val="0"/>
          <w:numId w:val="51"/>
        </w:numPr>
        <w:rPr>
          <w:rFonts w:ascii="Calibri" w:cs="Calibri" w:eastAsia="Calibri" w:hAnsi="Calibri"/>
          <w:sz w:val="11"/>
          <w:szCs w:val="11"/>
          <w:color w:val="auto"/>
        </w:rPr>
      </w:pPr>
      <w:r>
        <w:rPr>
          <w:rFonts w:ascii="Calibri" w:cs="Calibri" w:eastAsia="Calibri" w:hAnsi="Calibri"/>
          <w:sz w:val="11"/>
          <w:szCs w:val="11"/>
          <w:color w:val="auto"/>
        </w:rPr>
        <w:t xml:space="preserve">Common Equity Tier 1 = Capital Stock + Reserves + Accumulated earnings – Unrealized profts or losses </w:t>
      </w:r>
      <w:r>
        <w:rPr>
          <w:rFonts w:ascii="Times New Roman" w:cs="Times New Roman" w:eastAsia="Times New Roman" w:hAnsi="Times New Roman"/>
          <w:sz w:val="11"/>
          <w:szCs w:val="11"/>
          <w:color w:val="auto"/>
        </w:rPr>
        <w:t>-</w:t>
      </w:r>
      <w:r>
        <w:rPr>
          <w:rFonts w:ascii="Calibri" w:cs="Calibri" w:eastAsia="Calibri" w:hAnsi="Calibri"/>
          <w:sz w:val="11"/>
          <w:szCs w:val="11"/>
          <w:color w:val="auto"/>
        </w:rPr>
        <w:t xml:space="preserve"> 100% deductons (investment in subsidiaries, goodwill, intangible assets and deferred tax assets based on future returns).</w:t>
      </w:r>
    </w:p>
    <w:p>
      <w:pPr>
        <w:ind w:left="800" w:hanging="151"/>
        <w:spacing w:after="0" w:line="234" w:lineRule="auto"/>
        <w:tabs>
          <w:tab w:leader="none" w:pos="800" w:val="left"/>
        </w:tabs>
        <w:numPr>
          <w:ilvl w:val="0"/>
          <w:numId w:val="51"/>
        </w:numPr>
        <w:rPr>
          <w:rFonts w:ascii="Calibri" w:cs="Calibri" w:eastAsia="Calibri" w:hAnsi="Calibri"/>
          <w:sz w:val="11"/>
          <w:szCs w:val="11"/>
          <w:color w:val="auto"/>
        </w:rPr>
      </w:pPr>
      <w:r>
        <w:rPr>
          <w:rFonts w:ascii="Calibri" w:cs="Calibri" w:eastAsia="Calibri" w:hAnsi="Calibri"/>
          <w:sz w:val="11"/>
          <w:szCs w:val="11"/>
          <w:color w:val="auto"/>
        </w:rPr>
        <w:t>Regulatory Tier 1 Capital = Common Equity Tier 1 + Tier 1 Subordinated Debt (Perpetual).</w:t>
      </w:r>
    </w:p>
    <w:p>
      <w:pPr>
        <w:spacing w:after="0" w:line="61" w:lineRule="exact"/>
        <w:rPr>
          <w:rFonts w:ascii="Calibri" w:cs="Calibri" w:eastAsia="Calibri" w:hAnsi="Calibri"/>
          <w:sz w:val="11"/>
          <w:szCs w:val="11"/>
          <w:color w:val="auto"/>
        </w:rPr>
      </w:pPr>
    </w:p>
    <w:p>
      <w:pPr>
        <w:ind w:left="800" w:hanging="151"/>
        <w:spacing w:after="0"/>
        <w:tabs>
          <w:tab w:leader="none" w:pos="800" w:val="left"/>
        </w:tabs>
        <w:numPr>
          <w:ilvl w:val="0"/>
          <w:numId w:val="51"/>
        </w:numPr>
        <w:rPr>
          <w:rFonts w:ascii="Calibri" w:cs="Calibri" w:eastAsia="Calibri" w:hAnsi="Calibri"/>
          <w:sz w:val="11"/>
          <w:szCs w:val="11"/>
          <w:color w:val="auto"/>
        </w:rPr>
      </w:pPr>
      <w:r>
        <w:rPr>
          <w:rFonts w:ascii="Calibri" w:cs="Calibri" w:eastAsia="Calibri" w:hAnsi="Calibri"/>
          <w:sz w:val="11"/>
          <w:szCs w:val="11"/>
          <w:color w:val="auto"/>
        </w:rPr>
        <w:t>Regulatory Tier 2 Capital = Subordinated Debt + Loan loss reserves.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36830</wp:posOffset>
            </wp:positionV>
            <wp:extent cx="713613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940"/>
          </w:cols>
          <w:pgMar w:left="620" w:top="279" w:right="339" w:bottom="1440" w:gutter="0" w:footer="0" w:header="0"/>
        </w:sectPr>
      </w:pPr>
    </w:p>
    <w:bookmarkStart w:id="55" w:name="page56"/>
    <w:bookmarkEnd w:id="55"/>
    <w:p>
      <w:pPr>
        <w:ind w:left="2380"/>
        <w:spacing w:after="0"/>
        <w:tabs>
          <w:tab w:leader="none" w:pos="2660" w:val="left"/>
          <w:tab w:leader="none" w:pos="73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180975</wp:posOffset>
            </wp:positionV>
            <wp:extent cx="7136130" cy="2330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080"/>
        <w:spacing w:after="0"/>
        <w:rPr>
          <w:sz w:val="20"/>
          <w:szCs w:val="20"/>
          <w:color w:val="auto"/>
        </w:rPr>
      </w:pPr>
      <w:r>
        <w:rPr>
          <w:rFonts w:ascii="Calibri" w:cs="Calibri" w:eastAsia="Calibri" w:hAnsi="Calibri"/>
          <w:sz w:val="17"/>
          <w:szCs w:val="17"/>
          <w:b w:val="1"/>
          <w:bCs w:val="1"/>
          <w:color w:val="auto"/>
        </w:rPr>
        <w:t>Regulatory Capital and Capital Adequacy Ratos at Mibanco</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2920" w:type="dxa"/>
            <w:vAlign w:val="bottom"/>
            <w:tcBorders>
              <w:top w:val="single" w:sz="8" w:color="auto"/>
              <w:left w:val="single" w:sz="8" w:color="auto"/>
            </w:tcBorders>
            <w:shd w:val="clear" w:color="auto" w:fill="2AD2C8"/>
          </w:tcPr>
          <w:p>
            <w:pPr>
              <w:spacing w:after="0"/>
              <w:rPr>
                <w:sz w:val="20"/>
                <w:szCs w:val="20"/>
                <w:color w:val="auto"/>
              </w:rPr>
            </w:pPr>
            <w:r>
              <w:rPr>
                <w:rFonts w:ascii="Calibri" w:cs="Calibri" w:eastAsia="Calibri" w:hAnsi="Calibri"/>
                <w:sz w:val="12"/>
                <w:szCs w:val="12"/>
                <w:b w:val="1"/>
                <w:bCs w:val="1"/>
                <w:color w:val="FFFFFF"/>
              </w:rPr>
              <w:t>Regulatory Capital</w:t>
            </w:r>
          </w:p>
        </w:tc>
        <w:tc>
          <w:tcPr>
            <w:tcW w:w="1860" w:type="dxa"/>
            <w:vAlign w:val="bottom"/>
            <w:tcBorders>
              <w:top w:val="single" w:sz="8" w:color="auto"/>
              <w:right w:val="single" w:sz="8" w:color="auto"/>
            </w:tcBorders>
            <w:shd w:val="clear" w:color="auto" w:fill="2AD2C8"/>
          </w:tcPr>
          <w:p>
            <w:pPr>
              <w:spacing w:after="0"/>
              <w:rPr>
                <w:sz w:val="15"/>
                <w:szCs w:val="15"/>
                <w:color w:val="auto"/>
              </w:rPr>
            </w:pPr>
          </w:p>
        </w:tc>
        <w:tc>
          <w:tcPr>
            <w:tcW w:w="1160" w:type="dxa"/>
            <w:vAlign w:val="bottom"/>
            <w:tcBorders>
              <w:top w:val="single" w:sz="8" w:color="auto"/>
            </w:tcBorders>
            <w:shd w:val="clear" w:color="auto" w:fill="2AD2C8"/>
          </w:tcPr>
          <w:p>
            <w:pPr>
              <w:spacing w:after="0"/>
              <w:rPr>
                <w:sz w:val="15"/>
                <w:szCs w:val="15"/>
                <w:color w:val="auto"/>
              </w:rPr>
            </w:pPr>
          </w:p>
        </w:tc>
        <w:tc>
          <w:tcPr>
            <w:tcW w:w="1360" w:type="dxa"/>
            <w:vAlign w:val="bottom"/>
            <w:tcBorders>
              <w:top w:val="single" w:sz="8" w:color="auto"/>
            </w:tcBorders>
            <w:shd w:val="clear" w:color="auto" w:fill="2AD2C8"/>
          </w:tcPr>
          <w:p>
            <w:pPr>
              <w:ind w:left="440"/>
              <w:spacing w:after="0"/>
              <w:rPr>
                <w:sz w:val="20"/>
                <w:szCs w:val="20"/>
                <w:color w:val="auto"/>
              </w:rPr>
            </w:pPr>
            <w:r>
              <w:rPr>
                <w:rFonts w:ascii="Calibri" w:cs="Calibri" w:eastAsia="Calibri" w:hAnsi="Calibri"/>
                <w:sz w:val="12"/>
                <w:szCs w:val="12"/>
                <w:b w:val="1"/>
                <w:bCs w:val="1"/>
                <w:color w:val="FFFFFF"/>
              </w:rPr>
              <w:t>Quarter</w:t>
            </w:r>
          </w:p>
        </w:tc>
        <w:tc>
          <w:tcPr>
            <w:tcW w:w="1260" w:type="dxa"/>
            <w:vAlign w:val="bottom"/>
            <w:tcBorders>
              <w:top w:val="single" w:sz="8" w:color="auto"/>
              <w:right w:val="single" w:sz="8" w:color="auto"/>
            </w:tcBorders>
            <w:shd w:val="clear" w:color="auto" w:fill="2AD2C8"/>
          </w:tcPr>
          <w:p>
            <w:pPr>
              <w:jc w:val="right"/>
              <w:ind w:right="419"/>
              <w:spacing w:after="0"/>
              <w:rPr>
                <w:sz w:val="20"/>
                <w:szCs w:val="20"/>
                <w:color w:val="auto"/>
              </w:rPr>
            </w:pPr>
            <w:r>
              <w:rPr>
                <w:rFonts w:ascii="Calibri" w:cs="Calibri" w:eastAsia="Calibri" w:hAnsi="Calibri"/>
                <w:sz w:val="12"/>
                <w:szCs w:val="12"/>
                <w:b w:val="1"/>
                <w:bCs w:val="1"/>
                <w:color w:val="FFFFFF"/>
              </w:rPr>
              <w:t>Dec 24</w:t>
            </w:r>
          </w:p>
        </w:tc>
        <w:tc>
          <w:tcPr>
            <w:tcW w:w="680" w:type="dxa"/>
            <w:vAlign w:val="bottom"/>
            <w:tcBorders>
              <w:top w:val="single" w:sz="8" w:color="auto"/>
            </w:tcBorders>
            <w:shd w:val="clear" w:color="auto" w:fill="2AD2C8"/>
          </w:tcPr>
          <w:p>
            <w:pPr>
              <w:spacing w:after="0"/>
              <w:rPr>
                <w:sz w:val="15"/>
                <w:szCs w:val="15"/>
                <w:color w:val="auto"/>
              </w:rPr>
            </w:pPr>
          </w:p>
        </w:tc>
        <w:tc>
          <w:tcPr>
            <w:tcW w:w="160" w:type="dxa"/>
            <w:vAlign w:val="bottom"/>
            <w:tcBorders>
              <w:top w:val="single" w:sz="8" w:color="auto"/>
            </w:tcBorders>
            <w:shd w:val="clear" w:color="auto" w:fill="2AD2C8"/>
          </w:tcPr>
          <w:p>
            <w:pPr>
              <w:spacing w:after="0"/>
              <w:rPr>
                <w:sz w:val="15"/>
                <w:szCs w:val="15"/>
                <w:color w:val="auto"/>
              </w:rPr>
            </w:pPr>
          </w:p>
        </w:tc>
        <w:tc>
          <w:tcPr>
            <w:tcW w:w="1280" w:type="dxa"/>
            <w:vAlign w:val="bottom"/>
            <w:tcBorders>
              <w:top w:val="single" w:sz="8" w:color="auto"/>
              <w:right w:val="single" w:sz="8" w:color="auto"/>
            </w:tcBorders>
            <w:gridSpan w:val="2"/>
            <w:shd w:val="clear" w:color="auto" w:fill="2AD2C8"/>
          </w:tcPr>
          <w:p>
            <w:pPr>
              <w:ind w:left="40"/>
              <w:spacing w:after="0"/>
              <w:rPr>
                <w:sz w:val="20"/>
                <w:szCs w:val="20"/>
                <w:color w:val="auto"/>
              </w:rPr>
            </w:pPr>
            <w:r>
              <w:rPr>
                <w:rFonts w:ascii="Calibri" w:cs="Calibri" w:eastAsia="Calibri" w:hAnsi="Calibri"/>
                <w:sz w:val="12"/>
                <w:szCs w:val="12"/>
                <w:b w:val="1"/>
                <w:bCs w:val="1"/>
                <w:color w:val="FFFFFF"/>
              </w:rPr>
              <w:t>% Change</w:t>
            </w:r>
          </w:p>
        </w:tc>
        <w:tc>
          <w:tcPr>
            <w:tcW w:w="0" w:type="dxa"/>
            <w:vAlign w:val="bottom"/>
          </w:tcPr>
          <w:p>
            <w:pPr>
              <w:spacing w:after="0"/>
              <w:rPr>
                <w:sz w:val="1"/>
                <w:szCs w:val="1"/>
                <w:color w:val="auto"/>
              </w:rPr>
            </w:pPr>
          </w:p>
        </w:tc>
      </w:tr>
      <w:tr>
        <w:trPr>
          <w:trHeight w:val="211"/>
        </w:trPr>
        <w:tc>
          <w:tcPr>
            <w:tcW w:w="2920" w:type="dxa"/>
            <w:vAlign w:val="bottom"/>
            <w:tcBorders>
              <w:left w:val="single" w:sz="8" w:color="auto"/>
              <w:bottom w:val="single" w:sz="8" w:color="2AD2C8"/>
            </w:tcBorders>
            <w:shd w:val="clear" w:color="auto" w:fill="2AD2C8"/>
          </w:tcPr>
          <w:p>
            <w:pPr>
              <w:spacing w:after="0"/>
              <w:rPr>
                <w:sz w:val="20"/>
                <w:szCs w:val="20"/>
                <w:color w:val="auto"/>
              </w:rPr>
            </w:pPr>
            <w:r>
              <w:rPr>
                <w:rFonts w:ascii="Calibri" w:cs="Calibri" w:eastAsia="Calibri" w:hAnsi="Calibri"/>
                <w:sz w:val="12"/>
                <w:szCs w:val="12"/>
                <w:b w:val="1"/>
                <w:bCs w:val="1"/>
                <w:color w:val="FFFFFF"/>
              </w:rPr>
              <w:t>(S/ thousand)</w:t>
            </w:r>
          </w:p>
        </w:tc>
        <w:tc>
          <w:tcPr>
            <w:tcW w:w="1860" w:type="dxa"/>
            <w:vAlign w:val="bottom"/>
            <w:tcBorders>
              <w:bottom w:val="single" w:sz="8" w:color="2AD2C8"/>
              <w:right w:val="single" w:sz="8" w:color="auto"/>
            </w:tcBorders>
            <w:shd w:val="clear" w:color="auto" w:fill="2AD2C8"/>
          </w:tcPr>
          <w:p>
            <w:pPr>
              <w:spacing w:after="0"/>
              <w:rPr>
                <w:sz w:val="17"/>
                <w:szCs w:val="17"/>
                <w:color w:val="auto"/>
              </w:rPr>
            </w:pPr>
          </w:p>
        </w:tc>
        <w:tc>
          <w:tcPr>
            <w:tcW w:w="1160" w:type="dxa"/>
            <w:vAlign w:val="bottom"/>
            <w:tcBorders>
              <w:bottom w:val="single" w:sz="8" w:color="2AD2C8"/>
            </w:tcBorders>
            <w:shd w:val="clear" w:color="auto" w:fill="2AD2C8"/>
          </w:tcPr>
          <w:p>
            <w:pPr>
              <w:ind w:left="440"/>
              <w:spacing w:after="0"/>
              <w:rPr>
                <w:sz w:val="20"/>
                <w:szCs w:val="20"/>
                <w:color w:val="auto"/>
              </w:rPr>
            </w:pPr>
            <w:r>
              <w:rPr>
                <w:rFonts w:ascii="Calibri" w:cs="Calibri" w:eastAsia="Calibri" w:hAnsi="Calibri"/>
                <w:sz w:val="12"/>
                <w:szCs w:val="12"/>
                <w:b w:val="1"/>
                <w:bCs w:val="1"/>
                <w:color w:val="FFFFFF"/>
              </w:rPr>
              <w:t>Dec 23</w:t>
            </w:r>
          </w:p>
        </w:tc>
        <w:tc>
          <w:tcPr>
            <w:tcW w:w="1360" w:type="dxa"/>
            <w:vAlign w:val="bottom"/>
            <w:tcBorders>
              <w:bottom w:val="single" w:sz="8" w:color="2AD2C8"/>
            </w:tcBorders>
            <w:shd w:val="clear" w:color="auto" w:fill="2AD2C8"/>
          </w:tcPr>
          <w:p>
            <w:pPr>
              <w:ind w:left="740"/>
              <w:spacing w:after="0"/>
              <w:rPr>
                <w:sz w:val="20"/>
                <w:szCs w:val="20"/>
                <w:color w:val="auto"/>
              </w:rPr>
            </w:pPr>
            <w:r>
              <w:rPr>
                <w:rFonts w:ascii="Calibri" w:cs="Calibri" w:eastAsia="Calibri" w:hAnsi="Calibri"/>
                <w:sz w:val="12"/>
                <w:szCs w:val="12"/>
                <w:b w:val="1"/>
                <w:bCs w:val="1"/>
                <w:color w:val="FFFFFF"/>
              </w:rPr>
              <w:t>Sep 24</w:t>
            </w:r>
          </w:p>
        </w:tc>
        <w:tc>
          <w:tcPr>
            <w:tcW w:w="1260" w:type="dxa"/>
            <w:vAlign w:val="bottom"/>
            <w:tcBorders>
              <w:bottom w:val="single" w:sz="8" w:color="2AD2C8"/>
              <w:right w:val="single" w:sz="8" w:color="auto"/>
            </w:tcBorders>
            <w:shd w:val="clear" w:color="auto" w:fill="2AD2C8"/>
          </w:tcPr>
          <w:p>
            <w:pPr>
              <w:spacing w:after="0"/>
              <w:rPr>
                <w:sz w:val="17"/>
                <w:szCs w:val="17"/>
                <w:color w:val="auto"/>
              </w:rPr>
            </w:pPr>
          </w:p>
        </w:tc>
        <w:tc>
          <w:tcPr>
            <w:tcW w:w="840" w:type="dxa"/>
            <w:vAlign w:val="bottom"/>
            <w:tcBorders>
              <w:bottom w:val="single" w:sz="8" w:color="2AD2C8"/>
            </w:tcBorders>
            <w:gridSpan w:val="2"/>
            <w:shd w:val="clear" w:color="auto" w:fill="2AD2C8"/>
          </w:tcPr>
          <w:p>
            <w:pPr>
              <w:ind w:left="580"/>
              <w:spacing w:after="0"/>
              <w:rPr>
                <w:sz w:val="20"/>
                <w:szCs w:val="20"/>
                <w:color w:val="auto"/>
              </w:rPr>
            </w:pPr>
            <w:r>
              <w:rPr>
                <w:rFonts w:ascii="Calibri" w:cs="Calibri" w:eastAsia="Calibri" w:hAnsi="Calibri"/>
                <w:sz w:val="12"/>
                <w:szCs w:val="12"/>
                <w:b w:val="1"/>
                <w:bCs w:val="1"/>
                <w:color w:val="FFFFFF"/>
              </w:rPr>
              <w:t>QoQ</w:t>
            </w:r>
          </w:p>
        </w:tc>
        <w:tc>
          <w:tcPr>
            <w:tcW w:w="520" w:type="dxa"/>
            <w:vAlign w:val="bottom"/>
            <w:tcBorders>
              <w:bottom w:val="single" w:sz="8" w:color="2AD2C8"/>
              <w:right w:val="single" w:sz="8" w:color="2AD2C8"/>
            </w:tcBorders>
            <w:shd w:val="clear" w:color="auto" w:fill="2AD2C8"/>
          </w:tcPr>
          <w:p>
            <w:pPr>
              <w:spacing w:after="0"/>
              <w:rPr>
                <w:sz w:val="17"/>
                <w:szCs w:val="17"/>
                <w:color w:val="auto"/>
              </w:rPr>
            </w:pPr>
          </w:p>
        </w:tc>
        <w:tc>
          <w:tcPr>
            <w:tcW w:w="760" w:type="dxa"/>
            <w:vAlign w:val="bottom"/>
            <w:tcBorders>
              <w:bottom w:val="single" w:sz="8" w:color="2AD2C8"/>
              <w:right w:val="single" w:sz="8" w:color="auto"/>
            </w:tcBorders>
            <w:shd w:val="clear" w:color="auto" w:fill="2AD2C8"/>
          </w:tcPr>
          <w:p>
            <w:pPr>
              <w:ind w:left="20"/>
              <w:spacing w:after="0"/>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37"/>
        </w:trPr>
        <w:tc>
          <w:tcPr>
            <w:tcW w:w="2920" w:type="dxa"/>
            <w:vAlign w:val="bottom"/>
            <w:tcBorders>
              <w:top w:val="single" w:sz="8" w:color="auto"/>
              <w:left w:val="single" w:sz="8" w:color="auto"/>
            </w:tcBorders>
          </w:tcPr>
          <w:p>
            <w:pPr>
              <w:ind w:left="160"/>
              <w:spacing w:after="0" w:line="138" w:lineRule="exact"/>
              <w:rPr>
                <w:sz w:val="20"/>
                <w:szCs w:val="20"/>
                <w:color w:val="auto"/>
              </w:rPr>
            </w:pPr>
            <w:r>
              <w:rPr>
                <w:rFonts w:ascii="Calibri" w:cs="Calibri" w:eastAsia="Calibri" w:hAnsi="Calibri"/>
                <w:sz w:val="12"/>
                <w:szCs w:val="12"/>
                <w:color w:val="auto"/>
              </w:rPr>
              <w:t>Capital Stock</w:t>
            </w:r>
          </w:p>
        </w:tc>
        <w:tc>
          <w:tcPr>
            <w:tcW w:w="1860" w:type="dxa"/>
            <w:vAlign w:val="bottom"/>
            <w:tcBorders>
              <w:top w:val="single" w:sz="8" w:color="auto"/>
              <w:right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Calibri" w:cs="Calibri" w:eastAsia="Calibri" w:hAnsi="Calibri"/>
                <w:sz w:val="12"/>
                <w:szCs w:val="12"/>
                <w:color w:val="auto"/>
              </w:rPr>
              <w:t>1,840,606</w:t>
            </w:r>
          </w:p>
        </w:tc>
        <w:tc>
          <w:tcPr>
            <w:tcW w:w="1360" w:type="dxa"/>
            <w:vAlign w:val="bottom"/>
            <w:tcBorders>
              <w:top w:val="single" w:sz="8" w:color="auto"/>
            </w:tcBorders>
            <w:vMerge w:val="restart"/>
          </w:tcPr>
          <w:p>
            <w:pPr>
              <w:jc w:val="center"/>
              <w:ind w:left="59"/>
              <w:spacing w:after="0"/>
              <w:rPr>
                <w:sz w:val="20"/>
                <w:szCs w:val="20"/>
                <w:color w:val="auto"/>
              </w:rPr>
            </w:pPr>
            <w:r>
              <w:rPr>
                <w:rFonts w:ascii="Calibri" w:cs="Calibri" w:eastAsia="Calibri" w:hAnsi="Calibri"/>
                <w:sz w:val="12"/>
                <w:szCs w:val="12"/>
                <w:color w:val="auto"/>
                <w:w w:val="98"/>
              </w:rPr>
              <w:t>1,840,606</w:t>
            </w: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rPr>
              <w:t>1,840,606</w:t>
            </w:r>
          </w:p>
        </w:tc>
        <w:tc>
          <w:tcPr>
            <w:tcW w:w="680" w:type="dxa"/>
            <w:vAlign w:val="bottom"/>
            <w:tcBorders>
              <w:top w:val="single" w:sz="8" w:color="auto"/>
            </w:tcBorders>
            <w:vMerge w:val="restart"/>
          </w:tcPr>
          <w:p>
            <w:pPr>
              <w:jc w:val="center"/>
              <w:ind w:left="100"/>
              <w:spacing w:after="0"/>
              <w:rPr>
                <w:sz w:val="20"/>
                <w:szCs w:val="20"/>
                <w:color w:val="auto"/>
              </w:rPr>
            </w:pPr>
            <w:r>
              <w:rPr>
                <w:rFonts w:ascii="Calibri" w:cs="Calibri" w:eastAsia="Calibri" w:hAnsi="Calibri"/>
                <w:sz w:val="12"/>
                <w:szCs w:val="12"/>
                <w:color w:val="auto"/>
              </w:rPr>
              <w:t>0.0%</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right w:val="single" w:sz="8" w:color="auto"/>
            </w:tcBorders>
            <w:gridSpan w:val="2"/>
            <w:vMerge w:val="restart"/>
          </w:tcPr>
          <w:p>
            <w:pPr>
              <w:jc w:val="center"/>
              <w:spacing w:after="0"/>
              <w:rPr>
                <w:sz w:val="20"/>
                <w:szCs w:val="20"/>
                <w:color w:val="auto"/>
              </w:rPr>
            </w:pPr>
            <w:r>
              <w:rPr>
                <w:rFonts w:ascii="Calibri" w:cs="Calibri" w:eastAsia="Calibri" w:hAnsi="Calibri"/>
                <w:sz w:val="12"/>
                <w:szCs w:val="12"/>
                <w:color w:val="auto"/>
              </w:rPr>
              <w:t>0.0%</w:t>
            </w:r>
          </w:p>
        </w:tc>
        <w:tc>
          <w:tcPr>
            <w:tcW w:w="0" w:type="dxa"/>
            <w:vAlign w:val="bottom"/>
          </w:tcPr>
          <w:p>
            <w:pPr>
              <w:spacing w:after="0"/>
              <w:rPr>
                <w:sz w:val="1"/>
                <w:szCs w:val="1"/>
                <w:color w:val="auto"/>
              </w:rPr>
            </w:pPr>
          </w:p>
        </w:tc>
      </w:tr>
      <w:tr>
        <w:trPr>
          <w:trHeight w:val="30"/>
        </w:trPr>
        <w:tc>
          <w:tcPr>
            <w:tcW w:w="2920" w:type="dxa"/>
            <w:vAlign w:val="bottom"/>
            <w:tcBorders>
              <w:left w:val="single" w:sz="8" w:color="auto"/>
            </w:tcBorders>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116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260" w:type="dxa"/>
            <w:vAlign w:val="bottom"/>
            <w:tcBorders>
              <w:right w:val="single" w:sz="8" w:color="auto"/>
            </w:tcBorders>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3"/>
                <w:szCs w:val="13"/>
                <w:color w:val="auto"/>
              </w:rPr>
              <w:t>Reserves</w:t>
            </w:r>
          </w:p>
        </w:tc>
        <w:tc>
          <w:tcPr>
            <w:tcW w:w="1860" w:type="dxa"/>
            <w:vAlign w:val="bottom"/>
            <w:tcBorders>
              <w:right w:val="single" w:sz="8" w:color="auto"/>
            </w:tcBorders>
          </w:tcPr>
          <w:p>
            <w:pPr>
              <w:spacing w:after="0"/>
              <w:rPr>
                <w:sz w:val="14"/>
                <w:szCs w:val="14"/>
                <w:color w:val="auto"/>
              </w:rPr>
            </w:pPr>
          </w:p>
        </w:tc>
        <w:tc>
          <w:tcPr>
            <w:tcW w:w="1160" w:type="dxa"/>
            <w:vAlign w:val="bottom"/>
          </w:tcPr>
          <w:p>
            <w:pPr>
              <w:jc w:val="center"/>
              <w:spacing w:after="0"/>
              <w:rPr>
                <w:sz w:val="20"/>
                <w:szCs w:val="20"/>
                <w:color w:val="auto"/>
              </w:rPr>
            </w:pPr>
            <w:r>
              <w:rPr>
                <w:rFonts w:ascii="Calibri" w:cs="Calibri" w:eastAsia="Calibri" w:hAnsi="Calibri"/>
                <w:sz w:val="12"/>
                <w:szCs w:val="12"/>
                <w:color w:val="auto"/>
              </w:rPr>
              <w:t>308,056</w:t>
            </w:r>
          </w:p>
        </w:tc>
        <w:tc>
          <w:tcPr>
            <w:tcW w:w="1360" w:type="dxa"/>
            <w:vAlign w:val="bottom"/>
          </w:tcPr>
          <w:p>
            <w:pPr>
              <w:jc w:val="center"/>
              <w:ind w:left="59"/>
              <w:spacing w:after="0"/>
              <w:rPr>
                <w:sz w:val="20"/>
                <w:szCs w:val="20"/>
                <w:color w:val="auto"/>
              </w:rPr>
            </w:pPr>
            <w:r>
              <w:rPr>
                <w:rFonts w:ascii="Calibri" w:cs="Calibri" w:eastAsia="Calibri" w:hAnsi="Calibri"/>
                <w:sz w:val="12"/>
                <w:szCs w:val="12"/>
                <w:color w:val="auto"/>
              </w:rPr>
              <w:t>334,650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334,650</w:t>
            </w:r>
          </w:p>
        </w:tc>
        <w:tc>
          <w:tcPr>
            <w:tcW w:w="680" w:type="dxa"/>
            <w:vAlign w:val="bottom"/>
          </w:tcPr>
          <w:p>
            <w:pPr>
              <w:jc w:val="center"/>
              <w:ind w:left="100"/>
              <w:spacing w:after="0"/>
              <w:rPr>
                <w:sz w:val="20"/>
                <w:szCs w:val="20"/>
                <w:color w:val="auto"/>
              </w:rPr>
            </w:pPr>
            <w:r>
              <w:rPr>
                <w:rFonts w:ascii="Calibri" w:cs="Calibri" w:eastAsia="Calibri" w:hAnsi="Calibri"/>
                <w:sz w:val="12"/>
                <w:szCs w:val="12"/>
                <w:color w:val="auto"/>
              </w:rPr>
              <w:t>0.0%</w:t>
            </w:r>
          </w:p>
        </w:tc>
        <w:tc>
          <w:tcPr>
            <w:tcW w:w="160" w:type="dxa"/>
            <w:vAlign w:val="bottom"/>
          </w:tcPr>
          <w:p>
            <w:pPr>
              <w:spacing w:after="0"/>
              <w:rPr>
                <w:sz w:val="14"/>
                <w:szCs w:val="14"/>
                <w:color w:val="auto"/>
              </w:rPr>
            </w:pPr>
          </w:p>
        </w:tc>
        <w:tc>
          <w:tcPr>
            <w:tcW w:w="128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2"/>
                <w:szCs w:val="12"/>
                <w:color w:val="auto"/>
              </w:rPr>
              <w:t>8.6%</w:t>
            </w:r>
          </w:p>
        </w:tc>
        <w:tc>
          <w:tcPr>
            <w:tcW w:w="0" w:type="dxa"/>
            <w:vAlign w:val="bottom"/>
          </w:tcPr>
          <w:p>
            <w:pPr>
              <w:spacing w:after="0"/>
              <w:rPr>
                <w:sz w:val="1"/>
                <w:szCs w:val="1"/>
                <w:color w:val="auto"/>
              </w:rPr>
            </w:pPr>
          </w:p>
        </w:tc>
      </w:tr>
      <w:tr>
        <w:trPr>
          <w:trHeight w:val="164"/>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Accumulated earnings</w:t>
            </w:r>
          </w:p>
        </w:tc>
        <w:tc>
          <w:tcPr>
            <w:tcW w:w="1860" w:type="dxa"/>
            <w:vAlign w:val="bottom"/>
            <w:tcBorders>
              <w:right w:val="single" w:sz="8" w:color="auto"/>
            </w:tcBorders>
          </w:tcPr>
          <w:p>
            <w:pPr>
              <w:spacing w:after="0"/>
              <w:rPr>
                <w:sz w:val="14"/>
                <w:szCs w:val="14"/>
                <w:color w:val="auto"/>
              </w:rPr>
            </w:pPr>
          </w:p>
        </w:tc>
        <w:tc>
          <w:tcPr>
            <w:tcW w:w="1160" w:type="dxa"/>
            <w:vAlign w:val="bottom"/>
          </w:tcPr>
          <w:p>
            <w:pPr>
              <w:jc w:val="center"/>
              <w:spacing w:after="0"/>
              <w:rPr>
                <w:sz w:val="20"/>
                <w:szCs w:val="20"/>
                <w:color w:val="auto"/>
              </w:rPr>
            </w:pPr>
            <w:r>
              <w:rPr>
                <w:rFonts w:ascii="Calibri" w:cs="Calibri" w:eastAsia="Calibri" w:hAnsi="Calibri"/>
                <w:sz w:val="12"/>
                <w:szCs w:val="12"/>
                <w:color w:val="auto"/>
              </w:rPr>
              <w:t>717,919</w:t>
            </w:r>
          </w:p>
        </w:tc>
        <w:tc>
          <w:tcPr>
            <w:tcW w:w="1360" w:type="dxa"/>
            <w:vAlign w:val="bottom"/>
          </w:tcPr>
          <w:p>
            <w:pPr>
              <w:jc w:val="center"/>
              <w:ind w:left="59"/>
              <w:spacing w:after="0"/>
              <w:rPr>
                <w:sz w:val="20"/>
                <w:szCs w:val="20"/>
                <w:color w:val="auto"/>
              </w:rPr>
            </w:pPr>
            <w:r>
              <w:rPr>
                <w:rFonts w:ascii="Calibri" w:cs="Calibri" w:eastAsia="Calibri" w:hAnsi="Calibri"/>
                <w:sz w:val="12"/>
                <w:szCs w:val="12"/>
                <w:color w:val="auto"/>
              </w:rPr>
              <w:t>424,627</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369,573</w:t>
            </w:r>
          </w:p>
        </w:tc>
        <w:tc>
          <w:tcPr>
            <w:tcW w:w="680" w:type="dxa"/>
            <w:vAlign w:val="bottom"/>
          </w:tcPr>
          <w:p>
            <w:pPr>
              <w:jc w:val="center"/>
              <w:ind w:left="80"/>
              <w:spacing w:after="0"/>
              <w:rPr>
                <w:sz w:val="20"/>
                <w:szCs w:val="20"/>
                <w:color w:val="auto"/>
              </w:rPr>
            </w:pPr>
            <w:r>
              <w:rPr>
                <w:rFonts w:ascii="Calibri" w:cs="Calibri" w:eastAsia="Calibri" w:hAnsi="Calibri"/>
                <w:sz w:val="12"/>
                <w:szCs w:val="12"/>
                <w:color w:val="auto"/>
              </w:rPr>
              <w:t>-13.0%</w:t>
            </w:r>
          </w:p>
        </w:tc>
        <w:tc>
          <w:tcPr>
            <w:tcW w:w="160" w:type="dxa"/>
            <w:vAlign w:val="bottom"/>
          </w:tcPr>
          <w:p>
            <w:pPr>
              <w:spacing w:after="0"/>
              <w:rPr>
                <w:sz w:val="14"/>
                <w:szCs w:val="14"/>
                <w:color w:val="auto"/>
              </w:rPr>
            </w:pPr>
          </w:p>
        </w:tc>
        <w:tc>
          <w:tcPr>
            <w:tcW w:w="128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2"/>
                <w:szCs w:val="12"/>
                <w:color w:val="auto"/>
              </w:rPr>
              <w:t>-48.5%</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tcBorders>
          </w:tcPr>
          <w:p>
            <w:pPr>
              <w:ind w:left="160"/>
              <w:spacing w:after="0" w:line="177" w:lineRule="exact"/>
              <w:rPr>
                <w:sz w:val="20"/>
                <w:szCs w:val="20"/>
                <w:color w:val="auto"/>
              </w:rPr>
            </w:pPr>
            <w:r>
              <w:rPr>
                <w:rFonts w:ascii="Calibri" w:cs="Calibri" w:eastAsia="Calibri" w:hAnsi="Calibri"/>
                <w:sz w:val="12"/>
                <w:szCs w:val="12"/>
                <w:color w:val="auto"/>
              </w:rPr>
              <w:t xml:space="preserve">Loan loss reserves </w:t>
            </w:r>
            <w:r>
              <w:rPr>
                <w:rFonts w:ascii="Calibri" w:cs="Calibri" w:eastAsia="Calibri" w:hAnsi="Calibri"/>
                <w:sz w:val="19"/>
                <w:szCs w:val="19"/>
                <w:color w:val="auto"/>
                <w:vertAlign w:val="superscript"/>
              </w:rPr>
              <w:t>(1)</w:t>
            </w:r>
          </w:p>
        </w:tc>
        <w:tc>
          <w:tcPr>
            <w:tcW w:w="1860" w:type="dxa"/>
            <w:vAlign w:val="bottom"/>
            <w:tcBorders>
              <w:right w:val="single" w:sz="8" w:color="auto"/>
            </w:tcBorders>
          </w:tcPr>
          <w:p>
            <w:pPr>
              <w:spacing w:after="0"/>
              <w:rPr>
                <w:sz w:val="15"/>
                <w:szCs w:val="15"/>
                <w:color w:val="auto"/>
              </w:rPr>
            </w:pPr>
          </w:p>
        </w:tc>
        <w:tc>
          <w:tcPr>
            <w:tcW w:w="1160" w:type="dxa"/>
            <w:vAlign w:val="bottom"/>
          </w:tcPr>
          <w:p>
            <w:pPr>
              <w:jc w:val="center"/>
              <w:spacing w:after="0"/>
              <w:rPr>
                <w:sz w:val="20"/>
                <w:szCs w:val="20"/>
                <w:color w:val="auto"/>
              </w:rPr>
            </w:pPr>
            <w:r>
              <w:rPr>
                <w:rFonts w:ascii="Calibri" w:cs="Calibri" w:eastAsia="Calibri" w:hAnsi="Calibri"/>
                <w:sz w:val="12"/>
                <w:szCs w:val="12"/>
                <w:color w:val="auto"/>
              </w:rPr>
              <w:t>163,158</w:t>
            </w:r>
          </w:p>
        </w:tc>
        <w:tc>
          <w:tcPr>
            <w:tcW w:w="1360" w:type="dxa"/>
            <w:vAlign w:val="bottom"/>
          </w:tcPr>
          <w:p>
            <w:pPr>
              <w:jc w:val="center"/>
              <w:ind w:left="59"/>
              <w:spacing w:after="0"/>
              <w:rPr>
                <w:sz w:val="20"/>
                <w:szCs w:val="20"/>
                <w:color w:val="auto"/>
              </w:rPr>
            </w:pPr>
            <w:r>
              <w:rPr>
                <w:rFonts w:ascii="Calibri" w:cs="Calibri" w:eastAsia="Calibri" w:hAnsi="Calibri"/>
                <w:sz w:val="12"/>
                <w:szCs w:val="12"/>
                <w:color w:val="auto"/>
              </w:rPr>
              <w:t>143,193</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144,751</w:t>
            </w:r>
          </w:p>
        </w:tc>
        <w:tc>
          <w:tcPr>
            <w:tcW w:w="680" w:type="dxa"/>
            <w:vAlign w:val="bottom"/>
          </w:tcPr>
          <w:p>
            <w:pPr>
              <w:jc w:val="center"/>
              <w:ind w:left="100"/>
              <w:spacing w:after="0"/>
              <w:rPr>
                <w:sz w:val="20"/>
                <w:szCs w:val="20"/>
                <w:color w:val="auto"/>
              </w:rPr>
            </w:pPr>
            <w:r>
              <w:rPr>
                <w:rFonts w:ascii="Calibri" w:cs="Calibri" w:eastAsia="Calibri" w:hAnsi="Calibri"/>
                <w:sz w:val="12"/>
                <w:szCs w:val="12"/>
                <w:color w:val="auto"/>
              </w:rPr>
              <w:t>1.1%</w:t>
            </w:r>
          </w:p>
        </w:tc>
        <w:tc>
          <w:tcPr>
            <w:tcW w:w="160" w:type="dxa"/>
            <w:vAlign w:val="bottom"/>
          </w:tcPr>
          <w:p>
            <w:pPr>
              <w:spacing w:after="0"/>
              <w:rPr>
                <w:sz w:val="15"/>
                <w:szCs w:val="15"/>
                <w:color w:val="auto"/>
              </w:rPr>
            </w:pPr>
          </w:p>
        </w:tc>
        <w:tc>
          <w:tcPr>
            <w:tcW w:w="128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2"/>
                <w:szCs w:val="12"/>
                <w:color w:val="auto"/>
              </w:rPr>
              <w:t>-11.3%</w:t>
            </w:r>
          </w:p>
        </w:tc>
        <w:tc>
          <w:tcPr>
            <w:tcW w:w="0" w:type="dxa"/>
            <w:vAlign w:val="bottom"/>
          </w:tcPr>
          <w:p>
            <w:pPr>
              <w:spacing w:after="0"/>
              <w:rPr>
                <w:sz w:val="1"/>
                <w:szCs w:val="1"/>
                <w:color w:val="auto"/>
              </w:rPr>
            </w:pPr>
          </w:p>
        </w:tc>
      </w:tr>
      <w:tr>
        <w:trPr>
          <w:trHeight w:val="170"/>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3"/>
                <w:szCs w:val="13"/>
                <w:color w:val="auto"/>
              </w:rPr>
              <w:t>Perpetual subordinated debt</w:t>
            </w:r>
          </w:p>
        </w:tc>
        <w:tc>
          <w:tcPr>
            <w:tcW w:w="1860" w:type="dxa"/>
            <w:vAlign w:val="bottom"/>
            <w:tcBorders>
              <w:right w:val="single" w:sz="8" w:color="auto"/>
            </w:tcBorders>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13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right w:val="single" w:sz="8" w:color="auto"/>
            </w:tcBorders>
          </w:tcPr>
          <w:p>
            <w:pPr>
              <w:jc w:val="right"/>
              <w:ind w:right="579"/>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center"/>
              <w:ind w:left="100"/>
              <w:spacing w:after="0"/>
              <w:rPr>
                <w:sz w:val="20"/>
                <w:szCs w:val="20"/>
                <w:color w:val="auto"/>
              </w:rPr>
            </w:pPr>
            <w:r>
              <w:rPr>
                <w:rFonts w:ascii="Calibri" w:cs="Calibri" w:eastAsia="Calibri" w:hAnsi="Calibri"/>
                <w:sz w:val="12"/>
                <w:szCs w:val="12"/>
                <w:color w:val="auto"/>
              </w:rPr>
              <w:t>n.a</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right w:val="single" w:sz="8" w:color="auto"/>
            </w:tcBorders>
          </w:tcPr>
          <w:p>
            <w:pPr>
              <w:ind w:left="40"/>
              <w:spacing w:after="0"/>
              <w:rPr>
                <w:sz w:val="20"/>
                <w:szCs w:val="20"/>
                <w:color w:val="auto"/>
              </w:rPr>
            </w:pPr>
            <w:r>
              <w:rPr>
                <w:rFonts w:ascii="Calibri" w:cs="Calibri" w:eastAsia="Calibri" w:hAnsi="Calibri"/>
                <w:sz w:val="12"/>
                <w:szCs w:val="12"/>
                <w:color w:val="auto"/>
              </w:rPr>
              <w:t>n.a.</w:t>
            </w:r>
          </w:p>
        </w:tc>
        <w:tc>
          <w:tcPr>
            <w:tcW w:w="0" w:type="dxa"/>
            <w:vAlign w:val="bottom"/>
          </w:tcPr>
          <w:p>
            <w:pPr>
              <w:spacing w:after="0"/>
              <w:rPr>
                <w:sz w:val="1"/>
                <w:szCs w:val="1"/>
                <w:color w:val="auto"/>
              </w:rPr>
            </w:pPr>
          </w:p>
        </w:tc>
      </w:tr>
      <w:tr>
        <w:trPr>
          <w:trHeight w:val="170"/>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Subordinated debt</w:t>
            </w:r>
          </w:p>
        </w:tc>
        <w:tc>
          <w:tcPr>
            <w:tcW w:w="1860" w:type="dxa"/>
            <w:vAlign w:val="bottom"/>
            <w:tcBorders>
              <w:right w:val="single" w:sz="8" w:color="auto"/>
            </w:tcBorders>
          </w:tcPr>
          <w:p>
            <w:pPr>
              <w:spacing w:after="0"/>
              <w:rPr>
                <w:sz w:val="14"/>
                <w:szCs w:val="14"/>
                <w:color w:val="auto"/>
              </w:rPr>
            </w:pPr>
          </w:p>
        </w:tc>
        <w:tc>
          <w:tcPr>
            <w:tcW w:w="1160" w:type="dxa"/>
            <w:vAlign w:val="bottom"/>
          </w:tcPr>
          <w:p>
            <w:pPr>
              <w:jc w:val="center"/>
              <w:spacing w:after="0"/>
              <w:rPr>
                <w:sz w:val="20"/>
                <w:szCs w:val="20"/>
                <w:color w:val="auto"/>
              </w:rPr>
            </w:pPr>
            <w:r>
              <w:rPr>
                <w:rFonts w:ascii="Calibri" w:cs="Calibri" w:eastAsia="Calibri" w:hAnsi="Calibri"/>
                <w:sz w:val="12"/>
                <w:szCs w:val="12"/>
                <w:color w:val="auto"/>
              </w:rPr>
              <w:t>173,000</w:t>
            </w:r>
          </w:p>
        </w:tc>
        <w:tc>
          <w:tcPr>
            <w:tcW w:w="1360" w:type="dxa"/>
            <w:vAlign w:val="bottom"/>
          </w:tcPr>
          <w:p>
            <w:pPr>
              <w:jc w:val="center"/>
              <w:ind w:left="59"/>
              <w:spacing w:after="0"/>
              <w:rPr>
                <w:sz w:val="20"/>
                <w:szCs w:val="20"/>
                <w:color w:val="auto"/>
              </w:rPr>
            </w:pPr>
            <w:r>
              <w:rPr>
                <w:rFonts w:ascii="Calibri" w:cs="Calibri" w:eastAsia="Calibri" w:hAnsi="Calibri"/>
                <w:sz w:val="12"/>
                <w:szCs w:val="12"/>
                <w:color w:val="auto"/>
              </w:rPr>
              <w:t>167,000</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167,000</w:t>
            </w:r>
          </w:p>
        </w:tc>
        <w:tc>
          <w:tcPr>
            <w:tcW w:w="680" w:type="dxa"/>
            <w:vAlign w:val="bottom"/>
          </w:tcPr>
          <w:p>
            <w:pPr>
              <w:jc w:val="center"/>
              <w:ind w:left="100"/>
              <w:spacing w:after="0"/>
              <w:rPr>
                <w:sz w:val="20"/>
                <w:szCs w:val="20"/>
                <w:color w:val="auto"/>
              </w:rPr>
            </w:pPr>
            <w:r>
              <w:rPr>
                <w:rFonts w:ascii="Calibri" w:cs="Calibri" w:eastAsia="Calibri" w:hAnsi="Calibri"/>
                <w:sz w:val="12"/>
                <w:szCs w:val="12"/>
                <w:color w:val="auto"/>
              </w:rPr>
              <w:t>0.0%</w:t>
            </w:r>
          </w:p>
        </w:tc>
        <w:tc>
          <w:tcPr>
            <w:tcW w:w="160" w:type="dxa"/>
            <w:vAlign w:val="bottom"/>
          </w:tcPr>
          <w:p>
            <w:pPr>
              <w:spacing w:after="0"/>
              <w:rPr>
                <w:sz w:val="14"/>
                <w:szCs w:val="14"/>
                <w:color w:val="auto"/>
              </w:rPr>
            </w:pP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3.5%</w:t>
            </w:r>
          </w:p>
        </w:tc>
        <w:tc>
          <w:tcPr>
            <w:tcW w:w="0" w:type="dxa"/>
            <w:vAlign w:val="bottom"/>
          </w:tcPr>
          <w:p>
            <w:pPr>
              <w:spacing w:after="0"/>
              <w:rPr>
                <w:sz w:val="1"/>
                <w:szCs w:val="1"/>
                <w:color w:val="auto"/>
              </w:rPr>
            </w:pPr>
          </w:p>
        </w:tc>
      </w:tr>
      <w:tr>
        <w:trPr>
          <w:trHeight w:val="172"/>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Unrealidez Proft or Losses</w:t>
            </w:r>
          </w:p>
        </w:tc>
        <w:tc>
          <w:tcPr>
            <w:tcW w:w="1860" w:type="dxa"/>
            <w:vAlign w:val="bottom"/>
            <w:tcBorders>
              <w:right w:val="single" w:sz="8" w:color="auto"/>
            </w:tcBorders>
          </w:tcPr>
          <w:p>
            <w:pPr>
              <w:spacing w:after="0"/>
              <w:rPr>
                <w:sz w:val="14"/>
                <w:szCs w:val="14"/>
                <w:color w:val="auto"/>
              </w:rPr>
            </w:pPr>
          </w:p>
        </w:tc>
        <w:tc>
          <w:tcPr>
            <w:tcW w:w="1160" w:type="dxa"/>
            <w:vAlign w:val="bottom"/>
          </w:tcPr>
          <w:p>
            <w:pPr>
              <w:jc w:val="center"/>
              <w:spacing w:after="0"/>
              <w:rPr>
                <w:sz w:val="20"/>
                <w:szCs w:val="20"/>
                <w:color w:val="auto"/>
              </w:rPr>
            </w:pPr>
            <w:r>
              <w:rPr>
                <w:rFonts w:ascii="Calibri" w:cs="Calibri" w:eastAsia="Calibri" w:hAnsi="Calibri"/>
                <w:sz w:val="12"/>
                <w:szCs w:val="12"/>
                <w:color w:val="auto"/>
                <w:w w:val="94"/>
              </w:rPr>
              <w:t>4,252</w:t>
            </w:r>
          </w:p>
        </w:tc>
        <w:tc>
          <w:tcPr>
            <w:tcW w:w="1360" w:type="dxa"/>
            <w:vAlign w:val="bottom"/>
          </w:tcPr>
          <w:p>
            <w:pPr>
              <w:jc w:val="center"/>
              <w:ind w:left="59"/>
              <w:spacing w:after="0"/>
              <w:rPr>
                <w:sz w:val="20"/>
                <w:szCs w:val="20"/>
                <w:color w:val="auto"/>
              </w:rPr>
            </w:pPr>
            <w:r>
              <w:rPr>
                <w:rFonts w:ascii="Calibri" w:cs="Calibri" w:eastAsia="Calibri" w:hAnsi="Calibri"/>
                <w:sz w:val="12"/>
                <w:szCs w:val="12"/>
                <w:color w:val="auto"/>
              </w:rPr>
              <w:t>6,366</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(3,728)</w:t>
            </w:r>
          </w:p>
        </w:tc>
        <w:tc>
          <w:tcPr>
            <w:tcW w:w="680" w:type="dxa"/>
            <w:vAlign w:val="bottom"/>
          </w:tcPr>
          <w:p>
            <w:pPr>
              <w:jc w:val="center"/>
              <w:ind w:left="100"/>
              <w:spacing w:after="0"/>
              <w:rPr>
                <w:sz w:val="20"/>
                <w:szCs w:val="20"/>
                <w:color w:val="auto"/>
              </w:rPr>
            </w:pPr>
            <w:r>
              <w:rPr>
                <w:rFonts w:ascii="Calibri" w:cs="Calibri" w:eastAsia="Calibri" w:hAnsi="Calibri"/>
                <w:sz w:val="12"/>
                <w:szCs w:val="12"/>
                <w:color w:val="auto"/>
              </w:rPr>
              <w:t>-158.6%</w:t>
            </w:r>
          </w:p>
        </w:tc>
        <w:tc>
          <w:tcPr>
            <w:tcW w:w="160" w:type="dxa"/>
            <w:vAlign w:val="bottom"/>
          </w:tcPr>
          <w:p>
            <w:pPr>
              <w:spacing w:after="0"/>
              <w:rPr>
                <w:sz w:val="14"/>
                <w:szCs w:val="14"/>
                <w:color w:val="auto"/>
              </w:rPr>
            </w:pPr>
          </w:p>
        </w:tc>
        <w:tc>
          <w:tcPr>
            <w:tcW w:w="128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2"/>
                <w:szCs w:val="12"/>
                <w:color w:val="auto"/>
              </w:rPr>
              <w:t>-187.7%</w:t>
            </w:r>
          </w:p>
        </w:tc>
        <w:tc>
          <w:tcPr>
            <w:tcW w:w="0" w:type="dxa"/>
            <w:vAlign w:val="bottom"/>
          </w:tcPr>
          <w:p>
            <w:pPr>
              <w:spacing w:after="0"/>
              <w:rPr>
                <w:sz w:val="1"/>
                <w:szCs w:val="1"/>
                <w:color w:val="auto"/>
              </w:rPr>
            </w:pPr>
          </w:p>
        </w:tc>
      </w:tr>
      <w:tr>
        <w:trPr>
          <w:trHeight w:val="159"/>
        </w:trPr>
        <w:tc>
          <w:tcPr>
            <w:tcW w:w="4780" w:type="dxa"/>
            <w:vAlign w:val="bottom"/>
            <w:tcBorders>
              <w:left w:val="single" w:sz="8" w:color="auto"/>
              <w:right w:val="single" w:sz="8" w:color="auto"/>
            </w:tcBorders>
            <w:gridSpan w:val="2"/>
          </w:tcPr>
          <w:p>
            <w:pPr>
              <w:ind w:left="160"/>
              <w:spacing w:after="0"/>
              <w:rPr>
                <w:sz w:val="20"/>
                <w:szCs w:val="20"/>
                <w:color w:val="auto"/>
              </w:rPr>
            </w:pPr>
            <w:r>
              <w:rPr>
                <w:rFonts w:ascii="Calibri" w:cs="Calibri" w:eastAsia="Calibri" w:hAnsi="Calibri"/>
                <w:sz w:val="13"/>
                <w:szCs w:val="13"/>
                <w:color w:val="auto"/>
              </w:rPr>
              <w:t>Investment in subsidiaries and others, net of unrealized proft and net income in</w:t>
            </w:r>
          </w:p>
        </w:tc>
        <w:tc>
          <w:tcPr>
            <w:tcW w:w="1160" w:type="dxa"/>
            <w:vAlign w:val="bottom"/>
            <w:vMerge w:val="restart"/>
          </w:tcPr>
          <w:p>
            <w:pPr>
              <w:jc w:val="center"/>
              <w:spacing w:after="0"/>
              <w:rPr>
                <w:sz w:val="20"/>
                <w:szCs w:val="20"/>
                <w:color w:val="auto"/>
              </w:rPr>
            </w:pPr>
            <w:r>
              <w:rPr>
                <w:rFonts w:ascii="Calibri" w:cs="Calibri" w:eastAsia="Calibri" w:hAnsi="Calibri"/>
                <w:sz w:val="12"/>
                <w:szCs w:val="12"/>
                <w:color w:val="auto"/>
              </w:rPr>
              <w:t>(282)</w:t>
            </w:r>
          </w:p>
        </w:tc>
        <w:tc>
          <w:tcPr>
            <w:tcW w:w="1360" w:type="dxa"/>
            <w:vAlign w:val="bottom"/>
            <w:vMerge w:val="restart"/>
          </w:tcPr>
          <w:p>
            <w:pPr>
              <w:jc w:val="center"/>
              <w:ind w:left="39"/>
              <w:spacing w:after="0"/>
              <w:rPr>
                <w:sz w:val="20"/>
                <w:szCs w:val="20"/>
                <w:color w:val="auto"/>
              </w:rPr>
            </w:pPr>
            <w:r>
              <w:rPr>
                <w:rFonts w:ascii="Calibri" w:cs="Calibri" w:eastAsia="Calibri" w:hAnsi="Calibri"/>
                <w:sz w:val="12"/>
                <w:szCs w:val="12"/>
                <w:color w:val="auto"/>
              </w:rPr>
              <w:t>(293)</w:t>
            </w:r>
          </w:p>
        </w:tc>
        <w:tc>
          <w:tcPr>
            <w:tcW w:w="12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rPr>
              <w:t>(298)</w:t>
            </w:r>
          </w:p>
        </w:tc>
        <w:tc>
          <w:tcPr>
            <w:tcW w:w="680" w:type="dxa"/>
            <w:vAlign w:val="bottom"/>
            <w:vMerge w:val="restart"/>
          </w:tcPr>
          <w:p>
            <w:pPr>
              <w:jc w:val="center"/>
              <w:ind w:left="100"/>
              <w:spacing w:after="0"/>
              <w:rPr>
                <w:sz w:val="20"/>
                <w:szCs w:val="20"/>
                <w:color w:val="auto"/>
              </w:rPr>
            </w:pPr>
            <w:r>
              <w:rPr>
                <w:rFonts w:ascii="Calibri" w:cs="Calibri" w:eastAsia="Calibri" w:hAnsi="Calibri"/>
                <w:sz w:val="12"/>
                <w:szCs w:val="12"/>
                <w:color w:val="auto"/>
              </w:rPr>
              <w:t>1.8%</w:t>
            </w:r>
          </w:p>
        </w:tc>
        <w:tc>
          <w:tcPr>
            <w:tcW w:w="160" w:type="dxa"/>
            <w:vAlign w:val="bottom"/>
          </w:tcPr>
          <w:p>
            <w:pPr>
              <w:spacing w:after="0"/>
              <w:rPr>
                <w:sz w:val="13"/>
                <w:szCs w:val="13"/>
                <w:color w:val="auto"/>
              </w:rPr>
            </w:pPr>
          </w:p>
        </w:tc>
        <w:tc>
          <w:tcPr>
            <w:tcW w:w="1280" w:type="dxa"/>
            <w:vAlign w:val="bottom"/>
            <w:tcBorders>
              <w:right w:val="single" w:sz="8" w:color="auto"/>
            </w:tcBorders>
            <w:gridSpan w:val="2"/>
            <w:vMerge w:val="restart"/>
          </w:tcPr>
          <w:p>
            <w:pPr>
              <w:jc w:val="center"/>
              <w:spacing w:after="0"/>
              <w:rPr>
                <w:sz w:val="20"/>
                <w:szCs w:val="20"/>
                <w:color w:val="auto"/>
              </w:rPr>
            </w:pPr>
            <w:r>
              <w:rPr>
                <w:rFonts w:ascii="Calibri" w:cs="Calibri" w:eastAsia="Calibri" w:hAnsi="Calibri"/>
                <w:sz w:val="12"/>
                <w:szCs w:val="12"/>
                <w:color w:val="auto"/>
              </w:rPr>
              <w:t>5.6%</w:t>
            </w:r>
          </w:p>
        </w:tc>
        <w:tc>
          <w:tcPr>
            <w:tcW w:w="0" w:type="dxa"/>
            <w:vAlign w:val="bottom"/>
          </w:tcPr>
          <w:p>
            <w:pPr>
              <w:spacing w:after="0"/>
              <w:rPr>
                <w:sz w:val="1"/>
                <w:szCs w:val="1"/>
                <w:color w:val="auto"/>
              </w:rPr>
            </w:pPr>
          </w:p>
        </w:tc>
      </w:tr>
      <w:tr>
        <w:trPr>
          <w:trHeight w:val="103"/>
        </w:trPr>
        <w:tc>
          <w:tcPr>
            <w:tcW w:w="2920" w:type="dxa"/>
            <w:vAlign w:val="bottom"/>
            <w:tcBorders>
              <w:left w:val="single" w:sz="8" w:color="auto"/>
            </w:tcBorders>
            <w:vMerge w:val="restart"/>
          </w:tcPr>
          <w:p>
            <w:pPr>
              <w:ind w:left="280"/>
              <w:spacing w:after="0"/>
              <w:rPr>
                <w:sz w:val="20"/>
                <w:szCs w:val="20"/>
                <w:color w:val="auto"/>
              </w:rPr>
            </w:pPr>
            <w:r>
              <w:rPr>
                <w:rFonts w:ascii="Calibri" w:cs="Calibri" w:eastAsia="Calibri" w:hAnsi="Calibri"/>
                <w:sz w:val="13"/>
                <w:szCs w:val="13"/>
                <w:color w:val="auto"/>
              </w:rPr>
              <w:t>subsidiaries</w:t>
            </w:r>
          </w:p>
        </w:tc>
        <w:tc>
          <w:tcPr>
            <w:tcW w:w="1860" w:type="dxa"/>
            <w:vAlign w:val="bottom"/>
            <w:tcBorders>
              <w:right w:val="single" w:sz="8" w:color="auto"/>
            </w:tcBorders>
          </w:tcPr>
          <w:p>
            <w:pPr>
              <w:spacing w:after="0"/>
              <w:rPr>
                <w:sz w:val="8"/>
                <w:szCs w:val="8"/>
                <w:color w:val="auto"/>
              </w:rPr>
            </w:pPr>
          </w:p>
        </w:tc>
        <w:tc>
          <w:tcPr>
            <w:tcW w:w="1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920" w:type="dxa"/>
            <w:vAlign w:val="bottom"/>
            <w:tcBorders>
              <w:left w:val="single" w:sz="8" w:color="auto"/>
            </w:tcBorders>
            <w:vMerge w:val="continue"/>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Intangibles</w:t>
            </w:r>
          </w:p>
        </w:tc>
        <w:tc>
          <w:tcPr>
            <w:tcW w:w="1860" w:type="dxa"/>
            <w:vAlign w:val="bottom"/>
            <w:tcBorders>
              <w:right w:val="single" w:sz="8" w:color="auto"/>
            </w:tcBorders>
          </w:tcPr>
          <w:p>
            <w:pPr>
              <w:spacing w:after="0"/>
              <w:rPr>
                <w:sz w:val="14"/>
                <w:szCs w:val="14"/>
                <w:color w:val="auto"/>
              </w:rPr>
            </w:pPr>
          </w:p>
        </w:tc>
        <w:tc>
          <w:tcPr>
            <w:tcW w:w="1160" w:type="dxa"/>
            <w:vAlign w:val="bottom"/>
          </w:tcPr>
          <w:p>
            <w:pPr>
              <w:jc w:val="center"/>
              <w:spacing w:after="0"/>
              <w:rPr>
                <w:sz w:val="20"/>
                <w:szCs w:val="20"/>
                <w:color w:val="auto"/>
              </w:rPr>
            </w:pPr>
            <w:r>
              <w:rPr>
                <w:rFonts w:ascii="Calibri" w:cs="Calibri" w:eastAsia="Calibri" w:hAnsi="Calibri"/>
                <w:sz w:val="12"/>
                <w:szCs w:val="12"/>
                <w:color w:val="auto"/>
                <w:w w:val="98"/>
              </w:rPr>
              <w:t>(156,884)</w:t>
            </w:r>
          </w:p>
        </w:tc>
        <w:tc>
          <w:tcPr>
            <w:tcW w:w="1360" w:type="dxa"/>
            <w:vAlign w:val="bottom"/>
          </w:tcPr>
          <w:p>
            <w:pPr>
              <w:jc w:val="center"/>
              <w:ind w:left="59"/>
              <w:spacing w:after="0"/>
              <w:rPr>
                <w:sz w:val="20"/>
                <w:szCs w:val="20"/>
                <w:color w:val="auto"/>
              </w:rPr>
            </w:pPr>
            <w:r>
              <w:rPr>
                <w:rFonts w:ascii="Calibri" w:cs="Calibri" w:eastAsia="Calibri" w:hAnsi="Calibri"/>
                <w:sz w:val="12"/>
                <w:szCs w:val="12"/>
                <w:color w:val="auto"/>
              </w:rPr>
              <w:t>(128,688)</w:t>
            </w:r>
          </w:p>
        </w:tc>
        <w:tc>
          <w:tcPr>
            <w:tcW w:w="126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(136,691)</w:t>
            </w:r>
          </w:p>
        </w:tc>
        <w:tc>
          <w:tcPr>
            <w:tcW w:w="680" w:type="dxa"/>
            <w:vAlign w:val="bottom"/>
          </w:tcPr>
          <w:p>
            <w:pPr>
              <w:jc w:val="center"/>
              <w:ind w:left="100"/>
              <w:spacing w:after="0"/>
              <w:rPr>
                <w:sz w:val="20"/>
                <w:szCs w:val="20"/>
                <w:color w:val="auto"/>
              </w:rPr>
            </w:pPr>
            <w:r>
              <w:rPr>
                <w:rFonts w:ascii="Calibri" w:cs="Calibri" w:eastAsia="Calibri" w:hAnsi="Calibri"/>
                <w:sz w:val="12"/>
                <w:szCs w:val="12"/>
                <w:color w:val="auto"/>
              </w:rPr>
              <w:t>6.2%</w:t>
            </w:r>
          </w:p>
        </w:tc>
        <w:tc>
          <w:tcPr>
            <w:tcW w:w="160" w:type="dxa"/>
            <w:vAlign w:val="bottom"/>
          </w:tcPr>
          <w:p>
            <w:pPr>
              <w:spacing w:after="0"/>
              <w:rPr>
                <w:sz w:val="14"/>
                <w:szCs w:val="14"/>
                <w:color w:val="auto"/>
              </w:rPr>
            </w:pPr>
          </w:p>
        </w:tc>
        <w:tc>
          <w:tcPr>
            <w:tcW w:w="128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2"/>
                <w:szCs w:val="12"/>
                <w:color w:val="auto"/>
              </w:rPr>
              <w:t>-12.9%</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tcBorders>
          </w:tcPr>
          <w:p>
            <w:pPr>
              <w:ind w:left="160"/>
              <w:spacing w:after="0"/>
              <w:rPr>
                <w:sz w:val="20"/>
                <w:szCs w:val="20"/>
                <w:color w:val="auto"/>
              </w:rPr>
            </w:pPr>
            <w:r>
              <w:rPr>
                <w:rFonts w:ascii="Calibri" w:cs="Calibri" w:eastAsia="Calibri" w:hAnsi="Calibri"/>
                <w:sz w:val="12"/>
                <w:szCs w:val="12"/>
                <w:color w:val="auto"/>
              </w:rPr>
              <w:t>Goodwill</w:t>
            </w:r>
          </w:p>
        </w:tc>
        <w:tc>
          <w:tcPr>
            <w:tcW w:w="18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w w:val="98"/>
              </w:rPr>
              <w:t>(139,180)</w:t>
            </w:r>
          </w:p>
        </w:tc>
        <w:tc>
          <w:tcPr>
            <w:tcW w:w="1360" w:type="dxa"/>
            <w:vAlign w:val="bottom"/>
            <w:tcBorders>
              <w:bottom w:val="single" w:sz="8" w:color="auto"/>
            </w:tcBorders>
          </w:tcPr>
          <w:p>
            <w:pPr>
              <w:jc w:val="center"/>
              <w:ind w:left="59"/>
              <w:spacing w:after="0"/>
              <w:rPr>
                <w:sz w:val="20"/>
                <w:szCs w:val="20"/>
                <w:color w:val="auto"/>
              </w:rPr>
            </w:pPr>
            <w:r>
              <w:rPr>
                <w:rFonts w:ascii="Calibri" w:cs="Calibri" w:eastAsia="Calibri" w:hAnsi="Calibri"/>
                <w:sz w:val="12"/>
                <w:szCs w:val="12"/>
                <w:color w:val="auto"/>
              </w:rPr>
              <w:t>(139,180)</w:t>
            </w:r>
          </w:p>
        </w:tc>
        <w:tc>
          <w:tcPr>
            <w:tcW w:w="12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(139,180)</w:t>
            </w:r>
          </w:p>
        </w:tc>
        <w:tc>
          <w:tcPr>
            <w:tcW w:w="680" w:type="dxa"/>
            <w:vAlign w:val="bottom"/>
            <w:tcBorders>
              <w:bottom w:val="single" w:sz="8" w:color="auto"/>
            </w:tcBorders>
          </w:tcPr>
          <w:p>
            <w:pPr>
              <w:jc w:val="center"/>
              <w:ind w:left="100"/>
              <w:spacing w:after="0"/>
              <w:rPr>
                <w:sz w:val="20"/>
                <w:szCs w:val="20"/>
                <w:color w:val="auto"/>
              </w:rPr>
            </w:pPr>
            <w:r>
              <w:rPr>
                <w:rFonts w:ascii="Calibri" w:cs="Calibri" w:eastAsia="Calibri" w:hAnsi="Calibri"/>
                <w:sz w:val="12"/>
                <w:szCs w:val="12"/>
                <w:color w:val="auto"/>
              </w:rPr>
              <w:t>0.0%</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gridSpan w:val="2"/>
          </w:tcPr>
          <w:p>
            <w:pPr>
              <w:jc w:val="center"/>
              <w:spacing w:after="0"/>
              <w:rPr>
                <w:sz w:val="20"/>
                <w:szCs w:val="20"/>
                <w:color w:val="auto"/>
              </w:rPr>
            </w:pPr>
            <w:r>
              <w:rPr>
                <w:rFonts w:ascii="Calibri" w:cs="Calibri" w:eastAsia="Calibri" w:hAnsi="Calibri"/>
                <w:sz w:val="12"/>
                <w:szCs w:val="12"/>
                <w:color w:val="auto"/>
              </w:rPr>
              <w:t>0.0%</w:t>
            </w:r>
          </w:p>
        </w:tc>
        <w:tc>
          <w:tcPr>
            <w:tcW w:w="0" w:type="dxa"/>
            <w:vAlign w:val="bottom"/>
          </w:tcPr>
          <w:p>
            <w:pPr>
              <w:spacing w:after="0"/>
              <w:rPr>
                <w:sz w:val="1"/>
                <w:szCs w:val="1"/>
                <w:color w:val="auto"/>
              </w:rPr>
            </w:pPr>
          </w:p>
        </w:tc>
      </w:tr>
      <w:tr>
        <w:trPr>
          <w:trHeight w:val="180"/>
        </w:trPr>
        <w:tc>
          <w:tcPr>
            <w:tcW w:w="2920" w:type="dxa"/>
            <w:vAlign w:val="bottom"/>
            <w:tcBorders>
              <w:left w:val="single" w:sz="8" w:color="auto"/>
              <w:bottom w:val="single" w:sz="8" w:color="auto"/>
            </w:tcBorders>
          </w:tcPr>
          <w:p>
            <w:pPr>
              <w:spacing w:after="0"/>
              <w:rPr>
                <w:sz w:val="20"/>
                <w:szCs w:val="20"/>
                <w:color w:val="auto"/>
              </w:rPr>
            </w:pPr>
            <w:r>
              <w:rPr>
                <w:rFonts w:ascii="Calibri" w:cs="Calibri" w:eastAsia="Calibri" w:hAnsi="Calibri"/>
                <w:sz w:val="12"/>
                <w:szCs w:val="12"/>
                <w:b w:val="1"/>
                <w:bCs w:val="1"/>
                <w:color w:val="auto"/>
              </w:rPr>
              <w:t>Total Regulatory Capital</w:t>
            </w:r>
          </w:p>
        </w:tc>
        <w:tc>
          <w:tcPr>
            <w:tcW w:w="18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2,910,644</w:t>
            </w:r>
          </w:p>
        </w:tc>
        <w:tc>
          <w:tcPr>
            <w:tcW w:w="1360" w:type="dxa"/>
            <w:vAlign w:val="bottom"/>
            <w:tcBorders>
              <w:bottom w:val="single" w:sz="8" w:color="auto"/>
            </w:tcBorders>
          </w:tcPr>
          <w:p>
            <w:pPr>
              <w:jc w:val="center"/>
              <w:ind w:left="59"/>
              <w:spacing w:after="0"/>
              <w:rPr>
                <w:sz w:val="20"/>
                <w:szCs w:val="20"/>
                <w:color w:val="auto"/>
              </w:rPr>
            </w:pPr>
            <w:r>
              <w:rPr>
                <w:rFonts w:ascii="Calibri" w:cs="Calibri" w:eastAsia="Calibri" w:hAnsi="Calibri"/>
                <w:sz w:val="12"/>
                <w:szCs w:val="12"/>
                <w:b w:val="1"/>
                <w:bCs w:val="1"/>
                <w:color w:val="auto"/>
                <w:w w:val="98"/>
              </w:rPr>
              <w:t>2,648,281</w:t>
            </w:r>
          </w:p>
        </w:tc>
        <w:tc>
          <w:tcPr>
            <w:tcW w:w="12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2,576,683</w:t>
            </w:r>
          </w:p>
        </w:tc>
        <w:tc>
          <w:tcPr>
            <w:tcW w:w="68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Calibri" w:cs="Calibri" w:eastAsia="Calibri" w:hAnsi="Calibri"/>
                <w:sz w:val="12"/>
                <w:szCs w:val="12"/>
                <w:b w:val="1"/>
                <w:bCs w:val="1"/>
                <w:color w:val="auto"/>
                <w:w w:val="99"/>
              </w:rPr>
              <w:t>2.7%</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gridSpan w:val="2"/>
          </w:tcPr>
          <w:p>
            <w:pPr>
              <w:jc w:val="center"/>
              <w:ind w:left="79"/>
              <w:spacing w:after="0"/>
              <w:rPr>
                <w:sz w:val="20"/>
                <w:szCs w:val="20"/>
                <w:color w:val="auto"/>
              </w:rPr>
            </w:pPr>
            <w:r>
              <w:rPr>
                <w:rFonts w:ascii="Calibri" w:cs="Calibri" w:eastAsia="Calibri" w:hAnsi="Calibri"/>
                <w:sz w:val="12"/>
                <w:szCs w:val="12"/>
                <w:b w:val="1"/>
                <w:bCs w:val="1"/>
                <w:color w:val="auto"/>
              </w:rPr>
              <w:t>-11.5%</w:t>
            </w:r>
          </w:p>
        </w:tc>
        <w:tc>
          <w:tcPr>
            <w:tcW w:w="0" w:type="dxa"/>
            <w:vAlign w:val="bottom"/>
          </w:tcPr>
          <w:p>
            <w:pPr>
              <w:spacing w:after="0"/>
              <w:rPr>
                <w:sz w:val="1"/>
                <w:szCs w:val="1"/>
                <w:color w:val="auto"/>
              </w:rPr>
            </w:pPr>
          </w:p>
        </w:tc>
      </w:tr>
      <w:tr>
        <w:trPr>
          <w:trHeight w:val="178"/>
        </w:trPr>
        <w:tc>
          <w:tcPr>
            <w:tcW w:w="2920" w:type="dxa"/>
            <w:vAlign w:val="bottom"/>
            <w:tcBorders>
              <w:left w:val="single" w:sz="8" w:color="auto"/>
              <w:bottom w:val="single" w:sz="8" w:color="auto"/>
            </w:tcBorders>
          </w:tcPr>
          <w:p>
            <w:pPr>
              <w:spacing w:after="0" w:line="178" w:lineRule="exact"/>
              <w:rPr>
                <w:sz w:val="20"/>
                <w:szCs w:val="20"/>
                <w:color w:val="auto"/>
              </w:rPr>
            </w:pPr>
            <w:r>
              <w:rPr>
                <w:rFonts w:ascii="Calibri" w:cs="Calibri" w:eastAsia="Calibri" w:hAnsi="Calibri"/>
                <w:sz w:val="12"/>
                <w:szCs w:val="12"/>
                <w:b w:val="1"/>
                <w:bCs w:val="1"/>
                <w:color w:val="auto"/>
              </w:rPr>
              <w:t xml:space="preserve">Tier Common Equity </w:t>
            </w:r>
            <w:r>
              <w:rPr>
                <w:rFonts w:ascii="Calibri" w:cs="Calibri" w:eastAsia="Calibri" w:hAnsi="Calibri"/>
                <w:sz w:val="19"/>
                <w:szCs w:val="19"/>
                <w:b w:val="1"/>
                <w:bCs w:val="1"/>
                <w:color w:val="auto"/>
                <w:vertAlign w:val="superscript"/>
              </w:rPr>
              <w:t>(2)</w:t>
            </w:r>
          </w:p>
        </w:tc>
        <w:tc>
          <w:tcPr>
            <w:tcW w:w="18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2,574,486</w:t>
            </w:r>
          </w:p>
        </w:tc>
        <w:tc>
          <w:tcPr>
            <w:tcW w:w="1360" w:type="dxa"/>
            <w:vAlign w:val="bottom"/>
            <w:tcBorders>
              <w:bottom w:val="single" w:sz="8" w:color="auto"/>
            </w:tcBorders>
          </w:tcPr>
          <w:p>
            <w:pPr>
              <w:jc w:val="center"/>
              <w:ind w:left="59"/>
              <w:spacing w:after="0"/>
              <w:rPr>
                <w:sz w:val="20"/>
                <w:szCs w:val="20"/>
                <w:color w:val="auto"/>
              </w:rPr>
            </w:pPr>
            <w:r>
              <w:rPr>
                <w:rFonts w:ascii="Calibri" w:cs="Calibri" w:eastAsia="Calibri" w:hAnsi="Calibri"/>
                <w:sz w:val="12"/>
                <w:szCs w:val="12"/>
                <w:b w:val="1"/>
                <w:bCs w:val="1"/>
                <w:color w:val="auto"/>
                <w:w w:val="98"/>
              </w:rPr>
              <w:t>2,338,088</w:t>
            </w:r>
          </w:p>
        </w:tc>
        <w:tc>
          <w:tcPr>
            <w:tcW w:w="12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2,264,932</w:t>
            </w:r>
          </w:p>
        </w:tc>
        <w:tc>
          <w:tcPr>
            <w:tcW w:w="68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Calibri" w:cs="Calibri" w:eastAsia="Calibri" w:hAnsi="Calibri"/>
                <w:sz w:val="12"/>
                <w:szCs w:val="12"/>
                <w:b w:val="1"/>
                <w:bCs w:val="1"/>
                <w:color w:val="auto"/>
                <w:w w:val="99"/>
              </w:rPr>
              <w:t>3.1%</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gridSpan w:val="2"/>
          </w:tcPr>
          <w:p>
            <w:pPr>
              <w:jc w:val="center"/>
              <w:ind w:left="79"/>
              <w:spacing w:after="0"/>
              <w:rPr>
                <w:sz w:val="20"/>
                <w:szCs w:val="20"/>
                <w:color w:val="auto"/>
              </w:rPr>
            </w:pPr>
            <w:r>
              <w:rPr>
                <w:rFonts w:ascii="Calibri" w:cs="Calibri" w:eastAsia="Calibri" w:hAnsi="Calibri"/>
                <w:sz w:val="12"/>
                <w:szCs w:val="12"/>
                <w:b w:val="1"/>
                <w:bCs w:val="1"/>
                <w:color w:val="auto"/>
              </w:rPr>
              <w:t>-12.0%</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tcBorders>
          </w:tcPr>
          <w:p>
            <w:pPr>
              <w:spacing w:after="0" w:line="176" w:lineRule="exact"/>
              <w:rPr>
                <w:sz w:val="20"/>
                <w:szCs w:val="20"/>
                <w:color w:val="auto"/>
              </w:rPr>
            </w:pPr>
            <w:r>
              <w:rPr>
                <w:rFonts w:ascii="Calibri" w:cs="Calibri" w:eastAsia="Calibri" w:hAnsi="Calibri"/>
                <w:sz w:val="12"/>
                <w:szCs w:val="12"/>
                <w:b w:val="1"/>
                <w:bCs w:val="1"/>
                <w:color w:val="auto"/>
              </w:rPr>
              <w:t xml:space="preserve">Regulatory Tier 1 Capital </w:t>
            </w:r>
            <w:r>
              <w:rPr>
                <w:rFonts w:ascii="Calibri" w:cs="Calibri" w:eastAsia="Calibri" w:hAnsi="Calibri"/>
                <w:sz w:val="19"/>
                <w:szCs w:val="19"/>
                <w:b w:val="1"/>
                <w:bCs w:val="1"/>
                <w:color w:val="auto"/>
                <w:vertAlign w:val="superscript"/>
              </w:rPr>
              <w:t>(3)</w:t>
            </w:r>
          </w:p>
        </w:tc>
        <w:tc>
          <w:tcPr>
            <w:tcW w:w="18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2,574,486</w:t>
            </w:r>
          </w:p>
        </w:tc>
        <w:tc>
          <w:tcPr>
            <w:tcW w:w="1360" w:type="dxa"/>
            <w:vAlign w:val="bottom"/>
            <w:tcBorders>
              <w:bottom w:val="single" w:sz="8" w:color="auto"/>
            </w:tcBorders>
          </w:tcPr>
          <w:p>
            <w:pPr>
              <w:jc w:val="center"/>
              <w:ind w:left="59"/>
              <w:spacing w:after="0"/>
              <w:rPr>
                <w:sz w:val="20"/>
                <w:szCs w:val="20"/>
                <w:color w:val="auto"/>
              </w:rPr>
            </w:pPr>
            <w:r>
              <w:rPr>
                <w:rFonts w:ascii="Calibri" w:cs="Calibri" w:eastAsia="Calibri" w:hAnsi="Calibri"/>
                <w:sz w:val="12"/>
                <w:szCs w:val="12"/>
                <w:b w:val="1"/>
                <w:bCs w:val="1"/>
                <w:color w:val="auto"/>
                <w:w w:val="98"/>
              </w:rPr>
              <w:t>2,338,088</w:t>
            </w:r>
          </w:p>
        </w:tc>
        <w:tc>
          <w:tcPr>
            <w:tcW w:w="12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2,264,932</w:t>
            </w:r>
          </w:p>
        </w:tc>
        <w:tc>
          <w:tcPr>
            <w:tcW w:w="68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Calibri" w:cs="Calibri" w:eastAsia="Calibri" w:hAnsi="Calibri"/>
                <w:sz w:val="12"/>
                <w:szCs w:val="12"/>
                <w:b w:val="1"/>
                <w:bCs w:val="1"/>
                <w:color w:val="auto"/>
                <w:w w:val="99"/>
              </w:rPr>
              <w:t>3.1%</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gridSpan w:val="2"/>
          </w:tcPr>
          <w:p>
            <w:pPr>
              <w:jc w:val="center"/>
              <w:ind w:left="79"/>
              <w:spacing w:after="0"/>
              <w:rPr>
                <w:sz w:val="20"/>
                <w:szCs w:val="20"/>
                <w:color w:val="auto"/>
              </w:rPr>
            </w:pPr>
            <w:r>
              <w:rPr>
                <w:rFonts w:ascii="Calibri" w:cs="Calibri" w:eastAsia="Calibri" w:hAnsi="Calibri"/>
                <w:sz w:val="12"/>
                <w:szCs w:val="12"/>
                <w:b w:val="1"/>
                <w:bCs w:val="1"/>
                <w:color w:val="auto"/>
              </w:rPr>
              <w:t>-12.0%</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tcBorders>
          </w:tcPr>
          <w:p>
            <w:pPr>
              <w:spacing w:after="0" w:line="176" w:lineRule="exact"/>
              <w:rPr>
                <w:sz w:val="20"/>
                <w:szCs w:val="20"/>
                <w:color w:val="auto"/>
              </w:rPr>
            </w:pPr>
            <w:r>
              <w:rPr>
                <w:rFonts w:ascii="Calibri" w:cs="Calibri" w:eastAsia="Calibri" w:hAnsi="Calibri"/>
                <w:sz w:val="12"/>
                <w:szCs w:val="12"/>
                <w:b w:val="1"/>
                <w:bCs w:val="1"/>
                <w:color w:val="auto"/>
              </w:rPr>
              <w:t xml:space="preserve">Regulatory Tier 2 Capital </w:t>
            </w:r>
            <w:r>
              <w:rPr>
                <w:rFonts w:ascii="Calibri" w:cs="Calibri" w:eastAsia="Calibri" w:hAnsi="Calibri"/>
                <w:sz w:val="19"/>
                <w:szCs w:val="19"/>
                <w:b w:val="1"/>
                <w:bCs w:val="1"/>
                <w:color w:val="auto"/>
                <w:vertAlign w:val="superscript"/>
              </w:rPr>
              <w:t>(4)</w:t>
            </w:r>
          </w:p>
        </w:tc>
        <w:tc>
          <w:tcPr>
            <w:tcW w:w="18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336,158</w:t>
            </w:r>
          </w:p>
        </w:tc>
        <w:tc>
          <w:tcPr>
            <w:tcW w:w="1360" w:type="dxa"/>
            <w:vAlign w:val="bottom"/>
            <w:tcBorders>
              <w:bottom w:val="single" w:sz="8" w:color="auto"/>
            </w:tcBorders>
          </w:tcPr>
          <w:p>
            <w:pPr>
              <w:jc w:val="center"/>
              <w:ind w:left="59"/>
              <w:spacing w:after="0"/>
              <w:rPr>
                <w:sz w:val="20"/>
                <w:szCs w:val="20"/>
                <w:color w:val="auto"/>
              </w:rPr>
            </w:pPr>
            <w:r>
              <w:rPr>
                <w:rFonts w:ascii="Calibri" w:cs="Calibri" w:eastAsia="Calibri" w:hAnsi="Calibri"/>
                <w:sz w:val="12"/>
                <w:szCs w:val="12"/>
                <w:b w:val="1"/>
                <w:bCs w:val="1"/>
                <w:color w:val="auto"/>
              </w:rPr>
              <w:t>310,193</w:t>
            </w:r>
          </w:p>
        </w:tc>
        <w:tc>
          <w:tcPr>
            <w:tcW w:w="12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b w:val="1"/>
                <w:bCs w:val="1"/>
                <w:color w:val="auto"/>
              </w:rPr>
              <w:t>311,751</w:t>
            </w:r>
          </w:p>
        </w:tc>
        <w:tc>
          <w:tcPr>
            <w:tcW w:w="680" w:type="dxa"/>
            <w:vAlign w:val="bottom"/>
            <w:tcBorders>
              <w:bottom w:val="single" w:sz="8" w:color="auto"/>
            </w:tcBorders>
          </w:tcPr>
          <w:p>
            <w:pPr>
              <w:jc w:val="center"/>
              <w:ind w:left="120"/>
              <w:spacing w:after="0"/>
              <w:rPr>
                <w:sz w:val="20"/>
                <w:szCs w:val="20"/>
                <w:color w:val="auto"/>
              </w:rPr>
            </w:pPr>
            <w:r>
              <w:rPr>
                <w:rFonts w:ascii="Calibri" w:cs="Calibri" w:eastAsia="Calibri" w:hAnsi="Calibri"/>
                <w:sz w:val="12"/>
                <w:szCs w:val="12"/>
                <w:b w:val="1"/>
                <w:bCs w:val="1"/>
                <w:color w:val="auto"/>
              </w:rPr>
              <w:t>0.5%</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gridSpan w:val="2"/>
          </w:tcPr>
          <w:p>
            <w:pPr>
              <w:jc w:val="center"/>
              <w:ind w:left="79"/>
              <w:spacing w:after="0"/>
              <w:rPr>
                <w:sz w:val="20"/>
                <w:szCs w:val="20"/>
                <w:color w:val="auto"/>
              </w:rPr>
            </w:pPr>
            <w:r>
              <w:rPr>
                <w:rFonts w:ascii="Times New Roman" w:cs="Times New Roman" w:eastAsia="Times New Roman" w:hAnsi="Times New Roman"/>
                <w:sz w:val="12"/>
                <w:szCs w:val="12"/>
                <w:b w:val="1"/>
                <w:bCs w:val="1"/>
                <w:color w:val="auto"/>
              </w:rPr>
              <w:t>-</w:t>
            </w:r>
            <w:r>
              <w:rPr>
                <w:rFonts w:ascii="Calibri" w:cs="Calibri" w:eastAsia="Calibri" w:hAnsi="Calibri"/>
                <w:sz w:val="12"/>
                <w:szCs w:val="12"/>
                <w:b w:val="1"/>
                <w:bCs w:val="1"/>
                <w:color w:val="auto"/>
              </w:rPr>
              <w:t>7.3%</w:t>
            </w:r>
          </w:p>
        </w:tc>
        <w:tc>
          <w:tcPr>
            <w:tcW w:w="0" w:type="dxa"/>
            <w:vAlign w:val="bottom"/>
          </w:tcPr>
          <w:p>
            <w:pPr>
              <w:spacing w:after="0"/>
              <w:rPr>
                <w:sz w:val="1"/>
                <w:szCs w:val="1"/>
                <w:color w:val="auto"/>
              </w:rPr>
            </w:pPr>
          </w:p>
        </w:tc>
      </w:tr>
      <w:tr>
        <w:trPr>
          <w:trHeight w:val="190"/>
        </w:trPr>
        <w:tc>
          <w:tcPr>
            <w:tcW w:w="29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920" w:type="dxa"/>
            <w:vAlign w:val="bottom"/>
            <w:tcBorders>
              <w:left w:val="single" w:sz="8" w:color="auto"/>
            </w:tcBorders>
            <w:shd w:val="clear" w:color="auto" w:fill="2AD2C8"/>
          </w:tcPr>
          <w:p>
            <w:pPr>
              <w:spacing w:after="0"/>
              <w:rPr>
                <w:sz w:val="20"/>
                <w:szCs w:val="20"/>
                <w:color w:val="auto"/>
              </w:rPr>
            </w:pPr>
            <w:r>
              <w:rPr>
                <w:rFonts w:ascii="Calibri" w:cs="Calibri" w:eastAsia="Calibri" w:hAnsi="Calibri"/>
                <w:sz w:val="12"/>
                <w:szCs w:val="12"/>
                <w:b w:val="1"/>
                <w:bCs w:val="1"/>
                <w:color w:val="FFFFFF"/>
              </w:rPr>
              <w:t>Total risk-weighted assets</w:t>
            </w:r>
          </w:p>
        </w:tc>
        <w:tc>
          <w:tcPr>
            <w:tcW w:w="1860" w:type="dxa"/>
            <w:vAlign w:val="bottom"/>
            <w:tcBorders>
              <w:right w:val="single" w:sz="8" w:color="auto"/>
            </w:tcBorders>
            <w:shd w:val="clear" w:color="auto" w:fill="2AD2C8"/>
          </w:tcPr>
          <w:p>
            <w:pPr>
              <w:spacing w:after="0"/>
              <w:rPr>
                <w:sz w:val="13"/>
                <w:szCs w:val="13"/>
                <w:color w:val="auto"/>
              </w:rPr>
            </w:pPr>
          </w:p>
        </w:tc>
        <w:tc>
          <w:tcPr>
            <w:tcW w:w="1160" w:type="dxa"/>
            <w:vAlign w:val="bottom"/>
            <w:shd w:val="clear" w:color="auto" w:fill="2AD2C8"/>
          </w:tcPr>
          <w:p>
            <w:pPr>
              <w:spacing w:after="0"/>
              <w:rPr>
                <w:sz w:val="13"/>
                <w:szCs w:val="13"/>
                <w:color w:val="auto"/>
              </w:rPr>
            </w:pPr>
          </w:p>
        </w:tc>
        <w:tc>
          <w:tcPr>
            <w:tcW w:w="1360" w:type="dxa"/>
            <w:vAlign w:val="bottom"/>
            <w:shd w:val="clear" w:color="auto" w:fill="2AD2C8"/>
          </w:tcPr>
          <w:p>
            <w:pPr>
              <w:ind w:left="360"/>
              <w:spacing w:after="0"/>
              <w:rPr>
                <w:sz w:val="20"/>
                <w:szCs w:val="20"/>
                <w:color w:val="auto"/>
              </w:rPr>
            </w:pPr>
            <w:r>
              <w:rPr>
                <w:rFonts w:ascii="Calibri" w:cs="Calibri" w:eastAsia="Calibri" w:hAnsi="Calibri"/>
                <w:sz w:val="12"/>
                <w:szCs w:val="12"/>
                <w:b w:val="1"/>
                <w:bCs w:val="1"/>
                <w:color w:val="FFFFFF"/>
              </w:rPr>
              <w:t>Quarter</w:t>
            </w:r>
          </w:p>
        </w:tc>
        <w:tc>
          <w:tcPr>
            <w:tcW w:w="1260" w:type="dxa"/>
            <w:vAlign w:val="bottom"/>
            <w:tcBorders>
              <w:right w:val="single" w:sz="8" w:color="auto"/>
            </w:tcBorders>
            <w:shd w:val="clear" w:color="auto" w:fill="2AD2C8"/>
          </w:tcPr>
          <w:p>
            <w:pPr>
              <w:spacing w:after="0"/>
              <w:rPr>
                <w:sz w:val="13"/>
                <w:szCs w:val="13"/>
                <w:color w:val="auto"/>
              </w:rPr>
            </w:pPr>
          </w:p>
        </w:tc>
        <w:tc>
          <w:tcPr>
            <w:tcW w:w="680" w:type="dxa"/>
            <w:vAlign w:val="bottom"/>
            <w:shd w:val="clear" w:color="auto" w:fill="2AD2C8"/>
          </w:tcPr>
          <w:p>
            <w:pPr>
              <w:spacing w:after="0"/>
              <w:rPr>
                <w:sz w:val="13"/>
                <w:szCs w:val="13"/>
                <w:color w:val="auto"/>
              </w:rPr>
            </w:pPr>
          </w:p>
        </w:tc>
        <w:tc>
          <w:tcPr>
            <w:tcW w:w="680" w:type="dxa"/>
            <w:vAlign w:val="bottom"/>
            <w:tcBorders>
              <w:right w:val="single" w:sz="8" w:color="auto"/>
            </w:tcBorders>
            <w:gridSpan w:val="2"/>
            <w:shd w:val="clear" w:color="auto" w:fill="2AD2C8"/>
          </w:tcPr>
          <w:p>
            <w:pPr>
              <w:ind w:left="20"/>
              <w:spacing w:after="0"/>
              <w:rPr>
                <w:sz w:val="20"/>
                <w:szCs w:val="20"/>
                <w:color w:val="auto"/>
              </w:rPr>
            </w:pPr>
            <w:r>
              <w:rPr>
                <w:rFonts w:ascii="Calibri" w:cs="Calibri" w:eastAsia="Calibri" w:hAnsi="Calibri"/>
                <w:sz w:val="12"/>
                <w:szCs w:val="12"/>
                <w:b w:val="1"/>
                <w:bCs w:val="1"/>
                <w:color w:val="FFFFFF"/>
              </w:rPr>
              <w:t>% change</w:t>
            </w:r>
          </w:p>
        </w:tc>
        <w:tc>
          <w:tcPr>
            <w:tcW w:w="760" w:type="dxa"/>
            <w:vAlign w:val="bottom"/>
            <w:tcBorders>
              <w:right w:val="single" w:sz="8" w:color="auto"/>
            </w:tcBorders>
            <w:shd w:val="clear" w:color="auto" w:fill="2AD2C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920" w:type="dxa"/>
            <w:vAlign w:val="bottom"/>
            <w:tcBorders>
              <w:left w:val="single" w:sz="8" w:color="auto"/>
              <w:bottom w:val="single" w:sz="8" w:color="2AD2C8"/>
            </w:tcBorders>
            <w:shd w:val="clear" w:color="auto" w:fill="2AD2C8"/>
          </w:tcPr>
          <w:p>
            <w:pPr>
              <w:spacing w:after="0"/>
              <w:rPr>
                <w:sz w:val="20"/>
                <w:szCs w:val="20"/>
                <w:color w:val="auto"/>
              </w:rPr>
            </w:pPr>
            <w:r>
              <w:rPr>
                <w:rFonts w:ascii="Calibri" w:cs="Calibri" w:eastAsia="Calibri" w:hAnsi="Calibri"/>
                <w:sz w:val="12"/>
                <w:szCs w:val="12"/>
                <w:b w:val="1"/>
                <w:bCs w:val="1"/>
                <w:color w:val="FFFFFF"/>
              </w:rPr>
              <w:t>(S/ thousand)</w:t>
            </w:r>
          </w:p>
        </w:tc>
        <w:tc>
          <w:tcPr>
            <w:tcW w:w="1860" w:type="dxa"/>
            <w:vAlign w:val="bottom"/>
            <w:tcBorders>
              <w:bottom w:val="single" w:sz="8" w:color="2AD2C8"/>
              <w:right w:val="single" w:sz="8" w:color="auto"/>
            </w:tcBorders>
            <w:shd w:val="clear" w:color="auto" w:fill="2AD2C8"/>
          </w:tcPr>
          <w:p>
            <w:pPr>
              <w:spacing w:after="0"/>
              <w:rPr>
                <w:sz w:val="17"/>
                <w:szCs w:val="17"/>
                <w:color w:val="auto"/>
              </w:rPr>
            </w:pPr>
          </w:p>
        </w:tc>
        <w:tc>
          <w:tcPr>
            <w:tcW w:w="1160" w:type="dxa"/>
            <w:vAlign w:val="bottom"/>
            <w:tcBorders>
              <w:bottom w:val="single" w:sz="8" w:color="2AD2C8"/>
            </w:tcBorders>
            <w:shd w:val="clear" w:color="auto" w:fill="2AD2C8"/>
          </w:tcPr>
          <w:p>
            <w:pPr>
              <w:ind w:left="420"/>
              <w:spacing w:after="0"/>
              <w:rPr>
                <w:sz w:val="20"/>
                <w:szCs w:val="20"/>
                <w:color w:val="auto"/>
              </w:rPr>
            </w:pPr>
            <w:r>
              <w:rPr>
                <w:rFonts w:ascii="Calibri" w:cs="Calibri" w:eastAsia="Calibri" w:hAnsi="Calibri"/>
                <w:sz w:val="12"/>
                <w:szCs w:val="12"/>
                <w:b w:val="1"/>
                <w:bCs w:val="1"/>
                <w:color w:val="FFFFFF"/>
              </w:rPr>
              <w:t>Dec 23</w:t>
            </w:r>
          </w:p>
        </w:tc>
        <w:tc>
          <w:tcPr>
            <w:tcW w:w="1360" w:type="dxa"/>
            <w:vAlign w:val="bottom"/>
            <w:tcBorders>
              <w:bottom w:val="single" w:sz="8" w:color="2AD2C8"/>
            </w:tcBorders>
            <w:shd w:val="clear" w:color="auto" w:fill="2AD2C8"/>
          </w:tcPr>
          <w:p>
            <w:pPr>
              <w:ind w:left="500"/>
              <w:spacing w:after="0"/>
              <w:rPr>
                <w:sz w:val="20"/>
                <w:szCs w:val="20"/>
                <w:color w:val="auto"/>
              </w:rPr>
            </w:pPr>
            <w:r>
              <w:rPr>
                <w:rFonts w:ascii="Calibri" w:cs="Calibri" w:eastAsia="Calibri" w:hAnsi="Calibri"/>
                <w:sz w:val="12"/>
                <w:szCs w:val="12"/>
                <w:b w:val="1"/>
                <w:bCs w:val="1"/>
                <w:color w:val="FFFFFF"/>
              </w:rPr>
              <w:t>Sep 24</w:t>
            </w:r>
          </w:p>
        </w:tc>
        <w:tc>
          <w:tcPr>
            <w:tcW w:w="1260" w:type="dxa"/>
            <w:vAlign w:val="bottom"/>
            <w:tcBorders>
              <w:bottom w:val="single" w:sz="8" w:color="2AD2C8"/>
              <w:right w:val="single" w:sz="8" w:color="auto"/>
            </w:tcBorders>
            <w:shd w:val="clear" w:color="auto" w:fill="2AD2C8"/>
          </w:tcPr>
          <w:p>
            <w:pPr>
              <w:jc w:val="right"/>
              <w:ind w:right="479"/>
              <w:spacing w:after="0"/>
              <w:rPr>
                <w:sz w:val="20"/>
                <w:szCs w:val="20"/>
                <w:color w:val="auto"/>
              </w:rPr>
            </w:pPr>
            <w:r>
              <w:rPr>
                <w:rFonts w:ascii="Calibri" w:cs="Calibri" w:eastAsia="Calibri" w:hAnsi="Calibri"/>
                <w:sz w:val="12"/>
                <w:szCs w:val="12"/>
                <w:b w:val="1"/>
                <w:bCs w:val="1"/>
                <w:color w:val="FFFFFF"/>
              </w:rPr>
              <w:t>Dec 24</w:t>
            </w:r>
          </w:p>
        </w:tc>
        <w:tc>
          <w:tcPr>
            <w:tcW w:w="680" w:type="dxa"/>
            <w:vAlign w:val="bottom"/>
            <w:tcBorders>
              <w:bottom w:val="single" w:sz="8" w:color="2AD2C8"/>
            </w:tcBorders>
            <w:shd w:val="clear" w:color="auto" w:fill="2AD2C8"/>
          </w:tcPr>
          <w:p>
            <w:pPr>
              <w:jc w:val="right"/>
              <w:spacing w:after="0"/>
              <w:rPr>
                <w:sz w:val="20"/>
                <w:szCs w:val="20"/>
                <w:color w:val="auto"/>
              </w:rPr>
            </w:pPr>
            <w:r>
              <w:rPr>
                <w:rFonts w:ascii="Calibri" w:cs="Calibri" w:eastAsia="Calibri" w:hAnsi="Calibri"/>
                <w:sz w:val="12"/>
                <w:szCs w:val="12"/>
                <w:b w:val="1"/>
                <w:bCs w:val="1"/>
                <w:color w:val="FFFFFF"/>
              </w:rPr>
              <w:t>QoQ</w:t>
            </w:r>
          </w:p>
        </w:tc>
        <w:tc>
          <w:tcPr>
            <w:tcW w:w="160" w:type="dxa"/>
            <w:vAlign w:val="bottom"/>
            <w:tcBorders>
              <w:bottom w:val="single" w:sz="8" w:color="2AD2C8"/>
            </w:tcBorders>
            <w:shd w:val="clear" w:color="auto" w:fill="2AD2C8"/>
          </w:tcPr>
          <w:p>
            <w:pPr>
              <w:spacing w:after="0"/>
              <w:rPr>
                <w:sz w:val="17"/>
                <w:szCs w:val="17"/>
                <w:color w:val="auto"/>
              </w:rPr>
            </w:pPr>
          </w:p>
        </w:tc>
        <w:tc>
          <w:tcPr>
            <w:tcW w:w="520" w:type="dxa"/>
            <w:vAlign w:val="bottom"/>
            <w:tcBorders>
              <w:bottom w:val="single" w:sz="8" w:color="2AD2C8"/>
              <w:right w:val="single" w:sz="8" w:color="auto"/>
            </w:tcBorders>
            <w:shd w:val="clear" w:color="auto" w:fill="2AD2C8"/>
          </w:tcPr>
          <w:p>
            <w:pPr>
              <w:spacing w:after="0"/>
              <w:rPr>
                <w:sz w:val="17"/>
                <w:szCs w:val="17"/>
                <w:color w:val="auto"/>
              </w:rPr>
            </w:pPr>
          </w:p>
        </w:tc>
        <w:tc>
          <w:tcPr>
            <w:tcW w:w="760" w:type="dxa"/>
            <w:vAlign w:val="bottom"/>
            <w:tcBorders>
              <w:bottom w:val="single" w:sz="8" w:color="2AD2C8"/>
              <w:right w:val="single" w:sz="8" w:color="auto"/>
            </w:tcBorders>
            <w:shd w:val="clear" w:color="auto" w:fill="2AD2C8"/>
          </w:tcPr>
          <w:p>
            <w:pPr>
              <w:spacing w:after="0"/>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64"/>
        </w:trPr>
        <w:tc>
          <w:tcPr>
            <w:tcW w:w="2920" w:type="dxa"/>
            <w:vAlign w:val="bottom"/>
            <w:tcBorders>
              <w:top w:val="single" w:sz="8" w:color="auto"/>
              <w:left w:val="single" w:sz="8" w:color="auto"/>
              <w:bottom w:val="single" w:sz="8" w:color="auto"/>
            </w:tcBorders>
          </w:tcPr>
          <w:p>
            <w:pPr>
              <w:ind w:left="160"/>
              <w:spacing w:after="0" w:line="157" w:lineRule="exact"/>
              <w:rPr>
                <w:sz w:val="20"/>
                <w:szCs w:val="20"/>
                <w:color w:val="auto"/>
              </w:rPr>
            </w:pPr>
            <w:r>
              <w:rPr>
                <w:rFonts w:ascii="Calibri" w:cs="Calibri" w:eastAsia="Calibri" w:hAnsi="Calibri"/>
                <w:sz w:val="13"/>
                <w:szCs w:val="13"/>
                <w:color w:val="auto"/>
              </w:rPr>
              <w:t>Market risk-weighted assets</w:t>
            </w:r>
          </w:p>
        </w:tc>
        <w:tc>
          <w:tcPr>
            <w:tcW w:w="1860" w:type="dxa"/>
            <w:vAlign w:val="bottom"/>
            <w:tcBorders>
              <w:top w:val="single" w:sz="8" w:color="auto"/>
              <w:bottom w:val="single" w:sz="8" w:color="auto"/>
              <w:right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12"/>
                <w:szCs w:val="12"/>
                <w:color w:val="auto"/>
              </w:rPr>
              <w:t>220,327</w:t>
            </w:r>
          </w:p>
        </w:tc>
        <w:tc>
          <w:tcPr>
            <w:tcW w:w="136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12"/>
                <w:szCs w:val="12"/>
                <w:color w:val="auto"/>
              </w:rPr>
              <w:t>238,117</w:t>
            </w:r>
          </w:p>
        </w:tc>
        <w:tc>
          <w:tcPr>
            <w:tcW w:w="1260" w:type="dxa"/>
            <w:vAlign w:val="bottom"/>
            <w:tcBorders>
              <w:top w:val="single" w:sz="8" w:color="auto"/>
              <w:bottom w:val="single" w:sz="8" w:color="auto"/>
              <w:right w:val="single" w:sz="8" w:color="auto"/>
            </w:tcBorders>
          </w:tcPr>
          <w:p>
            <w:pPr>
              <w:jc w:val="right"/>
              <w:ind w:right="439"/>
              <w:spacing w:after="0"/>
              <w:rPr>
                <w:sz w:val="20"/>
                <w:szCs w:val="20"/>
                <w:color w:val="auto"/>
              </w:rPr>
            </w:pPr>
            <w:r>
              <w:rPr>
                <w:rFonts w:ascii="Calibri" w:cs="Calibri" w:eastAsia="Calibri" w:hAnsi="Calibri"/>
                <w:sz w:val="12"/>
                <w:szCs w:val="12"/>
                <w:color w:val="auto"/>
              </w:rPr>
              <w:t>241,964</w:t>
            </w:r>
          </w:p>
        </w:tc>
        <w:tc>
          <w:tcPr>
            <w:tcW w:w="6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2"/>
                <w:szCs w:val="12"/>
                <w:color w:val="auto"/>
              </w:rPr>
              <w:t>1.6%</w:t>
            </w:r>
          </w:p>
        </w:tc>
        <w:tc>
          <w:tcPr>
            <w:tcW w:w="1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right w:val="single" w:sz="8" w:color="auto"/>
            </w:tcBorders>
            <w:gridSpan w:val="2"/>
          </w:tcPr>
          <w:p>
            <w:pPr>
              <w:jc w:val="center"/>
              <w:ind w:right="179"/>
              <w:spacing w:after="0"/>
              <w:rPr>
                <w:sz w:val="20"/>
                <w:szCs w:val="20"/>
                <w:color w:val="auto"/>
              </w:rPr>
            </w:pPr>
            <w:r>
              <w:rPr>
                <w:rFonts w:ascii="Calibri" w:cs="Calibri" w:eastAsia="Calibri" w:hAnsi="Calibri"/>
                <w:sz w:val="12"/>
                <w:szCs w:val="12"/>
                <w:color w:val="auto"/>
              </w:rPr>
              <w:t>9.8%</w:t>
            </w:r>
          </w:p>
        </w:tc>
        <w:tc>
          <w:tcPr>
            <w:tcW w:w="0" w:type="dxa"/>
            <w:vAlign w:val="bottom"/>
          </w:tcPr>
          <w:p>
            <w:pPr>
              <w:spacing w:after="0"/>
              <w:rPr>
                <w:sz w:val="1"/>
                <w:szCs w:val="1"/>
                <w:color w:val="auto"/>
              </w:rPr>
            </w:pPr>
          </w:p>
        </w:tc>
      </w:tr>
      <w:tr>
        <w:trPr>
          <w:trHeight w:val="149"/>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Credit risk-weighted assets</w:t>
            </w:r>
          </w:p>
        </w:tc>
        <w:tc>
          <w:tcPr>
            <w:tcW w:w="1860" w:type="dxa"/>
            <w:vAlign w:val="bottom"/>
            <w:tcBorders>
              <w:right w:val="single" w:sz="8" w:color="auto"/>
            </w:tcBorders>
          </w:tcPr>
          <w:p>
            <w:pPr>
              <w:spacing w:after="0"/>
              <w:rPr>
                <w:sz w:val="12"/>
                <w:szCs w:val="12"/>
                <w:color w:val="auto"/>
              </w:rPr>
            </w:pPr>
          </w:p>
        </w:tc>
        <w:tc>
          <w:tcPr>
            <w:tcW w:w="1160" w:type="dxa"/>
            <w:vAlign w:val="bottom"/>
          </w:tcPr>
          <w:p>
            <w:pPr>
              <w:jc w:val="center"/>
              <w:spacing w:after="0"/>
              <w:rPr>
                <w:sz w:val="20"/>
                <w:szCs w:val="20"/>
                <w:color w:val="auto"/>
              </w:rPr>
            </w:pPr>
            <w:r>
              <w:rPr>
                <w:rFonts w:ascii="Calibri" w:cs="Calibri" w:eastAsia="Calibri" w:hAnsi="Calibri"/>
                <w:sz w:val="12"/>
                <w:szCs w:val="12"/>
                <w:color w:val="auto"/>
              </w:rPr>
              <w:t>12,349,400</w:t>
            </w:r>
          </w:p>
        </w:tc>
        <w:tc>
          <w:tcPr>
            <w:tcW w:w="1360" w:type="dxa"/>
            <w:vAlign w:val="bottom"/>
          </w:tcPr>
          <w:p>
            <w:pPr>
              <w:jc w:val="center"/>
              <w:spacing w:after="0"/>
              <w:rPr>
                <w:sz w:val="20"/>
                <w:szCs w:val="20"/>
                <w:color w:val="auto"/>
              </w:rPr>
            </w:pPr>
            <w:r>
              <w:rPr>
                <w:rFonts w:ascii="Calibri" w:cs="Calibri" w:eastAsia="Calibri" w:hAnsi="Calibri"/>
                <w:sz w:val="12"/>
                <w:szCs w:val="12"/>
                <w:color w:val="auto"/>
              </w:rPr>
              <w:t>11,263,844</w:t>
            </w:r>
          </w:p>
        </w:tc>
        <w:tc>
          <w:tcPr>
            <w:tcW w:w="1260" w:type="dxa"/>
            <w:vAlign w:val="bottom"/>
            <w:tcBorders>
              <w:right w:val="single" w:sz="8" w:color="auto"/>
            </w:tcBorders>
          </w:tcPr>
          <w:p>
            <w:pPr>
              <w:jc w:val="center"/>
              <w:ind w:right="79"/>
              <w:spacing w:after="0"/>
              <w:rPr>
                <w:sz w:val="20"/>
                <w:szCs w:val="20"/>
                <w:color w:val="auto"/>
              </w:rPr>
            </w:pPr>
            <w:r>
              <w:rPr>
                <w:rFonts w:ascii="Calibri" w:cs="Calibri" w:eastAsia="Calibri" w:hAnsi="Calibri"/>
                <w:sz w:val="12"/>
                <w:szCs w:val="12"/>
                <w:color w:val="auto"/>
              </w:rPr>
              <w:t>11,419,696</w:t>
            </w:r>
          </w:p>
        </w:tc>
        <w:tc>
          <w:tcPr>
            <w:tcW w:w="680" w:type="dxa"/>
            <w:vAlign w:val="bottom"/>
          </w:tcPr>
          <w:p>
            <w:pPr>
              <w:jc w:val="right"/>
              <w:spacing w:after="0"/>
              <w:rPr>
                <w:sz w:val="20"/>
                <w:szCs w:val="20"/>
                <w:color w:val="auto"/>
              </w:rPr>
            </w:pPr>
            <w:r>
              <w:rPr>
                <w:rFonts w:ascii="Calibri" w:cs="Calibri" w:eastAsia="Calibri" w:hAnsi="Calibri"/>
                <w:sz w:val="12"/>
                <w:szCs w:val="12"/>
                <w:color w:val="auto"/>
              </w:rPr>
              <w:t>1.4%</w:t>
            </w:r>
          </w:p>
        </w:tc>
        <w:tc>
          <w:tcPr>
            <w:tcW w:w="16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7.5%</w:t>
            </w:r>
          </w:p>
        </w:tc>
        <w:tc>
          <w:tcPr>
            <w:tcW w:w="0" w:type="dxa"/>
            <w:vAlign w:val="bottom"/>
          </w:tcPr>
          <w:p>
            <w:pPr>
              <w:spacing w:after="0"/>
              <w:rPr>
                <w:sz w:val="1"/>
                <w:szCs w:val="1"/>
                <w:color w:val="auto"/>
              </w:rPr>
            </w:pPr>
          </w:p>
        </w:tc>
      </w:tr>
      <w:tr>
        <w:trPr>
          <w:trHeight w:val="172"/>
        </w:trPr>
        <w:tc>
          <w:tcPr>
            <w:tcW w:w="2920" w:type="dxa"/>
            <w:vAlign w:val="bottom"/>
            <w:tcBorders>
              <w:left w:val="single" w:sz="8" w:color="auto"/>
              <w:bottom w:val="single" w:sz="8" w:color="auto"/>
            </w:tcBorders>
          </w:tcPr>
          <w:p>
            <w:pPr>
              <w:ind w:left="160"/>
              <w:spacing w:after="0" w:line="157" w:lineRule="exact"/>
              <w:rPr>
                <w:sz w:val="20"/>
                <w:szCs w:val="20"/>
                <w:color w:val="auto"/>
              </w:rPr>
            </w:pPr>
            <w:r>
              <w:rPr>
                <w:rFonts w:ascii="Calibri" w:cs="Calibri" w:eastAsia="Calibri" w:hAnsi="Calibri"/>
                <w:sz w:val="13"/>
                <w:szCs w:val="13"/>
                <w:color w:val="auto"/>
              </w:rPr>
              <w:t>Operatonal risk-weighted assets</w:t>
            </w:r>
          </w:p>
        </w:tc>
        <w:tc>
          <w:tcPr>
            <w:tcW w:w="18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1,527,140</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1,594,338</w:t>
            </w:r>
          </w:p>
        </w:tc>
        <w:tc>
          <w:tcPr>
            <w:tcW w:w="1260" w:type="dxa"/>
            <w:vAlign w:val="bottom"/>
            <w:tcBorders>
              <w:bottom w:val="single" w:sz="8" w:color="auto"/>
              <w:right w:val="single" w:sz="8" w:color="auto"/>
            </w:tcBorders>
          </w:tcPr>
          <w:p>
            <w:pPr>
              <w:jc w:val="center"/>
              <w:ind w:right="79"/>
              <w:spacing w:after="0"/>
              <w:rPr>
                <w:sz w:val="20"/>
                <w:szCs w:val="20"/>
                <w:color w:val="auto"/>
              </w:rPr>
            </w:pPr>
            <w:r>
              <w:rPr>
                <w:rFonts w:ascii="Calibri" w:cs="Calibri" w:eastAsia="Calibri" w:hAnsi="Calibri"/>
                <w:sz w:val="12"/>
                <w:szCs w:val="12"/>
                <w:color w:val="auto"/>
                <w:w w:val="98"/>
              </w:rPr>
              <w:t>1,605,950</w:t>
            </w:r>
          </w:p>
        </w:tc>
        <w:tc>
          <w:tcPr>
            <w:tcW w:w="68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color w:val="auto"/>
              </w:rPr>
              <w:t>0.7%</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gridSpan w:val="2"/>
          </w:tcPr>
          <w:p>
            <w:pPr>
              <w:jc w:val="center"/>
              <w:ind w:right="179"/>
              <w:spacing w:after="0"/>
              <w:rPr>
                <w:sz w:val="20"/>
                <w:szCs w:val="20"/>
                <w:color w:val="auto"/>
              </w:rPr>
            </w:pPr>
            <w:r>
              <w:rPr>
                <w:rFonts w:ascii="Calibri" w:cs="Calibri" w:eastAsia="Calibri" w:hAnsi="Calibri"/>
                <w:sz w:val="12"/>
                <w:szCs w:val="12"/>
                <w:color w:val="auto"/>
              </w:rPr>
              <w:t>5.2%</w:t>
            </w:r>
          </w:p>
        </w:tc>
        <w:tc>
          <w:tcPr>
            <w:tcW w:w="0" w:type="dxa"/>
            <w:vAlign w:val="bottom"/>
          </w:tcPr>
          <w:p>
            <w:pPr>
              <w:spacing w:after="0"/>
              <w:rPr>
                <w:sz w:val="1"/>
                <w:szCs w:val="1"/>
                <w:color w:val="auto"/>
              </w:rPr>
            </w:pPr>
          </w:p>
        </w:tc>
      </w:tr>
      <w:tr>
        <w:trPr>
          <w:trHeight w:val="167"/>
        </w:trPr>
        <w:tc>
          <w:tcPr>
            <w:tcW w:w="2920" w:type="dxa"/>
            <w:vAlign w:val="bottom"/>
            <w:tcBorders>
              <w:left w:val="single" w:sz="8" w:color="auto"/>
              <w:bottom w:val="single" w:sz="8" w:color="auto"/>
            </w:tcBorders>
          </w:tcPr>
          <w:p>
            <w:pPr>
              <w:spacing w:after="0"/>
              <w:rPr>
                <w:sz w:val="20"/>
                <w:szCs w:val="20"/>
                <w:color w:val="auto"/>
              </w:rPr>
            </w:pPr>
            <w:r>
              <w:rPr>
                <w:rFonts w:ascii="Calibri" w:cs="Calibri" w:eastAsia="Calibri" w:hAnsi="Calibri"/>
                <w:sz w:val="12"/>
                <w:szCs w:val="12"/>
                <w:b w:val="1"/>
                <w:bCs w:val="1"/>
                <w:color w:val="auto"/>
              </w:rPr>
              <w:t>Total</w:t>
            </w:r>
          </w:p>
        </w:tc>
        <w:tc>
          <w:tcPr>
            <w:tcW w:w="18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14,096,867</w:t>
            </w:r>
          </w:p>
        </w:tc>
        <w:tc>
          <w:tcPr>
            <w:tcW w:w="13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13,096,299</w:t>
            </w:r>
          </w:p>
        </w:tc>
        <w:tc>
          <w:tcPr>
            <w:tcW w:w="1260" w:type="dxa"/>
            <w:vAlign w:val="bottom"/>
            <w:tcBorders>
              <w:bottom w:val="single" w:sz="8" w:color="auto"/>
              <w:right w:val="single" w:sz="8" w:color="auto"/>
            </w:tcBorders>
          </w:tcPr>
          <w:p>
            <w:pPr>
              <w:jc w:val="center"/>
              <w:ind w:right="79"/>
              <w:spacing w:after="0"/>
              <w:rPr>
                <w:sz w:val="20"/>
                <w:szCs w:val="20"/>
                <w:color w:val="auto"/>
              </w:rPr>
            </w:pPr>
            <w:r>
              <w:rPr>
                <w:rFonts w:ascii="Calibri" w:cs="Calibri" w:eastAsia="Calibri" w:hAnsi="Calibri"/>
                <w:sz w:val="12"/>
                <w:szCs w:val="12"/>
                <w:b w:val="1"/>
                <w:bCs w:val="1"/>
                <w:color w:val="auto"/>
              </w:rPr>
              <w:t>13,267,611</w:t>
            </w:r>
          </w:p>
        </w:tc>
        <w:tc>
          <w:tcPr>
            <w:tcW w:w="68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b w:val="1"/>
                <w:bCs w:val="1"/>
                <w:color w:val="auto"/>
              </w:rPr>
              <w:t>1.3%</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Calibri" w:cs="Calibri" w:eastAsia="Calibri" w:hAnsi="Calibri"/>
                <w:sz w:val="12"/>
                <w:szCs w:val="12"/>
                <w:b w:val="1"/>
                <w:bCs w:val="1"/>
                <w:color w:val="auto"/>
                <w:w w:val="99"/>
              </w:rPr>
              <w:t>5.9%</w:t>
            </w:r>
          </w:p>
        </w:tc>
        <w:tc>
          <w:tcPr>
            <w:tcW w:w="0" w:type="dxa"/>
            <w:vAlign w:val="bottom"/>
          </w:tcPr>
          <w:p>
            <w:pPr>
              <w:spacing w:after="0"/>
              <w:rPr>
                <w:sz w:val="1"/>
                <w:szCs w:val="1"/>
                <w:color w:val="auto"/>
              </w:rPr>
            </w:pPr>
          </w:p>
        </w:tc>
      </w:tr>
      <w:tr>
        <w:trPr>
          <w:trHeight w:val="178"/>
        </w:trPr>
        <w:tc>
          <w:tcPr>
            <w:tcW w:w="29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920" w:type="dxa"/>
            <w:vAlign w:val="bottom"/>
            <w:tcBorders>
              <w:left w:val="single" w:sz="8" w:color="auto"/>
              <w:bottom w:val="single" w:sz="8" w:color="2AD2C8"/>
            </w:tcBorders>
            <w:shd w:val="clear" w:color="auto" w:fill="2AD2C8"/>
          </w:tcPr>
          <w:p>
            <w:pPr>
              <w:spacing w:after="0"/>
              <w:rPr>
                <w:sz w:val="20"/>
                <w:szCs w:val="20"/>
                <w:color w:val="auto"/>
              </w:rPr>
            </w:pPr>
            <w:r>
              <w:rPr>
                <w:rFonts w:ascii="Calibri" w:cs="Calibri" w:eastAsia="Calibri" w:hAnsi="Calibri"/>
                <w:sz w:val="12"/>
                <w:szCs w:val="12"/>
                <w:b w:val="1"/>
                <w:bCs w:val="1"/>
                <w:color w:val="FFFFFF"/>
              </w:rPr>
              <w:t>Capital requirement</w:t>
            </w:r>
          </w:p>
        </w:tc>
        <w:tc>
          <w:tcPr>
            <w:tcW w:w="1860" w:type="dxa"/>
            <w:vAlign w:val="bottom"/>
            <w:tcBorders>
              <w:bottom w:val="single" w:sz="8" w:color="2AD2C8"/>
              <w:right w:val="single" w:sz="8" w:color="auto"/>
            </w:tcBorders>
            <w:shd w:val="clear" w:color="auto" w:fill="2AD2C8"/>
          </w:tcPr>
          <w:p>
            <w:pPr>
              <w:spacing w:after="0"/>
              <w:rPr>
                <w:sz w:val="13"/>
                <w:szCs w:val="13"/>
                <w:color w:val="auto"/>
              </w:rPr>
            </w:pPr>
          </w:p>
        </w:tc>
        <w:tc>
          <w:tcPr>
            <w:tcW w:w="1160" w:type="dxa"/>
            <w:vAlign w:val="bottom"/>
            <w:tcBorders>
              <w:bottom w:val="single" w:sz="8" w:color="2AD2C8"/>
            </w:tcBorders>
            <w:shd w:val="clear" w:color="auto" w:fill="2AD2C8"/>
          </w:tcPr>
          <w:p>
            <w:pPr>
              <w:spacing w:after="0"/>
              <w:rPr>
                <w:sz w:val="13"/>
                <w:szCs w:val="13"/>
                <w:color w:val="auto"/>
              </w:rPr>
            </w:pPr>
          </w:p>
        </w:tc>
        <w:tc>
          <w:tcPr>
            <w:tcW w:w="1360" w:type="dxa"/>
            <w:vAlign w:val="bottom"/>
            <w:tcBorders>
              <w:bottom w:val="single" w:sz="8" w:color="2AD2C8"/>
            </w:tcBorders>
            <w:shd w:val="clear" w:color="auto" w:fill="2AD2C8"/>
          </w:tcPr>
          <w:p>
            <w:pPr>
              <w:ind w:left="320"/>
              <w:spacing w:after="0"/>
              <w:rPr>
                <w:sz w:val="20"/>
                <w:szCs w:val="20"/>
                <w:color w:val="auto"/>
              </w:rPr>
            </w:pPr>
            <w:r>
              <w:rPr>
                <w:rFonts w:ascii="Calibri" w:cs="Calibri" w:eastAsia="Calibri" w:hAnsi="Calibri"/>
                <w:sz w:val="12"/>
                <w:szCs w:val="12"/>
                <w:b w:val="1"/>
                <w:bCs w:val="1"/>
                <w:color w:val="FFFFFF"/>
              </w:rPr>
              <w:t>Quarter</w:t>
            </w:r>
          </w:p>
        </w:tc>
        <w:tc>
          <w:tcPr>
            <w:tcW w:w="1260" w:type="dxa"/>
            <w:vAlign w:val="bottom"/>
            <w:tcBorders>
              <w:bottom w:val="single" w:sz="8" w:color="2AD2C8"/>
              <w:right w:val="single" w:sz="8" w:color="auto"/>
            </w:tcBorders>
            <w:shd w:val="clear" w:color="auto" w:fill="2AD2C8"/>
          </w:tcPr>
          <w:p>
            <w:pPr>
              <w:spacing w:after="0"/>
              <w:rPr>
                <w:sz w:val="13"/>
                <w:szCs w:val="13"/>
                <w:color w:val="auto"/>
              </w:rPr>
            </w:pPr>
          </w:p>
        </w:tc>
        <w:tc>
          <w:tcPr>
            <w:tcW w:w="2120" w:type="dxa"/>
            <w:vAlign w:val="bottom"/>
            <w:tcBorders>
              <w:bottom w:val="single" w:sz="8" w:color="2AD2C8"/>
              <w:right w:val="single" w:sz="8" w:color="auto"/>
            </w:tcBorders>
            <w:gridSpan w:val="4"/>
            <w:shd w:val="clear" w:color="auto" w:fill="2AD2C8"/>
          </w:tcPr>
          <w:p>
            <w:pPr>
              <w:ind w:left="660"/>
              <w:spacing w:after="0"/>
              <w:rPr>
                <w:sz w:val="20"/>
                <w:szCs w:val="20"/>
                <w:color w:val="auto"/>
              </w:rPr>
            </w:pPr>
            <w:r>
              <w:rPr>
                <w:rFonts w:ascii="Calibri" w:cs="Calibri" w:eastAsia="Calibri" w:hAnsi="Calibri"/>
                <w:sz w:val="12"/>
                <w:szCs w:val="12"/>
                <w:b w:val="1"/>
                <w:bCs w:val="1"/>
                <w:color w:val="FFFFFF"/>
              </w:rPr>
              <w:t>% change</w:t>
            </w:r>
          </w:p>
        </w:tc>
        <w:tc>
          <w:tcPr>
            <w:tcW w:w="0" w:type="dxa"/>
            <w:vAlign w:val="bottom"/>
          </w:tcPr>
          <w:p>
            <w:pPr>
              <w:spacing w:after="0"/>
              <w:rPr>
                <w:sz w:val="1"/>
                <w:szCs w:val="1"/>
                <w:color w:val="auto"/>
              </w:rPr>
            </w:pPr>
          </w:p>
        </w:tc>
      </w:tr>
      <w:tr>
        <w:trPr>
          <w:trHeight w:val="189"/>
        </w:trPr>
        <w:tc>
          <w:tcPr>
            <w:tcW w:w="2920" w:type="dxa"/>
            <w:vAlign w:val="bottom"/>
            <w:tcBorders>
              <w:left w:val="single" w:sz="8" w:color="auto"/>
              <w:bottom w:val="single" w:sz="8" w:color="2AD2C8"/>
            </w:tcBorders>
            <w:shd w:val="clear" w:color="auto" w:fill="2AD2C8"/>
          </w:tcPr>
          <w:p>
            <w:pPr>
              <w:spacing w:after="0" w:line="135" w:lineRule="exact"/>
              <w:rPr>
                <w:sz w:val="20"/>
                <w:szCs w:val="20"/>
                <w:color w:val="auto"/>
              </w:rPr>
            </w:pPr>
            <w:r>
              <w:rPr>
                <w:rFonts w:ascii="Calibri" w:cs="Calibri" w:eastAsia="Calibri" w:hAnsi="Calibri"/>
                <w:sz w:val="12"/>
                <w:szCs w:val="12"/>
                <w:color w:val="FFFFFF"/>
              </w:rPr>
              <w:t>(S/ thousand)</w:t>
            </w:r>
          </w:p>
        </w:tc>
        <w:tc>
          <w:tcPr>
            <w:tcW w:w="1860" w:type="dxa"/>
            <w:vAlign w:val="bottom"/>
            <w:tcBorders>
              <w:bottom w:val="single" w:sz="8" w:color="2AD2C8"/>
              <w:right w:val="single" w:sz="8" w:color="auto"/>
            </w:tcBorders>
            <w:shd w:val="clear" w:color="auto" w:fill="2AD2C8"/>
          </w:tcPr>
          <w:p>
            <w:pPr>
              <w:spacing w:after="0"/>
              <w:rPr>
                <w:sz w:val="15"/>
                <w:szCs w:val="15"/>
                <w:color w:val="auto"/>
              </w:rPr>
            </w:pPr>
          </w:p>
        </w:tc>
        <w:tc>
          <w:tcPr>
            <w:tcW w:w="1160" w:type="dxa"/>
            <w:vAlign w:val="bottom"/>
            <w:tcBorders>
              <w:bottom w:val="single" w:sz="8" w:color="2AD2C8"/>
            </w:tcBorders>
            <w:shd w:val="clear" w:color="auto" w:fill="2AD2C8"/>
          </w:tcPr>
          <w:p>
            <w:pPr>
              <w:jc w:val="center"/>
              <w:spacing w:after="0" w:line="135" w:lineRule="exact"/>
              <w:rPr>
                <w:sz w:val="20"/>
                <w:szCs w:val="20"/>
                <w:color w:val="auto"/>
              </w:rPr>
            </w:pPr>
            <w:r>
              <w:rPr>
                <w:rFonts w:ascii="Calibri" w:cs="Calibri" w:eastAsia="Calibri" w:hAnsi="Calibri"/>
                <w:sz w:val="12"/>
                <w:szCs w:val="12"/>
                <w:b w:val="1"/>
                <w:bCs w:val="1"/>
                <w:color w:val="FFFFFF"/>
              </w:rPr>
              <w:t>Dec 23</w:t>
            </w:r>
          </w:p>
        </w:tc>
        <w:tc>
          <w:tcPr>
            <w:tcW w:w="1360" w:type="dxa"/>
            <w:vAlign w:val="bottom"/>
            <w:tcBorders>
              <w:bottom w:val="single" w:sz="8" w:color="2AD2C8"/>
            </w:tcBorders>
            <w:shd w:val="clear" w:color="auto" w:fill="2AD2C8"/>
          </w:tcPr>
          <w:p>
            <w:pPr>
              <w:ind w:left="360"/>
              <w:spacing w:after="0" w:line="135" w:lineRule="exact"/>
              <w:rPr>
                <w:sz w:val="20"/>
                <w:szCs w:val="20"/>
                <w:color w:val="auto"/>
              </w:rPr>
            </w:pPr>
            <w:r>
              <w:rPr>
                <w:rFonts w:ascii="Calibri" w:cs="Calibri" w:eastAsia="Calibri" w:hAnsi="Calibri"/>
                <w:sz w:val="12"/>
                <w:szCs w:val="12"/>
                <w:b w:val="1"/>
                <w:bCs w:val="1"/>
                <w:color w:val="FFFFFF"/>
              </w:rPr>
              <w:t>Sep 24</w:t>
            </w:r>
          </w:p>
        </w:tc>
        <w:tc>
          <w:tcPr>
            <w:tcW w:w="1260" w:type="dxa"/>
            <w:vAlign w:val="bottom"/>
            <w:tcBorders>
              <w:bottom w:val="single" w:sz="8" w:color="2AD2C8"/>
              <w:right w:val="single" w:sz="8" w:color="auto"/>
            </w:tcBorders>
            <w:shd w:val="clear" w:color="auto" w:fill="2AD2C8"/>
          </w:tcPr>
          <w:p>
            <w:pPr>
              <w:jc w:val="right"/>
              <w:ind w:right="519"/>
              <w:spacing w:after="0" w:line="135" w:lineRule="exact"/>
              <w:rPr>
                <w:sz w:val="20"/>
                <w:szCs w:val="20"/>
                <w:color w:val="auto"/>
              </w:rPr>
            </w:pPr>
            <w:r>
              <w:rPr>
                <w:rFonts w:ascii="Calibri" w:cs="Calibri" w:eastAsia="Calibri" w:hAnsi="Calibri"/>
                <w:sz w:val="12"/>
                <w:szCs w:val="12"/>
                <w:b w:val="1"/>
                <w:bCs w:val="1"/>
                <w:color w:val="FFFFFF"/>
              </w:rPr>
              <w:t>Dec 24</w:t>
            </w:r>
          </w:p>
        </w:tc>
        <w:tc>
          <w:tcPr>
            <w:tcW w:w="680" w:type="dxa"/>
            <w:vAlign w:val="bottom"/>
            <w:tcBorders>
              <w:bottom w:val="single" w:sz="8" w:color="2AD2C8"/>
            </w:tcBorders>
            <w:shd w:val="clear" w:color="auto" w:fill="2AD2C8"/>
          </w:tcPr>
          <w:p>
            <w:pPr>
              <w:jc w:val="right"/>
              <w:ind w:right="20"/>
              <w:spacing w:after="0" w:line="135" w:lineRule="exact"/>
              <w:rPr>
                <w:sz w:val="20"/>
                <w:szCs w:val="20"/>
                <w:color w:val="auto"/>
              </w:rPr>
            </w:pPr>
            <w:r>
              <w:rPr>
                <w:rFonts w:ascii="Calibri" w:cs="Calibri" w:eastAsia="Calibri" w:hAnsi="Calibri"/>
                <w:sz w:val="12"/>
                <w:szCs w:val="12"/>
                <w:b w:val="1"/>
                <w:bCs w:val="1"/>
                <w:color w:val="FFFFFF"/>
              </w:rPr>
              <w:t>QoQ</w:t>
            </w:r>
          </w:p>
        </w:tc>
        <w:tc>
          <w:tcPr>
            <w:tcW w:w="160" w:type="dxa"/>
            <w:vAlign w:val="bottom"/>
            <w:tcBorders>
              <w:bottom w:val="single" w:sz="8" w:color="2AD2C8"/>
            </w:tcBorders>
            <w:shd w:val="clear" w:color="auto" w:fill="2AD2C8"/>
          </w:tcPr>
          <w:p>
            <w:pPr>
              <w:spacing w:after="0"/>
              <w:rPr>
                <w:sz w:val="15"/>
                <w:szCs w:val="15"/>
                <w:color w:val="auto"/>
              </w:rPr>
            </w:pPr>
          </w:p>
        </w:tc>
        <w:tc>
          <w:tcPr>
            <w:tcW w:w="520" w:type="dxa"/>
            <w:vAlign w:val="bottom"/>
            <w:tcBorders>
              <w:bottom w:val="single" w:sz="8" w:color="2AD2C8"/>
              <w:right w:val="single" w:sz="8" w:color="auto"/>
            </w:tcBorders>
            <w:shd w:val="clear" w:color="auto" w:fill="2AD2C8"/>
          </w:tcPr>
          <w:p>
            <w:pPr>
              <w:spacing w:after="0"/>
              <w:rPr>
                <w:sz w:val="15"/>
                <w:szCs w:val="15"/>
                <w:color w:val="auto"/>
              </w:rPr>
            </w:pPr>
          </w:p>
        </w:tc>
        <w:tc>
          <w:tcPr>
            <w:tcW w:w="760" w:type="dxa"/>
            <w:vAlign w:val="bottom"/>
            <w:tcBorders>
              <w:bottom w:val="single" w:sz="8" w:color="2AD2C8"/>
              <w:right w:val="single" w:sz="8" w:color="auto"/>
            </w:tcBorders>
            <w:shd w:val="clear" w:color="auto" w:fill="2AD2C8"/>
          </w:tcPr>
          <w:p>
            <w:pPr>
              <w:spacing w:after="0" w:line="135" w:lineRule="exact"/>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54"/>
        </w:trPr>
        <w:tc>
          <w:tcPr>
            <w:tcW w:w="2920" w:type="dxa"/>
            <w:vAlign w:val="bottom"/>
            <w:tcBorders>
              <w:top w:val="single" w:sz="8" w:color="auto"/>
              <w:left w:val="single" w:sz="8" w:color="auto"/>
            </w:tcBorders>
          </w:tcPr>
          <w:p>
            <w:pPr>
              <w:ind w:left="160"/>
              <w:spacing w:after="0"/>
              <w:rPr>
                <w:sz w:val="20"/>
                <w:szCs w:val="20"/>
                <w:color w:val="auto"/>
              </w:rPr>
            </w:pPr>
            <w:r>
              <w:rPr>
                <w:rFonts w:ascii="Calibri" w:cs="Calibri" w:eastAsia="Calibri" w:hAnsi="Calibri"/>
                <w:sz w:val="12"/>
                <w:szCs w:val="12"/>
                <w:color w:val="auto"/>
              </w:rPr>
              <w:t>Market risk capital requirement</w:t>
            </w:r>
          </w:p>
        </w:tc>
        <w:tc>
          <w:tcPr>
            <w:tcW w:w="186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tcBorders>
          </w:tcPr>
          <w:p>
            <w:pPr>
              <w:jc w:val="center"/>
              <w:spacing w:after="0"/>
              <w:rPr>
                <w:sz w:val="20"/>
                <w:szCs w:val="20"/>
                <w:color w:val="auto"/>
              </w:rPr>
            </w:pPr>
            <w:r>
              <w:rPr>
                <w:rFonts w:ascii="Calibri" w:cs="Calibri" w:eastAsia="Calibri" w:hAnsi="Calibri"/>
                <w:sz w:val="12"/>
                <w:szCs w:val="12"/>
                <w:color w:val="auto"/>
              </w:rPr>
              <w:t>22,033</w:t>
            </w:r>
          </w:p>
        </w:tc>
        <w:tc>
          <w:tcPr>
            <w:tcW w:w="1360" w:type="dxa"/>
            <w:vAlign w:val="bottom"/>
            <w:tcBorders>
              <w:top w:val="single" w:sz="8" w:color="auto"/>
            </w:tcBorders>
          </w:tcPr>
          <w:p>
            <w:pPr>
              <w:jc w:val="center"/>
              <w:ind w:right="39"/>
              <w:spacing w:after="0"/>
              <w:rPr>
                <w:sz w:val="20"/>
                <w:szCs w:val="20"/>
                <w:color w:val="auto"/>
              </w:rPr>
            </w:pPr>
            <w:r>
              <w:rPr>
                <w:rFonts w:ascii="Calibri" w:cs="Calibri" w:eastAsia="Calibri" w:hAnsi="Calibri"/>
                <w:sz w:val="12"/>
                <w:szCs w:val="12"/>
                <w:color w:val="auto"/>
              </w:rPr>
              <w:t>23,812</w:t>
            </w:r>
          </w:p>
        </w:tc>
        <w:tc>
          <w:tcPr>
            <w:tcW w:w="1260" w:type="dxa"/>
            <w:vAlign w:val="bottom"/>
            <w:tcBorders>
              <w:top w:val="single" w:sz="8" w:color="auto"/>
              <w:right w:val="single" w:sz="8" w:color="auto"/>
            </w:tcBorders>
          </w:tcPr>
          <w:p>
            <w:pPr>
              <w:jc w:val="center"/>
              <w:ind w:right="139"/>
              <w:spacing w:after="0"/>
              <w:rPr>
                <w:sz w:val="20"/>
                <w:szCs w:val="20"/>
                <w:color w:val="auto"/>
              </w:rPr>
            </w:pPr>
            <w:r>
              <w:rPr>
                <w:rFonts w:ascii="Calibri" w:cs="Calibri" w:eastAsia="Calibri" w:hAnsi="Calibri"/>
                <w:sz w:val="12"/>
                <w:szCs w:val="12"/>
                <w:color w:val="auto"/>
              </w:rPr>
              <w:t>24,196</w:t>
            </w:r>
          </w:p>
        </w:tc>
        <w:tc>
          <w:tcPr>
            <w:tcW w:w="680" w:type="dxa"/>
            <w:vAlign w:val="bottom"/>
            <w:tcBorders>
              <w:top w:val="single" w:sz="8" w:color="auto"/>
            </w:tcBorders>
          </w:tcPr>
          <w:p>
            <w:pPr>
              <w:jc w:val="center"/>
              <w:ind w:left="220"/>
              <w:spacing w:after="0"/>
              <w:rPr>
                <w:sz w:val="20"/>
                <w:szCs w:val="20"/>
                <w:color w:val="auto"/>
              </w:rPr>
            </w:pPr>
            <w:r>
              <w:rPr>
                <w:rFonts w:ascii="Calibri" w:cs="Calibri" w:eastAsia="Calibri" w:hAnsi="Calibri"/>
                <w:sz w:val="12"/>
                <w:szCs w:val="12"/>
                <w:color w:val="auto"/>
              </w:rPr>
              <w:t>1.6%</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right w:val="single" w:sz="8" w:color="auto"/>
            </w:tcBorders>
            <w:gridSpan w:val="2"/>
          </w:tcPr>
          <w:p>
            <w:pPr>
              <w:jc w:val="center"/>
              <w:ind w:right="259"/>
              <w:spacing w:after="0"/>
              <w:rPr>
                <w:sz w:val="20"/>
                <w:szCs w:val="20"/>
                <w:color w:val="auto"/>
              </w:rPr>
            </w:pPr>
            <w:r>
              <w:rPr>
                <w:rFonts w:ascii="Calibri" w:cs="Calibri" w:eastAsia="Calibri" w:hAnsi="Calibri"/>
                <w:sz w:val="12"/>
                <w:szCs w:val="12"/>
                <w:color w:val="auto"/>
              </w:rPr>
              <w:t>9.8%</w:t>
            </w:r>
          </w:p>
        </w:tc>
        <w:tc>
          <w:tcPr>
            <w:tcW w:w="0" w:type="dxa"/>
            <w:vAlign w:val="bottom"/>
          </w:tcPr>
          <w:p>
            <w:pPr>
              <w:spacing w:after="0"/>
              <w:rPr>
                <w:sz w:val="1"/>
                <w:szCs w:val="1"/>
                <w:color w:val="auto"/>
              </w:rPr>
            </w:pPr>
          </w:p>
        </w:tc>
      </w:tr>
      <w:tr>
        <w:trPr>
          <w:trHeight w:val="169"/>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3"/>
                <w:szCs w:val="13"/>
                <w:color w:val="auto"/>
              </w:rPr>
              <w:t>Credit risk capital requirement</w:t>
            </w:r>
          </w:p>
        </w:tc>
        <w:tc>
          <w:tcPr>
            <w:tcW w:w="1860" w:type="dxa"/>
            <w:vAlign w:val="bottom"/>
            <w:tcBorders>
              <w:right w:val="single" w:sz="8" w:color="auto"/>
            </w:tcBorders>
          </w:tcPr>
          <w:p>
            <w:pPr>
              <w:spacing w:after="0"/>
              <w:rPr>
                <w:sz w:val="14"/>
                <w:szCs w:val="14"/>
                <w:color w:val="auto"/>
              </w:rPr>
            </w:pPr>
          </w:p>
        </w:tc>
        <w:tc>
          <w:tcPr>
            <w:tcW w:w="1160" w:type="dxa"/>
            <w:vAlign w:val="bottom"/>
          </w:tcPr>
          <w:p>
            <w:pPr>
              <w:jc w:val="center"/>
              <w:spacing w:after="0"/>
              <w:rPr>
                <w:sz w:val="20"/>
                <w:szCs w:val="20"/>
                <w:color w:val="auto"/>
              </w:rPr>
            </w:pPr>
            <w:r>
              <w:rPr>
                <w:rFonts w:ascii="Calibri" w:cs="Calibri" w:eastAsia="Calibri" w:hAnsi="Calibri"/>
                <w:sz w:val="12"/>
                <w:szCs w:val="12"/>
                <w:color w:val="auto"/>
              </w:rPr>
              <w:t>1,111,446</w:t>
            </w:r>
          </w:p>
        </w:tc>
        <w:tc>
          <w:tcPr>
            <w:tcW w:w="1360" w:type="dxa"/>
            <w:vAlign w:val="bottom"/>
          </w:tcPr>
          <w:p>
            <w:pPr>
              <w:jc w:val="center"/>
              <w:ind w:right="39"/>
              <w:spacing w:after="0"/>
              <w:rPr>
                <w:sz w:val="20"/>
                <w:szCs w:val="20"/>
                <w:color w:val="auto"/>
              </w:rPr>
            </w:pPr>
            <w:r>
              <w:rPr>
                <w:rFonts w:ascii="Calibri" w:cs="Calibri" w:eastAsia="Calibri" w:hAnsi="Calibri"/>
                <w:sz w:val="12"/>
                <w:szCs w:val="12"/>
                <w:color w:val="auto"/>
              </w:rPr>
              <w:t>1,070,065</w:t>
            </w:r>
          </w:p>
        </w:tc>
        <w:tc>
          <w:tcPr>
            <w:tcW w:w="1260" w:type="dxa"/>
            <w:vAlign w:val="bottom"/>
            <w:tcBorders>
              <w:right w:val="single" w:sz="8" w:color="auto"/>
            </w:tcBorders>
          </w:tcPr>
          <w:p>
            <w:pPr>
              <w:jc w:val="right"/>
              <w:ind w:right="439"/>
              <w:spacing w:after="0"/>
              <w:rPr>
                <w:sz w:val="20"/>
                <w:szCs w:val="20"/>
                <w:color w:val="auto"/>
              </w:rPr>
            </w:pPr>
            <w:r>
              <w:rPr>
                <w:rFonts w:ascii="Calibri" w:cs="Calibri" w:eastAsia="Calibri" w:hAnsi="Calibri"/>
                <w:sz w:val="12"/>
                <w:szCs w:val="12"/>
                <w:color w:val="auto"/>
              </w:rPr>
              <w:t>1,084,871</w:t>
            </w:r>
          </w:p>
        </w:tc>
        <w:tc>
          <w:tcPr>
            <w:tcW w:w="680" w:type="dxa"/>
            <w:vAlign w:val="bottom"/>
          </w:tcPr>
          <w:p>
            <w:pPr>
              <w:jc w:val="center"/>
              <w:ind w:left="220"/>
              <w:spacing w:after="0"/>
              <w:rPr>
                <w:sz w:val="20"/>
                <w:szCs w:val="20"/>
                <w:color w:val="auto"/>
              </w:rPr>
            </w:pPr>
            <w:r>
              <w:rPr>
                <w:rFonts w:ascii="Calibri" w:cs="Calibri" w:eastAsia="Calibri" w:hAnsi="Calibri"/>
                <w:sz w:val="12"/>
                <w:szCs w:val="12"/>
                <w:color w:val="auto"/>
              </w:rPr>
              <w:t>1.4%</w:t>
            </w:r>
          </w:p>
        </w:tc>
        <w:tc>
          <w:tcPr>
            <w:tcW w:w="16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259"/>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2.4%</w:t>
            </w:r>
          </w:p>
        </w:tc>
        <w:tc>
          <w:tcPr>
            <w:tcW w:w="0" w:type="dxa"/>
            <w:vAlign w:val="bottom"/>
          </w:tcPr>
          <w:p>
            <w:pPr>
              <w:spacing w:after="0"/>
              <w:rPr>
                <w:sz w:val="1"/>
                <w:szCs w:val="1"/>
                <w:color w:val="auto"/>
              </w:rPr>
            </w:pPr>
          </w:p>
        </w:tc>
      </w:tr>
      <w:tr>
        <w:trPr>
          <w:trHeight w:val="159"/>
        </w:trPr>
        <w:tc>
          <w:tcPr>
            <w:tcW w:w="2920" w:type="dxa"/>
            <w:vAlign w:val="bottom"/>
            <w:tcBorders>
              <w:left w:val="single" w:sz="8" w:color="auto"/>
            </w:tcBorders>
          </w:tcPr>
          <w:p>
            <w:pPr>
              <w:ind w:left="160"/>
              <w:spacing w:after="0"/>
              <w:rPr>
                <w:sz w:val="20"/>
                <w:szCs w:val="20"/>
                <w:color w:val="auto"/>
              </w:rPr>
            </w:pPr>
            <w:r>
              <w:rPr>
                <w:rFonts w:ascii="Calibri" w:cs="Calibri" w:eastAsia="Calibri" w:hAnsi="Calibri"/>
                <w:sz w:val="12"/>
                <w:szCs w:val="12"/>
                <w:color w:val="auto"/>
              </w:rPr>
              <w:t>Operatonal risk capital requirement</w:t>
            </w:r>
          </w:p>
        </w:tc>
        <w:tc>
          <w:tcPr>
            <w:tcW w:w="1860" w:type="dxa"/>
            <w:vAlign w:val="bottom"/>
            <w:tcBorders>
              <w:right w:val="single" w:sz="8" w:color="auto"/>
            </w:tcBorders>
          </w:tcPr>
          <w:p>
            <w:pPr>
              <w:spacing w:after="0"/>
              <w:rPr>
                <w:sz w:val="13"/>
                <w:szCs w:val="13"/>
                <w:color w:val="auto"/>
              </w:rPr>
            </w:pPr>
          </w:p>
        </w:tc>
        <w:tc>
          <w:tcPr>
            <w:tcW w:w="1160" w:type="dxa"/>
            <w:vAlign w:val="bottom"/>
          </w:tcPr>
          <w:p>
            <w:pPr>
              <w:ind w:left="360"/>
              <w:spacing w:after="0"/>
              <w:rPr>
                <w:sz w:val="20"/>
                <w:szCs w:val="20"/>
                <w:color w:val="auto"/>
              </w:rPr>
            </w:pPr>
            <w:r>
              <w:rPr>
                <w:rFonts w:ascii="Calibri" w:cs="Calibri" w:eastAsia="Calibri" w:hAnsi="Calibri"/>
                <w:sz w:val="12"/>
                <w:szCs w:val="12"/>
                <w:color w:val="auto"/>
              </w:rPr>
              <w:t>152,714</w:t>
            </w:r>
          </w:p>
        </w:tc>
        <w:tc>
          <w:tcPr>
            <w:tcW w:w="1360" w:type="dxa"/>
            <w:vAlign w:val="bottom"/>
          </w:tcPr>
          <w:p>
            <w:pPr>
              <w:jc w:val="center"/>
              <w:ind w:right="19"/>
              <w:spacing w:after="0"/>
              <w:rPr>
                <w:sz w:val="20"/>
                <w:szCs w:val="20"/>
                <w:color w:val="auto"/>
              </w:rPr>
            </w:pPr>
            <w:r>
              <w:rPr>
                <w:rFonts w:ascii="Calibri" w:cs="Calibri" w:eastAsia="Calibri" w:hAnsi="Calibri"/>
                <w:sz w:val="12"/>
                <w:szCs w:val="12"/>
                <w:color w:val="auto"/>
              </w:rPr>
              <w:t>159,434</w:t>
            </w:r>
          </w:p>
        </w:tc>
        <w:tc>
          <w:tcPr>
            <w:tcW w:w="1260" w:type="dxa"/>
            <w:vAlign w:val="bottom"/>
            <w:tcBorders>
              <w:right w:val="single" w:sz="8" w:color="auto"/>
            </w:tcBorders>
          </w:tcPr>
          <w:p>
            <w:pPr>
              <w:jc w:val="center"/>
              <w:ind w:right="159"/>
              <w:spacing w:after="0"/>
              <w:rPr>
                <w:sz w:val="20"/>
                <w:szCs w:val="20"/>
                <w:color w:val="auto"/>
              </w:rPr>
            </w:pPr>
            <w:r>
              <w:rPr>
                <w:rFonts w:ascii="Calibri" w:cs="Calibri" w:eastAsia="Calibri" w:hAnsi="Calibri"/>
                <w:sz w:val="12"/>
                <w:szCs w:val="12"/>
                <w:color w:val="auto"/>
              </w:rPr>
              <w:t>160,595</w:t>
            </w:r>
          </w:p>
        </w:tc>
        <w:tc>
          <w:tcPr>
            <w:tcW w:w="680" w:type="dxa"/>
            <w:vAlign w:val="bottom"/>
          </w:tcPr>
          <w:p>
            <w:pPr>
              <w:jc w:val="center"/>
              <w:ind w:left="220"/>
              <w:spacing w:after="0"/>
              <w:rPr>
                <w:sz w:val="20"/>
                <w:szCs w:val="20"/>
                <w:color w:val="auto"/>
              </w:rPr>
            </w:pPr>
            <w:r>
              <w:rPr>
                <w:rFonts w:ascii="Calibri" w:cs="Calibri" w:eastAsia="Calibri" w:hAnsi="Calibri"/>
                <w:sz w:val="12"/>
                <w:szCs w:val="12"/>
                <w:color w:val="auto"/>
              </w:rPr>
              <w:t>0.7%</w:t>
            </w:r>
          </w:p>
        </w:tc>
        <w:tc>
          <w:tcPr>
            <w:tcW w:w="160" w:type="dxa"/>
            <w:vAlign w:val="bottom"/>
          </w:tcPr>
          <w:p>
            <w:pPr>
              <w:spacing w:after="0"/>
              <w:rPr>
                <w:sz w:val="13"/>
                <w:szCs w:val="13"/>
                <w:color w:val="auto"/>
              </w:rPr>
            </w:pPr>
          </w:p>
        </w:tc>
        <w:tc>
          <w:tcPr>
            <w:tcW w:w="1280" w:type="dxa"/>
            <w:vAlign w:val="bottom"/>
            <w:tcBorders>
              <w:right w:val="single" w:sz="8" w:color="auto"/>
            </w:tcBorders>
            <w:gridSpan w:val="2"/>
          </w:tcPr>
          <w:p>
            <w:pPr>
              <w:jc w:val="center"/>
              <w:ind w:right="259"/>
              <w:spacing w:after="0"/>
              <w:rPr>
                <w:sz w:val="20"/>
                <w:szCs w:val="20"/>
                <w:color w:val="auto"/>
              </w:rPr>
            </w:pPr>
            <w:r>
              <w:rPr>
                <w:rFonts w:ascii="Calibri" w:cs="Calibri" w:eastAsia="Calibri" w:hAnsi="Calibri"/>
                <w:sz w:val="12"/>
                <w:szCs w:val="12"/>
                <w:color w:val="auto"/>
              </w:rPr>
              <w:t>5.2%</w:t>
            </w:r>
          </w:p>
        </w:tc>
        <w:tc>
          <w:tcPr>
            <w:tcW w:w="0" w:type="dxa"/>
            <w:vAlign w:val="bottom"/>
          </w:tcPr>
          <w:p>
            <w:pPr>
              <w:spacing w:after="0"/>
              <w:rPr>
                <w:sz w:val="1"/>
                <w:szCs w:val="1"/>
                <w:color w:val="auto"/>
              </w:rPr>
            </w:pPr>
          </w:p>
        </w:tc>
      </w:tr>
      <w:tr>
        <w:trPr>
          <w:trHeight w:val="175"/>
        </w:trPr>
        <w:tc>
          <w:tcPr>
            <w:tcW w:w="2920" w:type="dxa"/>
            <w:vAlign w:val="bottom"/>
            <w:tcBorders>
              <w:left w:val="single" w:sz="8" w:color="auto"/>
              <w:bottom w:val="single" w:sz="8" w:color="auto"/>
            </w:tcBorders>
          </w:tcPr>
          <w:p>
            <w:pPr>
              <w:ind w:left="160"/>
              <w:spacing w:after="0"/>
              <w:rPr>
                <w:sz w:val="20"/>
                <w:szCs w:val="20"/>
                <w:color w:val="auto"/>
              </w:rPr>
            </w:pPr>
            <w:r>
              <w:rPr>
                <w:rFonts w:ascii="Calibri" w:cs="Calibri" w:eastAsia="Calibri" w:hAnsi="Calibri"/>
                <w:sz w:val="13"/>
                <w:szCs w:val="13"/>
                <w:color w:val="auto"/>
              </w:rPr>
              <w:t>Additonal capital requirements</w:t>
            </w:r>
          </w:p>
        </w:tc>
        <w:tc>
          <w:tcPr>
            <w:tcW w:w="186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ind w:left="360"/>
              <w:spacing w:after="0"/>
              <w:rPr>
                <w:sz w:val="20"/>
                <w:szCs w:val="20"/>
                <w:color w:val="auto"/>
              </w:rPr>
            </w:pPr>
            <w:r>
              <w:rPr>
                <w:rFonts w:ascii="Calibri" w:cs="Calibri" w:eastAsia="Calibri" w:hAnsi="Calibri"/>
                <w:sz w:val="12"/>
                <w:szCs w:val="12"/>
                <w:color w:val="auto"/>
              </w:rPr>
              <w:t>166,717</w:t>
            </w:r>
          </w:p>
        </w:tc>
        <w:tc>
          <w:tcPr>
            <w:tcW w:w="1360" w:type="dxa"/>
            <w:vAlign w:val="bottom"/>
            <w:tcBorders>
              <w:bottom w:val="single" w:sz="8" w:color="auto"/>
            </w:tcBorders>
          </w:tcPr>
          <w:p>
            <w:pPr>
              <w:jc w:val="center"/>
              <w:ind w:right="19"/>
              <w:spacing w:after="0"/>
              <w:rPr>
                <w:sz w:val="20"/>
                <w:szCs w:val="20"/>
                <w:color w:val="auto"/>
              </w:rPr>
            </w:pPr>
            <w:r>
              <w:rPr>
                <w:rFonts w:ascii="Calibri" w:cs="Calibri" w:eastAsia="Calibri" w:hAnsi="Calibri"/>
                <w:sz w:val="12"/>
                <w:szCs w:val="12"/>
                <w:color w:val="auto"/>
              </w:rPr>
              <w:t>160,510</w:t>
            </w:r>
          </w:p>
        </w:tc>
        <w:tc>
          <w:tcPr>
            <w:tcW w:w="1260" w:type="dxa"/>
            <w:vAlign w:val="bottom"/>
            <w:tcBorders>
              <w:bottom w:val="single" w:sz="8" w:color="auto"/>
              <w:right w:val="single" w:sz="8" w:color="auto"/>
            </w:tcBorders>
          </w:tcPr>
          <w:p>
            <w:pPr>
              <w:jc w:val="center"/>
              <w:ind w:right="159"/>
              <w:spacing w:after="0"/>
              <w:rPr>
                <w:sz w:val="20"/>
                <w:szCs w:val="20"/>
                <w:color w:val="auto"/>
              </w:rPr>
            </w:pPr>
            <w:r>
              <w:rPr>
                <w:rFonts w:ascii="Calibri" w:cs="Calibri" w:eastAsia="Calibri" w:hAnsi="Calibri"/>
                <w:sz w:val="12"/>
                <w:szCs w:val="12"/>
                <w:color w:val="auto"/>
              </w:rPr>
              <w:t>184,428</w:t>
            </w:r>
          </w:p>
        </w:tc>
        <w:tc>
          <w:tcPr>
            <w:tcW w:w="680" w:type="dxa"/>
            <w:vAlign w:val="bottom"/>
            <w:tcBorders>
              <w:bottom w:val="single" w:sz="8" w:color="auto"/>
            </w:tcBorders>
          </w:tcPr>
          <w:p>
            <w:pPr>
              <w:jc w:val="center"/>
              <w:ind w:left="200"/>
              <w:spacing w:after="0"/>
              <w:rPr>
                <w:sz w:val="20"/>
                <w:szCs w:val="20"/>
                <w:color w:val="auto"/>
              </w:rPr>
            </w:pPr>
            <w:r>
              <w:rPr>
                <w:rFonts w:ascii="Calibri" w:cs="Calibri" w:eastAsia="Calibri" w:hAnsi="Calibri"/>
                <w:sz w:val="12"/>
                <w:szCs w:val="12"/>
                <w:color w:val="auto"/>
              </w:rPr>
              <w:t>14.9%</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gridSpan w:val="2"/>
          </w:tcPr>
          <w:p>
            <w:pPr>
              <w:jc w:val="center"/>
              <w:ind w:right="279"/>
              <w:spacing w:after="0"/>
              <w:rPr>
                <w:sz w:val="20"/>
                <w:szCs w:val="20"/>
                <w:color w:val="auto"/>
              </w:rPr>
            </w:pPr>
            <w:r>
              <w:rPr>
                <w:rFonts w:ascii="Calibri" w:cs="Calibri" w:eastAsia="Calibri" w:hAnsi="Calibri"/>
                <w:sz w:val="12"/>
                <w:szCs w:val="12"/>
                <w:color w:val="auto"/>
              </w:rPr>
              <w:t>10.6%</w:t>
            </w:r>
          </w:p>
        </w:tc>
        <w:tc>
          <w:tcPr>
            <w:tcW w:w="0" w:type="dxa"/>
            <w:vAlign w:val="bottom"/>
          </w:tcPr>
          <w:p>
            <w:pPr>
              <w:spacing w:after="0"/>
              <w:rPr>
                <w:sz w:val="1"/>
                <w:szCs w:val="1"/>
                <w:color w:val="auto"/>
              </w:rPr>
            </w:pPr>
          </w:p>
        </w:tc>
      </w:tr>
      <w:tr>
        <w:trPr>
          <w:trHeight w:val="164"/>
        </w:trPr>
        <w:tc>
          <w:tcPr>
            <w:tcW w:w="2920" w:type="dxa"/>
            <w:vAlign w:val="bottom"/>
            <w:tcBorders>
              <w:left w:val="single" w:sz="8" w:color="auto"/>
              <w:bottom w:val="single" w:sz="8" w:color="auto"/>
            </w:tcBorders>
          </w:tcPr>
          <w:p>
            <w:pPr>
              <w:spacing w:after="0"/>
              <w:rPr>
                <w:sz w:val="20"/>
                <w:szCs w:val="20"/>
                <w:color w:val="auto"/>
              </w:rPr>
            </w:pPr>
            <w:r>
              <w:rPr>
                <w:rFonts w:ascii="Calibri" w:cs="Calibri" w:eastAsia="Calibri" w:hAnsi="Calibri"/>
                <w:sz w:val="12"/>
                <w:szCs w:val="12"/>
                <w:b w:val="1"/>
                <w:bCs w:val="1"/>
                <w:color w:val="auto"/>
              </w:rPr>
              <w:t>Total</w:t>
            </w:r>
          </w:p>
        </w:tc>
        <w:tc>
          <w:tcPr>
            <w:tcW w:w="18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1,452,910</w:t>
            </w:r>
          </w:p>
        </w:tc>
        <w:tc>
          <w:tcPr>
            <w:tcW w:w="1360" w:type="dxa"/>
            <w:vAlign w:val="bottom"/>
            <w:tcBorders>
              <w:bottom w:val="single" w:sz="8" w:color="auto"/>
            </w:tcBorders>
          </w:tcPr>
          <w:p>
            <w:pPr>
              <w:jc w:val="center"/>
              <w:ind w:right="39"/>
              <w:spacing w:after="0"/>
              <w:rPr>
                <w:sz w:val="20"/>
                <w:szCs w:val="20"/>
                <w:color w:val="auto"/>
              </w:rPr>
            </w:pPr>
            <w:r>
              <w:rPr>
                <w:rFonts w:ascii="Calibri" w:cs="Calibri" w:eastAsia="Calibri" w:hAnsi="Calibri"/>
                <w:sz w:val="12"/>
                <w:szCs w:val="12"/>
                <w:b w:val="1"/>
                <w:bCs w:val="1"/>
                <w:color w:val="auto"/>
              </w:rPr>
              <w:t>1,413,821</w:t>
            </w:r>
          </w:p>
        </w:tc>
        <w:tc>
          <w:tcPr>
            <w:tcW w:w="1260" w:type="dxa"/>
            <w:vAlign w:val="bottom"/>
            <w:tcBorders>
              <w:bottom w:val="single" w:sz="8" w:color="auto"/>
              <w:right w:val="single" w:sz="8" w:color="auto"/>
            </w:tcBorders>
          </w:tcPr>
          <w:p>
            <w:pPr>
              <w:jc w:val="right"/>
              <w:ind w:right="439"/>
              <w:spacing w:after="0"/>
              <w:rPr>
                <w:sz w:val="20"/>
                <w:szCs w:val="20"/>
                <w:color w:val="auto"/>
              </w:rPr>
            </w:pPr>
            <w:r>
              <w:rPr>
                <w:rFonts w:ascii="Calibri" w:cs="Calibri" w:eastAsia="Calibri" w:hAnsi="Calibri"/>
                <w:sz w:val="12"/>
                <w:szCs w:val="12"/>
                <w:b w:val="1"/>
                <w:bCs w:val="1"/>
                <w:color w:val="auto"/>
              </w:rPr>
              <w:t>1,454,091</w:t>
            </w:r>
          </w:p>
        </w:tc>
        <w:tc>
          <w:tcPr>
            <w:tcW w:w="680" w:type="dxa"/>
            <w:vAlign w:val="bottom"/>
            <w:tcBorders>
              <w:bottom w:val="single" w:sz="8" w:color="auto"/>
            </w:tcBorders>
          </w:tcPr>
          <w:p>
            <w:pPr>
              <w:jc w:val="center"/>
              <w:ind w:left="220"/>
              <w:spacing w:after="0"/>
              <w:rPr>
                <w:sz w:val="20"/>
                <w:szCs w:val="20"/>
                <w:color w:val="auto"/>
              </w:rPr>
            </w:pPr>
            <w:r>
              <w:rPr>
                <w:rFonts w:ascii="Calibri" w:cs="Calibri" w:eastAsia="Calibri" w:hAnsi="Calibri"/>
                <w:sz w:val="12"/>
                <w:szCs w:val="12"/>
                <w:b w:val="1"/>
                <w:bCs w:val="1"/>
                <w:color w:val="auto"/>
                <w:w w:val="99"/>
              </w:rPr>
              <w:t>2.8%</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gridSpan w:val="2"/>
          </w:tcPr>
          <w:p>
            <w:pPr>
              <w:jc w:val="center"/>
              <w:ind w:right="259"/>
              <w:spacing w:after="0"/>
              <w:rPr>
                <w:sz w:val="20"/>
                <w:szCs w:val="20"/>
                <w:color w:val="auto"/>
              </w:rPr>
            </w:pPr>
            <w:r>
              <w:rPr>
                <w:rFonts w:ascii="Calibri" w:cs="Calibri" w:eastAsia="Calibri" w:hAnsi="Calibri"/>
                <w:sz w:val="12"/>
                <w:szCs w:val="12"/>
                <w:b w:val="1"/>
                <w:bCs w:val="1"/>
                <w:color w:val="auto"/>
                <w:w w:val="99"/>
              </w:rPr>
              <w:t>0.1%</w:t>
            </w:r>
          </w:p>
        </w:tc>
        <w:tc>
          <w:tcPr>
            <w:tcW w:w="0" w:type="dxa"/>
            <w:vAlign w:val="bottom"/>
          </w:tcPr>
          <w:p>
            <w:pPr>
              <w:spacing w:after="0"/>
              <w:rPr>
                <w:sz w:val="1"/>
                <w:szCs w:val="1"/>
                <w:color w:val="auto"/>
              </w:rPr>
            </w:pPr>
          </w:p>
        </w:tc>
      </w:tr>
      <w:tr>
        <w:trPr>
          <w:trHeight w:val="368"/>
        </w:trPr>
        <w:tc>
          <w:tcPr>
            <w:tcW w:w="2920" w:type="dxa"/>
            <w:vAlign w:val="bottom"/>
          </w:tcPr>
          <w:p>
            <w:pPr>
              <w:spacing w:after="0"/>
              <w:rPr>
                <w:sz w:val="24"/>
                <w:szCs w:val="24"/>
                <w:color w:val="auto"/>
              </w:rPr>
            </w:pPr>
          </w:p>
        </w:tc>
        <w:tc>
          <w:tcPr>
            <w:tcW w:w="4380" w:type="dxa"/>
            <w:vAlign w:val="bottom"/>
            <w:gridSpan w:val="3"/>
          </w:tcPr>
          <w:p>
            <w:pPr>
              <w:ind w:left="940"/>
              <w:spacing w:after="0"/>
              <w:rPr>
                <w:sz w:val="20"/>
                <w:szCs w:val="20"/>
                <w:color w:val="auto"/>
              </w:rPr>
            </w:pPr>
            <w:r>
              <w:rPr>
                <w:rFonts w:ascii="Calibri" w:cs="Calibri" w:eastAsia="Calibri" w:hAnsi="Calibri"/>
                <w:sz w:val="17"/>
                <w:szCs w:val="17"/>
                <w:b w:val="1"/>
                <w:bCs w:val="1"/>
                <w:color w:val="auto"/>
              </w:rPr>
              <w:t>Capital Ratos under Local Regulaton</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920" w:type="dxa"/>
            <w:vAlign w:val="bottom"/>
            <w:tcBorders>
              <w:left w:val="single" w:sz="8" w:color="auto"/>
            </w:tcBorders>
            <w:shd w:val="clear" w:color="auto" w:fill="2AD2C8"/>
          </w:tcPr>
          <w:p>
            <w:pPr>
              <w:spacing w:after="0"/>
              <w:rPr>
                <w:sz w:val="20"/>
                <w:szCs w:val="20"/>
                <w:color w:val="auto"/>
              </w:rPr>
            </w:pPr>
            <w:r>
              <w:rPr>
                <w:rFonts w:ascii="Calibri" w:cs="Calibri" w:eastAsia="Calibri" w:hAnsi="Calibri"/>
                <w:sz w:val="12"/>
                <w:szCs w:val="12"/>
                <w:b w:val="1"/>
                <w:bCs w:val="1"/>
                <w:color w:val="FFFFFF"/>
              </w:rPr>
              <w:t>Capital ratos under Local Regulaton</w:t>
            </w:r>
          </w:p>
        </w:tc>
        <w:tc>
          <w:tcPr>
            <w:tcW w:w="1860" w:type="dxa"/>
            <w:vAlign w:val="bottom"/>
            <w:tcBorders>
              <w:right w:val="single" w:sz="8" w:color="auto"/>
            </w:tcBorders>
            <w:shd w:val="clear" w:color="auto" w:fill="2AD2C8"/>
          </w:tcPr>
          <w:p>
            <w:pPr>
              <w:spacing w:after="0"/>
              <w:rPr>
                <w:sz w:val="13"/>
                <w:szCs w:val="13"/>
                <w:color w:val="auto"/>
              </w:rPr>
            </w:pPr>
          </w:p>
        </w:tc>
        <w:tc>
          <w:tcPr>
            <w:tcW w:w="1160" w:type="dxa"/>
            <w:vAlign w:val="bottom"/>
            <w:shd w:val="clear" w:color="auto" w:fill="2AD2C8"/>
          </w:tcPr>
          <w:p>
            <w:pPr>
              <w:jc w:val="center"/>
              <w:spacing w:after="0"/>
              <w:rPr>
                <w:sz w:val="20"/>
                <w:szCs w:val="20"/>
                <w:color w:val="auto"/>
              </w:rPr>
            </w:pPr>
            <w:r>
              <w:rPr>
                <w:rFonts w:ascii="Calibri" w:cs="Calibri" w:eastAsia="Calibri" w:hAnsi="Calibri"/>
                <w:sz w:val="12"/>
                <w:szCs w:val="12"/>
                <w:b w:val="1"/>
                <w:bCs w:val="1"/>
                <w:color w:val="FFFFFF"/>
              </w:rPr>
              <w:t>Dec 23</w:t>
            </w:r>
          </w:p>
        </w:tc>
        <w:tc>
          <w:tcPr>
            <w:tcW w:w="1360" w:type="dxa"/>
            <w:vAlign w:val="bottom"/>
            <w:shd w:val="clear" w:color="auto" w:fill="2AD2C8"/>
          </w:tcPr>
          <w:p>
            <w:pPr>
              <w:ind w:left="300"/>
              <w:spacing w:after="0"/>
              <w:rPr>
                <w:sz w:val="20"/>
                <w:szCs w:val="20"/>
                <w:color w:val="auto"/>
              </w:rPr>
            </w:pPr>
            <w:r>
              <w:rPr>
                <w:rFonts w:ascii="Calibri" w:cs="Calibri" w:eastAsia="Calibri" w:hAnsi="Calibri"/>
                <w:sz w:val="12"/>
                <w:szCs w:val="12"/>
                <w:b w:val="1"/>
                <w:bCs w:val="1"/>
                <w:color w:val="FFFFFF"/>
              </w:rPr>
              <w:t>Quarter</w:t>
            </w:r>
          </w:p>
        </w:tc>
        <w:tc>
          <w:tcPr>
            <w:tcW w:w="1260" w:type="dxa"/>
            <w:vAlign w:val="bottom"/>
            <w:tcBorders>
              <w:right w:val="single" w:sz="8" w:color="auto"/>
            </w:tcBorders>
            <w:shd w:val="clear" w:color="auto" w:fill="2AD2C8"/>
          </w:tcPr>
          <w:p>
            <w:pPr>
              <w:jc w:val="right"/>
              <w:ind w:right="539"/>
              <w:spacing w:after="0"/>
              <w:rPr>
                <w:sz w:val="20"/>
                <w:szCs w:val="20"/>
                <w:color w:val="auto"/>
              </w:rPr>
            </w:pPr>
            <w:r>
              <w:rPr>
                <w:rFonts w:ascii="Calibri" w:cs="Calibri" w:eastAsia="Calibri" w:hAnsi="Calibri"/>
                <w:sz w:val="12"/>
                <w:szCs w:val="12"/>
                <w:b w:val="1"/>
                <w:bCs w:val="1"/>
                <w:color w:val="FFFFFF"/>
              </w:rPr>
              <w:t>Dec 24</w:t>
            </w:r>
          </w:p>
        </w:tc>
        <w:tc>
          <w:tcPr>
            <w:tcW w:w="680" w:type="dxa"/>
            <w:vAlign w:val="bottom"/>
            <w:shd w:val="clear" w:color="auto" w:fill="2AD2C8"/>
          </w:tcPr>
          <w:p>
            <w:pPr>
              <w:spacing w:after="0"/>
              <w:rPr>
                <w:sz w:val="13"/>
                <w:szCs w:val="13"/>
                <w:color w:val="auto"/>
              </w:rPr>
            </w:pPr>
          </w:p>
        </w:tc>
        <w:tc>
          <w:tcPr>
            <w:tcW w:w="1440" w:type="dxa"/>
            <w:vAlign w:val="bottom"/>
            <w:tcBorders>
              <w:right w:val="single" w:sz="8" w:color="auto"/>
            </w:tcBorders>
            <w:gridSpan w:val="3"/>
            <w:shd w:val="clear" w:color="auto" w:fill="2AD2C8"/>
          </w:tcPr>
          <w:p>
            <w:pPr>
              <w:ind w:left="60"/>
              <w:spacing w:after="0"/>
              <w:rPr>
                <w:sz w:val="20"/>
                <w:szCs w:val="20"/>
                <w:color w:val="auto"/>
              </w:rPr>
            </w:pPr>
            <w:r>
              <w:rPr>
                <w:rFonts w:ascii="Calibri" w:cs="Calibri" w:eastAsia="Calibri" w:hAnsi="Calibri"/>
                <w:sz w:val="12"/>
                <w:szCs w:val="12"/>
                <w:b w:val="1"/>
                <w:bCs w:val="1"/>
                <w:color w:val="FFFFFF"/>
              </w:rPr>
              <w:t>% change</w:t>
            </w:r>
          </w:p>
        </w:tc>
        <w:tc>
          <w:tcPr>
            <w:tcW w:w="0" w:type="dxa"/>
            <w:vAlign w:val="bottom"/>
          </w:tcPr>
          <w:p>
            <w:pPr>
              <w:spacing w:after="0"/>
              <w:rPr>
                <w:sz w:val="1"/>
                <w:szCs w:val="1"/>
                <w:color w:val="auto"/>
              </w:rPr>
            </w:pPr>
          </w:p>
        </w:tc>
      </w:tr>
      <w:tr>
        <w:trPr>
          <w:trHeight w:val="193"/>
        </w:trPr>
        <w:tc>
          <w:tcPr>
            <w:tcW w:w="2920" w:type="dxa"/>
            <w:vAlign w:val="bottom"/>
            <w:tcBorders>
              <w:left w:val="single" w:sz="8" w:color="auto"/>
              <w:bottom w:val="single" w:sz="8" w:color="2AD2C8"/>
            </w:tcBorders>
            <w:shd w:val="clear" w:color="auto" w:fill="2AD2C8"/>
          </w:tcPr>
          <w:p>
            <w:pPr>
              <w:spacing w:after="0"/>
              <w:rPr>
                <w:sz w:val="16"/>
                <w:szCs w:val="16"/>
                <w:color w:val="auto"/>
              </w:rPr>
            </w:pPr>
          </w:p>
        </w:tc>
        <w:tc>
          <w:tcPr>
            <w:tcW w:w="1860" w:type="dxa"/>
            <w:vAlign w:val="bottom"/>
            <w:tcBorders>
              <w:bottom w:val="single" w:sz="8" w:color="2AD2C8"/>
              <w:right w:val="single" w:sz="8" w:color="auto"/>
            </w:tcBorders>
            <w:shd w:val="clear" w:color="auto" w:fill="2AD2C8"/>
          </w:tcPr>
          <w:p>
            <w:pPr>
              <w:spacing w:after="0"/>
              <w:rPr>
                <w:sz w:val="16"/>
                <w:szCs w:val="16"/>
                <w:color w:val="auto"/>
              </w:rPr>
            </w:pPr>
          </w:p>
        </w:tc>
        <w:tc>
          <w:tcPr>
            <w:tcW w:w="1160" w:type="dxa"/>
            <w:vAlign w:val="bottom"/>
            <w:tcBorders>
              <w:bottom w:val="single" w:sz="8" w:color="2AD2C8"/>
            </w:tcBorders>
            <w:shd w:val="clear" w:color="auto" w:fill="2AD2C8"/>
          </w:tcPr>
          <w:p>
            <w:pPr>
              <w:spacing w:after="0"/>
              <w:rPr>
                <w:sz w:val="16"/>
                <w:szCs w:val="16"/>
                <w:color w:val="auto"/>
              </w:rPr>
            </w:pPr>
          </w:p>
        </w:tc>
        <w:tc>
          <w:tcPr>
            <w:tcW w:w="1360" w:type="dxa"/>
            <w:vAlign w:val="bottom"/>
            <w:tcBorders>
              <w:bottom w:val="single" w:sz="8" w:color="2AD2C8"/>
            </w:tcBorders>
            <w:shd w:val="clear" w:color="auto" w:fill="2AD2C8"/>
          </w:tcPr>
          <w:p>
            <w:pPr>
              <w:ind w:left="300"/>
              <w:spacing w:after="0"/>
              <w:rPr>
                <w:sz w:val="20"/>
                <w:szCs w:val="20"/>
                <w:color w:val="auto"/>
              </w:rPr>
            </w:pPr>
            <w:r>
              <w:rPr>
                <w:rFonts w:ascii="Calibri" w:cs="Calibri" w:eastAsia="Calibri" w:hAnsi="Calibri"/>
                <w:sz w:val="12"/>
                <w:szCs w:val="12"/>
                <w:b w:val="1"/>
                <w:bCs w:val="1"/>
                <w:color w:val="FFFFFF"/>
              </w:rPr>
              <w:t>Sep 24</w:t>
            </w:r>
          </w:p>
        </w:tc>
        <w:tc>
          <w:tcPr>
            <w:tcW w:w="1260" w:type="dxa"/>
            <w:vAlign w:val="bottom"/>
            <w:tcBorders>
              <w:bottom w:val="single" w:sz="8" w:color="2AD2C8"/>
              <w:right w:val="single" w:sz="8" w:color="auto"/>
            </w:tcBorders>
            <w:shd w:val="clear" w:color="auto" w:fill="2AD2C8"/>
          </w:tcPr>
          <w:p>
            <w:pPr>
              <w:spacing w:after="0"/>
              <w:rPr>
                <w:sz w:val="16"/>
                <w:szCs w:val="16"/>
                <w:color w:val="auto"/>
              </w:rPr>
            </w:pPr>
          </w:p>
        </w:tc>
        <w:tc>
          <w:tcPr>
            <w:tcW w:w="680" w:type="dxa"/>
            <w:vAlign w:val="bottom"/>
            <w:tcBorders>
              <w:bottom w:val="single" w:sz="8" w:color="2AD2C8"/>
            </w:tcBorders>
            <w:shd w:val="clear" w:color="auto" w:fill="2AD2C8"/>
          </w:tcPr>
          <w:p>
            <w:pPr>
              <w:jc w:val="right"/>
              <w:ind w:right="500"/>
              <w:spacing w:after="0"/>
              <w:rPr>
                <w:sz w:val="20"/>
                <w:szCs w:val="20"/>
                <w:color w:val="auto"/>
              </w:rPr>
            </w:pPr>
            <w:r>
              <w:rPr>
                <w:rFonts w:ascii="Calibri" w:cs="Calibri" w:eastAsia="Calibri" w:hAnsi="Calibri"/>
                <w:sz w:val="7"/>
                <w:szCs w:val="7"/>
                <w:b w:val="1"/>
                <w:bCs w:val="1"/>
                <w:color w:val="FFFFFF"/>
                <w:w w:val="74"/>
              </w:rPr>
              <w:t>QoQ</w:t>
            </w:r>
          </w:p>
        </w:tc>
        <w:tc>
          <w:tcPr>
            <w:tcW w:w="160" w:type="dxa"/>
            <w:vAlign w:val="bottom"/>
            <w:tcBorders>
              <w:bottom w:val="single" w:sz="8" w:color="2AD2C8"/>
            </w:tcBorders>
            <w:shd w:val="clear" w:color="auto" w:fill="2AD2C8"/>
          </w:tcPr>
          <w:p>
            <w:pPr>
              <w:spacing w:after="0"/>
              <w:rPr>
                <w:sz w:val="16"/>
                <w:szCs w:val="16"/>
                <w:color w:val="auto"/>
              </w:rPr>
            </w:pPr>
          </w:p>
        </w:tc>
        <w:tc>
          <w:tcPr>
            <w:tcW w:w="1280" w:type="dxa"/>
            <w:vAlign w:val="bottom"/>
            <w:tcBorders>
              <w:bottom w:val="single" w:sz="8" w:color="2AD2C8"/>
              <w:right w:val="single" w:sz="8" w:color="auto"/>
            </w:tcBorders>
            <w:gridSpan w:val="2"/>
            <w:shd w:val="clear" w:color="auto" w:fill="2AD2C8"/>
          </w:tcPr>
          <w:p>
            <w:pPr>
              <w:ind w:left="160"/>
              <w:spacing w:after="0"/>
              <w:rPr>
                <w:sz w:val="20"/>
                <w:szCs w:val="20"/>
                <w:color w:val="auto"/>
              </w:rPr>
            </w:pPr>
            <w:r>
              <w:rPr>
                <w:rFonts w:ascii="Calibri" w:cs="Calibri" w:eastAsia="Calibri" w:hAnsi="Calibri"/>
                <w:sz w:val="12"/>
                <w:szCs w:val="12"/>
                <w:b w:val="1"/>
                <w:bCs w:val="1"/>
                <w:color w:val="FFFFFF"/>
              </w:rPr>
              <w:t>YoY</w:t>
            </w:r>
          </w:p>
        </w:tc>
        <w:tc>
          <w:tcPr>
            <w:tcW w:w="0" w:type="dxa"/>
            <w:vAlign w:val="bottom"/>
          </w:tcPr>
          <w:p>
            <w:pPr>
              <w:spacing w:after="0"/>
              <w:rPr>
                <w:sz w:val="1"/>
                <w:szCs w:val="1"/>
                <w:color w:val="auto"/>
              </w:rPr>
            </w:pPr>
          </w:p>
        </w:tc>
      </w:tr>
      <w:tr>
        <w:trPr>
          <w:trHeight w:val="159"/>
        </w:trPr>
        <w:tc>
          <w:tcPr>
            <w:tcW w:w="2920" w:type="dxa"/>
            <w:vAlign w:val="bottom"/>
            <w:tcBorders>
              <w:top w:val="single" w:sz="8" w:color="auto"/>
              <w:left w:val="single" w:sz="8" w:color="auto"/>
            </w:tcBorders>
          </w:tcPr>
          <w:p>
            <w:pPr>
              <w:spacing w:after="0"/>
              <w:rPr>
                <w:sz w:val="20"/>
                <w:szCs w:val="20"/>
                <w:color w:val="auto"/>
              </w:rPr>
            </w:pPr>
            <w:r>
              <w:rPr>
                <w:rFonts w:ascii="Calibri" w:cs="Calibri" w:eastAsia="Calibri" w:hAnsi="Calibri"/>
                <w:sz w:val="12"/>
                <w:szCs w:val="12"/>
                <w:b w:val="1"/>
                <w:bCs w:val="1"/>
                <w:color w:val="auto"/>
              </w:rPr>
              <w:t>Common Equity Tier 1 Rato</w:t>
            </w:r>
          </w:p>
        </w:tc>
        <w:tc>
          <w:tcPr>
            <w:tcW w:w="1860" w:type="dxa"/>
            <w:vAlign w:val="bottom"/>
            <w:tcBorders>
              <w:top w:val="single" w:sz="8" w:color="auto"/>
              <w:right w:val="single" w:sz="8" w:color="auto"/>
            </w:tcBorders>
          </w:tcPr>
          <w:p>
            <w:pPr>
              <w:spacing w:after="0"/>
              <w:rPr>
                <w:sz w:val="13"/>
                <w:szCs w:val="13"/>
                <w:color w:val="auto"/>
              </w:rPr>
            </w:pPr>
          </w:p>
        </w:tc>
        <w:tc>
          <w:tcPr>
            <w:tcW w:w="1160" w:type="dxa"/>
            <w:vAlign w:val="bottom"/>
            <w:tcBorders>
              <w:top w:val="single" w:sz="8" w:color="auto"/>
            </w:tcBorders>
          </w:tcPr>
          <w:p>
            <w:pPr>
              <w:ind w:left="380"/>
              <w:spacing w:after="0"/>
              <w:rPr>
                <w:sz w:val="20"/>
                <w:szCs w:val="20"/>
                <w:color w:val="auto"/>
              </w:rPr>
            </w:pPr>
            <w:r>
              <w:rPr>
                <w:rFonts w:ascii="Calibri" w:cs="Calibri" w:eastAsia="Calibri" w:hAnsi="Calibri"/>
                <w:sz w:val="12"/>
                <w:szCs w:val="12"/>
                <w:color w:val="auto"/>
              </w:rPr>
              <w:t>18.26%</w:t>
            </w:r>
          </w:p>
        </w:tc>
        <w:tc>
          <w:tcPr>
            <w:tcW w:w="1360" w:type="dxa"/>
            <w:vAlign w:val="bottom"/>
            <w:tcBorders>
              <w:top w:val="single" w:sz="8" w:color="auto"/>
            </w:tcBorders>
          </w:tcPr>
          <w:p>
            <w:pPr>
              <w:ind w:left="420"/>
              <w:spacing w:after="0"/>
              <w:rPr>
                <w:sz w:val="20"/>
                <w:szCs w:val="20"/>
                <w:color w:val="auto"/>
              </w:rPr>
            </w:pPr>
            <w:r>
              <w:rPr>
                <w:rFonts w:ascii="Calibri" w:cs="Calibri" w:eastAsia="Calibri" w:hAnsi="Calibri"/>
                <w:sz w:val="12"/>
                <w:szCs w:val="12"/>
                <w:color w:val="auto"/>
              </w:rPr>
              <w:t>17.85%</w:t>
            </w:r>
          </w:p>
        </w:tc>
        <w:tc>
          <w:tcPr>
            <w:tcW w:w="1260" w:type="dxa"/>
            <w:vAlign w:val="bottom"/>
            <w:tcBorders>
              <w:top w:val="single" w:sz="8" w:color="auto"/>
              <w:right w:val="single" w:sz="8" w:color="auto"/>
            </w:tcBorders>
          </w:tcPr>
          <w:p>
            <w:pPr>
              <w:jc w:val="right"/>
              <w:ind w:right="539"/>
              <w:spacing w:after="0"/>
              <w:rPr>
                <w:sz w:val="20"/>
                <w:szCs w:val="20"/>
                <w:color w:val="auto"/>
              </w:rPr>
            </w:pPr>
            <w:r>
              <w:rPr>
                <w:rFonts w:ascii="Calibri" w:cs="Calibri" w:eastAsia="Calibri" w:hAnsi="Calibri"/>
                <w:sz w:val="12"/>
                <w:szCs w:val="12"/>
                <w:color w:val="auto"/>
              </w:rPr>
              <w:t>17.07%</w:t>
            </w:r>
          </w:p>
        </w:tc>
        <w:tc>
          <w:tcPr>
            <w:tcW w:w="680" w:type="dxa"/>
            <w:vAlign w:val="bottom"/>
            <w:tcBorders>
              <w:top w:val="single" w:sz="8" w:color="auto"/>
            </w:tcBorders>
          </w:tcPr>
          <w:p>
            <w:pPr>
              <w:jc w:val="center"/>
              <w:ind w:left="100"/>
              <w:spacing w:after="0"/>
              <w:rPr>
                <w:sz w:val="20"/>
                <w:szCs w:val="20"/>
                <w:color w:val="auto"/>
              </w:rPr>
            </w:pPr>
            <w:r>
              <w:rPr>
                <w:rFonts w:ascii="Calibri" w:cs="Calibri" w:eastAsia="Calibri" w:hAnsi="Calibri"/>
                <w:sz w:val="12"/>
                <w:szCs w:val="12"/>
                <w:color w:val="auto"/>
              </w:rPr>
              <w:t>-78 bps</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spacing w:after="0"/>
              <w:rPr>
                <w:sz w:val="20"/>
                <w:szCs w:val="20"/>
                <w:color w:val="auto"/>
              </w:rPr>
            </w:pPr>
            <w:r>
              <w:rPr>
                <w:rFonts w:ascii="Calibri" w:cs="Calibri" w:eastAsia="Calibri" w:hAnsi="Calibri"/>
                <w:sz w:val="12"/>
                <w:szCs w:val="12"/>
                <w:color w:val="auto"/>
              </w:rPr>
              <w:t>-119 pbs</w:t>
            </w:r>
          </w:p>
        </w:tc>
        <w:tc>
          <w:tcPr>
            <w:tcW w:w="0" w:type="dxa"/>
            <w:vAlign w:val="bottom"/>
          </w:tcPr>
          <w:p>
            <w:pPr>
              <w:spacing w:after="0"/>
              <w:rPr>
                <w:sz w:val="1"/>
                <w:szCs w:val="1"/>
                <w:color w:val="auto"/>
              </w:rPr>
            </w:pPr>
          </w:p>
        </w:tc>
      </w:tr>
      <w:tr>
        <w:trPr>
          <w:trHeight w:val="169"/>
        </w:trPr>
        <w:tc>
          <w:tcPr>
            <w:tcW w:w="2920" w:type="dxa"/>
            <w:vAlign w:val="bottom"/>
            <w:tcBorders>
              <w:left w:val="single" w:sz="8" w:color="auto"/>
            </w:tcBorders>
          </w:tcPr>
          <w:p>
            <w:pPr>
              <w:spacing w:after="0"/>
              <w:rPr>
                <w:sz w:val="20"/>
                <w:szCs w:val="20"/>
                <w:color w:val="auto"/>
              </w:rPr>
            </w:pPr>
            <w:r>
              <w:rPr>
                <w:rFonts w:ascii="Calibri" w:cs="Calibri" w:eastAsia="Calibri" w:hAnsi="Calibri"/>
                <w:sz w:val="12"/>
                <w:szCs w:val="12"/>
                <w:b w:val="1"/>
                <w:bCs w:val="1"/>
                <w:color w:val="auto"/>
              </w:rPr>
              <w:t>Tier 1 Capital rato</w:t>
            </w:r>
          </w:p>
        </w:tc>
        <w:tc>
          <w:tcPr>
            <w:tcW w:w="1860" w:type="dxa"/>
            <w:vAlign w:val="bottom"/>
            <w:tcBorders>
              <w:right w:val="single" w:sz="8" w:color="auto"/>
            </w:tcBorders>
          </w:tcPr>
          <w:p>
            <w:pPr>
              <w:spacing w:after="0"/>
              <w:rPr>
                <w:sz w:val="14"/>
                <w:szCs w:val="14"/>
                <w:color w:val="auto"/>
              </w:rPr>
            </w:pPr>
          </w:p>
        </w:tc>
        <w:tc>
          <w:tcPr>
            <w:tcW w:w="1160" w:type="dxa"/>
            <w:vAlign w:val="bottom"/>
          </w:tcPr>
          <w:p>
            <w:pPr>
              <w:ind w:left="380"/>
              <w:spacing w:after="0"/>
              <w:rPr>
                <w:sz w:val="20"/>
                <w:szCs w:val="20"/>
                <w:color w:val="auto"/>
              </w:rPr>
            </w:pPr>
            <w:r>
              <w:rPr>
                <w:rFonts w:ascii="Calibri" w:cs="Calibri" w:eastAsia="Calibri" w:hAnsi="Calibri"/>
                <w:sz w:val="12"/>
                <w:szCs w:val="12"/>
                <w:color w:val="auto"/>
              </w:rPr>
              <w:t>18.26%</w:t>
            </w:r>
          </w:p>
        </w:tc>
        <w:tc>
          <w:tcPr>
            <w:tcW w:w="1360" w:type="dxa"/>
            <w:vAlign w:val="bottom"/>
          </w:tcPr>
          <w:p>
            <w:pPr>
              <w:ind w:left="420"/>
              <w:spacing w:after="0"/>
              <w:rPr>
                <w:sz w:val="20"/>
                <w:szCs w:val="20"/>
                <w:color w:val="auto"/>
              </w:rPr>
            </w:pPr>
            <w:r>
              <w:rPr>
                <w:rFonts w:ascii="Calibri" w:cs="Calibri" w:eastAsia="Calibri" w:hAnsi="Calibri"/>
                <w:sz w:val="12"/>
                <w:szCs w:val="12"/>
                <w:color w:val="auto"/>
              </w:rPr>
              <w:t>17.85%</w:t>
            </w:r>
          </w:p>
        </w:tc>
        <w:tc>
          <w:tcPr>
            <w:tcW w:w="1260" w:type="dxa"/>
            <w:vAlign w:val="bottom"/>
            <w:tcBorders>
              <w:right w:val="single" w:sz="8" w:color="auto"/>
            </w:tcBorders>
          </w:tcPr>
          <w:p>
            <w:pPr>
              <w:jc w:val="right"/>
              <w:ind w:right="539"/>
              <w:spacing w:after="0"/>
              <w:rPr>
                <w:sz w:val="20"/>
                <w:szCs w:val="20"/>
                <w:color w:val="auto"/>
              </w:rPr>
            </w:pPr>
            <w:r>
              <w:rPr>
                <w:rFonts w:ascii="Calibri" w:cs="Calibri" w:eastAsia="Calibri" w:hAnsi="Calibri"/>
                <w:sz w:val="12"/>
                <w:szCs w:val="12"/>
                <w:color w:val="auto"/>
              </w:rPr>
              <w:t>17.07%</w:t>
            </w:r>
          </w:p>
        </w:tc>
        <w:tc>
          <w:tcPr>
            <w:tcW w:w="680" w:type="dxa"/>
            <w:vAlign w:val="bottom"/>
          </w:tcPr>
          <w:p>
            <w:pPr>
              <w:jc w:val="center"/>
              <w:ind w:left="100"/>
              <w:spacing w:after="0"/>
              <w:rPr>
                <w:sz w:val="20"/>
                <w:szCs w:val="20"/>
                <w:color w:val="auto"/>
              </w:rPr>
            </w:pPr>
            <w:r>
              <w:rPr>
                <w:rFonts w:ascii="Calibri" w:cs="Calibri" w:eastAsia="Calibri" w:hAnsi="Calibri"/>
                <w:sz w:val="12"/>
                <w:szCs w:val="12"/>
                <w:color w:val="auto"/>
              </w:rPr>
              <w:t>-78 bps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right w:val="single" w:sz="8" w:color="auto"/>
            </w:tcBorders>
          </w:tcPr>
          <w:p>
            <w:pPr>
              <w:spacing w:after="0"/>
              <w:rPr>
                <w:sz w:val="20"/>
                <w:szCs w:val="20"/>
                <w:color w:val="auto"/>
              </w:rPr>
            </w:pPr>
            <w:r>
              <w:rPr>
                <w:rFonts w:ascii="Calibri" w:cs="Calibri" w:eastAsia="Calibri" w:hAnsi="Calibri"/>
                <w:sz w:val="12"/>
                <w:szCs w:val="12"/>
                <w:color w:val="auto"/>
              </w:rPr>
              <w:t>-119 pbs</w:t>
            </w:r>
          </w:p>
        </w:tc>
        <w:tc>
          <w:tcPr>
            <w:tcW w:w="0" w:type="dxa"/>
            <w:vAlign w:val="bottom"/>
          </w:tcPr>
          <w:p>
            <w:pPr>
              <w:spacing w:after="0"/>
              <w:rPr>
                <w:sz w:val="1"/>
                <w:szCs w:val="1"/>
                <w:color w:val="auto"/>
              </w:rPr>
            </w:pPr>
          </w:p>
        </w:tc>
      </w:tr>
      <w:tr>
        <w:trPr>
          <w:trHeight w:val="164"/>
        </w:trPr>
        <w:tc>
          <w:tcPr>
            <w:tcW w:w="2920" w:type="dxa"/>
            <w:vAlign w:val="bottom"/>
            <w:tcBorders>
              <w:left w:val="single" w:sz="8" w:color="auto"/>
              <w:bottom w:val="single" w:sz="8" w:color="auto"/>
            </w:tcBorders>
          </w:tcPr>
          <w:p>
            <w:pPr>
              <w:spacing w:after="0"/>
              <w:rPr>
                <w:sz w:val="20"/>
                <w:szCs w:val="20"/>
                <w:color w:val="auto"/>
              </w:rPr>
            </w:pPr>
            <w:r>
              <w:rPr>
                <w:rFonts w:ascii="Calibri" w:cs="Calibri" w:eastAsia="Calibri" w:hAnsi="Calibri"/>
                <w:sz w:val="12"/>
                <w:szCs w:val="12"/>
                <w:b w:val="1"/>
                <w:bCs w:val="1"/>
                <w:color w:val="auto"/>
              </w:rPr>
              <w:t>Regulatory Global Capital Rato</w:t>
            </w:r>
          </w:p>
        </w:tc>
        <w:tc>
          <w:tcPr>
            <w:tcW w:w="18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ind w:left="380"/>
              <w:spacing w:after="0"/>
              <w:rPr>
                <w:sz w:val="20"/>
                <w:szCs w:val="20"/>
                <w:color w:val="auto"/>
              </w:rPr>
            </w:pPr>
            <w:r>
              <w:rPr>
                <w:rFonts w:ascii="Calibri" w:cs="Calibri" w:eastAsia="Calibri" w:hAnsi="Calibri"/>
                <w:sz w:val="12"/>
                <w:szCs w:val="12"/>
                <w:color w:val="auto"/>
              </w:rPr>
              <w:t>20.65%</w:t>
            </w:r>
          </w:p>
        </w:tc>
        <w:tc>
          <w:tcPr>
            <w:tcW w:w="1360" w:type="dxa"/>
            <w:vAlign w:val="bottom"/>
            <w:tcBorders>
              <w:bottom w:val="single" w:sz="8" w:color="auto"/>
            </w:tcBorders>
          </w:tcPr>
          <w:p>
            <w:pPr>
              <w:ind w:left="420"/>
              <w:spacing w:after="0"/>
              <w:rPr>
                <w:sz w:val="20"/>
                <w:szCs w:val="20"/>
                <w:color w:val="auto"/>
              </w:rPr>
            </w:pPr>
            <w:r>
              <w:rPr>
                <w:rFonts w:ascii="Calibri" w:cs="Calibri" w:eastAsia="Calibri" w:hAnsi="Calibri"/>
                <w:sz w:val="12"/>
                <w:szCs w:val="12"/>
                <w:color w:val="auto"/>
              </w:rPr>
              <w:t>20.22%</w:t>
            </w:r>
          </w:p>
        </w:tc>
        <w:tc>
          <w:tcPr>
            <w:tcW w:w="1260" w:type="dxa"/>
            <w:vAlign w:val="bottom"/>
            <w:tcBorders>
              <w:bottom w:val="single" w:sz="8" w:color="auto"/>
              <w:right w:val="single" w:sz="8" w:color="auto"/>
            </w:tcBorders>
          </w:tcPr>
          <w:p>
            <w:pPr>
              <w:jc w:val="right"/>
              <w:ind w:right="539"/>
              <w:spacing w:after="0"/>
              <w:rPr>
                <w:sz w:val="20"/>
                <w:szCs w:val="20"/>
                <w:color w:val="auto"/>
              </w:rPr>
            </w:pPr>
            <w:r>
              <w:rPr>
                <w:rFonts w:ascii="Calibri" w:cs="Calibri" w:eastAsia="Calibri" w:hAnsi="Calibri"/>
                <w:sz w:val="12"/>
                <w:szCs w:val="12"/>
                <w:color w:val="auto"/>
              </w:rPr>
              <w:t>19.42%</w:t>
            </w:r>
          </w:p>
        </w:tc>
        <w:tc>
          <w:tcPr>
            <w:tcW w:w="680" w:type="dxa"/>
            <w:vAlign w:val="bottom"/>
            <w:tcBorders>
              <w:bottom w:val="single" w:sz="8" w:color="auto"/>
            </w:tcBorders>
          </w:tcPr>
          <w:p>
            <w:pPr>
              <w:jc w:val="center"/>
              <w:ind w:left="100"/>
              <w:spacing w:after="0"/>
              <w:rPr>
                <w:sz w:val="20"/>
                <w:szCs w:val="20"/>
                <w:color w:val="auto"/>
              </w:rPr>
            </w:pPr>
            <w:r>
              <w:rPr>
                <w:rFonts w:ascii="Calibri" w:cs="Calibri" w:eastAsia="Calibri" w:hAnsi="Calibri"/>
                <w:sz w:val="12"/>
                <w:szCs w:val="12"/>
                <w:color w:val="auto"/>
              </w:rPr>
              <w:t>-80 bps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2"/>
                <w:szCs w:val="12"/>
                <w:color w:val="auto"/>
              </w:rPr>
              <w:t>-123 pbs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800" w:hanging="151"/>
        <w:spacing w:after="0"/>
        <w:tabs>
          <w:tab w:leader="none" w:pos="800" w:val="left"/>
        </w:tabs>
        <w:numPr>
          <w:ilvl w:val="0"/>
          <w:numId w:val="52"/>
        </w:numPr>
        <w:rPr>
          <w:rFonts w:ascii="Calibri" w:cs="Calibri" w:eastAsia="Calibri" w:hAnsi="Calibri"/>
          <w:sz w:val="11"/>
          <w:szCs w:val="11"/>
          <w:color w:val="auto"/>
        </w:rPr>
      </w:pPr>
      <w:r>
        <w:rPr>
          <w:rFonts w:ascii="Calibri" w:cs="Calibri" w:eastAsia="Calibri" w:hAnsi="Calibri"/>
          <w:sz w:val="11"/>
          <w:szCs w:val="11"/>
          <w:color w:val="auto"/>
        </w:rPr>
        <w:t>Up to 1.25% of total risk-weighted assets.</w:t>
      </w:r>
    </w:p>
    <w:p>
      <w:pPr>
        <w:spacing w:after="0" w:line="56" w:lineRule="exact"/>
        <w:rPr>
          <w:rFonts w:ascii="Calibri" w:cs="Calibri" w:eastAsia="Calibri" w:hAnsi="Calibri"/>
          <w:sz w:val="11"/>
          <w:szCs w:val="11"/>
          <w:color w:val="auto"/>
        </w:rPr>
      </w:pPr>
    </w:p>
    <w:p>
      <w:pPr>
        <w:ind w:left="800" w:right="180" w:hanging="151"/>
        <w:spacing w:after="0" w:line="243" w:lineRule="auto"/>
        <w:tabs>
          <w:tab w:leader="none" w:pos="800" w:val="left"/>
        </w:tabs>
        <w:numPr>
          <w:ilvl w:val="0"/>
          <w:numId w:val="52"/>
        </w:numPr>
        <w:rPr>
          <w:rFonts w:ascii="Calibri" w:cs="Calibri" w:eastAsia="Calibri" w:hAnsi="Calibri"/>
          <w:sz w:val="11"/>
          <w:szCs w:val="11"/>
          <w:color w:val="auto"/>
        </w:rPr>
      </w:pPr>
      <w:r>
        <w:rPr>
          <w:rFonts w:ascii="Calibri" w:cs="Calibri" w:eastAsia="Calibri" w:hAnsi="Calibri"/>
          <w:sz w:val="11"/>
          <w:szCs w:val="11"/>
          <w:color w:val="auto"/>
        </w:rPr>
        <w:t xml:space="preserve">Common Equity Tier 1 = Capital Stock + Reserves + Accumulated earnings – Unrealized profts or losses </w:t>
      </w:r>
      <w:r>
        <w:rPr>
          <w:rFonts w:ascii="Times New Roman" w:cs="Times New Roman" w:eastAsia="Times New Roman" w:hAnsi="Times New Roman"/>
          <w:sz w:val="11"/>
          <w:szCs w:val="11"/>
          <w:color w:val="auto"/>
        </w:rPr>
        <w:t>-</w:t>
      </w:r>
      <w:r>
        <w:rPr>
          <w:rFonts w:ascii="Calibri" w:cs="Calibri" w:eastAsia="Calibri" w:hAnsi="Calibri"/>
          <w:sz w:val="11"/>
          <w:szCs w:val="11"/>
          <w:color w:val="auto"/>
        </w:rPr>
        <w:t xml:space="preserve"> 100% deductons (investment in subsidiaries, goodwill, intangible assets and deferred tax assets based on future returns).</w:t>
      </w:r>
    </w:p>
    <w:p>
      <w:pPr>
        <w:ind w:left="800" w:hanging="151"/>
        <w:spacing w:after="0" w:line="234" w:lineRule="auto"/>
        <w:tabs>
          <w:tab w:leader="none" w:pos="800" w:val="left"/>
        </w:tabs>
        <w:numPr>
          <w:ilvl w:val="0"/>
          <w:numId w:val="52"/>
        </w:numPr>
        <w:rPr>
          <w:rFonts w:ascii="Calibri" w:cs="Calibri" w:eastAsia="Calibri" w:hAnsi="Calibri"/>
          <w:sz w:val="11"/>
          <w:szCs w:val="11"/>
          <w:color w:val="auto"/>
        </w:rPr>
      </w:pPr>
      <w:r>
        <w:rPr>
          <w:rFonts w:ascii="Calibri" w:cs="Calibri" w:eastAsia="Calibri" w:hAnsi="Calibri"/>
          <w:sz w:val="11"/>
          <w:szCs w:val="11"/>
          <w:color w:val="auto"/>
        </w:rPr>
        <w:t>Regulatory Tier 1 Capital = Common Equity Tier 1 + Tier 1 Subordinated Debt (Perpetual).</w:t>
      </w:r>
    </w:p>
    <w:p>
      <w:pPr>
        <w:spacing w:after="0" w:line="61" w:lineRule="exact"/>
        <w:rPr>
          <w:rFonts w:ascii="Calibri" w:cs="Calibri" w:eastAsia="Calibri" w:hAnsi="Calibri"/>
          <w:sz w:val="11"/>
          <w:szCs w:val="11"/>
          <w:color w:val="auto"/>
        </w:rPr>
      </w:pPr>
    </w:p>
    <w:p>
      <w:pPr>
        <w:ind w:left="800" w:hanging="151"/>
        <w:spacing w:after="0"/>
        <w:tabs>
          <w:tab w:leader="none" w:pos="800" w:val="left"/>
        </w:tabs>
        <w:numPr>
          <w:ilvl w:val="0"/>
          <w:numId w:val="52"/>
        </w:numPr>
        <w:rPr>
          <w:rFonts w:ascii="Calibri" w:cs="Calibri" w:eastAsia="Calibri" w:hAnsi="Calibri"/>
          <w:sz w:val="11"/>
          <w:szCs w:val="11"/>
          <w:color w:val="auto"/>
        </w:rPr>
      </w:pPr>
      <w:r>
        <w:rPr>
          <w:rFonts w:ascii="Calibri" w:cs="Calibri" w:eastAsia="Calibri" w:hAnsi="Calibri"/>
          <w:sz w:val="11"/>
          <w:szCs w:val="11"/>
          <w:color w:val="auto"/>
        </w:rPr>
        <w:t>Regulatory Tier 2 Capital = Subordinated Debt + Loan loss reserves.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36830</wp:posOffset>
            </wp:positionV>
            <wp:extent cx="713613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940"/>
          </w:cols>
          <w:pgMar w:left="620" w:top="279" w:right="339" w:bottom="1440" w:gutter="0" w:footer="0" w:header="0"/>
        </w:sectPr>
      </w:pPr>
    </w:p>
    <w:bookmarkStart w:id="56" w:name="page57"/>
    <w:bookmarkEnd w:id="56"/>
    <w:p>
      <w:pPr>
        <w:ind w:left="2380"/>
        <w:spacing w:after="0"/>
        <w:tabs>
          <w:tab w:leader="none" w:pos="2660" w:val="left"/>
          <w:tab w:leader="none" w:pos="73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180975</wp:posOffset>
            </wp:positionV>
            <wp:extent cx="7136130" cy="2330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80"/>
        <w:spacing w:after="0"/>
        <w:rPr>
          <w:sz w:val="20"/>
          <w:szCs w:val="20"/>
          <w:color w:val="auto"/>
        </w:rPr>
      </w:pPr>
      <w:r>
        <w:rPr>
          <w:rFonts w:ascii="Calibri" w:cs="Calibri" w:eastAsia="Calibri" w:hAnsi="Calibri"/>
          <w:sz w:val="17"/>
          <w:szCs w:val="17"/>
          <w:b w:val="1"/>
          <w:bCs w:val="1"/>
          <w:color w:val="auto"/>
        </w:rPr>
        <w:t>Common Equity Tier 1 IFRS</w:t>
      </w:r>
    </w:p>
    <w:p>
      <w:pPr>
        <w:spacing w:after="0" w:line="147" w:lineRule="exact"/>
        <w:rPr>
          <w:sz w:val="20"/>
          <w:szCs w:val="20"/>
          <w:color w:val="auto"/>
        </w:rPr>
      </w:pPr>
    </w:p>
    <w:p>
      <w:pPr>
        <w:ind w:left="4600"/>
        <w:spacing w:after="0"/>
        <w:rPr>
          <w:sz w:val="20"/>
          <w:szCs w:val="20"/>
          <w:color w:val="auto"/>
        </w:rPr>
      </w:pPr>
      <w:r>
        <w:rPr>
          <w:rFonts w:ascii="Calibri" w:cs="Calibri" w:eastAsia="Calibri" w:hAnsi="Calibri"/>
          <w:sz w:val="17"/>
          <w:szCs w:val="17"/>
          <w:b w:val="1"/>
          <w:bCs w:val="1"/>
          <w:color w:val="auto"/>
        </w:rPr>
        <w:t>BCP Stand-alone</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4780" w:type="dxa"/>
            <w:vAlign w:val="bottom"/>
            <w:tcBorders>
              <w:top w:val="single" w:sz="8" w:color="auto"/>
              <w:left w:val="single" w:sz="8" w:color="auto"/>
              <w:right w:val="single" w:sz="8" w:color="auto"/>
            </w:tcBorders>
            <w:gridSpan w:val="3"/>
            <w:shd w:val="clear" w:color="auto" w:fill="2AD2C8"/>
          </w:tcPr>
          <w:p>
            <w:pPr>
              <w:spacing w:after="0"/>
              <w:rPr>
                <w:sz w:val="20"/>
                <w:szCs w:val="20"/>
                <w:color w:val="auto"/>
              </w:rPr>
            </w:pPr>
            <w:r>
              <w:rPr>
                <w:rFonts w:ascii="Calibri" w:cs="Calibri" w:eastAsia="Calibri" w:hAnsi="Calibri"/>
                <w:sz w:val="11"/>
                <w:szCs w:val="11"/>
                <w:b w:val="1"/>
                <w:bCs w:val="1"/>
                <w:color w:val="FFFFFF"/>
              </w:rPr>
              <w:t>Common Equity Tier 1 IFRS</w:t>
            </w:r>
          </w:p>
        </w:tc>
        <w:tc>
          <w:tcPr>
            <w:tcW w:w="1060" w:type="dxa"/>
            <w:vAlign w:val="bottom"/>
            <w:tcBorders>
              <w:top w:val="single" w:sz="8" w:color="auto"/>
            </w:tcBorders>
            <w:shd w:val="clear" w:color="auto" w:fill="2AD2C8"/>
          </w:tcPr>
          <w:p>
            <w:pPr>
              <w:spacing w:after="0"/>
              <w:rPr>
                <w:sz w:val="12"/>
                <w:szCs w:val="12"/>
                <w:color w:val="auto"/>
              </w:rPr>
            </w:pPr>
          </w:p>
        </w:tc>
        <w:tc>
          <w:tcPr>
            <w:tcW w:w="1360" w:type="dxa"/>
            <w:vAlign w:val="bottom"/>
            <w:tcBorders>
              <w:top w:val="single" w:sz="8" w:color="auto"/>
            </w:tcBorders>
            <w:shd w:val="clear" w:color="auto" w:fill="2AD2C8"/>
          </w:tcPr>
          <w:p>
            <w:pPr>
              <w:jc w:val="center"/>
              <w:ind w:right="61"/>
              <w:spacing w:after="0"/>
              <w:rPr>
                <w:sz w:val="20"/>
                <w:szCs w:val="20"/>
                <w:color w:val="auto"/>
              </w:rPr>
            </w:pPr>
            <w:r>
              <w:rPr>
                <w:rFonts w:ascii="Calibri" w:cs="Calibri" w:eastAsia="Calibri" w:hAnsi="Calibri"/>
                <w:sz w:val="11"/>
                <w:szCs w:val="11"/>
                <w:b w:val="1"/>
                <w:bCs w:val="1"/>
                <w:color w:val="FFFFFF"/>
                <w:w w:val="99"/>
              </w:rPr>
              <w:t>Quarter</w:t>
            </w:r>
          </w:p>
        </w:tc>
        <w:tc>
          <w:tcPr>
            <w:tcW w:w="1200" w:type="dxa"/>
            <w:vAlign w:val="bottom"/>
            <w:tcBorders>
              <w:top w:val="single" w:sz="8" w:color="auto"/>
              <w:right w:val="single" w:sz="8" w:color="2AD2C8"/>
            </w:tcBorders>
            <w:shd w:val="clear" w:color="auto" w:fill="2AD2C8"/>
          </w:tcPr>
          <w:p>
            <w:pPr>
              <w:spacing w:after="0"/>
              <w:rPr>
                <w:sz w:val="12"/>
                <w:szCs w:val="12"/>
                <w:color w:val="auto"/>
              </w:rPr>
            </w:pPr>
          </w:p>
        </w:tc>
        <w:tc>
          <w:tcPr>
            <w:tcW w:w="40" w:type="dxa"/>
            <w:vAlign w:val="bottom"/>
            <w:tcBorders>
              <w:top w:val="single" w:sz="8" w:color="auto"/>
              <w:right w:val="single" w:sz="8" w:color="2AD2C8"/>
            </w:tcBorders>
            <w:shd w:val="clear" w:color="auto" w:fill="2AD2C8"/>
          </w:tcPr>
          <w:p>
            <w:pPr>
              <w:spacing w:after="0"/>
              <w:rPr>
                <w:sz w:val="12"/>
                <w:szCs w:val="12"/>
                <w:color w:val="auto"/>
              </w:rPr>
            </w:pPr>
          </w:p>
        </w:tc>
        <w:tc>
          <w:tcPr>
            <w:tcW w:w="180" w:type="dxa"/>
            <w:vAlign w:val="bottom"/>
            <w:tcBorders>
              <w:top w:val="single" w:sz="8" w:color="auto"/>
              <w:right w:val="single" w:sz="8" w:color="auto"/>
            </w:tcBorders>
            <w:shd w:val="clear" w:color="auto" w:fill="2AD2C8"/>
          </w:tcPr>
          <w:p>
            <w:pPr>
              <w:spacing w:after="0"/>
              <w:rPr>
                <w:sz w:val="12"/>
                <w:szCs w:val="12"/>
                <w:color w:val="auto"/>
              </w:rPr>
            </w:pPr>
          </w:p>
        </w:tc>
        <w:tc>
          <w:tcPr>
            <w:tcW w:w="660" w:type="dxa"/>
            <w:vAlign w:val="bottom"/>
            <w:tcBorders>
              <w:top w:val="single" w:sz="8" w:color="auto"/>
            </w:tcBorders>
            <w:shd w:val="clear" w:color="auto" w:fill="2AD2C8"/>
          </w:tcPr>
          <w:p>
            <w:pPr>
              <w:spacing w:after="0"/>
              <w:rPr>
                <w:sz w:val="12"/>
                <w:szCs w:val="12"/>
                <w:color w:val="auto"/>
              </w:rPr>
            </w:pPr>
          </w:p>
        </w:tc>
        <w:tc>
          <w:tcPr>
            <w:tcW w:w="1400" w:type="dxa"/>
            <w:vAlign w:val="bottom"/>
            <w:tcBorders>
              <w:top w:val="single" w:sz="8" w:color="auto"/>
              <w:right w:val="single" w:sz="8" w:color="auto"/>
            </w:tcBorders>
            <w:shd w:val="clear" w:color="auto" w:fill="2AD2C8"/>
          </w:tcPr>
          <w:p>
            <w:pPr>
              <w:jc w:val="right"/>
              <w:ind w:right="761"/>
              <w:spacing w:after="0"/>
              <w:rPr>
                <w:sz w:val="20"/>
                <w:szCs w:val="20"/>
                <w:color w:val="auto"/>
              </w:rPr>
            </w:pPr>
            <w:r>
              <w:rPr>
                <w:rFonts w:ascii="Calibri" w:cs="Calibri" w:eastAsia="Calibri" w:hAnsi="Calibri"/>
                <w:sz w:val="11"/>
                <w:szCs w:val="11"/>
                <w:b w:val="1"/>
                <w:bCs w:val="1"/>
                <w:color w:val="FFFFFF"/>
              </w:rPr>
              <w:t>% Change</w:t>
            </w:r>
          </w:p>
        </w:tc>
        <w:tc>
          <w:tcPr>
            <w:tcW w:w="0" w:type="dxa"/>
            <w:vAlign w:val="bottom"/>
          </w:tcPr>
          <w:p>
            <w:pPr>
              <w:spacing w:after="0"/>
              <w:rPr>
                <w:sz w:val="1"/>
                <w:szCs w:val="1"/>
                <w:color w:val="auto"/>
              </w:rPr>
            </w:pPr>
          </w:p>
        </w:tc>
      </w:tr>
      <w:tr>
        <w:trPr>
          <w:trHeight w:val="174"/>
        </w:trPr>
        <w:tc>
          <w:tcPr>
            <w:tcW w:w="4780" w:type="dxa"/>
            <w:vAlign w:val="bottom"/>
            <w:tcBorders>
              <w:left w:val="single" w:sz="8" w:color="auto"/>
              <w:bottom w:val="single" w:sz="8" w:color="auto"/>
              <w:right w:val="single" w:sz="8" w:color="auto"/>
            </w:tcBorders>
            <w:gridSpan w:val="3"/>
            <w:shd w:val="clear" w:color="auto" w:fill="2AD2C8"/>
          </w:tcPr>
          <w:p>
            <w:pPr>
              <w:spacing w:after="0"/>
              <w:rPr>
                <w:sz w:val="20"/>
                <w:szCs w:val="20"/>
                <w:color w:val="auto"/>
              </w:rPr>
            </w:pPr>
            <w:r>
              <w:rPr>
                <w:rFonts w:ascii="Calibri" w:cs="Calibri" w:eastAsia="Calibri" w:hAnsi="Calibri"/>
                <w:sz w:val="11"/>
                <w:szCs w:val="11"/>
                <w:color w:val="FFFFFF"/>
              </w:rPr>
              <w:t>(S/. thousand)</w:t>
            </w:r>
          </w:p>
        </w:tc>
        <w:tc>
          <w:tcPr>
            <w:tcW w:w="1060" w:type="dxa"/>
            <w:vAlign w:val="bottom"/>
            <w:tcBorders>
              <w:bottom w:val="single" w:sz="8" w:color="auto"/>
            </w:tcBorders>
            <w:shd w:val="clear" w:color="auto" w:fill="2AD2C8"/>
          </w:tcPr>
          <w:p>
            <w:pPr>
              <w:ind w:left="440"/>
              <w:spacing w:after="0"/>
              <w:rPr>
                <w:sz w:val="20"/>
                <w:szCs w:val="20"/>
                <w:color w:val="auto"/>
              </w:rPr>
            </w:pPr>
            <w:r>
              <w:rPr>
                <w:rFonts w:ascii="Calibri" w:cs="Calibri" w:eastAsia="Calibri" w:hAnsi="Calibri"/>
                <w:sz w:val="11"/>
                <w:szCs w:val="11"/>
                <w:b w:val="1"/>
                <w:bCs w:val="1"/>
                <w:color w:val="FFFFFF"/>
              </w:rPr>
              <w:t>Dec 23</w:t>
            </w:r>
          </w:p>
        </w:tc>
        <w:tc>
          <w:tcPr>
            <w:tcW w:w="1360" w:type="dxa"/>
            <w:vAlign w:val="bottom"/>
            <w:tcBorders>
              <w:bottom w:val="single" w:sz="8" w:color="auto"/>
            </w:tcBorders>
            <w:shd w:val="clear" w:color="auto" w:fill="2AD2C8"/>
          </w:tcPr>
          <w:p>
            <w:pPr>
              <w:jc w:val="center"/>
              <w:ind w:right="41"/>
              <w:spacing w:after="0"/>
              <w:rPr>
                <w:sz w:val="20"/>
                <w:szCs w:val="20"/>
                <w:color w:val="auto"/>
              </w:rPr>
            </w:pPr>
            <w:r>
              <w:rPr>
                <w:rFonts w:ascii="Calibri" w:cs="Calibri" w:eastAsia="Calibri" w:hAnsi="Calibri"/>
                <w:sz w:val="11"/>
                <w:szCs w:val="11"/>
                <w:b w:val="1"/>
                <w:bCs w:val="1"/>
                <w:color w:val="FFFFFF"/>
                <w:w w:val="98"/>
              </w:rPr>
              <w:t>Sep 24</w:t>
            </w:r>
          </w:p>
        </w:tc>
        <w:tc>
          <w:tcPr>
            <w:tcW w:w="1420" w:type="dxa"/>
            <w:vAlign w:val="bottom"/>
            <w:tcBorders>
              <w:bottom w:val="single" w:sz="8" w:color="auto"/>
              <w:right w:val="single" w:sz="8" w:color="auto"/>
            </w:tcBorders>
            <w:gridSpan w:val="3"/>
            <w:shd w:val="clear" w:color="auto" w:fill="2AD2C8"/>
          </w:tcPr>
          <w:p>
            <w:pPr>
              <w:jc w:val="right"/>
              <w:ind w:right="520"/>
              <w:spacing w:after="0"/>
              <w:rPr>
                <w:sz w:val="20"/>
                <w:szCs w:val="20"/>
                <w:color w:val="auto"/>
              </w:rPr>
            </w:pPr>
            <w:r>
              <w:rPr>
                <w:rFonts w:ascii="Calibri" w:cs="Calibri" w:eastAsia="Calibri" w:hAnsi="Calibri"/>
                <w:sz w:val="11"/>
                <w:szCs w:val="11"/>
                <w:b w:val="1"/>
                <w:bCs w:val="1"/>
                <w:color w:val="FFFFFF"/>
              </w:rPr>
              <w:t>Dec 24</w:t>
            </w:r>
          </w:p>
        </w:tc>
        <w:tc>
          <w:tcPr>
            <w:tcW w:w="660" w:type="dxa"/>
            <w:vAlign w:val="bottom"/>
            <w:tcBorders>
              <w:bottom w:val="single" w:sz="8" w:color="auto"/>
            </w:tcBorders>
            <w:shd w:val="clear" w:color="auto" w:fill="2AD2C8"/>
          </w:tcPr>
          <w:p>
            <w:pPr>
              <w:jc w:val="right"/>
              <w:ind w:right="1"/>
              <w:spacing w:after="0"/>
              <w:rPr>
                <w:sz w:val="20"/>
                <w:szCs w:val="20"/>
                <w:color w:val="auto"/>
              </w:rPr>
            </w:pPr>
            <w:r>
              <w:rPr>
                <w:rFonts w:ascii="Calibri" w:cs="Calibri" w:eastAsia="Calibri" w:hAnsi="Calibri"/>
                <w:sz w:val="11"/>
                <w:szCs w:val="11"/>
                <w:b w:val="1"/>
                <w:bCs w:val="1"/>
                <w:color w:val="FFFFFF"/>
              </w:rPr>
              <w:t>QoQ</w:t>
            </w:r>
          </w:p>
        </w:tc>
        <w:tc>
          <w:tcPr>
            <w:tcW w:w="1400" w:type="dxa"/>
            <w:vAlign w:val="bottom"/>
            <w:tcBorders>
              <w:bottom w:val="single" w:sz="8" w:color="auto"/>
              <w:right w:val="single" w:sz="8" w:color="auto"/>
            </w:tcBorders>
            <w:shd w:val="clear" w:color="auto" w:fill="2AD2C8"/>
          </w:tcPr>
          <w:p>
            <w:pPr>
              <w:jc w:val="center"/>
              <w:ind w:left="221"/>
              <w:spacing w:after="0"/>
              <w:rPr>
                <w:sz w:val="20"/>
                <w:szCs w:val="20"/>
                <w:color w:val="auto"/>
              </w:rPr>
            </w:pPr>
            <w:r>
              <w:rPr>
                <w:rFonts w:ascii="Calibri" w:cs="Calibri" w:eastAsia="Calibri" w:hAnsi="Calibri"/>
                <w:sz w:val="11"/>
                <w:szCs w:val="11"/>
                <w:b w:val="1"/>
                <w:bCs w:val="1"/>
                <w:color w:val="FFFFFF"/>
                <w:w w:val="91"/>
              </w:rPr>
              <w:t>YoY</w:t>
            </w:r>
          </w:p>
        </w:tc>
        <w:tc>
          <w:tcPr>
            <w:tcW w:w="0" w:type="dxa"/>
            <w:vAlign w:val="bottom"/>
          </w:tcPr>
          <w:p>
            <w:pPr>
              <w:spacing w:after="0"/>
              <w:rPr>
                <w:sz w:val="1"/>
                <w:szCs w:val="1"/>
                <w:color w:val="auto"/>
              </w:rPr>
            </w:pPr>
          </w:p>
        </w:tc>
      </w:tr>
      <w:tr>
        <w:trPr>
          <w:trHeight w:val="164"/>
        </w:trPr>
        <w:tc>
          <w:tcPr>
            <w:tcW w:w="4780" w:type="dxa"/>
            <w:vAlign w:val="bottom"/>
            <w:tcBorders>
              <w:left w:val="single" w:sz="8" w:color="auto"/>
              <w:right w:val="single" w:sz="8" w:color="auto"/>
            </w:tcBorders>
            <w:gridSpan w:val="3"/>
          </w:tcPr>
          <w:p>
            <w:pPr>
              <w:ind w:left="160"/>
              <w:spacing w:after="0" w:line="157" w:lineRule="exact"/>
              <w:rPr>
                <w:sz w:val="20"/>
                <w:szCs w:val="20"/>
                <w:color w:val="auto"/>
              </w:rPr>
            </w:pPr>
            <w:r>
              <w:rPr>
                <w:rFonts w:ascii="Calibri" w:cs="Calibri" w:eastAsia="Calibri" w:hAnsi="Calibri"/>
                <w:sz w:val="13"/>
                <w:szCs w:val="13"/>
                <w:color w:val="auto"/>
              </w:rPr>
              <w:t>Capital and reserves</w:t>
            </w:r>
          </w:p>
        </w:tc>
        <w:tc>
          <w:tcPr>
            <w:tcW w:w="1060" w:type="dxa"/>
            <w:vAlign w:val="bottom"/>
          </w:tcPr>
          <w:p>
            <w:pPr>
              <w:jc w:val="center"/>
              <w:ind w:left="80"/>
              <w:spacing w:after="0"/>
              <w:rPr>
                <w:sz w:val="20"/>
                <w:szCs w:val="20"/>
                <w:color w:val="auto"/>
              </w:rPr>
            </w:pPr>
            <w:r>
              <w:rPr>
                <w:rFonts w:ascii="Calibri" w:cs="Calibri" w:eastAsia="Calibri" w:hAnsi="Calibri"/>
                <w:sz w:val="11"/>
                <w:szCs w:val="11"/>
                <w:color w:val="auto"/>
              </w:rPr>
              <w:t>19,051,853</w:t>
            </w:r>
          </w:p>
        </w:tc>
        <w:tc>
          <w:tcPr>
            <w:tcW w:w="1360" w:type="dxa"/>
            <w:vAlign w:val="bottom"/>
          </w:tcPr>
          <w:p>
            <w:pPr>
              <w:jc w:val="center"/>
              <w:ind w:left="181"/>
              <w:spacing w:after="0"/>
              <w:rPr>
                <w:sz w:val="20"/>
                <w:szCs w:val="20"/>
                <w:color w:val="auto"/>
              </w:rPr>
            </w:pPr>
            <w:r>
              <w:rPr>
                <w:rFonts w:ascii="Calibri" w:cs="Calibri" w:eastAsia="Calibri" w:hAnsi="Calibri"/>
                <w:sz w:val="11"/>
                <w:szCs w:val="11"/>
                <w:color w:val="auto"/>
              </w:rPr>
              <w:t>19,052,262</w:t>
            </w:r>
          </w:p>
        </w:tc>
        <w:tc>
          <w:tcPr>
            <w:tcW w:w="1200" w:type="dxa"/>
            <w:vAlign w:val="bottom"/>
          </w:tcPr>
          <w:p>
            <w:pPr>
              <w:jc w:val="center"/>
              <w:ind w:left="261"/>
              <w:spacing w:after="0"/>
              <w:rPr>
                <w:sz w:val="20"/>
                <w:szCs w:val="20"/>
                <w:color w:val="auto"/>
              </w:rPr>
            </w:pPr>
            <w:r>
              <w:rPr>
                <w:rFonts w:ascii="Calibri" w:cs="Calibri" w:eastAsia="Calibri" w:hAnsi="Calibri"/>
                <w:sz w:val="11"/>
                <w:szCs w:val="11"/>
                <w:color w:val="auto"/>
              </w:rPr>
              <w:t>18,585,234</w:t>
            </w:r>
          </w:p>
        </w:tc>
        <w:tc>
          <w:tcPr>
            <w:tcW w:w="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tcPr>
          <w:p>
            <w:pPr>
              <w:jc w:val="center"/>
              <w:ind w:left="301"/>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2.5%</w:t>
            </w:r>
          </w:p>
        </w:tc>
        <w:tc>
          <w:tcPr>
            <w:tcW w:w="1400" w:type="dxa"/>
            <w:vAlign w:val="bottom"/>
            <w:tcBorders>
              <w:right w:val="single" w:sz="8" w:color="auto"/>
            </w:tcBorders>
          </w:tcPr>
          <w:p>
            <w:pPr>
              <w:jc w:val="center"/>
              <w:ind w:left="281"/>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2.4%</w:t>
            </w:r>
          </w:p>
        </w:tc>
        <w:tc>
          <w:tcPr>
            <w:tcW w:w="0" w:type="dxa"/>
            <w:vAlign w:val="bottom"/>
          </w:tcPr>
          <w:p>
            <w:pPr>
              <w:spacing w:after="0"/>
              <w:rPr>
                <w:sz w:val="1"/>
                <w:szCs w:val="1"/>
                <w:color w:val="auto"/>
              </w:rPr>
            </w:pPr>
          </w:p>
        </w:tc>
      </w:tr>
      <w:tr>
        <w:trPr>
          <w:trHeight w:val="151"/>
        </w:trPr>
        <w:tc>
          <w:tcPr>
            <w:tcW w:w="4780" w:type="dxa"/>
            <w:vAlign w:val="bottom"/>
            <w:tcBorders>
              <w:left w:val="single" w:sz="8" w:color="auto"/>
              <w:right w:val="single" w:sz="8" w:color="auto"/>
            </w:tcBorders>
            <w:gridSpan w:val="3"/>
          </w:tcPr>
          <w:p>
            <w:pPr>
              <w:ind w:left="160"/>
              <w:spacing w:after="0"/>
              <w:rPr>
                <w:sz w:val="20"/>
                <w:szCs w:val="20"/>
                <w:color w:val="auto"/>
              </w:rPr>
            </w:pPr>
            <w:r>
              <w:rPr>
                <w:rFonts w:ascii="Calibri" w:cs="Calibri" w:eastAsia="Calibri" w:hAnsi="Calibri"/>
                <w:sz w:val="11"/>
                <w:szCs w:val="11"/>
                <w:color w:val="auto"/>
              </w:rPr>
              <w:t>Retained earnings</w:t>
            </w:r>
          </w:p>
        </w:tc>
        <w:tc>
          <w:tcPr>
            <w:tcW w:w="1060" w:type="dxa"/>
            <w:vAlign w:val="bottom"/>
          </w:tcPr>
          <w:p>
            <w:pPr>
              <w:jc w:val="center"/>
              <w:ind w:left="60"/>
              <w:spacing w:after="0"/>
              <w:rPr>
                <w:sz w:val="20"/>
                <w:szCs w:val="20"/>
                <w:color w:val="auto"/>
              </w:rPr>
            </w:pPr>
            <w:r>
              <w:rPr>
                <w:rFonts w:ascii="Calibri" w:cs="Calibri" w:eastAsia="Calibri" w:hAnsi="Calibri"/>
                <w:sz w:val="11"/>
                <w:szCs w:val="11"/>
                <w:color w:val="auto"/>
              </w:rPr>
              <w:t>6,058,923</w:t>
            </w:r>
          </w:p>
        </w:tc>
        <w:tc>
          <w:tcPr>
            <w:tcW w:w="1360" w:type="dxa"/>
            <w:vAlign w:val="bottom"/>
          </w:tcPr>
          <w:p>
            <w:pPr>
              <w:jc w:val="center"/>
              <w:ind w:left="201"/>
              <w:spacing w:after="0"/>
              <w:rPr>
                <w:sz w:val="20"/>
                <w:szCs w:val="20"/>
                <w:color w:val="auto"/>
              </w:rPr>
            </w:pPr>
            <w:r>
              <w:rPr>
                <w:rFonts w:ascii="Calibri" w:cs="Calibri" w:eastAsia="Calibri" w:hAnsi="Calibri"/>
                <w:sz w:val="11"/>
                <w:szCs w:val="11"/>
                <w:color w:val="auto"/>
              </w:rPr>
              <w:t>6,076,551</w:t>
            </w:r>
          </w:p>
        </w:tc>
        <w:tc>
          <w:tcPr>
            <w:tcW w:w="1200" w:type="dxa"/>
            <w:vAlign w:val="bottom"/>
          </w:tcPr>
          <w:p>
            <w:pPr>
              <w:jc w:val="center"/>
              <w:ind w:left="241"/>
              <w:spacing w:after="0"/>
              <w:rPr>
                <w:sz w:val="20"/>
                <w:szCs w:val="20"/>
                <w:color w:val="auto"/>
              </w:rPr>
            </w:pPr>
            <w:r>
              <w:rPr>
                <w:rFonts w:ascii="Calibri" w:cs="Calibri" w:eastAsia="Calibri" w:hAnsi="Calibri"/>
                <w:sz w:val="11"/>
                <w:szCs w:val="11"/>
                <w:color w:val="auto"/>
              </w:rPr>
              <w:t>7,345,245</w:t>
            </w:r>
          </w:p>
        </w:tc>
        <w:tc>
          <w:tcPr>
            <w:tcW w:w="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60" w:type="dxa"/>
            <w:vAlign w:val="bottom"/>
          </w:tcPr>
          <w:p>
            <w:pPr>
              <w:jc w:val="center"/>
              <w:ind w:left="281"/>
              <w:spacing w:after="0"/>
              <w:rPr>
                <w:sz w:val="20"/>
                <w:szCs w:val="20"/>
                <w:color w:val="auto"/>
              </w:rPr>
            </w:pPr>
            <w:r>
              <w:rPr>
                <w:rFonts w:ascii="Calibri" w:cs="Calibri" w:eastAsia="Calibri" w:hAnsi="Calibri"/>
                <w:sz w:val="11"/>
                <w:szCs w:val="11"/>
                <w:color w:val="auto"/>
              </w:rPr>
              <w:t>20.9%</w:t>
            </w:r>
          </w:p>
        </w:tc>
        <w:tc>
          <w:tcPr>
            <w:tcW w:w="1400" w:type="dxa"/>
            <w:vAlign w:val="bottom"/>
            <w:tcBorders>
              <w:right w:val="single" w:sz="8" w:color="auto"/>
            </w:tcBorders>
          </w:tcPr>
          <w:p>
            <w:pPr>
              <w:jc w:val="center"/>
              <w:ind w:left="261"/>
              <w:spacing w:after="0"/>
              <w:rPr>
                <w:sz w:val="20"/>
                <w:szCs w:val="20"/>
                <w:color w:val="auto"/>
              </w:rPr>
            </w:pPr>
            <w:r>
              <w:rPr>
                <w:rFonts w:ascii="Calibri" w:cs="Calibri" w:eastAsia="Calibri" w:hAnsi="Calibri"/>
                <w:sz w:val="11"/>
                <w:szCs w:val="11"/>
                <w:color w:val="auto"/>
              </w:rPr>
              <w:t>21.2%</w:t>
            </w:r>
          </w:p>
        </w:tc>
        <w:tc>
          <w:tcPr>
            <w:tcW w:w="0" w:type="dxa"/>
            <w:vAlign w:val="bottom"/>
          </w:tcPr>
          <w:p>
            <w:pPr>
              <w:spacing w:after="0"/>
              <w:rPr>
                <w:sz w:val="1"/>
                <w:szCs w:val="1"/>
                <w:color w:val="auto"/>
              </w:rPr>
            </w:pPr>
          </w:p>
        </w:tc>
      </w:tr>
      <w:tr>
        <w:trPr>
          <w:trHeight w:val="174"/>
        </w:trPr>
        <w:tc>
          <w:tcPr>
            <w:tcW w:w="4780" w:type="dxa"/>
            <w:vAlign w:val="bottom"/>
            <w:tcBorders>
              <w:left w:val="single" w:sz="8" w:color="auto"/>
              <w:right w:val="single" w:sz="8" w:color="auto"/>
            </w:tcBorders>
            <w:gridSpan w:val="3"/>
          </w:tcPr>
          <w:p>
            <w:pPr>
              <w:ind w:left="160"/>
              <w:spacing w:after="0"/>
              <w:rPr>
                <w:sz w:val="20"/>
                <w:szCs w:val="20"/>
                <w:color w:val="auto"/>
              </w:rPr>
            </w:pPr>
            <w:r>
              <w:rPr>
                <w:rFonts w:ascii="Calibri" w:cs="Calibri" w:eastAsia="Calibri" w:hAnsi="Calibri"/>
                <w:sz w:val="13"/>
                <w:szCs w:val="13"/>
                <w:color w:val="auto"/>
              </w:rPr>
              <w:t>Unrealized gains (losses)</w:t>
            </w:r>
          </w:p>
        </w:tc>
        <w:tc>
          <w:tcPr>
            <w:tcW w:w="1060" w:type="dxa"/>
            <w:vAlign w:val="bottom"/>
          </w:tcPr>
          <w:p>
            <w:pPr>
              <w:jc w:val="center"/>
              <w:ind w:left="80"/>
              <w:spacing w:after="0"/>
              <w:rPr>
                <w:sz w:val="20"/>
                <w:szCs w:val="20"/>
                <w:color w:val="auto"/>
              </w:rPr>
            </w:pPr>
            <w:r>
              <w:rPr>
                <w:rFonts w:ascii="Calibri" w:cs="Calibri" w:eastAsia="Calibri" w:hAnsi="Calibri"/>
                <w:sz w:val="11"/>
                <w:szCs w:val="11"/>
                <w:color w:val="auto"/>
              </w:rPr>
              <w:t>(109,202)</w:t>
            </w:r>
          </w:p>
        </w:tc>
        <w:tc>
          <w:tcPr>
            <w:tcW w:w="1360" w:type="dxa"/>
            <w:vAlign w:val="bottom"/>
          </w:tcPr>
          <w:p>
            <w:pPr>
              <w:jc w:val="center"/>
              <w:ind w:left="181"/>
              <w:spacing w:after="0"/>
              <w:rPr>
                <w:sz w:val="20"/>
                <w:szCs w:val="20"/>
                <w:color w:val="auto"/>
              </w:rPr>
            </w:pPr>
            <w:r>
              <w:rPr>
                <w:rFonts w:ascii="Calibri" w:cs="Calibri" w:eastAsia="Calibri" w:hAnsi="Calibri"/>
                <w:sz w:val="11"/>
                <w:szCs w:val="11"/>
                <w:color w:val="auto"/>
                <w:w w:val="99"/>
              </w:rPr>
              <w:t>222,730</w:t>
            </w:r>
          </w:p>
        </w:tc>
        <w:tc>
          <w:tcPr>
            <w:tcW w:w="1200" w:type="dxa"/>
            <w:vAlign w:val="bottom"/>
          </w:tcPr>
          <w:p>
            <w:pPr>
              <w:jc w:val="center"/>
              <w:ind w:left="241"/>
              <w:spacing w:after="0"/>
              <w:rPr>
                <w:sz w:val="20"/>
                <w:szCs w:val="20"/>
                <w:color w:val="auto"/>
              </w:rPr>
            </w:pPr>
            <w:r>
              <w:rPr>
                <w:rFonts w:ascii="Calibri" w:cs="Calibri" w:eastAsia="Calibri" w:hAnsi="Calibri"/>
                <w:sz w:val="11"/>
                <w:szCs w:val="11"/>
                <w:color w:val="auto"/>
                <w:w w:val="97"/>
              </w:rPr>
              <w:t>81,399</w:t>
            </w: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660" w:type="dxa"/>
            <w:vAlign w:val="bottom"/>
          </w:tcPr>
          <w:p>
            <w:pPr>
              <w:jc w:val="center"/>
              <w:ind w:left="281"/>
              <w:spacing w:after="0"/>
              <w:rPr>
                <w:sz w:val="20"/>
                <w:szCs w:val="20"/>
                <w:color w:val="auto"/>
              </w:rPr>
            </w:pPr>
            <w:r>
              <w:rPr>
                <w:rFonts w:ascii="Calibri" w:cs="Calibri" w:eastAsia="Calibri" w:hAnsi="Calibri"/>
                <w:sz w:val="11"/>
                <w:szCs w:val="11"/>
                <w:color w:val="auto"/>
              </w:rPr>
              <w:t>-63.5%</w:t>
            </w:r>
          </w:p>
        </w:tc>
        <w:tc>
          <w:tcPr>
            <w:tcW w:w="1400" w:type="dxa"/>
            <w:vAlign w:val="bottom"/>
            <w:tcBorders>
              <w:right w:val="single" w:sz="8" w:color="auto"/>
            </w:tcBorders>
          </w:tcPr>
          <w:p>
            <w:pPr>
              <w:jc w:val="center"/>
              <w:ind w:left="281"/>
              <w:spacing w:after="0"/>
              <w:rPr>
                <w:sz w:val="20"/>
                <w:szCs w:val="20"/>
                <w:color w:val="auto"/>
              </w:rPr>
            </w:pPr>
            <w:r>
              <w:rPr>
                <w:rFonts w:ascii="Calibri" w:cs="Calibri" w:eastAsia="Calibri" w:hAnsi="Calibri"/>
                <w:sz w:val="11"/>
                <w:szCs w:val="11"/>
                <w:color w:val="auto"/>
              </w:rPr>
              <w:t>-174.5%</w:t>
            </w:r>
          </w:p>
        </w:tc>
        <w:tc>
          <w:tcPr>
            <w:tcW w:w="0" w:type="dxa"/>
            <w:vAlign w:val="bottom"/>
          </w:tcPr>
          <w:p>
            <w:pPr>
              <w:spacing w:after="0"/>
              <w:rPr>
                <w:sz w:val="1"/>
                <w:szCs w:val="1"/>
                <w:color w:val="auto"/>
              </w:rPr>
            </w:pPr>
          </w:p>
        </w:tc>
      </w:tr>
      <w:tr>
        <w:trPr>
          <w:trHeight w:val="170"/>
        </w:trPr>
        <w:tc>
          <w:tcPr>
            <w:tcW w:w="4780" w:type="dxa"/>
            <w:vAlign w:val="bottom"/>
            <w:tcBorders>
              <w:left w:val="single" w:sz="8" w:color="auto"/>
              <w:right w:val="single" w:sz="8" w:color="auto"/>
            </w:tcBorders>
            <w:gridSpan w:val="3"/>
          </w:tcPr>
          <w:p>
            <w:pPr>
              <w:ind w:left="160"/>
              <w:spacing w:after="0"/>
              <w:rPr>
                <w:sz w:val="20"/>
                <w:szCs w:val="20"/>
                <w:color w:val="auto"/>
              </w:rPr>
            </w:pPr>
            <w:r>
              <w:rPr>
                <w:rFonts w:ascii="Calibri" w:cs="Calibri" w:eastAsia="Calibri" w:hAnsi="Calibri"/>
                <w:sz w:val="13"/>
                <w:szCs w:val="13"/>
                <w:color w:val="auto"/>
              </w:rPr>
              <w:t>Goodwill and intangibles</w:t>
            </w:r>
          </w:p>
        </w:tc>
        <w:tc>
          <w:tcPr>
            <w:tcW w:w="1060" w:type="dxa"/>
            <w:vAlign w:val="bottom"/>
          </w:tcPr>
          <w:p>
            <w:pPr>
              <w:jc w:val="center"/>
              <w:ind w:left="80"/>
              <w:spacing w:after="0"/>
              <w:rPr>
                <w:sz w:val="20"/>
                <w:szCs w:val="20"/>
                <w:color w:val="auto"/>
              </w:rPr>
            </w:pPr>
            <w:r>
              <w:rPr>
                <w:rFonts w:ascii="Calibri" w:cs="Calibri" w:eastAsia="Calibri" w:hAnsi="Calibri"/>
                <w:sz w:val="11"/>
                <w:szCs w:val="11"/>
                <w:color w:val="auto"/>
              </w:rPr>
              <w:t>(1,670,116)</w:t>
            </w:r>
          </w:p>
        </w:tc>
        <w:tc>
          <w:tcPr>
            <w:tcW w:w="1360" w:type="dxa"/>
            <w:vAlign w:val="bottom"/>
          </w:tcPr>
          <w:p>
            <w:pPr>
              <w:jc w:val="center"/>
              <w:ind w:left="181"/>
              <w:spacing w:after="0"/>
              <w:rPr>
                <w:sz w:val="20"/>
                <w:szCs w:val="20"/>
                <w:color w:val="auto"/>
              </w:rPr>
            </w:pPr>
            <w:r>
              <w:rPr>
                <w:rFonts w:ascii="Calibri" w:cs="Calibri" w:eastAsia="Calibri" w:hAnsi="Calibri"/>
                <w:sz w:val="11"/>
                <w:szCs w:val="11"/>
                <w:color w:val="auto"/>
              </w:rPr>
              <w:t>(1,599,568)</w:t>
            </w:r>
          </w:p>
        </w:tc>
        <w:tc>
          <w:tcPr>
            <w:tcW w:w="1200" w:type="dxa"/>
            <w:vAlign w:val="bottom"/>
          </w:tcPr>
          <w:p>
            <w:pPr>
              <w:jc w:val="center"/>
              <w:ind w:left="241"/>
              <w:spacing w:after="0"/>
              <w:rPr>
                <w:sz w:val="20"/>
                <w:szCs w:val="20"/>
                <w:color w:val="auto"/>
              </w:rPr>
            </w:pPr>
            <w:r>
              <w:rPr>
                <w:rFonts w:ascii="Calibri" w:cs="Calibri" w:eastAsia="Calibri" w:hAnsi="Calibri"/>
                <w:sz w:val="11"/>
                <w:szCs w:val="11"/>
                <w:color w:val="auto"/>
              </w:rPr>
              <w:t>(1,741,267)</w:t>
            </w:r>
          </w:p>
        </w:tc>
        <w:tc>
          <w:tcPr>
            <w:tcW w:w="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60" w:type="dxa"/>
            <w:vAlign w:val="bottom"/>
          </w:tcPr>
          <w:p>
            <w:pPr>
              <w:jc w:val="center"/>
              <w:ind w:left="281"/>
              <w:spacing w:after="0"/>
              <w:rPr>
                <w:sz w:val="20"/>
                <w:szCs w:val="20"/>
                <w:color w:val="auto"/>
              </w:rPr>
            </w:pPr>
            <w:r>
              <w:rPr>
                <w:rFonts w:ascii="Calibri" w:cs="Calibri" w:eastAsia="Calibri" w:hAnsi="Calibri"/>
                <w:sz w:val="11"/>
                <w:szCs w:val="11"/>
                <w:color w:val="auto"/>
              </w:rPr>
              <w:t>8.9%</w:t>
            </w:r>
          </w:p>
        </w:tc>
        <w:tc>
          <w:tcPr>
            <w:tcW w:w="1400" w:type="dxa"/>
            <w:vAlign w:val="bottom"/>
            <w:tcBorders>
              <w:right w:val="single" w:sz="8" w:color="auto"/>
            </w:tcBorders>
          </w:tcPr>
          <w:p>
            <w:pPr>
              <w:jc w:val="center"/>
              <w:ind w:left="281"/>
              <w:spacing w:after="0"/>
              <w:rPr>
                <w:sz w:val="20"/>
                <w:szCs w:val="20"/>
                <w:color w:val="auto"/>
              </w:rPr>
            </w:pPr>
            <w:r>
              <w:rPr>
                <w:rFonts w:ascii="Calibri" w:cs="Calibri" w:eastAsia="Calibri" w:hAnsi="Calibri"/>
                <w:sz w:val="11"/>
                <w:szCs w:val="11"/>
                <w:color w:val="auto"/>
              </w:rPr>
              <w:t>4.3%</w:t>
            </w:r>
          </w:p>
        </w:tc>
        <w:tc>
          <w:tcPr>
            <w:tcW w:w="0" w:type="dxa"/>
            <w:vAlign w:val="bottom"/>
          </w:tcPr>
          <w:p>
            <w:pPr>
              <w:spacing w:after="0"/>
              <w:rPr>
                <w:sz w:val="1"/>
                <w:szCs w:val="1"/>
                <w:color w:val="auto"/>
              </w:rPr>
            </w:pPr>
          </w:p>
        </w:tc>
      </w:tr>
      <w:tr>
        <w:trPr>
          <w:trHeight w:val="184"/>
        </w:trPr>
        <w:tc>
          <w:tcPr>
            <w:tcW w:w="47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Calibri" w:cs="Calibri" w:eastAsia="Calibri" w:hAnsi="Calibri"/>
                <w:sz w:val="13"/>
                <w:szCs w:val="13"/>
                <w:color w:val="auto"/>
              </w:rPr>
              <w:t>Investments in subsidiaries</w:t>
            </w:r>
          </w:p>
        </w:tc>
        <w:tc>
          <w:tcPr>
            <w:tcW w:w="1060" w:type="dxa"/>
            <w:vAlign w:val="bottom"/>
            <w:tcBorders>
              <w:bottom w:val="single" w:sz="8" w:color="auto"/>
            </w:tcBorders>
          </w:tcPr>
          <w:p>
            <w:pPr>
              <w:jc w:val="center"/>
              <w:ind w:left="80"/>
              <w:spacing w:after="0"/>
              <w:rPr>
                <w:sz w:val="20"/>
                <w:szCs w:val="20"/>
                <w:color w:val="auto"/>
              </w:rPr>
            </w:pPr>
            <w:r>
              <w:rPr>
                <w:rFonts w:ascii="Calibri" w:cs="Calibri" w:eastAsia="Calibri" w:hAnsi="Calibri"/>
                <w:sz w:val="11"/>
                <w:szCs w:val="11"/>
                <w:color w:val="auto"/>
              </w:rPr>
              <w:t>(2,917,670)</w:t>
            </w:r>
          </w:p>
        </w:tc>
        <w:tc>
          <w:tcPr>
            <w:tcW w:w="1360" w:type="dxa"/>
            <w:vAlign w:val="bottom"/>
            <w:tcBorders>
              <w:bottom w:val="single" w:sz="8" w:color="auto"/>
            </w:tcBorders>
          </w:tcPr>
          <w:p>
            <w:pPr>
              <w:jc w:val="center"/>
              <w:ind w:left="181"/>
              <w:spacing w:after="0"/>
              <w:rPr>
                <w:sz w:val="20"/>
                <w:szCs w:val="20"/>
                <w:color w:val="auto"/>
              </w:rPr>
            </w:pPr>
            <w:r>
              <w:rPr>
                <w:rFonts w:ascii="Calibri" w:cs="Calibri" w:eastAsia="Calibri" w:hAnsi="Calibri"/>
                <w:sz w:val="11"/>
                <w:szCs w:val="11"/>
                <w:color w:val="auto"/>
              </w:rPr>
              <w:t>(2,669,334)</w:t>
            </w:r>
          </w:p>
        </w:tc>
        <w:tc>
          <w:tcPr>
            <w:tcW w:w="1200" w:type="dxa"/>
            <w:vAlign w:val="bottom"/>
            <w:tcBorders>
              <w:bottom w:val="single" w:sz="8" w:color="auto"/>
            </w:tcBorders>
          </w:tcPr>
          <w:p>
            <w:pPr>
              <w:jc w:val="center"/>
              <w:ind w:left="241"/>
              <w:spacing w:after="0"/>
              <w:rPr>
                <w:sz w:val="20"/>
                <w:szCs w:val="20"/>
                <w:color w:val="auto"/>
              </w:rPr>
            </w:pPr>
            <w:r>
              <w:rPr>
                <w:rFonts w:ascii="Calibri" w:cs="Calibri" w:eastAsia="Calibri" w:hAnsi="Calibri"/>
                <w:sz w:val="11"/>
                <w:szCs w:val="11"/>
                <w:color w:val="auto"/>
              </w:rPr>
              <w:t>(2,598,905)</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2.6%</w:t>
            </w:r>
          </w:p>
        </w:tc>
        <w:tc>
          <w:tcPr>
            <w:tcW w:w="1400" w:type="dxa"/>
            <w:vAlign w:val="bottom"/>
            <w:tcBorders>
              <w:bottom w:val="single" w:sz="8" w:color="auto"/>
              <w:right w:val="single" w:sz="8" w:color="auto"/>
            </w:tcBorders>
          </w:tcPr>
          <w:p>
            <w:pPr>
              <w:jc w:val="center"/>
              <w:ind w:left="261"/>
              <w:spacing w:after="0"/>
              <w:rPr>
                <w:sz w:val="20"/>
                <w:szCs w:val="20"/>
                <w:color w:val="auto"/>
              </w:rPr>
            </w:pPr>
            <w:r>
              <w:rPr>
                <w:rFonts w:ascii="Calibri" w:cs="Calibri" w:eastAsia="Calibri" w:hAnsi="Calibri"/>
                <w:sz w:val="11"/>
                <w:szCs w:val="11"/>
                <w:color w:val="auto"/>
              </w:rPr>
              <w:t>-10.9%</w:t>
            </w:r>
          </w:p>
        </w:tc>
        <w:tc>
          <w:tcPr>
            <w:tcW w:w="0" w:type="dxa"/>
            <w:vAlign w:val="bottom"/>
          </w:tcPr>
          <w:p>
            <w:pPr>
              <w:spacing w:after="0"/>
              <w:rPr>
                <w:sz w:val="1"/>
                <w:szCs w:val="1"/>
                <w:color w:val="auto"/>
              </w:rPr>
            </w:pPr>
          </w:p>
        </w:tc>
      </w:tr>
      <w:tr>
        <w:trPr>
          <w:trHeight w:val="146"/>
        </w:trPr>
        <w:tc>
          <w:tcPr>
            <w:tcW w:w="4780" w:type="dxa"/>
            <w:vAlign w:val="bottom"/>
            <w:tcBorders>
              <w:left w:val="single" w:sz="8" w:color="auto"/>
              <w:right w:val="single" w:sz="8" w:color="auto"/>
            </w:tcBorders>
            <w:gridSpan w:val="3"/>
          </w:tcPr>
          <w:p>
            <w:pPr>
              <w:spacing w:after="0"/>
              <w:rPr>
                <w:sz w:val="20"/>
                <w:szCs w:val="20"/>
                <w:color w:val="auto"/>
              </w:rPr>
            </w:pPr>
            <w:r>
              <w:rPr>
                <w:rFonts w:ascii="Calibri" w:cs="Calibri" w:eastAsia="Calibri" w:hAnsi="Calibri"/>
                <w:sz w:val="11"/>
                <w:szCs w:val="11"/>
                <w:b w:val="1"/>
                <w:bCs w:val="1"/>
                <w:color w:val="auto"/>
              </w:rPr>
              <w:t>Total</w:t>
            </w:r>
          </w:p>
        </w:tc>
        <w:tc>
          <w:tcPr>
            <w:tcW w:w="1060" w:type="dxa"/>
            <w:vAlign w:val="bottom"/>
          </w:tcPr>
          <w:p>
            <w:pPr>
              <w:jc w:val="center"/>
              <w:ind w:left="80"/>
              <w:spacing w:after="0"/>
              <w:rPr>
                <w:sz w:val="20"/>
                <w:szCs w:val="20"/>
                <w:color w:val="auto"/>
              </w:rPr>
            </w:pPr>
            <w:r>
              <w:rPr>
                <w:rFonts w:ascii="Calibri" w:cs="Calibri" w:eastAsia="Calibri" w:hAnsi="Calibri"/>
                <w:sz w:val="11"/>
                <w:szCs w:val="11"/>
                <w:b w:val="1"/>
                <w:bCs w:val="1"/>
                <w:color w:val="auto"/>
              </w:rPr>
              <w:t>20,413,787</w:t>
            </w:r>
          </w:p>
        </w:tc>
        <w:tc>
          <w:tcPr>
            <w:tcW w:w="1360" w:type="dxa"/>
            <w:vAlign w:val="bottom"/>
          </w:tcPr>
          <w:p>
            <w:pPr>
              <w:jc w:val="center"/>
              <w:ind w:left="181"/>
              <w:spacing w:after="0"/>
              <w:rPr>
                <w:sz w:val="20"/>
                <w:szCs w:val="20"/>
                <w:color w:val="auto"/>
              </w:rPr>
            </w:pPr>
            <w:r>
              <w:rPr>
                <w:rFonts w:ascii="Calibri" w:cs="Calibri" w:eastAsia="Calibri" w:hAnsi="Calibri"/>
                <w:sz w:val="11"/>
                <w:szCs w:val="11"/>
                <w:b w:val="1"/>
                <w:bCs w:val="1"/>
                <w:color w:val="auto"/>
              </w:rPr>
              <w:t>21,082,641</w:t>
            </w:r>
          </w:p>
        </w:tc>
        <w:tc>
          <w:tcPr>
            <w:tcW w:w="1200" w:type="dxa"/>
            <w:vAlign w:val="bottom"/>
          </w:tcPr>
          <w:p>
            <w:pPr>
              <w:jc w:val="center"/>
              <w:ind w:left="261"/>
              <w:spacing w:after="0"/>
              <w:rPr>
                <w:sz w:val="20"/>
                <w:szCs w:val="20"/>
                <w:color w:val="auto"/>
              </w:rPr>
            </w:pPr>
            <w:r>
              <w:rPr>
                <w:rFonts w:ascii="Calibri" w:cs="Calibri" w:eastAsia="Calibri" w:hAnsi="Calibri"/>
                <w:sz w:val="11"/>
                <w:szCs w:val="11"/>
                <w:b w:val="1"/>
                <w:bCs w:val="1"/>
                <w:color w:val="auto"/>
              </w:rPr>
              <w:t>21,671,706</w:t>
            </w:r>
          </w:p>
        </w:tc>
        <w:tc>
          <w:tcPr>
            <w:tcW w:w="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60" w:type="dxa"/>
            <w:vAlign w:val="bottom"/>
          </w:tcPr>
          <w:p>
            <w:pPr>
              <w:jc w:val="center"/>
              <w:ind w:left="281"/>
              <w:spacing w:after="0"/>
              <w:rPr>
                <w:sz w:val="20"/>
                <w:szCs w:val="20"/>
                <w:color w:val="auto"/>
              </w:rPr>
            </w:pPr>
            <w:r>
              <w:rPr>
                <w:rFonts w:ascii="Calibri" w:cs="Calibri" w:eastAsia="Calibri" w:hAnsi="Calibri"/>
                <w:sz w:val="11"/>
                <w:szCs w:val="11"/>
                <w:b w:val="1"/>
                <w:bCs w:val="1"/>
                <w:color w:val="auto"/>
              </w:rPr>
              <w:t>2.8%</w:t>
            </w:r>
          </w:p>
        </w:tc>
        <w:tc>
          <w:tcPr>
            <w:tcW w:w="1400" w:type="dxa"/>
            <w:vAlign w:val="bottom"/>
            <w:tcBorders>
              <w:right w:val="single" w:sz="8" w:color="auto"/>
            </w:tcBorders>
          </w:tcPr>
          <w:p>
            <w:pPr>
              <w:jc w:val="center"/>
              <w:ind w:left="281"/>
              <w:spacing w:after="0"/>
              <w:rPr>
                <w:sz w:val="20"/>
                <w:szCs w:val="20"/>
                <w:color w:val="auto"/>
              </w:rPr>
            </w:pPr>
            <w:r>
              <w:rPr>
                <w:rFonts w:ascii="Calibri" w:cs="Calibri" w:eastAsia="Calibri" w:hAnsi="Calibri"/>
                <w:sz w:val="11"/>
                <w:szCs w:val="11"/>
                <w:b w:val="1"/>
                <w:bCs w:val="1"/>
                <w:color w:val="auto"/>
                <w:w w:val="99"/>
              </w:rPr>
              <w:t>6.2%</w:t>
            </w:r>
          </w:p>
        </w:tc>
        <w:tc>
          <w:tcPr>
            <w:tcW w:w="0" w:type="dxa"/>
            <w:vAlign w:val="bottom"/>
          </w:tcPr>
          <w:p>
            <w:pPr>
              <w:spacing w:after="0"/>
              <w:rPr>
                <w:sz w:val="1"/>
                <w:szCs w:val="1"/>
                <w:color w:val="auto"/>
              </w:rPr>
            </w:pPr>
          </w:p>
        </w:tc>
      </w:tr>
      <w:tr>
        <w:trPr>
          <w:trHeight w:val="24"/>
        </w:trPr>
        <w:tc>
          <w:tcPr>
            <w:tcW w:w="45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780" w:type="dxa"/>
            <w:vAlign w:val="bottom"/>
            <w:tcBorders>
              <w:left w:val="single" w:sz="8" w:color="auto"/>
              <w:right w:val="single" w:sz="8" w:color="auto"/>
            </w:tcBorders>
            <w:gridSpan w:val="3"/>
          </w:tcPr>
          <w:p>
            <w:pPr>
              <w:spacing w:after="0" w:line="125" w:lineRule="exact"/>
              <w:rPr>
                <w:sz w:val="20"/>
                <w:szCs w:val="20"/>
                <w:color w:val="auto"/>
              </w:rPr>
            </w:pPr>
            <w:r>
              <w:rPr>
                <w:rFonts w:ascii="Calibri" w:cs="Calibri" w:eastAsia="Calibri" w:hAnsi="Calibri"/>
                <w:sz w:val="11"/>
                <w:szCs w:val="11"/>
                <w:b w:val="1"/>
                <w:bCs w:val="1"/>
                <w:color w:val="auto"/>
              </w:rPr>
              <w:t>Adjusted RWAs IFRS</w:t>
            </w:r>
          </w:p>
        </w:tc>
        <w:tc>
          <w:tcPr>
            <w:tcW w:w="1060" w:type="dxa"/>
            <w:vAlign w:val="bottom"/>
            <w:vMerge w:val="restart"/>
          </w:tcPr>
          <w:p>
            <w:pPr>
              <w:jc w:val="center"/>
              <w:ind w:left="60"/>
              <w:spacing w:after="0"/>
              <w:rPr>
                <w:sz w:val="20"/>
                <w:szCs w:val="20"/>
                <w:color w:val="auto"/>
              </w:rPr>
            </w:pPr>
            <w:r>
              <w:rPr>
                <w:rFonts w:ascii="Calibri" w:cs="Calibri" w:eastAsia="Calibri" w:hAnsi="Calibri"/>
                <w:sz w:val="11"/>
                <w:szCs w:val="11"/>
                <w:b w:val="1"/>
                <w:bCs w:val="1"/>
                <w:color w:val="auto"/>
              </w:rPr>
              <w:t>154,627,042</w:t>
            </w:r>
          </w:p>
        </w:tc>
        <w:tc>
          <w:tcPr>
            <w:tcW w:w="1360" w:type="dxa"/>
            <w:vAlign w:val="bottom"/>
            <w:vMerge w:val="restart"/>
          </w:tcPr>
          <w:p>
            <w:pPr>
              <w:jc w:val="center"/>
              <w:ind w:left="161"/>
              <w:spacing w:after="0"/>
              <w:rPr>
                <w:sz w:val="20"/>
                <w:szCs w:val="20"/>
                <w:color w:val="auto"/>
              </w:rPr>
            </w:pPr>
            <w:r>
              <w:rPr>
                <w:rFonts w:ascii="Calibri" w:cs="Calibri" w:eastAsia="Calibri" w:hAnsi="Calibri"/>
                <w:sz w:val="11"/>
                <w:szCs w:val="11"/>
                <w:b w:val="1"/>
                <w:bCs w:val="1"/>
                <w:color w:val="auto"/>
              </w:rPr>
              <w:t>157,046,547</w:t>
            </w:r>
          </w:p>
        </w:tc>
        <w:tc>
          <w:tcPr>
            <w:tcW w:w="1200" w:type="dxa"/>
            <w:vAlign w:val="bottom"/>
            <w:vMerge w:val="restart"/>
          </w:tcPr>
          <w:p>
            <w:pPr>
              <w:jc w:val="center"/>
              <w:ind w:left="221"/>
              <w:spacing w:after="0"/>
              <w:rPr>
                <w:sz w:val="20"/>
                <w:szCs w:val="20"/>
                <w:color w:val="auto"/>
              </w:rPr>
            </w:pPr>
            <w:r>
              <w:rPr>
                <w:rFonts w:ascii="Calibri" w:cs="Calibri" w:eastAsia="Calibri" w:hAnsi="Calibri"/>
                <w:sz w:val="11"/>
                <w:szCs w:val="11"/>
                <w:b w:val="1"/>
                <w:bCs w:val="1"/>
                <w:color w:val="auto"/>
              </w:rPr>
              <w:t>162,676,386</w:t>
            </w:r>
          </w:p>
        </w:tc>
        <w:tc>
          <w:tcPr>
            <w:tcW w:w="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660" w:type="dxa"/>
            <w:vAlign w:val="bottom"/>
            <w:vMerge w:val="restart"/>
          </w:tcPr>
          <w:p>
            <w:pPr>
              <w:jc w:val="right"/>
              <w:ind w:right="1"/>
              <w:spacing w:after="0"/>
              <w:rPr>
                <w:sz w:val="20"/>
                <w:szCs w:val="20"/>
                <w:color w:val="auto"/>
              </w:rPr>
            </w:pPr>
            <w:r>
              <w:rPr>
                <w:rFonts w:ascii="Calibri" w:cs="Calibri" w:eastAsia="Calibri" w:hAnsi="Calibri"/>
                <w:sz w:val="11"/>
                <w:szCs w:val="11"/>
                <w:b w:val="1"/>
                <w:bCs w:val="1"/>
                <w:color w:val="auto"/>
              </w:rPr>
              <w:t>3.6%</w:t>
            </w:r>
          </w:p>
        </w:tc>
        <w:tc>
          <w:tcPr>
            <w:tcW w:w="1400" w:type="dxa"/>
            <w:vAlign w:val="bottom"/>
            <w:tcBorders>
              <w:right w:val="single" w:sz="8" w:color="auto"/>
            </w:tcBorders>
            <w:vMerge w:val="restart"/>
          </w:tcPr>
          <w:p>
            <w:pPr>
              <w:jc w:val="right"/>
              <w:ind w:right="381"/>
              <w:spacing w:after="0"/>
              <w:rPr>
                <w:sz w:val="20"/>
                <w:szCs w:val="20"/>
                <w:color w:val="auto"/>
              </w:rPr>
            </w:pPr>
            <w:r>
              <w:rPr>
                <w:rFonts w:ascii="Calibri" w:cs="Calibri" w:eastAsia="Calibri" w:hAnsi="Calibri"/>
                <w:sz w:val="11"/>
                <w:szCs w:val="11"/>
                <w:b w:val="1"/>
                <w:bCs w:val="1"/>
                <w:color w:val="auto"/>
              </w:rPr>
              <w:t>3.5%</w:t>
            </w:r>
          </w:p>
        </w:tc>
        <w:tc>
          <w:tcPr>
            <w:tcW w:w="0" w:type="dxa"/>
            <w:vAlign w:val="bottom"/>
          </w:tcPr>
          <w:p>
            <w:pPr>
              <w:spacing w:after="0"/>
              <w:rPr>
                <w:sz w:val="1"/>
                <w:szCs w:val="1"/>
                <w:color w:val="auto"/>
              </w:rPr>
            </w:pPr>
          </w:p>
        </w:tc>
      </w:tr>
      <w:tr>
        <w:trPr>
          <w:trHeight w:val="34"/>
        </w:trPr>
        <w:tc>
          <w:tcPr>
            <w:tcW w:w="45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vMerge w:val="continue"/>
          </w:tcPr>
          <w:p>
            <w:pPr>
              <w:spacing w:after="0"/>
              <w:rPr>
                <w:sz w:val="2"/>
                <w:szCs w:val="2"/>
                <w:color w:val="auto"/>
              </w:rPr>
            </w:pPr>
          </w:p>
        </w:tc>
        <w:tc>
          <w:tcPr>
            <w:tcW w:w="1360" w:type="dxa"/>
            <w:vAlign w:val="bottom"/>
            <w:tcBorders>
              <w:bottom w:val="single" w:sz="8" w:color="auto"/>
            </w:tcBorders>
            <w:vMerge w:val="continue"/>
          </w:tcPr>
          <w:p>
            <w:pPr>
              <w:spacing w:after="0"/>
              <w:rPr>
                <w:sz w:val="2"/>
                <w:szCs w:val="2"/>
                <w:color w:val="auto"/>
              </w:rPr>
            </w:pPr>
          </w:p>
        </w:tc>
        <w:tc>
          <w:tcPr>
            <w:tcW w:w="1200" w:type="dxa"/>
            <w:vAlign w:val="bottom"/>
            <w:tcBorders>
              <w:bottom w:val="single" w:sz="8" w:color="auto"/>
            </w:tcBorders>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140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780" w:type="dxa"/>
            <w:vAlign w:val="bottom"/>
            <w:tcBorders>
              <w:left w:val="single" w:sz="8" w:color="auto"/>
              <w:right w:val="single" w:sz="8" w:color="auto"/>
            </w:tcBorders>
            <w:gridSpan w:val="3"/>
          </w:tcPr>
          <w:p>
            <w:pPr>
              <w:ind w:left="160"/>
              <w:spacing w:after="0" w:line="154" w:lineRule="exact"/>
              <w:rPr>
                <w:sz w:val="20"/>
                <w:szCs w:val="20"/>
                <w:color w:val="auto"/>
              </w:rPr>
            </w:pPr>
            <w:r>
              <w:rPr>
                <w:rFonts w:ascii="Calibri" w:cs="Calibri" w:eastAsia="Calibri" w:hAnsi="Calibri"/>
                <w:sz w:val="13"/>
                <w:szCs w:val="13"/>
                <w:color w:val="auto"/>
              </w:rPr>
              <w:t>Adjusted Credit RWAs IFRS</w:t>
            </w:r>
          </w:p>
        </w:tc>
        <w:tc>
          <w:tcPr>
            <w:tcW w:w="1060" w:type="dxa"/>
            <w:vAlign w:val="bottom"/>
          </w:tcPr>
          <w:p>
            <w:pPr>
              <w:jc w:val="center"/>
              <w:ind w:left="60"/>
              <w:spacing w:after="0"/>
              <w:rPr>
                <w:sz w:val="20"/>
                <w:szCs w:val="20"/>
                <w:color w:val="auto"/>
              </w:rPr>
            </w:pPr>
            <w:r>
              <w:rPr>
                <w:rFonts w:ascii="Calibri" w:cs="Calibri" w:eastAsia="Calibri" w:hAnsi="Calibri"/>
                <w:sz w:val="11"/>
                <w:szCs w:val="11"/>
                <w:color w:val="auto"/>
              </w:rPr>
              <w:t>135,581,058</w:t>
            </w:r>
          </w:p>
        </w:tc>
        <w:tc>
          <w:tcPr>
            <w:tcW w:w="1360" w:type="dxa"/>
            <w:vAlign w:val="bottom"/>
          </w:tcPr>
          <w:p>
            <w:pPr>
              <w:jc w:val="center"/>
              <w:ind w:left="161"/>
              <w:spacing w:after="0"/>
              <w:rPr>
                <w:sz w:val="20"/>
                <w:szCs w:val="20"/>
                <w:color w:val="auto"/>
              </w:rPr>
            </w:pPr>
            <w:r>
              <w:rPr>
                <w:rFonts w:ascii="Calibri" w:cs="Calibri" w:eastAsia="Calibri" w:hAnsi="Calibri"/>
                <w:sz w:val="11"/>
                <w:szCs w:val="11"/>
                <w:color w:val="auto"/>
              </w:rPr>
              <w:t>134,873,654</w:t>
            </w:r>
          </w:p>
        </w:tc>
        <w:tc>
          <w:tcPr>
            <w:tcW w:w="1200" w:type="dxa"/>
            <w:vAlign w:val="bottom"/>
          </w:tcPr>
          <w:p>
            <w:pPr>
              <w:jc w:val="center"/>
              <w:ind w:left="221"/>
              <w:spacing w:after="0"/>
              <w:rPr>
                <w:sz w:val="20"/>
                <w:szCs w:val="20"/>
                <w:color w:val="auto"/>
              </w:rPr>
            </w:pPr>
            <w:r>
              <w:rPr>
                <w:rFonts w:ascii="Calibri" w:cs="Calibri" w:eastAsia="Calibri" w:hAnsi="Calibri"/>
                <w:sz w:val="11"/>
                <w:szCs w:val="11"/>
                <w:color w:val="auto"/>
              </w:rPr>
              <w:t>140,344,978</w:t>
            </w:r>
          </w:p>
        </w:tc>
        <w:tc>
          <w:tcPr>
            <w:tcW w:w="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60" w:type="dxa"/>
            <w:vAlign w:val="bottom"/>
          </w:tcPr>
          <w:p>
            <w:pPr>
              <w:jc w:val="right"/>
              <w:ind w:right="1"/>
              <w:spacing w:after="0"/>
              <w:rPr>
                <w:sz w:val="20"/>
                <w:szCs w:val="20"/>
                <w:color w:val="auto"/>
              </w:rPr>
            </w:pPr>
            <w:r>
              <w:rPr>
                <w:rFonts w:ascii="Calibri" w:cs="Calibri" w:eastAsia="Calibri" w:hAnsi="Calibri"/>
                <w:sz w:val="11"/>
                <w:szCs w:val="11"/>
                <w:color w:val="auto"/>
              </w:rPr>
              <w:t>4.1%</w:t>
            </w:r>
          </w:p>
        </w:tc>
        <w:tc>
          <w:tcPr>
            <w:tcW w:w="1400" w:type="dxa"/>
            <w:vAlign w:val="bottom"/>
            <w:tcBorders>
              <w:right w:val="single" w:sz="8" w:color="auto"/>
            </w:tcBorders>
          </w:tcPr>
          <w:p>
            <w:pPr>
              <w:jc w:val="right"/>
              <w:ind w:right="381"/>
              <w:spacing w:after="0"/>
              <w:rPr>
                <w:sz w:val="20"/>
                <w:szCs w:val="20"/>
                <w:color w:val="auto"/>
              </w:rPr>
            </w:pPr>
            <w:r>
              <w:rPr>
                <w:rFonts w:ascii="Calibri" w:cs="Calibri" w:eastAsia="Calibri" w:hAnsi="Calibri"/>
                <w:sz w:val="11"/>
                <w:szCs w:val="11"/>
                <w:color w:val="auto"/>
              </w:rPr>
              <w:t>3.5%</w:t>
            </w:r>
          </w:p>
        </w:tc>
        <w:tc>
          <w:tcPr>
            <w:tcW w:w="0" w:type="dxa"/>
            <w:vAlign w:val="bottom"/>
          </w:tcPr>
          <w:p>
            <w:pPr>
              <w:spacing w:after="0"/>
              <w:rPr>
                <w:sz w:val="1"/>
                <w:szCs w:val="1"/>
                <w:color w:val="auto"/>
              </w:rPr>
            </w:pPr>
          </w:p>
        </w:tc>
      </w:tr>
      <w:tr>
        <w:trPr>
          <w:trHeight w:val="167"/>
        </w:trPr>
        <w:tc>
          <w:tcPr>
            <w:tcW w:w="47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Calibri" w:cs="Calibri" w:eastAsia="Calibri" w:hAnsi="Calibri"/>
                <w:sz w:val="11"/>
                <w:szCs w:val="11"/>
                <w:color w:val="auto"/>
              </w:rPr>
              <w:t>Others</w:t>
            </w:r>
          </w:p>
        </w:tc>
        <w:tc>
          <w:tcPr>
            <w:tcW w:w="1060" w:type="dxa"/>
            <w:vAlign w:val="bottom"/>
            <w:tcBorders>
              <w:bottom w:val="single" w:sz="8" w:color="auto"/>
            </w:tcBorders>
          </w:tcPr>
          <w:p>
            <w:pPr>
              <w:jc w:val="center"/>
              <w:ind w:left="40"/>
              <w:spacing w:after="0"/>
              <w:rPr>
                <w:sz w:val="20"/>
                <w:szCs w:val="20"/>
                <w:color w:val="auto"/>
              </w:rPr>
            </w:pPr>
            <w:r>
              <w:rPr>
                <w:rFonts w:ascii="Calibri" w:cs="Calibri" w:eastAsia="Calibri" w:hAnsi="Calibri"/>
                <w:sz w:val="11"/>
                <w:szCs w:val="11"/>
                <w:color w:val="auto"/>
              </w:rPr>
              <w:t>19,045,984</w:t>
            </w:r>
          </w:p>
        </w:tc>
        <w:tc>
          <w:tcPr>
            <w:tcW w:w="1360" w:type="dxa"/>
            <w:vAlign w:val="bottom"/>
            <w:tcBorders>
              <w:bottom w:val="single" w:sz="8" w:color="auto"/>
            </w:tcBorders>
          </w:tcPr>
          <w:p>
            <w:pPr>
              <w:jc w:val="center"/>
              <w:ind w:left="161"/>
              <w:spacing w:after="0"/>
              <w:rPr>
                <w:sz w:val="20"/>
                <w:szCs w:val="20"/>
                <w:color w:val="auto"/>
              </w:rPr>
            </w:pPr>
            <w:r>
              <w:rPr>
                <w:rFonts w:ascii="Calibri" w:cs="Calibri" w:eastAsia="Calibri" w:hAnsi="Calibri"/>
                <w:sz w:val="11"/>
                <w:szCs w:val="11"/>
                <w:color w:val="auto"/>
                <w:w w:val="99"/>
              </w:rPr>
              <w:t>22,172,893</w:t>
            </w:r>
          </w:p>
        </w:tc>
        <w:tc>
          <w:tcPr>
            <w:tcW w:w="1200" w:type="dxa"/>
            <w:vAlign w:val="bottom"/>
            <w:tcBorders>
              <w:bottom w:val="single" w:sz="8" w:color="auto"/>
            </w:tcBorders>
          </w:tcPr>
          <w:p>
            <w:pPr>
              <w:jc w:val="center"/>
              <w:ind w:left="221"/>
              <w:spacing w:after="0"/>
              <w:rPr>
                <w:sz w:val="20"/>
                <w:szCs w:val="20"/>
                <w:color w:val="auto"/>
              </w:rPr>
            </w:pPr>
            <w:r>
              <w:rPr>
                <w:rFonts w:ascii="Calibri" w:cs="Calibri" w:eastAsia="Calibri" w:hAnsi="Calibri"/>
                <w:sz w:val="11"/>
                <w:szCs w:val="11"/>
                <w:color w:val="auto"/>
              </w:rPr>
              <w:t>22,331,409</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jc w:val="right"/>
              <w:ind w:right="1"/>
              <w:spacing w:after="0"/>
              <w:rPr>
                <w:sz w:val="20"/>
                <w:szCs w:val="20"/>
                <w:color w:val="auto"/>
              </w:rPr>
            </w:pPr>
            <w:r>
              <w:rPr>
                <w:rFonts w:ascii="Calibri" w:cs="Calibri" w:eastAsia="Calibri" w:hAnsi="Calibri"/>
                <w:sz w:val="11"/>
                <w:szCs w:val="11"/>
                <w:color w:val="auto"/>
              </w:rPr>
              <w:t>0.7%</w:t>
            </w:r>
          </w:p>
        </w:tc>
        <w:tc>
          <w:tcPr>
            <w:tcW w:w="1400" w:type="dxa"/>
            <w:vAlign w:val="bottom"/>
            <w:tcBorders>
              <w:bottom w:val="single" w:sz="8" w:color="auto"/>
              <w:right w:val="single" w:sz="8" w:color="auto"/>
            </w:tcBorders>
          </w:tcPr>
          <w:p>
            <w:pPr>
              <w:jc w:val="center"/>
              <w:ind w:left="261"/>
              <w:spacing w:after="0"/>
              <w:rPr>
                <w:sz w:val="20"/>
                <w:szCs w:val="20"/>
                <w:color w:val="auto"/>
              </w:rPr>
            </w:pPr>
            <w:r>
              <w:rPr>
                <w:rFonts w:ascii="Calibri" w:cs="Calibri" w:eastAsia="Calibri" w:hAnsi="Calibri"/>
                <w:sz w:val="11"/>
                <w:szCs w:val="11"/>
                <w:color w:val="auto"/>
              </w:rPr>
              <w:t>17.2%</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780" w:type="dxa"/>
            <w:vAlign w:val="bottom"/>
            <w:tcBorders>
              <w:left w:val="single" w:sz="8" w:color="auto"/>
              <w:right w:val="single" w:sz="8" w:color="auto"/>
            </w:tcBorders>
            <w:gridSpan w:val="3"/>
          </w:tcPr>
          <w:p>
            <w:pPr>
              <w:ind w:left="20"/>
              <w:spacing w:after="0"/>
              <w:rPr>
                <w:sz w:val="20"/>
                <w:szCs w:val="20"/>
                <w:color w:val="auto"/>
              </w:rPr>
            </w:pPr>
            <w:r>
              <w:rPr>
                <w:rFonts w:ascii="Calibri" w:cs="Calibri" w:eastAsia="Calibri" w:hAnsi="Calibri"/>
                <w:sz w:val="11"/>
                <w:szCs w:val="11"/>
                <w:b w:val="1"/>
                <w:bCs w:val="1"/>
                <w:color w:val="auto"/>
              </w:rPr>
              <w:t>CET1 rato IFRS</w:t>
            </w:r>
          </w:p>
        </w:tc>
        <w:tc>
          <w:tcPr>
            <w:tcW w:w="1060" w:type="dxa"/>
            <w:vAlign w:val="bottom"/>
          </w:tcPr>
          <w:p>
            <w:pPr>
              <w:jc w:val="center"/>
              <w:ind w:left="20"/>
              <w:spacing w:after="0"/>
              <w:rPr>
                <w:sz w:val="20"/>
                <w:szCs w:val="20"/>
                <w:color w:val="auto"/>
              </w:rPr>
            </w:pPr>
            <w:r>
              <w:rPr>
                <w:rFonts w:ascii="Calibri" w:cs="Calibri" w:eastAsia="Calibri" w:hAnsi="Calibri"/>
                <w:sz w:val="11"/>
                <w:szCs w:val="11"/>
                <w:b w:val="1"/>
                <w:bCs w:val="1"/>
                <w:color w:val="auto"/>
              </w:rPr>
              <w:t>13.20%</w:t>
            </w:r>
          </w:p>
        </w:tc>
        <w:tc>
          <w:tcPr>
            <w:tcW w:w="1360" w:type="dxa"/>
            <w:vAlign w:val="bottom"/>
          </w:tcPr>
          <w:p>
            <w:pPr>
              <w:jc w:val="right"/>
              <w:ind w:right="341"/>
              <w:spacing w:after="0"/>
              <w:rPr>
                <w:sz w:val="20"/>
                <w:szCs w:val="20"/>
                <w:color w:val="auto"/>
              </w:rPr>
            </w:pPr>
            <w:r>
              <w:rPr>
                <w:rFonts w:ascii="Calibri" w:cs="Calibri" w:eastAsia="Calibri" w:hAnsi="Calibri"/>
                <w:sz w:val="11"/>
                <w:szCs w:val="11"/>
                <w:b w:val="1"/>
                <w:bCs w:val="1"/>
                <w:color w:val="auto"/>
              </w:rPr>
              <w:t>13.42%</w:t>
            </w:r>
          </w:p>
        </w:tc>
        <w:tc>
          <w:tcPr>
            <w:tcW w:w="1200" w:type="dxa"/>
            <w:vAlign w:val="bottom"/>
          </w:tcPr>
          <w:p>
            <w:pPr>
              <w:jc w:val="right"/>
              <w:ind w:right="241"/>
              <w:spacing w:after="0"/>
              <w:rPr>
                <w:sz w:val="20"/>
                <w:szCs w:val="20"/>
                <w:color w:val="auto"/>
              </w:rPr>
            </w:pPr>
            <w:r>
              <w:rPr>
                <w:rFonts w:ascii="Calibri" w:cs="Calibri" w:eastAsia="Calibri" w:hAnsi="Calibri"/>
                <w:sz w:val="11"/>
                <w:szCs w:val="11"/>
                <w:b w:val="1"/>
                <w:bCs w:val="1"/>
                <w:color w:val="auto"/>
              </w:rPr>
              <w:t>13.32%</w:t>
            </w:r>
          </w:p>
        </w:tc>
        <w:tc>
          <w:tcPr>
            <w:tcW w:w="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60" w:type="dxa"/>
            <w:vAlign w:val="bottom"/>
          </w:tcPr>
          <w:p>
            <w:pPr>
              <w:jc w:val="right"/>
              <w:spacing w:after="0"/>
              <w:rPr>
                <w:sz w:val="20"/>
                <w:szCs w:val="20"/>
                <w:color w:val="auto"/>
              </w:rPr>
            </w:pPr>
            <w:r>
              <w:rPr>
                <w:rFonts w:ascii="Calibri" w:cs="Calibri" w:eastAsia="Calibri" w:hAnsi="Calibri"/>
                <w:sz w:val="11"/>
                <w:szCs w:val="11"/>
                <w:b w:val="1"/>
                <w:bCs w:val="1"/>
                <w:color w:val="auto"/>
              </w:rPr>
              <w:t>-10 bps</w:t>
            </w:r>
          </w:p>
        </w:tc>
        <w:tc>
          <w:tcPr>
            <w:tcW w:w="1400" w:type="dxa"/>
            <w:vAlign w:val="bottom"/>
            <w:tcBorders>
              <w:right w:val="single" w:sz="8" w:color="auto"/>
            </w:tcBorders>
          </w:tcPr>
          <w:p>
            <w:pPr>
              <w:jc w:val="center"/>
              <w:ind w:left="221"/>
              <w:spacing w:after="0"/>
              <w:rPr>
                <w:sz w:val="20"/>
                <w:szCs w:val="20"/>
                <w:color w:val="auto"/>
              </w:rPr>
            </w:pPr>
            <w:r>
              <w:rPr>
                <w:rFonts w:ascii="Calibri" w:cs="Calibri" w:eastAsia="Calibri" w:hAnsi="Calibri"/>
                <w:sz w:val="11"/>
                <w:szCs w:val="11"/>
                <w:b w:val="1"/>
                <w:bCs w:val="1"/>
                <w:color w:val="auto"/>
              </w:rPr>
              <w:t>12 bps</w:t>
            </w:r>
          </w:p>
        </w:tc>
        <w:tc>
          <w:tcPr>
            <w:tcW w:w="0" w:type="dxa"/>
            <w:vAlign w:val="bottom"/>
          </w:tcPr>
          <w:p>
            <w:pPr>
              <w:spacing w:after="0"/>
              <w:rPr>
                <w:sz w:val="1"/>
                <w:szCs w:val="1"/>
                <w:color w:val="auto"/>
              </w:rPr>
            </w:pPr>
          </w:p>
        </w:tc>
      </w:tr>
      <w:tr>
        <w:trPr>
          <w:trHeight w:val="24"/>
        </w:trPr>
        <w:tc>
          <w:tcPr>
            <w:tcW w:w="45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alibri" w:cs="Calibri" w:eastAsia="Calibri" w:hAnsi="Calibri"/>
                <w:sz w:val="17"/>
                <w:szCs w:val="17"/>
                <w:b w:val="1"/>
                <w:bCs w:val="1"/>
                <w:color w:val="auto"/>
              </w:rPr>
              <w:t>Mibanco</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520" w:type="dxa"/>
            <w:vAlign w:val="bottom"/>
            <w:tcBorders>
              <w:left w:val="single" w:sz="8" w:color="auto"/>
              <w:right w:val="single" w:sz="8" w:color="auto"/>
            </w:tcBorders>
            <w:shd w:val="clear" w:color="auto" w:fill="2AD2C8"/>
          </w:tcPr>
          <w:p>
            <w:pPr>
              <w:spacing w:after="0"/>
              <w:rPr>
                <w:sz w:val="20"/>
                <w:szCs w:val="20"/>
                <w:color w:val="auto"/>
              </w:rPr>
            </w:pPr>
            <w:r>
              <w:rPr>
                <w:rFonts w:ascii="Calibri" w:cs="Calibri" w:eastAsia="Calibri" w:hAnsi="Calibri"/>
                <w:sz w:val="12"/>
                <w:szCs w:val="12"/>
                <w:b w:val="1"/>
                <w:bCs w:val="1"/>
                <w:color w:val="FFFFFF"/>
              </w:rPr>
              <w:t>Common Equity Tier 1 IFRS</w:t>
            </w:r>
          </w:p>
        </w:tc>
        <w:tc>
          <w:tcPr>
            <w:tcW w:w="40" w:type="dxa"/>
            <w:vAlign w:val="bottom"/>
            <w:tcBorders>
              <w:right w:val="single" w:sz="8" w:color="2AD2C8"/>
            </w:tcBorders>
            <w:shd w:val="clear" w:color="auto" w:fill="2AD2C8"/>
          </w:tcPr>
          <w:p>
            <w:pPr>
              <w:spacing w:after="0"/>
              <w:rPr>
                <w:sz w:val="15"/>
                <w:szCs w:val="15"/>
                <w:color w:val="auto"/>
              </w:rPr>
            </w:pPr>
          </w:p>
        </w:tc>
        <w:tc>
          <w:tcPr>
            <w:tcW w:w="220" w:type="dxa"/>
            <w:vAlign w:val="bottom"/>
            <w:tcBorders>
              <w:right w:val="single" w:sz="8" w:color="2AD2C8"/>
            </w:tcBorders>
            <w:shd w:val="clear" w:color="auto" w:fill="2AD2C8"/>
          </w:tcPr>
          <w:p>
            <w:pPr>
              <w:spacing w:after="0"/>
              <w:rPr>
                <w:sz w:val="15"/>
                <w:szCs w:val="15"/>
                <w:color w:val="auto"/>
              </w:rPr>
            </w:pPr>
          </w:p>
        </w:tc>
        <w:tc>
          <w:tcPr>
            <w:tcW w:w="1060" w:type="dxa"/>
            <w:vAlign w:val="bottom"/>
            <w:shd w:val="clear" w:color="auto" w:fill="2AD2C8"/>
          </w:tcPr>
          <w:p>
            <w:pPr>
              <w:spacing w:after="0"/>
              <w:rPr>
                <w:sz w:val="15"/>
                <w:szCs w:val="15"/>
                <w:color w:val="auto"/>
              </w:rPr>
            </w:pPr>
          </w:p>
        </w:tc>
        <w:tc>
          <w:tcPr>
            <w:tcW w:w="1360" w:type="dxa"/>
            <w:vAlign w:val="bottom"/>
            <w:shd w:val="clear" w:color="auto" w:fill="2AD2C8"/>
          </w:tcPr>
          <w:p>
            <w:pPr>
              <w:jc w:val="center"/>
              <w:ind w:right="501"/>
              <w:spacing w:after="0"/>
              <w:rPr>
                <w:sz w:val="20"/>
                <w:szCs w:val="20"/>
                <w:color w:val="auto"/>
              </w:rPr>
            </w:pPr>
            <w:r>
              <w:rPr>
                <w:rFonts w:ascii="Calibri" w:cs="Calibri" w:eastAsia="Calibri" w:hAnsi="Calibri"/>
                <w:sz w:val="12"/>
                <w:szCs w:val="12"/>
                <w:b w:val="1"/>
                <w:bCs w:val="1"/>
                <w:color w:val="FFFFFF"/>
              </w:rPr>
              <w:t>Quarter</w:t>
            </w:r>
          </w:p>
        </w:tc>
        <w:tc>
          <w:tcPr>
            <w:tcW w:w="1200" w:type="dxa"/>
            <w:vAlign w:val="bottom"/>
            <w:tcBorders>
              <w:right w:val="single" w:sz="8" w:color="auto"/>
            </w:tcBorders>
            <w:shd w:val="clear" w:color="auto" w:fill="2AD2C8"/>
          </w:tcPr>
          <w:p>
            <w:pPr>
              <w:spacing w:after="0"/>
              <w:rPr>
                <w:sz w:val="15"/>
                <w:szCs w:val="15"/>
                <w:color w:val="auto"/>
              </w:rPr>
            </w:pPr>
          </w:p>
        </w:tc>
        <w:tc>
          <w:tcPr>
            <w:tcW w:w="40" w:type="dxa"/>
            <w:vAlign w:val="bottom"/>
            <w:tcBorders>
              <w:right w:val="single" w:sz="8" w:color="2AD2C8"/>
            </w:tcBorders>
            <w:shd w:val="clear" w:color="auto" w:fill="2AD2C8"/>
          </w:tcPr>
          <w:p>
            <w:pPr>
              <w:spacing w:after="0"/>
              <w:rPr>
                <w:sz w:val="15"/>
                <w:szCs w:val="15"/>
                <w:color w:val="auto"/>
              </w:rPr>
            </w:pPr>
          </w:p>
        </w:tc>
        <w:tc>
          <w:tcPr>
            <w:tcW w:w="180" w:type="dxa"/>
            <w:vAlign w:val="bottom"/>
            <w:tcBorders>
              <w:right w:val="single" w:sz="8" w:color="2AD2C8"/>
            </w:tcBorders>
            <w:shd w:val="clear" w:color="auto" w:fill="2AD2C8"/>
          </w:tcPr>
          <w:p>
            <w:pPr>
              <w:spacing w:after="0"/>
              <w:rPr>
                <w:sz w:val="15"/>
                <w:szCs w:val="15"/>
                <w:color w:val="auto"/>
              </w:rPr>
            </w:pPr>
          </w:p>
        </w:tc>
        <w:tc>
          <w:tcPr>
            <w:tcW w:w="660" w:type="dxa"/>
            <w:vAlign w:val="bottom"/>
            <w:shd w:val="clear" w:color="auto" w:fill="2AD2C8"/>
          </w:tcPr>
          <w:p>
            <w:pPr>
              <w:spacing w:after="0"/>
              <w:rPr>
                <w:sz w:val="15"/>
                <w:szCs w:val="15"/>
                <w:color w:val="auto"/>
              </w:rPr>
            </w:pPr>
          </w:p>
        </w:tc>
        <w:tc>
          <w:tcPr>
            <w:tcW w:w="1400" w:type="dxa"/>
            <w:vAlign w:val="bottom"/>
            <w:tcBorders>
              <w:right w:val="single" w:sz="8" w:color="auto"/>
            </w:tcBorders>
            <w:shd w:val="clear" w:color="auto" w:fill="2AD2C8"/>
          </w:tcPr>
          <w:p>
            <w:pPr>
              <w:jc w:val="right"/>
              <w:ind w:right="841"/>
              <w:spacing w:after="0"/>
              <w:rPr>
                <w:sz w:val="20"/>
                <w:szCs w:val="20"/>
                <w:color w:val="auto"/>
              </w:rPr>
            </w:pPr>
            <w:r>
              <w:rPr>
                <w:rFonts w:ascii="Calibri" w:cs="Calibri" w:eastAsia="Calibri" w:hAnsi="Calibri"/>
                <w:sz w:val="12"/>
                <w:szCs w:val="12"/>
                <w:b w:val="1"/>
                <w:bCs w:val="1"/>
                <w:color w:val="FFFFFF"/>
              </w:rPr>
              <w:t>% change</w:t>
            </w:r>
          </w:p>
        </w:tc>
        <w:tc>
          <w:tcPr>
            <w:tcW w:w="0" w:type="dxa"/>
            <w:vAlign w:val="bottom"/>
          </w:tcPr>
          <w:p>
            <w:pPr>
              <w:spacing w:after="0"/>
              <w:rPr>
                <w:sz w:val="1"/>
                <w:szCs w:val="1"/>
                <w:color w:val="auto"/>
              </w:rPr>
            </w:pPr>
          </w:p>
        </w:tc>
      </w:tr>
      <w:tr>
        <w:trPr>
          <w:trHeight w:val="150"/>
        </w:trPr>
        <w:tc>
          <w:tcPr>
            <w:tcW w:w="4520" w:type="dxa"/>
            <w:vAlign w:val="bottom"/>
            <w:tcBorders>
              <w:left w:val="single" w:sz="8" w:color="auto"/>
              <w:bottom w:val="single" w:sz="8" w:color="auto"/>
              <w:right w:val="single" w:sz="8" w:color="auto"/>
            </w:tcBorders>
            <w:shd w:val="clear" w:color="auto" w:fill="2AD2C8"/>
          </w:tcPr>
          <w:p>
            <w:pPr>
              <w:spacing w:after="0"/>
              <w:rPr>
                <w:sz w:val="20"/>
                <w:szCs w:val="20"/>
                <w:color w:val="auto"/>
              </w:rPr>
            </w:pPr>
            <w:r>
              <w:rPr>
                <w:rFonts w:ascii="Calibri" w:cs="Calibri" w:eastAsia="Calibri" w:hAnsi="Calibri"/>
                <w:sz w:val="12"/>
                <w:szCs w:val="12"/>
                <w:color w:val="FFFFFF"/>
              </w:rPr>
              <w:t>(S/. thousand)</w:t>
            </w:r>
          </w:p>
        </w:tc>
        <w:tc>
          <w:tcPr>
            <w:tcW w:w="40" w:type="dxa"/>
            <w:vAlign w:val="bottom"/>
            <w:tcBorders>
              <w:bottom w:val="single" w:sz="8" w:color="auto"/>
              <w:right w:val="single" w:sz="8" w:color="2AD2C8"/>
            </w:tcBorders>
            <w:shd w:val="clear" w:color="auto" w:fill="2AD2C8"/>
          </w:tcPr>
          <w:p>
            <w:pPr>
              <w:spacing w:after="0"/>
              <w:rPr>
                <w:sz w:val="13"/>
                <w:szCs w:val="13"/>
                <w:color w:val="auto"/>
              </w:rPr>
            </w:pPr>
          </w:p>
        </w:tc>
        <w:tc>
          <w:tcPr>
            <w:tcW w:w="220" w:type="dxa"/>
            <w:vAlign w:val="bottom"/>
            <w:tcBorders>
              <w:bottom w:val="single" w:sz="8" w:color="auto"/>
              <w:right w:val="single" w:sz="8" w:color="2AD2C8"/>
            </w:tcBorders>
            <w:shd w:val="clear" w:color="auto" w:fill="2AD2C8"/>
          </w:tcPr>
          <w:p>
            <w:pPr>
              <w:spacing w:after="0"/>
              <w:rPr>
                <w:sz w:val="13"/>
                <w:szCs w:val="13"/>
                <w:color w:val="auto"/>
              </w:rPr>
            </w:pPr>
          </w:p>
        </w:tc>
        <w:tc>
          <w:tcPr>
            <w:tcW w:w="1060" w:type="dxa"/>
            <w:vAlign w:val="bottom"/>
            <w:tcBorders>
              <w:bottom w:val="single" w:sz="8" w:color="auto"/>
            </w:tcBorders>
            <w:shd w:val="clear" w:color="auto" w:fill="2AD2C8"/>
          </w:tcPr>
          <w:p>
            <w:pPr>
              <w:ind w:left="160"/>
              <w:spacing w:after="0"/>
              <w:rPr>
                <w:sz w:val="20"/>
                <w:szCs w:val="20"/>
                <w:color w:val="auto"/>
              </w:rPr>
            </w:pPr>
            <w:r>
              <w:rPr>
                <w:rFonts w:ascii="Calibri" w:cs="Calibri" w:eastAsia="Calibri" w:hAnsi="Calibri"/>
                <w:sz w:val="12"/>
                <w:szCs w:val="12"/>
                <w:b w:val="1"/>
                <w:bCs w:val="1"/>
                <w:color w:val="FFFFFF"/>
              </w:rPr>
              <w:t>Dec 23</w:t>
            </w:r>
          </w:p>
        </w:tc>
        <w:tc>
          <w:tcPr>
            <w:tcW w:w="1360" w:type="dxa"/>
            <w:vAlign w:val="bottom"/>
            <w:tcBorders>
              <w:bottom w:val="single" w:sz="8" w:color="auto"/>
            </w:tcBorders>
            <w:shd w:val="clear" w:color="auto" w:fill="2AD2C8"/>
          </w:tcPr>
          <w:p>
            <w:pPr>
              <w:jc w:val="center"/>
              <w:ind w:right="521"/>
              <w:spacing w:after="0"/>
              <w:rPr>
                <w:sz w:val="20"/>
                <w:szCs w:val="20"/>
                <w:color w:val="auto"/>
              </w:rPr>
            </w:pPr>
            <w:r>
              <w:rPr>
                <w:rFonts w:ascii="Calibri" w:cs="Calibri" w:eastAsia="Calibri" w:hAnsi="Calibri"/>
                <w:sz w:val="12"/>
                <w:szCs w:val="12"/>
                <w:b w:val="1"/>
                <w:bCs w:val="1"/>
                <w:color w:val="FFFFFF"/>
              </w:rPr>
              <w:t>Sep 24</w:t>
            </w:r>
          </w:p>
        </w:tc>
        <w:tc>
          <w:tcPr>
            <w:tcW w:w="1200" w:type="dxa"/>
            <w:vAlign w:val="bottom"/>
            <w:tcBorders>
              <w:bottom w:val="single" w:sz="8" w:color="auto"/>
              <w:right w:val="single" w:sz="8" w:color="auto"/>
            </w:tcBorders>
            <w:shd w:val="clear" w:color="auto" w:fill="2AD2C8"/>
          </w:tcPr>
          <w:p>
            <w:pPr>
              <w:jc w:val="right"/>
              <w:ind w:right="441"/>
              <w:spacing w:after="0"/>
              <w:rPr>
                <w:sz w:val="20"/>
                <w:szCs w:val="20"/>
                <w:color w:val="auto"/>
              </w:rPr>
            </w:pPr>
            <w:r>
              <w:rPr>
                <w:rFonts w:ascii="Calibri" w:cs="Calibri" w:eastAsia="Calibri" w:hAnsi="Calibri"/>
                <w:sz w:val="12"/>
                <w:szCs w:val="12"/>
                <w:b w:val="1"/>
                <w:bCs w:val="1"/>
                <w:color w:val="FFFFFF"/>
              </w:rPr>
              <w:t>Dec 24</w:t>
            </w:r>
          </w:p>
        </w:tc>
        <w:tc>
          <w:tcPr>
            <w:tcW w:w="40" w:type="dxa"/>
            <w:vAlign w:val="bottom"/>
            <w:tcBorders>
              <w:bottom w:val="single" w:sz="8" w:color="auto"/>
              <w:right w:val="single" w:sz="8" w:color="2AD2C8"/>
            </w:tcBorders>
            <w:shd w:val="clear" w:color="auto" w:fill="2AD2C8"/>
          </w:tcPr>
          <w:p>
            <w:pPr>
              <w:spacing w:after="0"/>
              <w:rPr>
                <w:sz w:val="13"/>
                <w:szCs w:val="13"/>
                <w:color w:val="auto"/>
              </w:rPr>
            </w:pPr>
          </w:p>
        </w:tc>
        <w:tc>
          <w:tcPr>
            <w:tcW w:w="180" w:type="dxa"/>
            <w:vAlign w:val="bottom"/>
            <w:tcBorders>
              <w:bottom w:val="single" w:sz="8" w:color="auto"/>
              <w:right w:val="single" w:sz="8" w:color="2AD2C8"/>
            </w:tcBorders>
            <w:shd w:val="clear" w:color="auto" w:fill="2AD2C8"/>
          </w:tcPr>
          <w:p>
            <w:pPr>
              <w:spacing w:after="0"/>
              <w:rPr>
                <w:sz w:val="13"/>
                <w:szCs w:val="13"/>
                <w:color w:val="auto"/>
              </w:rPr>
            </w:pPr>
          </w:p>
        </w:tc>
        <w:tc>
          <w:tcPr>
            <w:tcW w:w="660" w:type="dxa"/>
            <w:vAlign w:val="bottom"/>
            <w:tcBorders>
              <w:bottom w:val="single" w:sz="8" w:color="auto"/>
            </w:tcBorders>
            <w:shd w:val="clear" w:color="auto" w:fill="2AD2C8"/>
          </w:tcPr>
          <w:p>
            <w:pPr>
              <w:jc w:val="right"/>
              <w:ind w:right="161"/>
              <w:spacing w:after="0"/>
              <w:rPr>
                <w:sz w:val="20"/>
                <w:szCs w:val="20"/>
                <w:color w:val="auto"/>
              </w:rPr>
            </w:pPr>
            <w:r>
              <w:rPr>
                <w:rFonts w:ascii="Calibri" w:cs="Calibri" w:eastAsia="Calibri" w:hAnsi="Calibri"/>
                <w:sz w:val="12"/>
                <w:szCs w:val="12"/>
                <w:b w:val="1"/>
                <w:bCs w:val="1"/>
                <w:color w:val="FFFFFF"/>
              </w:rPr>
              <w:t>QoQ</w:t>
            </w:r>
          </w:p>
        </w:tc>
        <w:tc>
          <w:tcPr>
            <w:tcW w:w="1400" w:type="dxa"/>
            <w:vAlign w:val="bottom"/>
            <w:tcBorders>
              <w:bottom w:val="single" w:sz="8" w:color="auto"/>
              <w:right w:val="single" w:sz="8" w:color="auto"/>
            </w:tcBorders>
            <w:shd w:val="clear" w:color="auto" w:fill="2AD2C8"/>
          </w:tcPr>
          <w:p>
            <w:pPr>
              <w:jc w:val="center"/>
              <w:ind w:left="161"/>
              <w:spacing w:after="0"/>
              <w:rPr>
                <w:sz w:val="20"/>
                <w:szCs w:val="20"/>
                <w:color w:val="auto"/>
              </w:rPr>
            </w:pPr>
            <w:r>
              <w:rPr>
                <w:rFonts w:ascii="Calibri" w:cs="Calibri" w:eastAsia="Calibri" w:hAnsi="Calibri"/>
                <w:sz w:val="12"/>
                <w:szCs w:val="12"/>
                <w:b w:val="1"/>
                <w:bCs w:val="1"/>
                <w:color w:val="FFFFFF"/>
                <w:w w:val="94"/>
              </w:rPr>
              <w:t>YoY</w:t>
            </w:r>
          </w:p>
        </w:tc>
        <w:tc>
          <w:tcPr>
            <w:tcW w:w="0" w:type="dxa"/>
            <w:vAlign w:val="bottom"/>
          </w:tcPr>
          <w:p>
            <w:pPr>
              <w:spacing w:after="0"/>
              <w:rPr>
                <w:sz w:val="1"/>
                <w:szCs w:val="1"/>
                <w:color w:val="auto"/>
              </w:rPr>
            </w:pPr>
          </w:p>
        </w:tc>
      </w:tr>
      <w:tr>
        <w:trPr>
          <w:trHeight w:val="158"/>
        </w:trPr>
        <w:tc>
          <w:tcPr>
            <w:tcW w:w="452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2"/>
                <w:szCs w:val="12"/>
                <w:color w:val="auto"/>
              </w:rPr>
              <w:t>Capital and reserves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340"/>
              <w:spacing w:after="0"/>
              <w:rPr>
                <w:sz w:val="20"/>
                <w:szCs w:val="20"/>
                <w:color w:val="auto"/>
              </w:rPr>
            </w:pPr>
            <w:r>
              <w:rPr>
                <w:rFonts w:ascii="Calibri" w:cs="Calibri" w:eastAsia="Calibri" w:hAnsi="Calibri"/>
                <w:sz w:val="12"/>
                <w:szCs w:val="12"/>
                <w:color w:val="auto"/>
              </w:rPr>
              <w:t>2,676,791</w:t>
            </w:r>
          </w:p>
        </w:tc>
        <w:tc>
          <w:tcPr>
            <w:tcW w:w="1360" w:type="dxa"/>
            <w:vAlign w:val="bottom"/>
          </w:tcPr>
          <w:p>
            <w:pPr>
              <w:jc w:val="center"/>
              <w:ind w:right="201"/>
              <w:spacing w:after="0"/>
              <w:rPr>
                <w:sz w:val="20"/>
                <w:szCs w:val="20"/>
                <w:color w:val="auto"/>
              </w:rPr>
            </w:pPr>
            <w:r>
              <w:rPr>
                <w:rFonts w:ascii="Calibri" w:cs="Calibri" w:eastAsia="Calibri" w:hAnsi="Calibri"/>
                <w:sz w:val="12"/>
                <w:szCs w:val="12"/>
                <w:color w:val="auto"/>
              </w:rPr>
              <w:t>2,703,385</w:t>
            </w:r>
          </w:p>
        </w:tc>
        <w:tc>
          <w:tcPr>
            <w:tcW w:w="1200" w:type="dxa"/>
            <w:vAlign w:val="bottom"/>
            <w:tcBorders>
              <w:right w:val="single" w:sz="8" w:color="auto"/>
            </w:tcBorders>
          </w:tcPr>
          <w:p>
            <w:pPr>
              <w:jc w:val="center"/>
              <w:ind w:right="81"/>
              <w:spacing w:after="0"/>
              <w:rPr>
                <w:sz w:val="20"/>
                <w:szCs w:val="20"/>
                <w:color w:val="auto"/>
              </w:rPr>
            </w:pPr>
            <w:r>
              <w:rPr>
                <w:rFonts w:ascii="Calibri" w:cs="Calibri" w:eastAsia="Calibri" w:hAnsi="Calibri"/>
                <w:sz w:val="12"/>
                <w:szCs w:val="12"/>
                <w:color w:val="auto"/>
              </w:rPr>
              <w:t>2,703,385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Calibri" w:cs="Calibri" w:eastAsia="Calibri" w:hAnsi="Calibri"/>
                <w:sz w:val="12"/>
                <w:szCs w:val="12"/>
                <w:color w:val="auto"/>
              </w:rPr>
              <w:t>0.0%</w:t>
            </w:r>
          </w:p>
        </w:tc>
        <w:tc>
          <w:tcPr>
            <w:tcW w:w="1400" w:type="dxa"/>
            <w:vAlign w:val="bottom"/>
            <w:tcBorders>
              <w:right w:val="single" w:sz="8" w:color="auto"/>
            </w:tcBorders>
          </w:tcPr>
          <w:p>
            <w:pPr>
              <w:jc w:val="center"/>
              <w:ind w:left="181"/>
              <w:spacing w:after="0"/>
              <w:rPr>
                <w:sz w:val="20"/>
                <w:szCs w:val="20"/>
                <w:color w:val="auto"/>
              </w:rPr>
            </w:pPr>
            <w:r>
              <w:rPr>
                <w:rFonts w:ascii="Calibri" w:cs="Calibri" w:eastAsia="Calibri" w:hAnsi="Calibri"/>
                <w:sz w:val="12"/>
                <w:szCs w:val="12"/>
                <w:color w:val="auto"/>
              </w:rPr>
              <w:t>1.0%</w:t>
            </w:r>
          </w:p>
        </w:tc>
        <w:tc>
          <w:tcPr>
            <w:tcW w:w="0" w:type="dxa"/>
            <w:vAlign w:val="bottom"/>
          </w:tcPr>
          <w:p>
            <w:pPr>
              <w:spacing w:after="0"/>
              <w:rPr>
                <w:sz w:val="1"/>
                <w:szCs w:val="1"/>
                <w:color w:val="auto"/>
              </w:rPr>
            </w:pPr>
          </w:p>
        </w:tc>
      </w:tr>
      <w:tr>
        <w:trPr>
          <w:trHeight w:val="169"/>
        </w:trPr>
        <w:tc>
          <w:tcPr>
            <w:tcW w:w="452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Retained earnings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320"/>
              <w:spacing w:after="0"/>
              <w:rPr>
                <w:sz w:val="20"/>
                <w:szCs w:val="20"/>
                <w:color w:val="auto"/>
              </w:rPr>
            </w:pPr>
            <w:r>
              <w:rPr>
                <w:rFonts w:ascii="Calibri" w:cs="Calibri" w:eastAsia="Calibri" w:hAnsi="Calibri"/>
                <w:sz w:val="12"/>
                <w:szCs w:val="12"/>
                <w:color w:val="auto"/>
              </w:rPr>
              <w:t>321,235</w:t>
            </w:r>
          </w:p>
        </w:tc>
        <w:tc>
          <w:tcPr>
            <w:tcW w:w="1360" w:type="dxa"/>
            <w:vAlign w:val="bottom"/>
          </w:tcPr>
          <w:p>
            <w:pPr>
              <w:jc w:val="center"/>
              <w:ind w:right="201"/>
              <w:spacing w:after="0"/>
              <w:rPr>
                <w:sz w:val="20"/>
                <w:szCs w:val="20"/>
                <w:color w:val="auto"/>
              </w:rPr>
            </w:pPr>
            <w:r>
              <w:rPr>
                <w:rFonts w:ascii="Calibri" w:cs="Calibri" w:eastAsia="Calibri" w:hAnsi="Calibri"/>
                <w:sz w:val="12"/>
                <w:szCs w:val="12"/>
                <w:color w:val="auto"/>
              </w:rPr>
              <w:t>36,907</w:t>
            </w:r>
          </w:p>
        </w:tc>
        <w:tc>
          <w:tcPr>
            <w:tcW w:w="1200" w:type="dxa"/>
            <w:vAlign w:val="bottom"/>
            <w:tcBorders>
              <w:right w:val="single" w:sz="8" w:color="auto"/>
            </w:tcBorders>
          </w:tcPr>
          <w:p>
            <w:pPr>
              <w:jc w:val="center"/>
              <w:ind w:right="81"/>
              <w:spacing w:after="0"/>
              <w:rPr>
                <w:sz w:val="20"/>
                <w:szCs w:val="20"/>
                <w:color w:val="auto"/>
              </w:rPr>
            </w:pPr>
            <w:r>
              <w:rPr>
                <w:rFonts w:ascii="Calibri" w:cs="Calibri" w:eastAsia="Calibri" w:hAnsi="Calibri"/>
                <w:sz w:val="12"/>
                <w:szCs w:val="12"/>
                <w:color w:val="auto"/>
              </w:rPr>
              <w:t>(29,980)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Calibri" w:cs="Calibri" w:eastAsia="Calibri" w:hAnsi="Calibri"/>
                <w:sz w:val="12"/>
                <w:szCs w:val="12"/>
                <w:color w:val="auto"/>
              </w:rPr>
              <w:t>-181.2%</w:t>
            </w:r>
          </w:p>
        </w:tc>
        <w:tc>
          <w:tcPr>
            <w:tcW w:w="1400" w:type="dxa"/>
            <w:vAlign w:val="bottom"/>
            <w:tcBorders>
              <w:right w:val="single" w:sz="8" w:color="auto"/>
            </w:tcBorders>
          </w:tcPr>
          <w:p>
            <w:pPr>
              <w:jc w:val="center"/>
              <w:ind w:left="181"/>
              <w:spacing w:after="0"/>
              <w:rPr>
                <w:sz w:val="20"/>
                <w:szCs w:val="20"/>
                <w:color w:val="auto"/>
              </w:rPr>
            </w:pPr>
            <w:r>
              <w:rPr>
                <w:rFonts w:ascii="Calibri" w:cs="Calibri" w:eastAsia="Calibri" w:hAnsi="Calibri"/>
                <w:sz w:val="12"/>
                <w:szCs w:val="12"/>
                <w:color w:val="auto"/>
              </w:rPr>
              <w:t>-109.3%</w:t>
            </w:r>
          </w:p>
        </w:tc>
        <w:tc>
          <w:tcPr>
            <w:tcW w:w="0" w:type="dxa"/>
            <w:vAlign w:val="bottom"/>
          </w:tcPr>
          <w:p>
            <w:pPr>
              <w:spacing w:after="0"/>
              <w:rPr>
                <w:sz w:val="1"/>
                <w:szCs w:val="1"/>
                <w:color w:val="auto"/>
              </w:rPr>
            </w:pPr>
          </w:p>
        </w:tc>
      </w:tr>
      <w:tr>
        <w:trPr>
          <w:trHeight w:val="159"/>
        </w:trPr>
        <w:tc>
          <w:tcPr>
            <w:tcW w:w="452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2"/>
                <w:szCs w:val="12"/>
                <w:color w:val="auto"/>
              </w:rPr>
              <w:t>Unrealized gains (losses)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320"/>
              <w:spacing w:after="0"/>
              <w:rPr>
                <w:sz w:val="20"/>
                <w:szCs w:val="20"/>
                <w:color w:val="auto"/>
              </w:rPr>
            </w:pPr>
            <w:r>
              <w:rPr>
                <w:rFonts w:ascii="Calibri" w:cs="Calibri" w:eastAsia="Calibri" w:hAnsi="Calibri"/>
                <w:sz w:val="12"/>
                <w:szCs w:val="12"/>
                <w:color w:val="auto"/>
              </w:rPr>
              <w:t>(1,403)</w:t>
            </w:r>
          </w:p>
        </w:tc>
        <w:tc>
          <w:tcPr>
            <w:tcW w:w="1360" w:type="dxa"/>
            <w:vAlign w:val="bottom"/>
          </w:tcPr>
          <w:p>
            <w:pPr>
              <w:jc w:val="center"/>
              <w:ind w:right="201"/>
              <w:spacing w:after="0"/>
              <w:rPr>
                <w:sz w:val="20"/>
                <w:szCs w:val="20"/>
                <w:color w:val="auto"/>
              </w:rPr>
            </w:pPr>
            <w:r>
              <w:rPr>
                <w:rFonts w:ascii="Calibri" w:cs="Calibri" w:eastAsia="Calibri" w:hAnsi="Calibri"/>
                <w:sz w:val="12"/>
                <w:szCs w:val="12"/>
                <w:color w:val="auto"/>
                <w:w w:val="94"/>
              </w:rPr>
              <w:t>3,081</w:t>
            </w:r>
          </w:p>
        </w:tc>
        <w:tc>
          <w:tcPr>
            <w:tcW w:w="1200" w:type="dxa"/>
            <w:vAlign w:val="bottom"/>
            <w:tcBorders>
              <w:right w:val="single" w:sz="8" w:color="auto"/>
            </w:tcBorders>
          </w:tcPr>
          <w:p>
            <w:pPr>
              <w:jc w:val="center"/>
              <w:ind w:right="81"/>
              <w:spacing w:after="0"/>
              <w:rPr>
                <w:sz w:val="20"/>
                <w:szCs w:val="20"/>
                <w:color w:val="auto"/>
              </w:rPr>
            </w:pPr>
            <w:r>
              <w:rPr>
                <w:rFonts w:ascii="Calibri" w:cs="Calibri" w:eastAsia="Calibri" w:hAnsi="Calibri"/>
                <w:sz w:val="12"/>
                <w:szCs w:val="12"/>
                <w:color w:val="auto"/>
                <w:w w:val="98"/>
              </w:rPr>
              <w:t>(5,037)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Calibri" w:cs="Calibri" w:eastAsia="Calibri" w:hAnsi="Calibri"/>
                <w:sz w:val="12"/>
                <w:szCs w:val="12"/>
                <w:color w:val="auto"/>
              </w:rPr>
              <w:t>-263.5%</w:t>
            </w:r>
          </w:p>
        </w:tc>
        <w:tc>
          <w:tcPr>
            <w:tcW w:w="1400" w:type="dxa"/>
            <w:vAlign w:val="bottom"/>
            <w:tcBorders>
              <w:right w:val="single" w:sz="8" w:color="auto"/>
            </w:tcBorders>
          </w:tcPr>
          <w:p>
            <w:pPr>
              <w:jc w:val="center"/>
              <w:ind w:left="181"/>
              <w:spacing w:after="0"/>
              <w:rPr>
                <w:sz w:val="20"/>
                <w:szCs w:val="20"/>
                <w:color w:val="auto"/>
              </w:rPr>
            </w:pPr>
            <w:r>
              <w:rPr>
                <w:rFonts w:ascii="Calibri" w:cs="Calibri" w:eastAsia="Calibri" w:hAnsi="Calibri"/>
                <w:sz w:val="12"/>
                <w:szCs w:val="12"/>
                <w:color w:val="auto"/>
              </w:rPr>
              <w:t>258.9%</w:t>
            </w:r>
          </w:p>
        </w:tc>
        <w:tc>
          <w:tcPr>
            <w:tcW w:w="0" w:type="dxa"/>
            <w:vAlign w:val="bottom"/>
          </w:tcPr>
          <w:p>
            <w:pPr>
              <w:spacing w:after="0"/>
              <w:rPr>
                <w:sz w:val="1"/>
                <w:szCs w:val="1"/>
                <w:color w:val="auto"/>
              </w:rPr>
            </w:pPr>
          </w:p>
        </w:tc>
      </w:tr>
      <w:tr>
        <w:trPr>
          <w:trHeight w:val="169"/>
        </w:trPr>
        <w:tc>
          <w:tcPr>
            <w:tcW w:w="452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3"/>
                <w:szCs w:val="13"/>
                <w:color w:val="auto"/>
              </w:rPr>
              <w:t>Goodwill and intangibles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320"/>
              <w:spacing w:after="0"/>
              <w:rPr>
                <w:sz w:val="20"/>
                <w:szCs w:val="20"/>
                <w:color w:val="auto"/>
              </w:rPr>
            </w:pPr>
            <w:r>
              <w:rPr>
                <w:rFonts w:ascii="Calibri" w:cs="Calibri" w:eastAsia="Calibri" w:hAnsi="Calibri"/>
                <w:sz w:val="12"/>
                <w:szCs w:val="12"/>
                <w:color w:val="auto"/>
              </w:rPr>
              <w:t>(360,171)</w:t>
            </w:r>
          </w:p>
        </w:tc>
        <w:tc>
          <w:tcPr>
            <w:tcW w:w="1360" w:type="dxa"/>
            <w:vAlign w:val="bottom"/>
          </w:tcPr>
          <w:p>
            <w:pPr>
              <w:jc w:val="center"/>
              <w:ind w:right="201"/>
              <w:spacing w:after="0"/>
              <w:rPr>
                <w:sz w:val="20"/>
                <w:szCs w:val="20"/>
                <w:color w:val="auto"/>
              </w:rPr>
            </w:pPr>
            <w:r>
              <w:rPr>
                <w:rFonts w:ascii="Calibri" w:cs="Calibri" w:eastAsia="Calibri" w:hAnsi="Calibri"/>
                <w:sz w:val="12"/>
                <w:szCs w:val="12"/>
                <w:color w:val="auto"/>
                <w:w w:val="98"/>
              </w:rPr>
              <w:t>(303,850)</w:t>
            </w:r>
          </w:p>
        </w:tc>
        <w:tc>
          <w:tcPr>
            <w:tcW w:w="1200" w:type="dxa"/>
            <w:vAlign w:val="bottom"/>
            <w:tcBorders>
              <w:right w:val="single" w:sz="8" w:color="auto"/>
            </w:tcBorders>
          </w:tcPr>
          <w:p>
            <w:pPr>
              <w:jc w:val="center"/>
              <w:ind w:right="101"/>
              <w:spacing w:after="0"/>
              <w:rPr>
                <w:sz w:val="20"/>
                <w:szCs w:val="20"/>
                <w:color w:val="auto"/>
              </w:rPr>
            </w:pPr>
            <w:r>
              <w:rPr>
                <w:rFonts w:ascii="Calibri" w:cs="Calibri" w:eastAsia="Calibri" w:hAnsi="Calibri"/>
                <w:sz w:val="12"/>
                <w:szCs w:val="12"/>
                <w:color w:val="auto"/>
              </w:rPr>
              <w:t>(310,730)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Calibri" w:cs="Calibri" w:eastAsia="Calibri" w:hAnsi="Calibri"/>
                <w:sz w:val="12"/>
                <w:szCs w:val="12"/>
                <w:color w:val="auto"/>
              </w:rPr>
              <w:t>2.3%</w:t>
            </w:r>
          </w:p>
        </w:tc>
        <w:tc>
          <w:tcPr>
            <w:tcW w:w="1400" w:type="dxa"/>
            <w:vAlign w:val="bottom"/>
            <w:tcBorders>
              <w:right w:val="single" w:sz="8" w:color="auto"/>
            </w:tcBorders>
          </w:tcPr>
          <w:p>
            <w:pPr>
              <w:jc w:val="center"/>
              <w:ind w:left="161"/>
              <w:spacing w:after="0"/>
              <w:rPr>
                <w:sz w:val="20"/>
                <w:szCs w:val="20"/>
                <w:color w:val="auto"/>
              </w:rPr>
            </w:pPr>
            <w:r>
              <w:rPr>
                <w:rFonts w:ascii="Calibri" w:cs="Calibri" w:eastAsia="Calibri" w:hAnsi="Calibri"/>
                <w:sz w:val="12"/>
                <w:szCs w:val="12"/>
                <w:color w:val="auto"/>
              </w:rPr>
              <w:t>-13.7%</w:t>
            </w:r>
          </w:p>
        </w:tc>
        <w:tc>
          <w:tcPr>
            <w:tcW w:w="0" w:type="dxa"/>
            <w:vAlign w:val="bottom"/>
          </w:tcPr>
          <w:p>
            <w:pPr>
              <w:spacing w:after="0"/>
              <w:rPr>
                <w:sz w:val="1"/>
                <w:szCs w:val="1"/>
                <w:color w:val="auto"/>
              </w:rPr>
            </w:pPr>
          </w:p>
        </w:tc>
      </w:tr>
      <w:tr>
        <w:trPr>
          <w:trHeight w:val="164"/>
        </w:trPr>
        <w:tc>
          <w:tcPr>
            <w:tcW w:w="4520" w:type="dxa"/>
            <w:vAlign w:val="bottom"/>
            <w:tcBorders>
              <w:left w:val="single" w:sz="8" w:color="auto"/>
              <w:bottom w:val="single" w:sz="8" w:color="auto"/>
              <w:right w:val="single" w:sz="8" w:color="auto"/>
            </w:tcBorders>
          </w:tcPr>
          <w:p>
            <w:pPr>
              <w:ind w:left="160"/>
              <w:spacing w:after="0"/>
              <w:rPr>
                <w:sz w:val="20"/>
                <w:szCs w:val="20"/>
                <w:color w:val="auto"/>
              </w:rPr>
            </w:pPr>
            <w:r>
              <w:rPr>
                <w:rFonts w:ascii="Calibri" w:cs="Calibri" w:eastAsia="Calibri" w:hAnsi="Calibri"/>
                <w:sz w:val="12"/>
                <w:szCs w:val="12"/>
                <w:color w:val="auto"/>
              </w:rPr>
              <w:t>Investments in subsidiaries</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40"/>
              <w:spacing w:after="0"/>
              <w:rPr>
                <w:sz w:val="20"/>
                <w:szCs w:val="20"/>
                <w:color w:val="auto"/>
              </w:rPr>
            </w:pPr>
            <w:r>
              <w:rPr>
                <w:rFonts w:ascii="Calibri" w:cs="Calibri" w:eastAsia="Calibri" w:hAnsi="Calibri"/>
                <w:sz w:val="12"/>
                <w:szCs w:val="12"/>
                <w:color w:val="auto"/>
              </w:rPr>
              <w:t>(271)</w:t>
            </w:r>
          </w:p>
        </w:tc>
        <w:tc>
          <w:tcPr>
            <w:tcW w:w="1360" w:type="dxa"/>
            <w:vAlign w:val="bottom"/>
            <w:tcBorders>
              <w:bottom w:val="single" w:sz="8" w:color="auto"/>
            </w:tcBorders>
          </w:tcPr>
          <w:p>
            <w:pPr>
              <w:jc w:val="center"/>
              <w:ind w:right="201"/>
              <w:spacing w:after="0"/>
              <w:rPr>
                <w:sz w:val="20"/>
                <w:szCs w:val="20"/>
                <w:color w:val="auto"/>
              </w:rPr>
            </w:pPr>
            <w:r>
              <w:rPr>
                <w:rFonts w:ascii="Calibri" w:cs="Calibri" w:eastAsia="Calibri" w:hAnsi="Calibri"/>
                <w:sz w:val="12"/>
                <w:szCs w:val="12"/>
                <w:color w:val="auto"/>
              </w:rPr>
              <w:t>(296)</w:t>
            </w:r>
          </w:p>
        </w:tc>
        <w:tc>
          <w:tcPr>
            <w:tcW w:w="1200" w:type="dxa"/>
            <w:vAlign w:val="bottom"/>
            <w:tcBorders>
              <w:bottom w:val="single" w:sz="8" w:color="auto"/>
              <w:right w:val="single" w:sz="8" w:color="auto"/>
            </w:tcBorders>
          </w:tcPr>
          <w:p>
            <w:pPr>
              <w:jc w:val="center"/>
              <w:ind w:right="81"/>
              <w:spacing w:after="0"/>
              <w:rPr>
                <w:sz w:val="20"/>
                <w:szCs w:val="20"/>
                <w:color w:val="auto"/>
              </w:rPr>
            </w:pPr>
            <w:r>
              <w:rPr>
                <w:rFonts w:ascii="Calibri" w:cs="Calibri" w:eastAsia="Calibri" w:hAnsi="Calibri"/>
                <w:sz w:val="12"/>
                <w:szCs w:val="12"/>
                <w:color w:val="auto"/>
              </w:rPr>
              <w:t>(302)</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2.0%</w:t>
            </w:r>
          </w:p>
        </w:tc>
        <w:tc>
          <w:tcPr>
            <w:tcW w:w="1400" w:type="dxa"/>
            <w:vAlign w:val="bottom"/>
            <w:tcBorders>
              <w:bottom w:val="single" w:sz="8" w:color="auto"/>
              <w:right w:val="single" w:sz="8" w:color="auto"/>
            </w:tcBorders>
          </w:tcPr>
          <w:p>
            <w:pPr>
              <w:jc w:val="center"/>
              <w:ind w:left="161"/>
              <w:spacing w:after="0"/>
              <w:rPr>
                <w:sz w:val="20"/>
                <w:szCs w:val="20"/>
                <w:color w:val="auto"/>
              </w:rPr>
            </w:pPr>
            <w:r>
              <w:rPr>
                <w:rFonts w:ascii="Calibri" w:cs="Calibri" w:eastAsia="Calibri" w:hAnsi="Calibri"/>
                <w:sz w:val="12"/>
                <w:szCs w:val="12"/>
                <w:color w:val="auto"/>
              </w:rPr>
              <w:t>11.6%</w:t>
            </w:r>
          </w:p>
        </w:tc>
        <w:tc>
          <w:tcPr>
            <w:tcW w:w="0" w:type="dxa"/>
            <w:vAlign w:val="bottom"/>
          </w:tcPr>
          <w:p>
            <w:pPr>
              <w:spacing w:after="0"/>
              <w:rPr>
                <w:sz w:val="1"/>
                <w:szCs w:val="1"/>
                <w:color w:val="auto"/>
              </w:rPr>
            </w:pPr>
          </w:p>
        </w:tc>
      </w:tr>
      <w:tr>
        <w:trPr>
          <w:trHeight w:val="167"/>
        </w:trPr>
        <w:tc>
          <w:tcPr>
            <w:tcW w:w="4520" w:type="dxa"/>
            <w:vAlign w:val="bottom"/>
            <w:tcBorders>
              <w:left w:val="single" w:sz="8" w:color="auto"/>
              <w:bottom w:val="single" w:sz="8" w:color="auto"/>
              <w:right w:val="single" w:sz="8" w:color="auto"/>
            </w:tcBorders>
          </w:tcPr>
          <w:p>
            <w:pPr>
              <w:spacing w:after="0"/>
              <w:rPr>
                <w:sz w:val="20"/>
                <w:szCs w:val="20"/>
                <w:color w:val="auto"/>
              </w:rPr>
            </w:pPr>
            <w:r>
              <w:rPr>
                <w:rFonts w:ascii="Calibri" w:cs="Calibri" w:eastAsia="Calibri" w:hAnsi="Calibri"/>
                <w:sz w:val="12"/>
                <w:szCs w:val="12"/>
                <w:b w:val="1"/>
                <w:bCs w:val="1"/>
                <w:color w:val="auto"/>
              </w:rPr>
              <w:t>Total</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40"/>
              <w:spacing w:after="0"/>
              <w:rPr>
                <w:sz w:val="20"/>
                <w:szCs w:val="20"/>
                <w:color w:val="auto"/>
              </w:rPr>
            </w:pPr>
            <w:r>
              <w:rPr>
                <w:rFonts w:ascii="Calibri" w:cs="Calibri" w:eastAsia="Calibri" w:hAnsi="Calibri"/>
                <w:sz w:val="12"/>
                <w:szCs w:val="12"/>
                <w:b w:val="1"/>
                <w:bCs w:val="1"/>
                <w:color w:val="auto"/>
              </w:rPr>
              <w:t>2,636,182</w:t>
            </w:r>
          </w:p>
        </w:tc>
        <w:tc>
          <w:tcPr>
            <w:tcW w:w="1360" w:type="dxa"/>
            <w:vAlign w:val="bottom"/>
            <w:tcBorders>
              <w:bottom w:val="single" w:sz="8" w:color="auto"/>
            </w:tcBorders>
          </w:tcPr>
          <w:p>
            <w:pPr>
              <w:jc w:val="center"/>
              <w:ind w:right="201"/>
              <w:spacing w:after="0"/>
              <w:rPr>
                <w:sz w:val="20"/>
                <w:szCs w:val="20"/>
                <w:color w:val="auto"/>
              </w:rPr>
            </w:pPr>
            <w:r>
              <w:rPr>
                <w:rFonts w:ascii="Calibri" w:cs="Calibri" w:eastAsia="Calibri" w:hAnsi="Calibri"/>
                <w:sz w:val="12"/>
                <w:szCs w:val="12"/>
                <w:b w:val="1"/>
                <w:bCs w:val="1"/>
                <w:color w:val="auto"/>
              </w:rPr>
              <w:t>2,439,227</w:t>
            </w:r>
          </w:p>
        </w:tc>
        <w:tc>
          <w:tcPr>
            <w:tcW w:w="1200" w:type="dxa"/>
            <w:vAlign w:val="bottom"/>
            <w:tcBorders>
              <w:bottom w:val="single" w:sz="8" w:color="auto"/>
              <w:right w:val="single" w:sz="8" w:color="auto"/>
            </w:tcBorders>
          </w:tcPr>
          <w:p>
            <w:pPr>
              <w:jc w:val="center"/>
              <w:ind w:right="81"/>
              <w:spacing w:after="0"/>
              <w:rPr>
                <w:sz w:val="20"/>
                <w:szCs w:val="20"/>
                <w:color w:val="auto"/>
              </w:rPr>
            </w:pPr>
            <w:r>
              <w:rPr>
                <w:rFonts w:ascii="Calibri" w:cs="Calibri" w:eastAsia="Calibri" w:hAnsi="Calibri"/>
                <w:sz w:val="12"/>
                <w:szCs w:val="12"/>
                <w:b w:val="1"/>
                <w:bCs w:val="1"/>
                <w:color w:val="auto"/>
              </w:rPr>
              <w:t>2,357,337</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r>
              <w:rPr>
                <w:rFonts w:ascii="Calibri" w:cs="Calibri" w:eastAsia="Calibri" w:hAnsi="Calibri"/>
                <w:sz w:val="12"/>
                <w:szCs w:val="12"/>
                <w:b w:val="1"/>
                <w:bCs w:val="1"/>
                <w:color w:val="auto"/>
                <w:w w:val="99"/>
              </w:rPr>
              <w:t>3.4%</w:t>
            </w:r>
          </w:p>
        </w:tc>
        <w:tc>
          <w:tcPr>
            <w:tcW w:w="1400" w:type="dxa"/>
            <w:vAlign w:val="bottom"/>
            <w:tcBorders>
              <w:bottom w:val="single" w:sz="8" w:color="auto"/>
              <w:right w:val="single" w:sz="8" w:color="auto"/>
            </w:tcBorders>
          </w:tcPr>
          <w:p>
            <w:pPr>
              <w:jc w:val="center"/>
              <w:ind w:left="161"/>
              <w:spacing w:after="0"/>
              <w:rPr>
                <w:sz w:val="20"/>
                <w:szCs w:val="20"/>
                <w:color w:val="auto"/>
              </w:rPr>
            </w:pPr>
            <w:r>
              <w:rPr>
                <w:rFonts w:ascii="Calibri" w:cs="Calibri" w:eastAsia="Calibri" w:hAnsi="Calibri"/>
                <w:sz w:val="12"/>
                <w:szCs w:val="12"/>
                <w:b w:val="1"/>
                <w:bCs w:val="1"/>
                <w:color w:val="auto"/>
              </w:rPr>
              <w:t>-10.6%</w:t>
            </w:r>
          </w:p>
        </w:tc>
        <w:tc>
          <w:tcPr>
            <w:tcW w:w="0" w:type="dxa"/>
            <w:vAlign w:val="bottom"/>
          </w:tcPr>
          <w:p>
            <w:pPr>
              <w:spacing w:after="0"/>
              <w:rPr>
                <w:sz w:val="1"/>
                <w:szCs w:val="1"/>
                <w:color w:val="auto"/>
              </w:rPr>
            </w:pPr>
          </w:p>
        </w:tc>
      </w:tr>
      <w:tr>
        <w:trPr>
          <w:trHeight w:val="191"/>
        </w:trPr>
        <w:tc>
          <w:tcPr>
            <w:tcW w:w="4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60" w:type="dxa"/>
            <w:vAlign w:val="bottom"/>
            <w:tcBorders>
              <w:left w:val="single" w:sz="8" w:color="auto"/>
              <w:bottom w:val="single" w:sz="8" w:color="auto"/>
              <w:right w:val="single" w:sz="8" w:color="auto"/>
            </w:tcBorders>
            <w:gridSpan w:val="2"/>
          </w:tcPr>
          <w:p>
            <w:pPr>
              <w:spacing w:after="0"/>
              <w:rPr>
                <w:sz w:val="20"/>
                <w:szCs w:val="20"/>
                <w:color w:val="auto"/>
              </w:rPr>
            </w:pPr>
            <w:r>
              <w:rPr>
                <w:rFonts w:ascii="Calibri" w:cs="Calibri" w:eastAsia="Calibri" w:hAnsi="Calibri"/>
                <w:sz w:val="12"/>
                <w:szCs w:val="12"/>
                <w:b w:val="1"/>
                <w:bCs w:val="1"/>
                <w:color w:val="auto"/>
              </w:rPr>
              <w:t>Adjusted RWAs IFRS</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0"/>
              <w:spacing w:after="0"/>
              <w:rPr>
                <w:sz w:val="20"/>
                <w:szCs w:val="20"/>
                <w:color w:val="auto"/>
              </w:rPr>
            </w:pPr>
            <w:r>
              <w:rPr>
                <w:rFonts w:ascii="Calibri" w:cs="Calibri" w:eastAsia="Calibri" w:hAnsi="Calibri"/>
                <w:sz w:val="12"/>
                <w:szCs w:val="12"/>
                <w:b w:val="1"/>
                <w:bCs w:val="1"/>
                <w:color w:val="auto"/>
              </w:rPr>
              <w:t>14,349,534</w:t>
            </w:r>
          </w:p>
        </w:tc>
        <w:tc>
          <w:tcPr>
            <w:tcW w:w="1360" w:type="dxa"/>
            <w:vAlign w:val="bottom"/>
            <w:tcBorders>
              <w:bottom w:val="single" w:sz="8" w:color="auto"/>
            </w:tcBorders>
          </w:tcPr>
          <w:p>
            <w:pPr>
              <w:jc w:val="center"/>
              <w:ind w:right="141"/>
              <w:spacing w:after="0"/>
              <w:rPr>
                <w:sz w:val="20"/>
                <w:szCs w:val="20"/>
                <w:color w:val="auto"/>
              </w:rPr>
            </w:pPr>
            <w:r>
              <w:rPr>
                <w:rFonts w:ascii="Calibri" w:cs="Calibri" w:eastAsia="Calibri" w:hAnsi="Calibri"/>
                <w:sz w:val="12"/>
                <w:szCs w:val="12"/>
                <w:b w:val="1"/>
                <w:bCs w:val="1"/>
                <w:color w:val="auto"/>
              </w:rPr>
              <w:t>13,291,063</w:t>
            </w:r>
          </w:p>
        </w:tc>
        <w:tc>
          <w:tcPr>
            <w:tcW w:w="1200" w:type="dxa"/>
            <w:vAlign w:val="bottom"/>
            <w:tcBorders>
              <w:bottom w:val="single" w:sz="8" w:color="auto"/>
            </w:tcBorders>
          </w:tcPr>
          <w:p>
            <w:pPr>
              <w:jc w:val="center"/>
              <w:ind w:right="21"/>
              <w:spacing w:after="0"/>
              <w:rPr>
                <w:sz w:val="20"/>
                <w:szCs w:val="20"/>
                <w:color w:val="auto"/>
              </w:rPr>
            </w:pPr>
            <w:r>
              <w:rPr>
                <w:rFonts w:ascii="Calibri" w:cs="Calibri" w:eastAsia="Calibri" w:hAnsi="Calibri"/>
                <w:sz w:val="12"/>
                <w:szCs w:val="12"/>
                <w:b w:val="1"/>
                <w:bCs w:val="1"/>
                <w:color w:val="auto"/>
              </w:rPr>
              <w:t>13,449,807</w:t>
            </w:r>
          </w:p>
        </w:tc>
        <w:tc>
          <w:tcPr>
            <w:tcW w:w="4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01"/>
              <w:spacing w:after="0"/>
              <w:rPr>
                <w:sz w:val="20"/>
                <w:szCs w:val="20"/>
                <w:color w:val="auto"/>
              </w:rPr>
            </w:pPr>
            <w:r>
              <w:rPr>
                <w:rFonts w:ascii="Calibri" w:cs="Calibri" w:eastAsia="Calibri" w:hAnsi="Calibri"/>
                <w:sz w:val="12"/>
                <w:szCs w:val="12"/>
                <w:b w:val="1"/>
                <w:bCs w:val="1"/>
                <w:color w:val="auto"/>
              </w:rPr>
              <w:t>1.2%</w:t>
            </w:r>
          </w:p>
        </w:tc>
        <w:tc>
          <w:tcPr>
            <w:tcW w:w="1400" w:type="dxa"/>
            <w:vAlign w:val="bottom"/>
            <w:tcBorders>
              <w:bottom w:val="single" w:sz="8" w:color="auto"/>
              <w:right w:val="single" w:sz="8" w:color="auto"/>
            </w:tcBorders>
          </w:tcPr>
          <w:p>
            <w:pPr>
              <w:jc w:val="right"/>
              <w:ind w:right="381"/>
              <w:spacing w:after="0"/>
              <w:rPr>
                <w:sz w:val="20"/>
                <w:szCs w:val="20"/>
                <w:color w:val="auto"/>
              </w:rPr>
            </w:pPr>
            <w:r>
              <w:rPr>
                <w:rFonts w:ascii="Times New Roman" w:cs="Times New Roman" w:eastAsia="Times New Roman" w:hAnsi="Times New Roman"/>
                <w:sz w:val="12"/>
                <w:szCs w:val="12"/>
                <w:b w:val="1"/>
                <w:bCs w:val="1"/>
                <w:color w:val="auto"/>
              </w:rPr>
              <w:t>-</w:t>
            </w:r>
            <w:r>
              <w:rPr>
                <w:rFonts w:ascii="Calibri" w:cs="Calibri" w:eastAsia="Calibri" w:hAnsi="Calibri"/>
                <w:sz w:val="12"/>
                <w:szCs w:val="12"/>
                <w:b w:val="1"/>
                <w:bCs w:val="1"/>
                <w:color w:val="auto"/>
              </w:rPr>
              <w:t>6.3%</w:t>
            </w:r>
          </w:p>
        </w:tc>
        <w:tc>
          <w:tcPr>
            <w:tcW w:w="0" w:type="dxa"/>
            <w:vAlign w:val="bottom"/>
          </w:tcPr>
          <w:p>
            <w:pPr>
              <w:spacing w:after="0"/>
              <w:rPr>
                <w:sz w:val="1"/>
                <w:szCs w:val="1"/>
                <w:color w:val="auto"/>
              </w:rPr>
            </w:pPr>
          </w:p>
        </w:tc>
      </w:tr>
      <w:tr>
        <w:trPr>
          <w:trHeight w:val="159"/>
        </w:trPr>
        <w:tc>
          <w:tcPr>
            <w:tcW w:w="4560" w:type="dxa"/>
            <w:vAlign w:val="bottom"/>
            <w:tcBorders>
              <w:left w:val="single" w:sz="8" w:color="auto"/>
              <w:right w:val="single" w:sz="8" w:color="auto"/>
            </w:tcBorders>
            <w:gridSpan w:val="2"/>
          </w:tcPr>
          <w:p>
            <w:pPr>
              <w:ind w:left="160"/>
              <w:spacing w:after="0"/>
              <w:rPr>
                <w:sz w:val="20"/>
                <w:szCs w:val="20"/>
                <w:color w:val="auto"/>
              </w:rPr>
            </w:pPr>
            <w:r>
              <w:rPr>
                <w:rFonts w:ascii="Calibri" w:cs="Calibri" w:eastAsia="Calibri" w:hAnsi="Calibri"/>
                <w:sz w:val="12"/>
                <w:szCs w:val="12"/>
                <w:color w:val="auto"/>
              </w:rPr>
              <w:t>Adjusted Credit RWAs IFRS</w:t>
            </w:r>
          </w:p>
        </w:tc>
        <w:tc>
          <w:tcPr>
            <w:tcW w:w="220" w:type="dxa"/>
            <w:vAlign w:val="bottom"/>
          </w:tcPr>
          <w:p>
            <w:pPr>
              <w:spacing w:after="0"/>
              <w:rPr>
                <w:sz w:val="13"/>
                <w:szCs w:val="13"/>
                <w:color w:val="auto"/>
              </w:rPr>
            </w:pPr>
          </w:p>
        </w:tc>
        <w:tc>
          <w:tcPr>
            <w:tcW w:w="1060" w:type="dxa"/>
            <w:vAlign w:val="bottom"/>
          </w:tcPr>
          <w:p>
            <w:pPr>
              <w:jc w:val="center"/>
              <w:ind w:right="280"/>
              <w:spacing w:after="0"/>
              <w:rPr>
                <w:sz w:val="20"/>
                <w:szCs w:val="20"/>
                <w:color w:val="auto"/>
              </w:rPr>
            </w:pPr>
            <w:r>
              <w:rPr>
                <w:rFonts w:ascii="Calibri" w:cs="Calibri" w:eastAsia="Calibri" w:hAnsi="Calibri"/>
                <w:sz w:val="12"/>
                <w:szCs w:val="12"/>
                <w:color w:val="auto"/>
              </w:rPr>
              <w:t>12,595,184</w:t>
            </w:r>
          </w:p>
        </w:tc>
        <w:tc>
          <w:tcPr>
            <w:tcW w:w="1360" w:type="dxa"/>
            <w:vAlign w:val="bottom"/>
          </w:tcPr>
          <w:p>
            <w:pPr>
              <w:jc w:val="center"/>
              <w:ind w:right="141"/>
              <w:spacing w:after="0"/>
              <w:rPr>
                <w:sz w:val="20"/>
                <w:szCs w:val="20"/>
                <w:color w:val="auto"/>
              </w:rPr>
            </w:pPr>
            <w:r>
              <w:rPr>
                <w:rFonts w:ascii="Calibri" w:cs="Calibri" w:eastAsia="Calibri" w:hAnsi="Calibri"/>
                <w:sz w:val="12"/>
                <w:szCs w:val="12"/>
                <w:color w:val="auto"/>
              </w:rPr>
              <w:t>11,455,585</w:t>
            </w:r>
          </w:p>
        </w:tc>
        <w:tc>
          <w:tcPr>
            <w:tcW w:w="1200" w:type="dxa"/>
            <w:vAlign w:val="bottom"/>
          </w:tcPr>
          <w:p>
            <w:pPr>
              <w:jc w:val="center"/>
              <w:ind w:right="21"/>
              <w:spacing w:after="0"/>
              <w:rPr>
                <w:sz w:val="20"/>
                <w:szCs w:val="20"/>
                <w:color w:val="auto"/>
              </w:rPr>
            </w:pPr>
            <w:r>
              <w:rPr>
                <w:rFonts w:ascii="Calibri" w:cs="Calibri" w:eastAsia="Calibri" w:hAnsi="Calibri"/>
                <w:sz w:val="12"/>
                <w:szCs w:val="12"/>
                <w:color w:val="auto"/>
              </w:rPr>
              <w:t>11,597,881</w:t>
            </w:r>
          </w:p>
        </w:tc>
        <w:tc>
          <w:tcPr>
            <w:tcW w:w="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21"/>
              <w:spacing w:after="0"/>
              <w:rPr>
                <w:sz w:val="20"/>
                <w:szCs w:val="20"/>
                <w:color w:val="auto"/>
              </w:rPr>
            </w:pPr>
            <w:r>
              <w:rPr>
                <w:rFonts w:ascii="Calibri" w:cs="Calibri" w:eastAsia="Calibri" w:hAnsi="Calibri"/>
                <w:sz w:val="12"/>
                <w:szCs w:val="12"/>
                <w:color w:val="auto"/>
              </w:rPr>
              <w:t>1.2%</w:t>
            </w:r>
          </w:p>
        </w:tc>
        <w:tc>
          <w:tcPr>
            <w:tcW w:w="1400" w:type="dxa"/>
            <w:vAlign w:val="bottom"/>
            <w:tcBorders>
              <w:right w:val="single" w:sz="8" w:color="auto"/>
            </w:tcBorders>
          </w:tcPr>
          <w:p>
            <w:pPr>
              <w:jc w:val="right"/>
              <w:ind w:right="381"/>
              <w:spacing w:after="0"/>
              <w:rPr>
                <w:sz w:val="20"/>
                <w:szCs w:val="20"/>
                <w:color w:val="auto"/>
              </w:rPr>
            </w:pPr>
            <w:r>
              <w:rPr>
                <w:rFonts w:ascii="Times New Roman" w:cs="Times New Roman" w:eastAsia="Times New Roman" w:hAnsi="Times New Roman"/>
                <w:sz w:val="12"/>
                <w:szCs w:val="12"/>
                <w:color w:val="auto"/>
              </w:rPr>
              <w:t>-</w:t>
            </w:r>
            <w:r>
              <w:rPr>
                <w:rFonts w:ascii="Calibri" w:cs="Calibri" w:eastAsia="Calibri" w:hAnsi="Calibri"/>
                <w:sz w:val="12"/>
                <w:szCs w:val="12"/>
                <w:color w:val="auto"/>
              </w:rPr>
              <w:t>7.9%</w:t>
            </w:r>
          </w:p>
        </w:tc>
        <w:tc>
          <w:tcPr>
            <w:tcW w:w="0" w:type="dxa"/>
            <w:vAlign w:val="bottom"/>
          </w:tcPr>
          <w:p>
            <w:pPr>
              <w:spacing w:after="0"/>
              <w:rPr>
                <w:sz w:val="1"/>
                <w:szCs w:val="1"/>
                <w:color w:val="auto"/>
              </w:rPr>
            </w:pPr>
          </w:p>
        </w:tc>
      </w:tr>
      <w:tr>
        <w:trPr>
          <w:trHeight w:val="156"/>
        </w:trPr>
        <w:tc>
          <w:tcPr>
            <w:tcW w:w="4560" w:type="dxa"/>
            <w:vAlign w:val="bottom"/>
            <w:tcBorders>
              <w:left w:val="single" w:sz="8" w:color="auto"/>
              <w:right w:val="single" w:sz="8" w:color="auto"/>
            </w:tcBorders>
            <w:gridSpan w:val="2"/>
          </w:tcPr>
          <w:p>
            <w:pPr>
              <w:ind w:left="160"/>
              <w:spacing w:after="0" w:line="157" w:lineRule="exact"/>
              <w:rPr>
                <w:sz w:val="20"/>
                <w:szCs w:val="20"/>
                <w:color w:val="auto"/>
              </w:rPr>
            </w:pPr>
            <w:r>
              <w:rPr>
                <w:rFonts w:ascii="Calibri" w:cs="Calibri" w:eastAsia="Calibri" w:hAnsi="Calibri"/>
                <w:sz w:val="13"/>
                <w:szCs w:val="13"/>
                <w:color w:val="auto"/>
              </w:rPr>
              <w:t>Others</w:t>
            </w:r>
          </w:p>
        </w:tc>
        <w:tc>
          <w:tcPr>
            <w:tcW w:w="220" w:type="dxa"/>
            <w:vAlign w:val="bottom"/>
          </w:tcPr>
          <w:p>
            <w:pPr>
              <w:spacing w:after="0"/>
              <w:rPr>
                <w:sz w:val="13"/>
                <w:szCs w:val="13"/>
                <w:color w:val="auto"/>
              </w:rPr>
            </w:pPr>
          </w:p>
        </w:tc>
        <w:tc>
          <w:tcPr>
            <w:tcW w:w="1060" w:type="dxa"/>
            <w:vAlign w:val="bottom"/>
          </w:tcPr>
          <w:p>
            <w:pPr>
              <w:jc w:val="center"/>
              <w:ind w:right="280"/>
              <w:spacing w:after="0"/>
              <w:rPr>
                <w:sz w:val="20"/>
                <w:szCs w:val="20"/>
                <w:color w:val="auto"/>
              </w:rPr>
            </w:pPr>
            <w:r>
              <w:rPr>
                <w:rFonts w:ascii="Calibri" w:cs="Calibri" w:eastAsia="Calibri" w:hAnsi="Calibri"/>
                <w:sz w:val="12"/>
                <w:szCs w:val="12"/>
                <w:color w:val="auto"/>
                <w:w w:val="98"/>
              </w:rPr>
              <w:t>1,754,350</w:t>
            </w:r>
          </w:p>
        </w:tc>
        <w:tc>
          <w:tcPr>
            <w:tcW w:w="1360" w:type="dxa"/>
            <w:vAlign w:val="bottom"/>
          </w:tcPr>
          <w:p>
            <w:pPr>
              <w:jc w:val="center"/>
              <w:ind w:right="141"/>
              <w:spacing w:after="0"/>
              <w:rPr>
                <w:sz w:val="20"/>
                <w:szCs w:val="20"/>
                <w:color w:val="auto"/>
              </w:rPr>
            </w:pPr>
            <w:r>
              <w:rPr>
                <w:rFonts w:ascii="Calibri" w:cs="Calibri" w:eastAsia="Calibri" w:hAnsi="Calibri"/>
                <w:sz w:val="12"/>
                <w:szCs w:val="12"/>
                <w:color w:val="auto"/>
                <w:w w:val="98"/>
              </w:rPr>
              <w:t>1,835,478</w:t>
            </w:r>
          </w:p>
        </w:tc>
        <w:tc>
          <w:tcPr>
            <w:tcW w:w="1200" w:type="dxa"/>
            <w:vAlign w:val="bottom"/>
          </w:tcPr>
          <w:p>
            <w:pPr>
              <w:jc w:val="center"/>
              <w:ind w:right="1"/>
              <w:spacing w:after="0"/>
              <w:rPr>
                <w:sz w:val="20"/>
                <w:szCs w:val="20"/>
                <w:color w:val="auto"/>
              </w:rPr>
            </w:pPr>
            <w:r>
              <w:rPr>
                <w:rFonts w:ascii="Calibri" w:cs="Calibri" w:eastAsia="Calibri" w:hAnsi="Calibri"/>
                <w:sz w:val="12"/>
                <w:szCs w:val="12"/>
                <w:color w:val="auto"/>
              </w:rPr>
              <w:t>1,851,926</w:t>
            </w:r>
          </w:p>
        </w:tc>
        <w:tc>
          <w:tcPr>
            <w:tcW w:w="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21"/>
              <w:spacing w:after="0"/>
              <w:rPr>
                <w:sz w:val="20"/>
                <w:szCs w:val="20"/>
                <w:color w:val="auto"/>
              </w:rPr>
            </w:pPr>
            <w:r>
              <w:rPr>
                <w:rFonts w:ascii="Calibri" w:cs="Calibri" w:eastAsia="Calibri" w:hAnsi="Calibri"/>
                <w:sz w:val="12"/>
                <w:szCs w:val="12"/>
                <w:color w:val="auto"/>
              </w:rPr>
              <w:t>0.9%</w:t>
            </w:r>
          </w:p>
        </w:tc>
        <w:tc>
          <w:tcPr>
            <w:tcW w:w="1400" w:type="dxa"/>
            <w:vAlign w:val="bottom"/>
            <w:tcBorders>
              <w:right w:val="single" w:sz="8" w:color="auto"/>
            </w:tcBorders>
          </w:tcPr>
          <w:p>
            <w:pPr>
              <w:jc w:val="center"/>
              <w:ind w:left="181"/>
              <w:spacing w:after="0"/>
              <w:rPr>
                <w:sz w:val="20"/>
                <w:szCs w:val="20"/>
                <w:color w:val="auto"/>
              </w:rPr>
            </w:pPr>
            <w:r>
              <w:rPr>
                <w:rFonts w:ascii="Calibri" w:cs="Calibri" w:eastAsia="Calibri" w:hAnsi="Calibri"/>
                <w:sz w:val="12"/>
                <w:szCs w:val="12"/>
                <w:color w:val="auto"/>
              </w:rPr>
              <w:t>5.6%</w:t>
            </w:r>
          </w:p>
        </w:tc>
        <w:tc>
          <w:tcPr>
            <w:tcW w:w="0" w:type="dxa"/>
            <w:vAlign w:val="bottom"/>
          </w:tcPr>
          <w:p>
            <w:pPr>
              <w:spacing w:after="0"/>
              <w:rPr>
                <w:sz w:val="1"/>
                <w:szCs w:val="1"/>
                <w:color w:val="auto"/>
              </w:rPr>
            </w:pPr>
          </w:p>
        </w:tc>
      </w:tr>
      <w:tr>
        <w:trPr>
          <w:trHeight w:val="20"/>
        </w:trPr>
        <w:tc>
          <w:tcPr>
            <w:tcW w:w="452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52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2"/>
                <w:szCs w:val="12"/>
                <w:b w:val="1"/>
                <w:bCs w:val="1"/>
                <w:color w:val="auto"/>
              </w:rPr>
              <w:t>CET1 rato IFRS</w:t>
            </w:r>
          </w:p>
        </w:tc>
        <w:tc>
          <w:tcPr>
            <w:tcW w:w="40" w:type="dxa"/>
            <w:vAlign w:val="bottom"/>
            <w:tcBorders>
              <w:bottom w:val="single" w:sz="8" w:color="auto"/>
              <w:right w:val="single" w:sz="8" w:color="auto"/>
            </w:tcBorders>
            <w:shd w:val="clear" w:color="auto" w:fill="000000"/>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300"/>
              <w:spacing w:after="0"/>
              <w:rPr>
                <w:sz w:val="20"/>
                <w:szCs w:val="20"/>
                <w:color w:val="auto"/>
              </w:rPr>
            </w:pPr>
            <w:r>
              <w:rPr>
                <w:rFonts w:ascii="Calibri" w:cs="Calibri" w:eastAsia="Calibri" w:hAnsi="Calibri"/>
                <w:sz w:val="12"/>
                <w:szCs w:val="12"/>
                <w:b w:val="1"/>
                <w:bCs w:val="1"/>
                <w:color w:val="auto"/>
              </w:rPr>
              <w:t>18.37%</w:t>
            </w:r>
          </w:p>
        </w:tc>
        <w:tc>
          <w:tcPr>
            <w:tcW w:w="1360" w:type="dxa"/>
            <w:vAlign w:val="bottom"/>
            <w:tcBorders>
              <w:bottom w:val="single" w:sz="8" w:color="auto"/>
            </w:tcBorders>
          </w:tcPr>
          <w:p>
            <w:pPr>
              <w:jc w:val="right"/>
              <w:ind w:right="541"/>
              <w:spacing w:after="0"/>
              <w:rPr>
                <w:sz w:val="20"/>
                <w:szCs w:val="20"/>
                <w:color w:val="auto"/>
              </w:rPr>
            </w:pPr>
            <w:r>
              <w:rPr>
                <w:rFonts w:ascii="Calibri" w:cs="Calibri" w:eastAsia="Calibri" w:hAnsi="Calibri"/>
                <w:sz w:val="12"/>
                <w:szCs w:val="12"/>
                <w:b w:val="1"/>
                <w:bCs w:val="1"/>
                <w:color w:val="auto"/>
              </w:rPr>
              <w:t>18.35%</w:t>
            </w:r>
          </w:p>
        </w:tc>
        <w:tc>
          <w:tcPr>
            <w:tcW w:w="1200" w:type="dxa"/>
            <w:vAlign w:val="bottom"/>
            <w:tcBorders>
              <w:bottom w:val="single" w:sz="8" w:color="auto"/>
            </w:tcBorders>
          </w:tcPr>
          <w:p>
            <w:pPr>
              <w:jc w:val="right"/>
              <w:ind w:right="401"/>
              <w:spacing w:after="0"/>
              <w:rPr>
                <w:sz w:val="20"/>
                <w:szCs w:val="20"/>
                <w:color w:val="auto"/>
              </w:rPr>
            </w:pPr>
            <w:r>
              <w:rPr>
                <w:rFonts w:ascii="Calibri" w:cs="Calibri" w:eastAsia="Calibri" w:hAnsi="Calibri"/>
                <w:sz w:val="12"/>
                <w:szCs w:val="12"/>
                <w:b w:val="1"/>
                <w:bCs w:val="1"/>
                <w:color w:val="auto"/>
              </w:rPr>
              <w:t>17.53%</w:t>
            </w:r>
          </w:p>
        </w:tc>
        <w:tc>
          <w:tcPr>
            <w:tcW w:w="4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1"/>
              <w:spacing w:after="0"/>
              <w:rPr>
                <w:sz w:val="20"/>
                <w:szCs w:val="20"/>
                <w:color w:val="auto"/>
              </w:rPr>
            </w:pPr>
            <w:r>
              <w:rPr>
                <w:rFonts w:ascii="Calibri" w:cs="Calibri" w:eastAsia="Calibri" w:hAnsi="Calibri"/>
                <w:sz w:val="12"/>
                <w:szCs w:val="12"/>
                <w:b w:val="1"/>
                <w:bCs w:val="1"/>
                <w:color w:val="auto"/>
              </w:rPr>
              <w:t>-83 bps</w:t>
            </w:r>
          </w:p>
        </w:tc>
        <w:tc>
          <w:tcPr>
            <w:tcW w:w="1400" w:type="dxa"/>
            <w:vAlign w:val="bottom"/>
            <w:tcBorders>
              <w:bottom w:val="single" w:sz="8" w:color="auto"/>
              <w:right w:val="single" w:sz="8" w:color="auto"/>
            </w:tcBorders>
          </w:tcPr>
          <w:p>
            <w:pPr>
              <w:jc w:val="center"/>
              <w:ind w:left="181"/>
              <w:spacing w:after="0"/>
              <w:rPr>
                <w:sz w:val="20"/>
                <w:szCs w:val="20"/>
                <w:color w:val="auto"/>
              </w:rPr>
            </w:pPr>
            <w:r>
              <w:rPr>
                <w:rFonts w:ascii="Calibri" w:cs="Calibri" w:eastAsia="Calibri" w:hAnsi="Calibri"/>
                <w:sz w:val="12"/>
                <w:szCs w:val="12"/>
                <w:b w:val="1"/>
                <w:bCs w:val="1"/>
                <w:color w:val="auto"/>
                <w:w w:val="99"/>
              </w:rPr>
              <w:t>-84 bps</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36830</wp:posOffset>
            </wp:positionV>
            <wp:extent cx="713613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940"/>
          </w:cols>
          <w:pgMar w:left="620" w:top="279" w:right="339" w:bottom="1440" w:gutter="0" w:footer="0" w:header="0"/>
        </w:sectPr>
      </w:pPr>
    </w:p>
    <w:bookmarkStart w:id="57" w:name="page58"/>
    <w:bookmarkEnd w:id="57"/>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 Financial Statements and Ratios by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12.6.1. Credicorp Consolidated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Credicorp Ltd. and Subsidiaries</w:t>
      </w: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5100" w:type="dxa"/>
            <w:vAlign w:val="bottom"/>
            <w:tcBorders>
              <w:top w:val="single" w:sz="8" w:color="auto"/>
              <w:left w:val="single" w:sz="8" w:color="auto"/>
              <w:right w:val="single" w:sz="8" w:color="auto"/>
            </w:tcBorders>
            <w:shd w:val="clear" w:color="auto" w:fill="33CCCC"/>
          </w:tcPr>
          <w:p>
            <w:pPr>
              <w:spacing w:after="0"/>
              <w:rPr>
                <w:sz w:val="10"/>
                <w:szCs w:val="10"/>
                <w:color w:val="auto"/>
              </w:rPr>
            </w:pPr>
          </w:p>
        </w:tc>
        <w:tc>
          <w:tcPr>
            <w:tcW w:w="1380" w:type="dxa"/>
            <w:vAlign w:val="bottom"/>
            <w:tcBorders>
              <w:top w:val="single" w:sz="8" w:color="auto"/>
            </w:tcBorders>
            <w:shd w:val="clear" w:color="auto" w:fill="33CCCC"/>
          </w:tcPr>
          <w:p>
            <w:pPr>
              <w:spacing w:after="0"/>
              <w:rPr>
                <w:sz w:val="10"/>
                <w:szCs w:val="10"/>
                <w:color w:val="auto"/>
              </w:rPr>
            </w:pPr>
          </w:p>
        </w:tc>
        <w:tc>
          <w:tcPr>
            <w:tcW w:w="1380" w:type="dxa"/>
            <w:vAlign w:val="bottom"/>
            <w:tcBorders>
              <w:top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As of</w:t>
            </w:r>
          </w:p>
        </w:tc>
        <w:tc>
          <w:tcPr>
            <w:tcW w:w="1400" w:type="dxa"/>
            <w:vAlign w:val="bottom"/>
            <w:tcBorders>
              <w:top w:val="single" w:sz="8" w:color="auto"/>
              <w:right w:val="single" w:sz="8" w:color="auto"/>
            </w:tcBorders>
            <w:shd w:val="clear" w:color="auto" w:fill="33CCCC"/>
          </w:tcPr>
          <w:p>
            <w:pPr>
              <w:spacing w:after="0"/>
              <w:rPr>
                <w:sz w:val="10"/>
                <w:szCs w:val="10"/>
                <w:color w:val="auto"/>
              </w:rPr>
            </w:pPr>
          </w:p>
        </w:tc>
        <w:tc>
          <w:tcPr>
            <w:tcW w:w="1980" w:type="dxa"/>
            <w:vAlign w:val="bottom"/>
            <w:tcBorders>
              <w:top w:val="single" w:sz="8" w:color="auto"/>
              <w:right w:val="single" w:sz="8" w:color="auto"/>
            </w:tcBorders>
            <w:gridSpan w:val="2"/>
            <w:shd w:val="clear" w:color="auto" w:fill="33CCCC"/>
          </w:tcPr>
          <w:p>
            <w:pPr>
              <w:ind w:left="740"/>
              <w:spacing w:after="0"/>
              <w:rPr>
                <w:sz w:val="20"/>
                <w:szCs w:val="20"/>
                <w:color w:val="auto"/>
              </w:rPr>
            </w:pPr>
            <w:r>
              <w:rPr>
                <w:rFonts w:ascii="Arial" w:cs="Arial" w:eastAsia="Arial" w:hAnsi="Arial"/>
                <w:sz w:val="10"/>
                <w:szCs w:val="10"/>
                <w:b w:val="1"/>
                <w:bCs w:val="1"/>
                <w:color w:val="FFFFFF"/>
              </w:rPr>
              <w:t>% change</w:t>
            </w:r>
          </w:p>
        </w:tc>
      </w:tr>
      <w:tr>
        <w:trPr>
          <w:trHeight w:val="131"/>
        </w:trPr>
        <w:tc>
          <w:tcPr>
            <w:tcW w:w="510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1380" w:type="dxa"/>
            <w:vAlign w:val="bottom"/>
            <w:tcBorders>
              <w:bottom w:val="single" w:sz="8" w:color="auto"/>
            </w:tcBorders>
            <w:shd w:val="clear" w:color="auto" w:fill="33CCCC"/>
          </w:tcPr>
          <w:p>
            <w:pPr>
              <w:ind w:left="520"/>
              <w:spacing w:after="0"/>
              <w:rPr>
                <w:sz w:val="20"/>
                <w:szCs w:val="20"/>
                <w:color w:val="auto"/>
              </w:rPr>
            </w:pPr>
            <w:r>
              <w:rPr>
                <w:rFonts w:ascii="Arial" w:cs="Arial" w:eastAsia="Arial" w:hAnsi="Arial"/>
                <w:sz w:val="10"/>
                <w:szCs w:val="10"/>
                <w:b w:val="1"/>
                <w:bCs w:val="1"/>
                <w:color w:val="FFFFFF"/>
              </w:rPr>
              <w:t>Dec 23</w:t>
            </w:r>
          </w:p>
        </w:tc>
        <w:tc>
          <w:tcPr>
            <w:tcW w:w="13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Sep 24</w:t>
            </w:r>
          </w:p>
        </w:tc>
        <w:tc>
          <w:tcPr>
            <w:tcW w:w="1400" w:type="dxa"/>
            <w:vAlign w:val="bottom"/>
            <w:tcBorders>
              <w:bottom w:val="single" w:sz="8" w:color="auto"/>
              <w:right w:val="single" w:sz="8" w:color="auto"/>
            </w:tcBorders>
            <w:shd w:val="clear" w:color="auto" w:fill="33CCCC"/>
          </w:tcPr>
          <w:p>
            <w:pPr>
              <w:ind w:left="520"/>
              <w:spacing w:after="0"/>
              <w:rPr>
                <w:sz w:val="20"/>
                <w:szCs w:val="20"/>
                <w:color w:val="auto"/>
              </w:rPr>
            </w:pPr>
            <w:r>
              <w:rPr>
                <w:rFonts w:ascii="Arial" w:cs="Arial" w:eastAsia="Arial" w:hAnsi="Arial"/>
                <w:sz w:val="10"/>
                <w:szCs w:val="10"/>
                <w:b w:val="1"/>
                <w:bCs w:val="1"/>
                <w:color w:val="FFFFFF"/>
              </w:rPr>
              <w:t>Dec 24</w:t>
            </w:r>
          </w:p>
        </w:tc>
        <w:tc>
          <w:tcPr>
            <w:tcW w:w="1000" w:type="dxa"/>
            <w:vAlign w:val="bottom"/>
            <w:tcBorders>
              <w:bottom w:val="single" w:sz="8" w:color="auto"/>
            </w:tcBorders>
            <w:shd w:val="clear" w:color="auto" w:fill="33CCCC"/>
          </w:tcPr>
          <w:p>
            <w:pPr>
              <w:ind w:left="620"/>
              <w:spacing w:after="0"/>
              <w:rPr>
                <w:sz w:val="20"/>
                <w:szCs w:val="20"/>
                <w:color w:val="auto"/>
              </w:rPr>
            </w:pPr>
            <w:r>
              <w:rPr>
                <w:rFonts w:ascii="Arial" w:cs="Arial" w:eastAsia="Arial" w:hAnsi="Arial"/>
                <w:sz w:val="10"/>
                <w:szCs w:val="10"/>
                <w:b w:val="1"/>
                <w:bCs w:val="1"/>
                <w:color w:val="FFFFFF"/>
              </w:rPr>
              <w:t>QoQ</w:t>
            </w:r>
          </w:p>
        </w:tc>
        <w:tc>
          <w:tcPr>
            <w:tcW w:w="980" w:type="dxa"/>
            <w:vAlign w:val="bottom"/>
            <w:tcBorders>
              <w:bottom w:val="single" w:sz="8" w:color="auto"/>
              <w:right w:val="single" w:sz="8" w:color="auto"/>
            </w:tcBorders>
            <w:shd w:val="clear" w:color="auto" w:fill="33CCCC"/>
          </w:tcPr>
          <w:p>
            <w:pPr>
              <w:ind w:left="140"/>
              <w:spacing w:after="0"/>
              <w:rPr>
                <w:sz w:val="20"/>
                <w:szCs w:val="20"/>
                <w:color w:val="auto"/>
              </w:rPr>
            </w:pPr>
            <w:r>
              <w:rPr>
                <w:rFonts w:ascii="Arial" w:cs="Arial" w:eastAsia="Arial" w:hAnsi="Arial"/>
                <w:sz w:val="10"/>
                <w:szCs w:val="10"/>
                <w:b w:val="1"/>
                <w:bCs w:val="1"/>
                <w:color w:val="FFFFFF"/>
              </w:rPr>
              <w:t>YoY</w:t>
            </w:r>
          </w:p>
        </w:tc>
      </w:tr>
      <w:tr>
        <w:trPr>
          <w:trHeight w:val="98"/>
        </w:trPr>
        <w:tc>
          <w:tcPr>
            <w:tcW w:w="5100" w:type="dxa"/>
            <w:vAlign w:val="bottom"/>
            <w:tcBorders>
              <w:left w:val="single" w:sz="8" w:color="auto"/>
              <w:right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ASSETS</w:t>
            </w: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Cash and due from banks</w:t>
            </w:r>
          </w:p>
        </w:tc>
        <w:tc>
          <w:tcPr>
            <w:tcW w:w="1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r>
      <w:tr>
        <w:trPr>
          <w:trHeight w:val="118"/>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Non-interest bearing</w:t>
            </w:r>
          </w:p>
        </w:tc>
        <w:tc>
          <w:tcPr>
            <w:tcW w:w="1380" w:type="dxa"/>
            <w:vAlign w:val="bottom"/>
          </w:tcPr>
          <w:p>
            <w:pPr>
              <w:jc w:val="center"/>
              <w:spacing w:after="0"/>
              <w:rPr>
                <w:sz w:val="20"/>
                <w:szCs w:val="20"/>
                <w:color w:val="auto"/>
              </w:rPr>
            </w:pPr>
            <w:r>
              <w:rPr>
                <w:rFonts w:ascii="Arial" w:cs="Arial" w:eastAsia="Arial" w:hAnsi="Arial"/>
                <w:sz w:val="10"/>
                <w:szCs w:val="10"/>
                <w:color w:val="auto"/>
              </w:rPr>
              <w:t>7,952,371</w:t>
            </w:r>
          </w:p>
        </w:tc>
        <w:tc>
          <w:tcPr>
            <w:tcW w:w="1380" w:type="dxa"/>
            <w:vAlign w:val="bottom"/>
          </w:tcPr>
          <w:p>
            <w:pPr>
              <w:jc w:val="center"/>
              <w:spacing w:after="0"/>
              <w:rPr>
                <w:sz w:val="20"/>
                <w:szCs w:val="20"/>
                <w:color w:val="auto"/>
              </w:rPr>
            </w:pPr>
            <w:r>
              <w:rPr>
                <w:rFonts w:ascii="Arial" w:cs="Arial" w:eastAsia="Arial" w:hAnsi="Arial"/>
                <w:sz w:val="10"/>
                <w:szCs w:val="10"/>
                <w:color w:val="auto"/>
              </w:rPr>
              <w:t>7,222,945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7,535,259</w:t>
            </w:r>
          </w:p>
        </w:tc>
        <w:tc>
          <w:tcPr>
            <w:tcW w:w="1000" w:type="dxa"/>
            <w:vAlign w:val="bottom"/>
          </w:tcPr>
          <w:p>
            <w:pPr>
              <w:jc w:val="center"/>
              <w:spacing w:after="0"/>
              <w:rPr>
                <w:sz w:val="20"/>
                <w:szCs w:val="20"/>
                <w:color w:val="auto"/>
              </w:rPr>
            </w:pPr>
            <w:r>
              <w:rPr>
                <w:rFonts w:ascii="Arial" w:cs="Arial" w:eastAsia="Arial" w:hAnsi="Arial"/>
                <w:sz w:val="10"/>
                <w:szCs w:val="10"/>
                <w:color w:val="auto"/>
              </w:rPr>
              <w:t>4.3%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-5.2%</w:t>
            </w:r>
          </w:p>
        </w:tc>
      </w:tr>
      <w:tr>
        <w:trPr>
          <w:trHeight w:val="118"/>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Interest bearing</w:t>
            </w:r>
          </w:p>
        </w:tc>
        <w:tc>
          <w:tcPr>
            <w:tcW w:w="1380" w:type="dxa"/>
            <w:vAlign w:val="bottom"/>
          </w:tcPr>
          <w:p>
            <w:pPr>
              <w:jc w:val="center"/>
              <w:spacing w:after="0"/>
              <w:rPr>
                <w:sz w:val="20"/>
                <w:szCs w:val="20"/>
                <w:color w:val="auto"/>
              </w:rPr>
            </w:pPr>
            <w:r>
              <w:rPr>
                <w:rFonts w:ascii="Arial" w:cs="Arial" w:eastAsia="Arial" w:hAnsi="Arial"/>
                <w:sz w:val="10"/>
                <w:szCs w:val="10"/>
                <w:color w:val="auto"/>
              </w:rPr>
              <w:t>25,978,577</w:t>
            </w:r>
          </w:p>
        </w:tc>
        <w:tc>
          <w:tcPr>
            <w:tcW w:w="1380" w:type="dxa"/>
            <w:vAlign w:val="bottom"/>
          </w:tcPr>
          <w:p>
            <w:pPr>
              <w:jc w:val="center"/>
              <w:spacing w:after="0"/>
              <w:rPr>
                <w:sz w:val="20"/>
                <w:szCs w:val="20"/>
                <w:color w:val="auto"/>
              </w:rPr>
            </w:pPr>
            <w:r>
              <w:rPr>
                <w:rFonts w:ascii="Arial" w:cs="Arial" w:eastAsia="Arial" w:hAnsi="Arial"/>
                <w:sz w:val="10"/>
                <w:szCs w:val="10"/>
                <w:color w:val="auto"/>
              </w:rPr>
              <w:t>37,007,966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40,119,937</w:t>
            </w:r>
          </w:p>
        </w:tc>
        <w:tc>
          <w:tcPr>
            <w:tcW w:w="1000" w:type="dxa"/>
            <w:vAlign w:val="bottom"/>
          </w:tcPr>
          <w:p>
            <w:pPr>
              <w:jc w:val="center"/>
              <w:spacing w:after="0"/>
              <w:rPr>
                <w:sz w:val="20"/>
                <w:szCs w:val="20"/>
                <w:color w:val="auto"/>
              </w:rPr>
            </w:pPr>
            <w:r>
              <w:rPr>
                <w:rFonts w:ascii="Arial" w:cs="Arial" w:eastAsia="Arial" w:hAnsi="Arial"/>
                <w:sz w:val="10"/>
                <w:szCs w:val="10"/>
                <w:color w:val="auto"/>
              </w:rPr>
              <w:t>8.4%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54.4%</w:t>
            </w:r>
          </w:p>
        </w:tc>
      </w:tr>
      <w:tr>
        <w:trPr>
          <w:trHeight w:val="118"/>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Total cash and due from banks</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33,930,948</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44,230,911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47,655,196</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7.7%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40.4%</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Cash collateral, reverse repurchase agreements and securities borrowing</w:t>
            </w:r>
          </w:p>
        </w:tc>
        <w:tc>
          <w:tcPr>
            <w:tcW w:w="1380" w:type="dxa"/>
            <w:vAlign w:val="bottom"/>
          </w:tcPr>
          <w:p>
            <w:pPr>
              <w:jc w:val="center"/>
              <w:spacing w:after="0"/>
              <w:rPr>
                <w:sz w:val="20"/>
                <w:szCs w:val="20"/>
                <w:color w:val="auto"/>
              </w:rPr>
            </w:pPr>
            <w:r>
              <w:rPr>
                <w:rFonts w:ascii="Arial" w:cs="Arial" w:eastAsia="Arial" w:hAnsi="Arial"/>
                <w:sz w:val="10"/>
                <w:szCs w:val="10"/>
                <w:color w:val="auto"/>
              </w:rPr>
              <w:t>1,410,647</w:t>
            </w:r>
          </w:p>
        </w:tc>
        <w:tc>
          <w:tcPr>
            <w:tcW w:w="1380" w:type="dxa"/>
            <w:vAlign w:val="bottom"/>
          </w:tcPr>
          <w:p>
            <w:pPr>
              <w:jc w:val="center"/>
              <w:spacing w:after="0"/>
              <w:rPr>
                <w:sz w:val="20"/>
                <w:szCs w:val="20"/>
                <w:color w:val="auto"/>
              </w:rPr>
            </w:pPr>
            <w:r>
              <w:rPr>
                <w:rFonts w:ascii="Arial" w:cs="Arial" w:eastAsia="Arial" w:hAnsi="Arial"/>
                <w:sz w:val="10"/>
                <w:szCs w:val="10"/>
                <w:color w:val="auto"/>
              </w:rPr>
              <w:t>1,419,305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1,033,177</w:t>
            </w:r>
          </w:p>
        </w:tc>
        <w:tc>
          <w:tcPr>
            <w:tcW w:w="1000" w:type="dxa"/>
            <w:vAlign w:val="bottom"/>
          </w:tcPr>
          <w:p>
            <w:pPr>
              <w:jc w:val="center"/>
              <w:spacing w:after="0"/>
              <w:rPr>
                <w:sz w:val="20"/>
                <w:szCs w:val="20"/>
                <w:color w:val="auto"/>
              </w:rPr>
            </w:pPr>
            <w:r>
              <w:rPr>
                <w:rFonts w:ascii="Arial" w:cs="Arial" w:eastAsia="Arial" w:hAnsi="Arial"/>
                <w:sz w:val="10"/>
                <w:szCs w:val="10"/>
                <w:color w:val="auto"/>
              </w:rPr>
              <w:t>-27.2%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-26.8%</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Fair value through profit or loss investments</w:t>
            </w:r>
          </w:p>
        </w:tc>
        <w:tc>
          <w:tcPr>
            <w:tcW w:w="1380" w:type="dxa"/>
            <w:vAlign w:val="bottom"/>
          </w:tcPr>
          <w:p>
            <w:pPr>
              <w:jc w:val="center"/>
              <w:spacing w:after="0"/>
              <w:rPr>
                <w:sz w:val="20"/>
                <w:szCs w:val="20"/>
                <w:color w:val="auto"/>
              </w:rPr>
            </w:pPr>
            <w:r>
              <w:rPr>
                <w:rFonts w:ascii="Arial" w:cs="Arial" w:eastAsia="Arial" w:hAnsi="Arial"/>
                <w:sz w:val="10"/>
                <w:szCs w:val="10"/>
                <w:color w:val="auto"/>
              </w:rPr>
              <w:t>4,982,661</w:t>
            </w:r>
          </w:p>
        </w:tc>
        <w:tc>
          <w:tcPr>
            <w:tcW w:w="1380" w:type="dxa"/>
            <w:vAlign w:val="bottom"/>
          </w:tcPr>
          <w:p>
            <w:pPr>
              <w:jc w:val="center"/>
              <w:spacing w:after="0"/>
              <w:rPr>
                <w:sz w:val="20"/>
                <w:szCs w:val="20"/>
                <w:color w:val="auto"/>
              </w:rPr>
            </w:pPr>
            <w:r>
              <w:rPr>
                <w:rFonts w:ascii="Arial" w:cs="Arial" w:eastAsia="Arial" w:hAnsi="Arial"/>
                <w:sz w:val="10"/>
                <w:szCs w:val="10"/>
                <w:color w:val="auto"/>
              </w:rPr>
              <w:t>4,642,905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4,715,343</w:t>
            </w:r>
          </w:p>
        </w:tc>
        <w:tc>
          <w:tcPr>
            <w:tcW w:w="1000" w:type="dxa"/>
            <w:vAlign w:val="bottom"/>
          </w:tcPr>
          <w:p>
            <w:pPr>
              <w:jc w:val="center"/>
              <w:spacing w:after="0"/>
              <w:rPr>
                <w:sz w:val="20"/>
                <w:szCs w:val="20"/>
                <w:color w:val="auto"/>
              </w:rPr>
            </w:pPr>
            <w:r>
              <w:rPr>
                <w:rFonts w:ascii="Arial" w:cs="Arial" w:eastAsia="Arial" w:hAnsi="Arial"/>
                <w:sz w:val="10"/>
                <w:szCs w:val="10"/>
                <w:color w:val="auto"/>
              </w:rPr>
              <w:t>1.6%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-5.4%</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Fair value through other comprehensive income investments</w:t>
            </w:r>
          </w:p>
        </w:tc>
        <w:tc>
          <w:tcPr>
            <w:tcW w:w="1380" w:type="dxa"/>
            <w:vAlign w:val="bottom"/>
          </w:tcPr>
          <w:p>
            <w:pPr>
              <w:jc w:val="center"/>
              <w:spacing w:after="0"/>
              <w:rPr>
                <w:sz w:val="20"/>
                <w:szCs w:val="20"/>
                <w:color w:val="auto"/>
              </w:rPr>
            </w:pPr>
            <w:r>
              <w:rPr>
                <w:rFonts w:ascii="Arial" w:cs="Arial" w:eastAsia="Arial" w:hAnsi="Arial"/>
                <w:sz w:val="10"/>
                <w:szCs w:val="10"/>
                <w:color w:val="auto"/>
              </w:rPr>
              <w:t>37,043,940</w:t>
            </w:r>
          </w:p>
        </w:tc>
        <w:tc>
          <w:tcPr>
            <w:tcW w:w="1380" w:type="dxa"/>
            <w:vAlign w:val="bottom"/>
          </w:tcPr>
          <w:p>
            <w:pPr>
              <w:jc w:val="center"/>
              <w:spacing w:after="0"/>
              <w:rPr>
                <w:sz w:val="20"/>
                <w:szCs w:val="20"/>
                <w:color w:val="auto"/>
              </w:rPr>
            </w:pPr>
            <w:r>
              <w:rPr>
                <w:rFonts w:ascii="Arial" w:cs="Arial" w:eastAsia="Arial" w:hAnsi="Arial"/>
                <w:sz w:val="10"/>
                <w:szCs w:val="10"/>
                <w:color w:val="auto"/>
              </w:rPr>
              <w:t>39,832,274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40,142,638</w:t>
            </w:r>
          </w:p>
        </w:tc>
        <w:tc>
          <w:tcPr>
            <w:tcW w:w="1000" w:type="dxa"/>
            <w:vAlign w:val="bottom"/>
          </w:tcPr>
          <w:p>
            <w:pPr>
              <w:jc w:val="center"/>
              <w:spacing w:after="0"/>
              <w:rPr>
                <w:sz w:val="20"/>
                <w:szCs w:val="20"/>
                <w:color w:val="auto"/>
              </w:rPr>
            </w:pPr>
            <w:r>
              <w:rPr>
                <w:rFonts w:ascii="Arial" w:cs="Arial" w:eastAsia="Arial" w:hAnsi="Arial"/>
                <w:sz w:val="10"/>
                <w:szCs w:val="10"/>
                <w:color w:val="auto"/>
              </w:rPr>
              <w:t>0.8%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8.4%</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Amortized cost investments</w:t>
            </w:r>
          </w:p>
        </w:tc>
        <w:tc>
          <w:tcPr>
            <w:tcW w:w="1380" w:type="dxa"/>
            <w:vAlign w:val="bottom"/>
          </w:tcPr>
          <w:p>
            <w:pPr>
              <w:jc w:val="center"/>
              <w:spacing w:after="0"/>
              <w:rPr>
                <w:sz w:val="20"/>
                <w:szCs w:val="20"/>
                <w:color w:val="auto"/>
              </w:rPr>
            </w:pPr>
            <w:r>
              <w:rPr>
                <w:rFonts w:ascii="Arial" w:cs="Arial" w:eastAsia="Arial" w:hAnsi="Arial"/>
                <w:sz w:val="10"/>
                <w:szCs w:val="10"/>
                <w:color w:val="auto"/>
              </w:rPr>
              <w:t>10,188,927</w:t>
            </w:r>
          </w:p>
        </w:tc>
        <w:tc>
          <w:tcPr>
            <w:tcW w:w="1380" w:type="dxa"/>
            <w:vAlign w:val="bottom"/>
          </w:tcPr>
          <w:p>
            <w:pPr>
              <w:jc w:val="center"/>
              <w:spacing w:after="0"/>
              <w:rPr>
                <w:sz w:val="20"/>
                <w:szCs w:val="20"/>
                <w:color w:val="auto"/>
              </w:rPr>
            </w:pPr>
            <w:r>
              <w:rPr>
                <w:rFonts w:ascii="Arial" w:cs="Arial" w:eastAsia="Arial" w:hAnsi="Arial"/>
                <w:sz w:val="10"/>
                <w:szCs w:val="10"/>
                <w:color w:val="auto"/>
              </w:rPr>
              <w:t>8,853,694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8,967,877</w:t>
            </w:r>
          </w:p>
        </w:tc>
        <w:tc>
          <w:tcPr>
            <w:tcW w:w="1000" w:type="dxa"/>
            <w:vAlign w:val="bottom"/>
          </w:tcPr>
          <w:p>
            <w:pPr>
              <w:jc w:val="center"/>
              <w:spacing w:after="0"/>
              <w:rPr>
                <w:sz w:val="20"/>
                <w:szCs w:val="20"/>
                <w:color w:val="auto"/>
              </w:rPr>
            </w:pPr>
            <w:r>
              <w:rPr>
                <w:rFonts w:ascii="Arial" w:cs="Arial" w:eastAsia="Arial" w:hAnsi="Arial"/>
                <w:sz w:val="10"/>
                <w:szCs w:val="10"/>
                <w:color w:val="auto"/>
              </w:rPr>
              <w:t>1.3%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-12.0%</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Loans</w:t>
            </w:r>
          </w:p>
        </w:tc>
        <w:tc>
          <w:tcPr>
            <w:tcW w:w="1380" w:type="dxa"/>
            <w:vAlign w:val="bottom"/>
          </w:tcPr>
          <w:p>
            <w:pPr>
              <w:jc w:val="center"/>
              <w:spacing w:after="0"/>
              <w:rPr>
                <w:sz w:val="20"/>
                <w:szCs w:val="20"/>
                <w:color w:val="auto"/>
              </w:rPr>
            </w:pPr>
            <w:r>
              <w:rPr>
                <w:rFonts w:ascii="Arial" w:cs="Arial" w:eastAsia="Arial" w:hAnsi="Arial"/>
                <w:sz w:val="10"/>
                <w:szCs w:val="10"/>
                <w:color w:val="auto"/>
              </w:rPr>
              <w:t>144,976,051</w:t>
            </w:r>
          </w:p>
        </w:tc>
        <w:tc>
          <w:tcPr>
            <w:tcW w:w="1380" w:type="dxa"/>
            <w:vAlign w:val="bottom"/>
          </w:tcPr>
          <w:p>
            <w:pPr>
              <w:jc w:val="center"/>
              <w:spacing w:after="0"/>
              <w:rPr>
                <w:sz w:val="20"/>
                <w:szCs w:val="20"/>
                <w:color w:val="auto"/>
              </w:rPr>
            </w:pPr>
            <w:r>
              <w:rPr>
                <w:rFonts w:ascii="Arial" w:cs="Arial" w:eastAsia="Arial" w:hAnsi="Arial"/>
                <w:sz w:val="10"/>
                <w:szCs w:val="10"/>
                <w:color w:val="auto"/>
              </w:rPr>
              <w:t>142,568,785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145,732,273</w:t>
            </w:r>
          </w:p>
        </w:tc>
        <w:tc>
          <w:tcPr>
            <w:tcW w:w="1000" w:type="dxa"/>
            <w:vAlign w:val="bottom"/>
          </w:tcPr>
          <w:p>
            <w:pPr>
              <w:jc w:val="center"/>
              <w:spacing w:after="0"/>
              <w:rPr>
                <w:sz w:val="20"/>
                <w:szCs w:val="20"/>
                <w:color w:val="auto"/>
              </w:rPr>
            </w:pPr>
            <w:r>
              <w:rPr>
                <w:rFonts w:ascii="Arial" w:cs="Arial" w:eastAsia="Arial" w:hAnsi="Arial"/>
                <w:sz w:val="10"/>
                <w:szCs w:val="10"/>
                <w:color w:val="auto"/>
              </w:rPr>
              <w:t>2.2%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0.5%</w:t>
            </w:r>
          </w:p>
        </w:tc>
      </w:tr>
      <w:tr>
        <w:trPr>
          <w:trHeight w:val="118"/>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Current</w:t>
            </w:r>
          </w:p>
        </w:tc>
        <w:tc>
          <w:tcPr>
            <w:tcW w:w="1380" w:type="dxa"/>
            <w:vAlign w:val="bottom"/>
          </w:tcPr>
          <w:p>
            <w:pPr>
              <w:jc w:val="center"/>
              <w:spacing w:after="0"/>
              <w:rPr>
                <w:sz w:val="20"/>
                <w:szCs w:val="20"/>
                <w:color w:val="auto"/>
              </w:rPr>
            </w:pPr>
            <w:r>
              <w:rPr>
                <w:rFonts w:ascii="Arial" w:cs="Arial" w:eastAsia="Arial" w:hAnsi="Arial"/>
                <w:sz w:val="10"/>
                <w:szCs w:val="10"/>
                <w:color w:val="auto"/>
              </w:rPr>
              <w:t>138,849,564</w:t>
            </w:r>
          </w:p>
        </w:tc>
        <w:tc>
          <w:tcPr>
            <w:tcW w:w="1380" w:type="dxa"/>
            <w:vAlign w:val="bottom"/>
          </w:tcPr>
          <w:p>
            <w:pPr>
              <w:jc w:val="center"/>
              <w:spacing w:after="0"/>
              <w:rPr>
                <w:sz w:val="20"/>
                <w:szCs w:val="20"/>
                <w:color w:val="auto"/>
              </w:rPr>
            </w:pPr>
            <w:r>
              <w:rPr>
                <w:rFonts w:ascii="Arial" w:cs="Arial" w:eastAsia="Arial" w:hAnsi="Arial"/>
                <w:sz w:val="10"/>
                <w:szCs w:val="10"/>
                <w:color w:val="auto"/>
              </w:rPr>
              <w:t>136,542,444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140,309,061</w:t>
            </w:r>
          </w:p>
        </w:tc>
        <w:tc>
          <w:tcPr>
            <w:tcW w:w="1000" w:type="dxa"/>
            <w:vAlign w:val="bottom"/>
          </w:tcPr>
          <w:p>
            <w:pPr>
              <w:jc w:val="center"/>
              <w:spacing w:after="0"/>
              <w:rPr>
                <w:sz w:val="20"/>
                <w:szCs w:val="20"/>
                <w:color w:val="auto"/>
              </w:rPr>
            </w:pPr>
            <w:r>
              <w:rPr>
                <w:rFonts w:ascii="Arial" w:cs="Arial" w:eastAsia="Arial" w:hAnsi="Arial"/>
                <w:sz w:val="10"/>
                <w:szCs w:val="10"/>
                <w:color w:val="auto"/>
              </w:rPr>
              <w:t>2.8%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1.1%</w:t>
            </w:r>
          </w:p>
        </w:tc>
      </w:tr>
      <w:tr>
        <w:trPr>
          <w:trHeight w:val="118"/>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Internal overdue loans</w:t>
            </w:r>
          </w:p>
        </w:tc>
        <w:tc>
          <w:tcPr>
            <w:tcW w:w="1380" w:type="dxa"/>
            <w:vAlign w:val="bottom"/>
          </w:tcPr>
          <w:p>
            <w:pPr>
              <w:jc w:val="center"/>
              <w:spacing w:after="0"/>
              <w:rPr>
                <w:sz w:val="20"/>
                <w:szCs w:val="20"/>
                <w:color w:val="auto"/>
              </w:rPr>
            </w:pPr>
            <w:r>
              <w:rPr>
                <w:rFonts w:ascii="Arial" w:cs="Arial" w:eastAsia="Arial" w:hAnsi="Arial"/>
                <w:sz w:val="10"/>
                <w:szCs w:val="10"/>
                <w:color w:val="auto"/>
              </w:rPr>
              <w:t>6,126,487</w:t>
            </w:r>
          </w:p>
        </w:tc>
        <w:tc>
          <w:tcPr>
            <w:tcW w:w="1380" w:type="dxa"/>
            <w:vAlign w:val="bottom"/>
          </w:tcPr>
          <w:p>
            <w:pPr>
              <w:jc w:val="center"/>
              <w:spacing w:after="0"/>
              <w:rPr>
                <w:sz w:val="20"/>
                <w:szCs w:val="20"/>
                <w:color w:val="auto"/>
              </w:rPr>
            </w:pPr>
            <w:r>
              <w:rPr>
                <w:rFonts w:ascii="Arial" w:cs="Arial" w:eastAsia="Arial" w:hAnsi="Arial"/>
                <w:sz w:val="10"/>
                <w:szCs w:val="10"/>
                <w:color w:val="auto"/>
              </w:rPr>
              <w:t>6,026,341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5,423,212</w:t>
            </w:r>
          </w:p>
        </w:tc>
        <w:tc>
          <w:tcPr>
            <w:tcW w:w="1000" w:type="dxa"/>
            <w:vAlign w:val="bottom"/>
          </w:tcPr>
          <w:p>
            <w:pPr>
              <w:jc w:val="center"/>
              <w:spacing w:after="0"/>
              <w:rPr>
                <w:sz w:val="20"/>
                <w:szCs w:val="20"/>
                <w:color w:val="auto"/>
              </w:rPr>
            </w:pPr>
            <w:r>
              <w:rPr>
                <w:rFonts w:ascii="Arial" w:cs="Arial" w:eastAsia="Arial" w:hAnsi="Arial"/>
                <w:sz w:val="10"/>
                <w:szCs w:val="10"/>
                <w:color w:val="auto"/>
              </w:rPr>
              <w:t>-10.0%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-11.5%</w:t>
            </w:r>
          </w:p>
        </w:tc>
      </w:tr>
      <w:tr>
        <w:trPr>
          <w:trHeight w:val="118"/>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Less - allowance for loan losses</w:t>
            </w:r>
          </w:p>
        </w:tc>
        <w:tc>
          <w:tcPr>
            <w:tcW w:w="1380" w:type="dxa"/>
            <w:vAlign w:val="bottom"/>
          </w:tcPr>
          <w:p>
            <w:pPr>
              <w:jc w:val="center"/>
              <w:spacing w:after="0"/>
              <w:rPr>
                <w:sz w:val="20"/>
                <w:szCs w:val="20"/>
                <w:color w:val="auto"/>
              </w:rPr>
            </w:pPr>
            <w:r>
              <w:rPr>
                <w:rFonts w:ascii="Arial" w:cs="Arial" w:eastAsia="Arial" w:hAnsi="Arial"/>
                <w:sz w:val="10"/>
                <w:szCs w:val="10"/>
                <w:color w:val="auto"/>
              </w:rPr>
              <w:t>(8,277,916)</w:t>
            </w:r>
          </w:p>
        </w:tc>
        <w:tc>
          <w:tcPr>
            <w:tcW w:w="1380" w:type="dxa"/>
            <w:vAlign w:val="bottom"/>
          </w:tcPr>
          <w:p>
            <w:pPr>
              <w:jc w:val="center"/>
              <w:spacing w:after="0"/>
              <w:rPr>
                <w:sz w:val="20"/>
                <w:szCs w:val="20"/>
                <w:color w:val="auto"/>
              </w:rPr>
            </w:pPr>
            <w:r>
              <w:rPr>
                <w:rFonts w:ascii="Arial" w:cs="Arial" w:eastAsia="Arial" w:hAnsi="Arial"/>
                <w:sz w:val="10"/>
                <w:szCs w:val="10"/>
                <w:color w:val="auto"/>
              </w:rPr>
              <w:t>(8,250,023)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(7,994,977)</w:t>
            </w:r>
          </w:p>
        </w:tc>
        <w:tc>
          <w:tcPr>
            <w:tcW w:w="1000" w:type="dxa"/>
            <w:vAlign w:val="bottom"/>
          </w:tcPr>
          <w:p>
            <w:pPr>
              <w:jc w:val="center"/>
              <w:spacing w:after="0"/>
              <w:rPr>
                <w:sz w:val="20"/>
                <w:szCs w:val="20"/>
                <w:color w:val="auto"/>
              </w:rPr>
            </w:pPr>
            <w:r>
              <w:rPr>
                <w:rFonts w:ascii="Arial" w:cs="Arial" w:eastAsia="Arial" w:hAnsi="Arial"/>
                <w:sz w:val="10"/>
                <w:szCs w:val="10"/>
                <w:color w:val="auto"/>
              </w:rPr>
              <w:t>-3.1%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-3.4%</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Loans, net</w:t>
            </w:r>
          </w:p>
        </w:tc>
        <w:tc>
          <w:tcPr>
            <w:tcW w:w="1380" w:type="dxa"/>
            <w:vAlign w:val="bottom"/>
          </w:tcPr>
          <w:p>
            <w:pPr>
              <w:jc w:val="center"/>
              <w:spacing w:after="0"/>
              <w:rPr>
                <w:sz w:val="20"/>
                <w:szCs w:val="20"/>
                <w:color w:val="auto"/>
              </w:rPr>
            </w:pPr>
            <w:r>
              <w:rPr>
                <w:rFonts w:ascii="Arial" w:cs="Arial" w:eastAsia="Arial" w:hAnsi="Arial"/>
                <w:sz w:val="10"/>
                <w:szCs w:val="10"/>
                <w:color w:val="auto"/>
              </w:rPr>
              <w:t>136,698,135</w:t>
            </w:r>
          </w:p>
        </w:tc>
        <w:tc>
          <w:tcPr>
            <w:tcW w:w="1380" w:type="dxa"/>
            <w:vAlign w:val="bottom"/>
          </w:tcPr>
          <w:p>
            <w:pPr>
              <w:jc w:val="center"/>
              <w:spacing w:after="0"/>
              <w:rPr>
                <w:sz w:val="20"/>
                <w:szCs w:val="20"/>
                <w:color w:val="auto"/>
              </w:rPr>
            </w:pPr>
            <w:r>
              <w:rPr>
                <w:rFonts w:ascii="Arial" w:cs="Arial" w:eastAsia="Arial" w:hAnsi="Arial"/>
                <w:sz w:val="10"/>
                <w:szCs w:val="10"/>
                <w:color w:val="auto"/>
              </w:rPr>
              <w:t>134,318,762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137,737,296</w:t>
            </w:r>
          </w:p>
        </w:tc>
        <w:tc>
          <w:tcPr>
            <w:tcW w:w="1000" w:type="dxa"/>
            <w:vAlign w:val="bottom"/>
          </w:tcPr>
          <w:p>
            <w:pPr>
              <w:jc w:val="center"/>
              <w:spacing w:after="0"/>
              <w:rPr>
                <w:sz w:val="20"/>
                <w:szCs w:val="20"/>
                <w:color w:val="auto"/>
              </w:rPr>
            </w:pPr>
            <w:r>
              <w:rPr>
                <w:rFonts w:ascii="Arial" w:cs="Arial" w:eastAsia="Arial" w:hAnsi="Arial"/>
                <w:sz w:val="10"/>
                <w:szCs w:val="10"/>
                <w:color w:val="auto"/>
              </w:rPr>
              <w:t>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0.8%</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Financial assets designated at fair value through profit or loss</w:t>
            </w:r>
          </w:p>
        </w:tc>
        <w:tc>
          <w:tcPr>
            <w:tcW w:w="1380" w:type="dxa"/>
            <w:vAlign w:val="bottom"/>
          </w:tcPr>
          <w:p>
            <w:pPr>
              <w:jc w:val="center"/>
              <w:spacing w:after="0"/>
              <w:rPr>
                <w:sz w:val="20"/>
                <w:szCs w:val="20"/>
                <w:color w:val="auto"/>
              </w:rPr>
            </w:pPr>
            <w:r>
              <w:rPr>
                <w:rFonts w:ascii="Arial" w:cs="Arial" w:eastAsia="Arial" w:hAnsi="Arial"/>
                <w:sz w:val="10"/>
                <w:szCs w:val="10"/>
                <w:color w:val="auto"/>
              </w:rPr>
              <w:t>810,932</w:t>
            </w:r>
          </w:p>
        </w:tc>
        <w:tc>
          <w:tcPr>
            <w:tcW w:w="1380" w:type="dxa"/>
            <w:vAlign w:val="bottom"/>
          </w:tcPr>
          <w:p>
            <w:pPr>
              <w:jc w:val="center"/>
              <w:spacing w:after="0"/>
              <w:rPr>
                <w:sz w:val="20"/>
                <w:szCs w:val="20"/>
                <w:color w:val="auto"/>
              </w:rPr>
            </w:pPr>
            <w:r>
              <w:rPr>
                <w:rFonts w:ascii="Arial" w:cs="Arial" w:eastAsia="Arial" w:hAnsi="Arial"/>
                <w:sz w:val="10"/>
                <w:szCs w:val="10"/>
                <w:color w:val="auto"/>
              </w:rPr>
              <w:t>900,107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932,734</w:t>
            </w:r>
          </w:p>
        </w:tc>
        <w:tc>
          <w:tcPr>
            <w:tcW w:w="1000" w:type="dxa"/>
            <w:vAlign w:val="bottom"/>
          </w:tcPr>
          <w:p>
            <w:pPr>
              <w:jc w:val="center"/>
              <w:spacing w:after="0"/>
              <w:rPr>
                <w:sz w:val="20"/>
                <w:szCs w:val="20"/>
                <w:color w:val="auto"/>
              </w:rPr>
            </w:pPr>
            <w:r>
              <w:rPr>
                <w:rFonts w:ascii="Arial" w:cs="Arial" w:eastAsia="Arial" w:hAnsi="Arial"/>
                <w:sz w:val="10"/>
                <w:szCs w:val="10"/>
                <w:color w:val="auto"/>
              </w:rPr>
              <w:t>3.6%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15.0%</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Property, plant and equipment, net</w:t>
            </w:r>
          </w:p>
        </w:tc>
        <w:tc>
          <w:tcPr>
            <w:tcW w:w="1380" w:type="dxa"/>
            <w:vAlign w:val="bottom"/>
          </w:tcPr>
          <w:p>
            <w:pPr>
              <w:jc w:val="center"/>
              <w:spacing w:after="0"/>
              <w:rPr>
                <w:sz w:val="20"/>
                <w:szCs w:val="20"/>
                <w:color w:val="auto"/>
              </w:rPr>
            </w:pPr>
            <w:r>
              <w:rPr>
                <w:rFonts w:ascii="Arial" w:cs="Arial" w:eastAsia="Arial" w:hAnsi="Arial"/>
                <w:sz w:val="10"/>
                <w:szCs w:val="10"/>
                <w:color w:val="auto"/>
              </w:rPr>
              <w:t>1,857,240</w:t>
            </w:r>
          </w:p>
        </w:tc>
        <w:tc>
          <w:tcPr>
            <w:tcW w:w="1380" w:type="dxa"/>
            <w:vAlign w:val="bottom"/>
          </w:tcPr>
          <w:p>
            <w:pPr>
              <w:jc w:val="center"/>
              <w:spacing w:after="0"/>
              <w:rPr>
                <w:sz w:val="20"/>
                <w:szCs w:val="20"/>
                <w:color w:val="auto"/>
              </w:rPr>
            </w:pPr>
            <w:r>
              <w:rPr>
                <w:rFonts w:ascii="Arial" w:cs="Arial" w:eastAsia="Arial" w:hAnsi="Arial"/>
                <w:sz w:val="10"/>
                <w:szCs w:val="10"/>
                <w:color w:val="auto"/>
              </w:rPr>
              <w:t>1,836,732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1,841,147</w:t>
            </w:r>
          </w:p>
        </w:tc>
        <w:tc>
          <w:tcPr>
            <w:tcW w:w="1000" w:type="dxa"/>
            <w:vAlign w:val="bottom"/>
          </w:tcPr>
          <w:p>
            <w:pPr>
              <w:jc w:val="center"/>
              <w:spacing w:after="0"/>
              <w:rPr>
                <w:sz w:val="20"/>
                <w:szCs w:val="20"/>
                <w:color w:val="auto"/>
              </w:rPr>
            </w:pPr>
            <w:r>
              <w:rPr>
                <w:rFonts w:ascii="Arial" w:cs="Arial" w:eastAsia="Arial" w:hAnsi="Arial"/>
                <w:sz w:val="10"/>
                <w:szCs w:val="10"/>
                <w:color w:val="auto"/>
              </w:rPr>
              <w:t>0.2%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-0.9%</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Due from customers on acceptances</w:t>
            </w:r>
          </w:p>
        </w:tc>
        <w:tc>
          <w:tcPr>
            <w:tcW w:w="1380" w:type="dxa"/>
            <w:vAlign w:val="bottom"/>
          </w:tcPr>
          <w:p>
            <w:pPr>
              <w:jc w:val="center"/>
              <w:spacing w:after="0"/>
              <w:rPr>
                <w:sz w:val="20"/>
                <w:szCs w:val="20"/>
                <w:color w:val="auto"/>
              </w:rPr>
            </w:pPr>
            <w:r>
              <w:rPr>
                <w:rFonts w:ascii="Arial" w:cs="Arial" w:eastAsia="Arial" w:hAnsi="Arial"/>
                <w:sz w:val="10"/>
                <w:szCs w:val="10"/>
                <w:color w:val="auto"/>
              </w:rPr>
              <w:t>412,401</w:t>
            </w:r>
          </w:p>
        </w:tc>
        <w:tc>
          <w:tcPr>
            <w:tcW w:w="1380" w:type="dxa"/>
            <w:vAlign w:val="bottom"/>
          </w:tcPr>
          <w:p>
            <w:pPr>
              <w:jc w:val="center"/>
              <w:spacing w:after="0"/>
              <w:rPr>
                <w:sz w:val="20"/>
                <w:szCs w:val="20"/>
                <w:color w:val="auto"/>
              </w:rPr>
            </w:pPr>
            <w:r>
              <w:rPr>
                <w:rFonts w:ascii="Arial" w:cs="Arial" w:eastAsia="Arial" w:hAnsi="Arial"/>
                <w:sz w:val="10"/>
                <w:szCs w:val="10"/>
                <w:color w:val="auto"/>
              </w:rPr>
              <w:t>466,957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528,184</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13.1%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28.1%</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Investments in associates</w:t>
            </w:r>
          </w:p>
        </w:tc>
        <w:tc>
          <w:tcPr>
            <w:tcW w:w="1380" w:type="dxa"/>
            <w:vAlign w:val="bottom"/>
          </w:tcPr>
          <w:p>
            <w:pPr>
              <w:jc w:val="center"/>
              <w:spacing w:after="0"/>
              <w:rPr>
                <w:sz w:val="20"/>
                <w:szCs w:val="20"/>
                <w:color w:val="auto"/>
              </w:rPr>
            </w:pPr>
            <w:r>
              <w:rPr>
                <w:rFonts w:ascii="Arial" w:cs="Arial" w:eastAsia="Arial" w:hAnsi="Arial"/>
                <w:sz w:val="10"/>
                <w:szCs w:val="10"/>
                <w:color w:val="auto"/>
              </w:rPr>
              <w:t>748,663</w:t>
            </w:r>
          </w:p>
        </w:tc>
        <w:tc>
          <w:tcPr>
            <w:tcW w:w="1380" w:type="dxa"/>
            <w:vAlign w:val="bottom"/>
          </w:tcPr>
          <w:p>
            <w:pPr>
              <w:jc w:val="center"/>
              <w:spacing w:after="0"/>
              <w:rPr>
                <w:sz w:val="20"/>
                <w:szCs w:val="20"/>
                <w:color w:val="auto"/>
              </w:rPr>
            </w:pPr>
            <w:r>
              <w:rPr>
                <w:rFonts w:ascii="Arial" w:cs="Arial" w:eastAsia="Arial" w:hAnsi="Arial"/>
                <w:sz w:val="10"/>
                <w:szCs w:val="10"/>
                <w:color w:val="auto"/>
              </w:rPr>
              <w:t>729,770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763,918</w:t>
            </w:r>
          </w:p>
        </w:tc>
        <w:tc>
          <w:tcPr>
            <w:tcW w:w="1000" w:type="dxa"/>
            <w:vAlign w:val="bottom"/>
          </w:tcPr>
          <w:p>
            <w:pPr>
              <w:jc w:val="center"/>
              <w:spacing w:after="0"/>
              <w:rPr>
                <w:sz w:val="20"/>
                <w:szCs w:val="20"/>
                <w:color w:val="auto"/>
              </w:rPr>
            </w:pPr>
            <w:r>
              <w:rPr>
                <w:rFonts w:ascii="Arial" w:cs="Arial" w:eastAsia="Arial" w:hAnsi="Arial"/>
                <w:sz w:val="10"/>
                <w:szCs w:val="10"/>
                <w:color w:val="auto"/>
              </w:rPr>
              <w:t>4.7%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2.0%</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Intangible assets and goodwill, net</w:t>
            </w:r>
          </w:p>
        </w:tc>
        <w:tc>
          <w:tcPr>
            <w:tcW w:w="1380" w:type="dxa"/>
            <w:vAlign w:val="bottom"/>
          </w:tcPr>
          <w:p>
            <w:pPr>
              <w:jc w:val="center"/>
              <w:spacing w:after="0"/>
              <w:rPr>
                <w:sz w:val="20"/>
                <w:szCs w:val="20"/>
                <w:color w:val="auto"/>
              </w:rPr>
            </w:pPr>
            <w:r>
              <w:rPr>
                <w:rFonts w:ascii="Arial" w:cs="Arial" w:eastAsia="Arial" w:hAnsi="Arial"/>
                <w:sz w:val="10"/>
                <w:szCs w:val="10"/>
                <w:color w:val="auto"/>
              </w:rPr>
              <w:t>3,225,499</w:t>
            </w:r>
          </w:p>
        </w:tc>
        <w:tc>
          <w:tcPr>
            <w:tcW w:w="1380" w:type="dxa"/>
            <w:vAlign w:val="bottom"/>
          </w:tcPr>
          <w:p>
            <w:pPr>
              <w:jc w:val="center"/>
              <w:spacing w:after="0"/>
              <w:rPr>
                <w:sz w:val="20"/>
                <w:szCs w:val="20"/>
                <w:color w:val="auto"/>
              </w:rPr>
            </w:pPr>
            <w:r>
              <w:rPr>
                <w:rFonts w:ascii="Arial" w:cs="Arial" w:eastAsia="Arial" w:hAnsi="Arial"/>
                <w:sz w:val="10"/>
                <w:szCs w:val="10"/>
                <w:color w:val="auto"/>
              </w:rPr>
              <w:t>3,167,296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3,289,157</w:t>
            </w:r>
          </w:p>
        </w:tc>
        <w:tc>
          <w:tcPr>
            <w:tcW w:w="1000" w:type="dxa"/>
            <w:vAlign w:val="bottom"/>
          </w:tcPr>
          <w:p>
            <w:pPr>
              <w:jc w:val="center"/>
              <w:spacing w:after="0"/>
              <w:rPr>
                <w:sz w:val="20"/>
                <w:szCs w:val="20"/>
                <w:color w:val="auto"/>
              </w:rPr>
            </w:pPr>
            <w:r>
              <w:rPr>
                <w:rFonts w:ascii="Arial" w:cs="Arial" w:eastAsia="Arial" w:hAnsi="Arial"/>
                <w:sz w:val="10"/>
                <w:szCs w:val="10"/>
                <w:color w:val="auto"/>
              </w:rPr>
              <w:t>3.8%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2.0%</w:t>
            </w:r>
          </w:p>
        </w:tc>
      </w:tr>
      <w:tr>
        <w:trPr>
          <w:trHeight w:val="110"/>
        </w:trPr>
        <w:tc>
          <w:tcPr>
            <w:tcW w:w="5100" w:type="dxa"/>
            <w:vAlign w:val="bottom"/>
            <w:tcBorders>
              <w:left w:val="single" w:sz="8" w:color="auto"/>
              <w:right w:val="single" w:sz="8" w:color="auto"/>
            </w:tcBorders>
          </w:tcPr>
          <w:p>
            <w:pPr>
              <w:ind w:left="20"/>
              <w:spacing w:after="0" w:line="110" w:lineRule="exact"/>
              <w:rPr>
                <w:sz w:val="20"/>
                <w:szCs w:val="20"/>
                <w:color w:val="auto"/>
              </w:rPr>
            </w:pPr>
            <w:r>
              <w:rPr>
                <w:rFonts w:ascii="Arial" w:cs="Arial" w:eastAsia="Arial" w:hAnsi="Arial"/>
                <w:sz w:val="10"/>
                <w:szCs w:val="10"/>
                <w:color w:val="auto"/>
              </w:rPr>
              <w:t>Reinsurance contract assets</w:t>
            </w:r>
          </w:p>
        </w:tc>
        <w:tc>
          <w:tcPr>
            <w:tcW w:w="1380" w:type="dxa"/>
            <w:vAlign w:val="bottom"/>
          </w:tcPr>
          <w:p>
            <w:pPr>
              <w:jc w:val="center"/>
              <w:spacing w:after="0" w:line="110" w:lineRule="exact"/>
              <w:rPr>
                <w:sz w:val="20"/>
                <w:szCs w:val="20"/>
                <w:color w:val="auto"/>
              </w:rPr>
            </w:pPr>
            <w:r>
              <w:rPr>
                <w:rFonts w:ascii="Arial" w:cs="Arial" w:eastAsia="Arial" w:hAnsi="Arial"/>
                <w:sz w:val="10"/>
                <w:szCs w:val="10"/>
                <w:color w:val="auto"/>
              </w:rPr>
              <w:t>872,046</w:t>
            </w:r>
          </w:p>
        </w:tc>
        <w:tc>
          <w:tcPr>
            <w:tcW w:w="1380" w:type="dxa"/>
            <w:vAlign w:val="bottom"/>
          </w:tcPr>
          <w:p>
            <w:pPr>
              <w:jc w:val="center"/>
              <w:spacing w:after="0" w:line="110" w:lineRule="exact"/>
              <w:rPr>
                <w:sz w:val="20"/>
                <w:szCs w:val="20"/>
                <w:color w:val="auto"/>
              </w:rPr>
            </w:pPr>
            <w:r>
              <w:rPr>
                <w:rFonts w:ascii="Arial" w:cs="Arial" w:eastAsia="Arial" w:hAnsi="Arial"/>
                <w:sz w:val="10"/>
                <w:szCs w:val="10"/>
                <w:color w:val="auto"/>
              </w:rPr>
              <w:t>880,563</w:t>
            </w:r>
          </w:p>
        </w:tc>
        <w:tc>
          <w:tcPr>
            <w:tcW w:w="14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841,170</w:t>
            </w:r>
          </w:p>
        </w:tc>
        <w:tc>
          <w:tcPr>
            <w:tcW w:w="1000" w:type="dxa"/>
            <w:vAlign w:val="bottom"/>
          </w:tcPr>
          <w:p>
            <w:pPr>
              <w:jc w:val="center"/>
              <w:spacing w:after="0" w:line="110" w:lineRule="exact"/>
              <w:rPr>
                <w:sz w:val="20"/>
                <w:szCs w:val="20"/>
                <w:color w:val="auto"/>
              </w:rPr>
            </w:pPr>
            <w:r>
              <w:rPr>
                <w:rFonts w:ascii="Arial" w:cs="Arial" w:eastAsia="Arial" w:hAnsi="Arial"/>
                <w:sz w:val="10"/>
                <w:szCs w:val="10"/>
                <w:color w:val="auto"/>
              </w:rPr>
              <w:t>-4.5%</w:t>
            </w:r>
          </w:p>
        </w:tc>
        <w:tc>
          <w:tcPr>
            <w:tcW w:w="9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-3.5%</w:t>
            </w:r>
          </w:p>
        </w:tc>
      </w:tr>
      <w:tr>
        <w:trPr>
          <w:trHeight w:val="234"/>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 xml:space="preserve">Other assets </w:t>
            </w:r>
            <w:r>
              <w:rPr>
                <w:rFonts w:ascii="Arial" w:cs="Arial" w:eastAsia="Arial" w:hAnsi="Arial"/>
                <w:sz w:val="17"/>
                <w:szCs w:val="17"/>
                <w:color w:val="auto"/>
                <w:vertAlign w:val="superscript"/>
              </w:rPr>
              <w:t>(1)</w:t>
            </w:r>
          </w:p>
        </w:tc>
        <w:tc>
          <w:tcPr>
            <w:tcW w:w="1380" w:type="dxa"/>
            <w:vAlign w:val="bottom"/>
          </w:tcPr>
          <w:p>
            <w:pPr>
              <w:jc w:val="center"/>
              <w:spacing w:after="0"/>
              <w:rPr>
                <w:sz w:val="20"/>
                <w:szCs w:val="20"/>
                <w:color w:val="auto"/>
              </w:rPr>
            </w:pPr>
            <w:r>
              <w:rPr>
                <w:rFonts w:ascii="Arial" w:cs="Arial" w:eastAsia="Arial" w:hAnsi="Arial"/>
                <w:sz w:val="10"/>
                <w:szCs w:val="10"/>
                <w:color w:val="auto"/>
              </w:rPr>
              <w:t>6,658,149</w:t>
            </w:r>
          </w:p>
        </w:tc>
        <w:tc>
          <w:tcPr>
            <w:tcW w:w="1380" w:type="dxa"/>
            <w:vAlign w:val="bottom"/>
          </w:tcPr>
          <w:p>
            <w:pPr>
              <w:jc w:val="center"/>
              <w:spacing w:after="0"/>
              <w:rPr>
                <w:sz w:val="20"/>
                <w:szCs w:val="20"/>
                <w:color w:val="auto"/>
              </w:rPr>
            </w:pPr>
            <w:r>
              <w:rPr>
                <w:rFonts w:ascii="Arial" w:cs="Arial" w:eastAsia="Arial" w:hAnsi="Arial"/>
                <w:sz w:val="10"/>
                <w:szCs w:val="10"/>
                <w:color w:val="auto"/>
              </w:rPr>
              <w:t>8,480,514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7,749,647</w:t>
            </w:r>
          </w:p>
        </w:tc>
        <w:tc>
          <w:tcPr>
            <w:tcW w:w="1000" w:type="dxa"/>
            <w:vAlign w:val="bottom"/>
          </w:tcPr>
          <w:p>
            <w:pPr>
              <w:jc w:val="center"/>
              <w:spacing w:after="0"/>
              <w:rPr>
                <w:sz w:val="20"/>
                <w:szCs w:val="20"/>
                <w:color w:val="auto"/>
              </w:rPr>
            </w:pPr>
            <w:r>
              <w:rPr>
                <w:rFonts w:ascii="Arial" w:cs="Arial" w:eastAsia="Arial" w:hAnsi="Arial"/>
                <w:sz w:val="10"/>
                <w:szCs w:val="10"/>
                <w:color w:val="auto"/>
              </w:rPr>
              <w:t>-8.6%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16.4%</w:t>
            </w:r>
          </w:p>
        </w:tc>
      </w:tr>
      <w:tr>
        <w:trPr>
          <w:trHeight w:val="246"/>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Total Assets</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238,840,188</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249,759,790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256,197,484</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7.3%</w:t>
            </w:r>
          </w:p>
        </w:tc>
      </w:tr>
      <w:tr>
        <w:trPr>
          <w:trHeight w:val="303"/>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LIABILITIES AND EQUITY</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Deposits and obligations</w:t>
            </w:r>
          </w:p>
        </w:tc>
        <w:tc>
          <w:tcPr>
            <w:tcW w:w="1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r>
      <w:tr>
        <w:trPr>
          <w:trHeight w:val="118"/>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Non-interest bearing</w:t>
            </w:r>
          </w:p>
        </w:tc>
        <w:tc>
          <w:tcPr>
            <w:tcW w:w="1380" w:type="dxa"/>
            <w:vAlign w:val="bottom"/>
          </w:tcPr>
          <w:p>
            <w:pPr>
              <w:jc w:val="center"/>
              <w:spacing w:after="0"/>
              <w:rPr>
                <w:sz w:val="20"/>
                <w:szCs w:val="20"/>
                <w:color w:val="auto"/>
              </w:rPr>
            </w:pPr>
            <w:r>
              <w:rPr>
                <w:rFonts w:ascii="Arial" w:cs="Arial" w:eastAsia="Arial" w:hAnsi="Arial"/>
                <w:sz w:val="10"/>
                <w:szCs w:val="10"/>
                <w:color w:val="auto"/>
              </w:rPr>
              <w:t>42,234,498</w:t>
            </w:r>
          </w:p>
        </w:tc>
        <w:tc>
          <w:tcPr>
            <w:tcW w:w="1380" w:type="dxa"/>
            <w:vAlign w:val="bottom"/>
          </w:tcPr>
          <w:p>
            <w:pPr>
              <w:jc w:val="center"/>
              <w:spacing w:after="0"/>
              <w:rPr>
                <w:sz w:val="20"/>
                <w:szCs w:val="20"/>
                <w:color w:val="auto"/>
              </w:rPr>
            </w:pPr>
            <w:r>
              <w:rPr>
                <w:rFonts w:ascii="Arial" w:cs="Arial" w:eastAsia="Arial" w:hAnsi="Arial"/>
                <w:sz w:val="10"/>
                <w:szCs w:val="10"/>
                <w:color w:val="auto"/>
              </w:rPr>
              <w:t>47,436,563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47,160,191</w:t>
            </w:r>
          </w:p>
        </w:tc>
        <w:tc>
          <w:tcPr>
            <w:tcW w:w="1000" w:type="dxa"/>
            <w:vAlign w:val="bottom"/>
          </w:tcPr>
          <w:p>
            <w:pPr>
              <w:jc w:val="center"/>
              <w:spacing w:after="0"/>
              <w:rPr>
                <w:sz w:val="20"/>
                <w:szCs w:val="20"/>
                <w:color w:val="auto"/>
              </w:rPr>
            </w:pPr>
            <w:r>
              <w:rPr>
                <w:rFonts w:ascii="Arial" w:cs="Arial" w:eastAsia="Arial" w:hAnsi="Arial"/>
                <w:sz w:val="10"/>
                <w:szCs w:val="10"/>
                <w:color w:val="auto"/>
              </w:rPr>
              <w:t>-0.6%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11.7%</w:t>
            </w:r>
          </w:p>
        </w:tc>
      </w:tr>
      <w:tr>
        <w:trPr>
          <w:trHeight w:val="118"/>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Interest bearing</w:t>
            </w:r>
          </w:p>
        </w:tc>
        <w:tc>
          <w:tcPr>
            <w:tcW w:w="1380" w:type="dxa"/>
            <w:vAlign w:val="bottom"/>
          </w:tcPr>
          <w:p>
            <w:pPr>
              <w:jc w:val="center"/>
              <w:spacing w:after="0"/>
              <w:rPr>
                <w:sz w:val="20"/>
                <w:szCs w:val="20"/>
                <w:color w:val="auto"/>
              </w:rPr>
            </w:pPr>
            <w:r>
              <w:rPr>
                <w:rFonts w:ascii="Arial" w:cs="Arial" w:eastAsia="Arial" w:hAnsi="Arial"/>
                <w:sz w:val="10"/>
                <w:szCs w:val="10"/>
                <w:color w:val="auto"/>
              </w:rPr>
              <w:t>105,470,496</w:t>
            </w:r>
          </w:p>
        </w:tc>
        <w:tc>
          <w:tcPr>
            <w:tcW w:w="1380" w:type="dxa"/>
            <w:vAlign w:val="bottom"/>
          </w:tcPr>
          <w:p>
            <w:pPr>
              <w:jc w:val="center"/>
              <w:spacing w:after="0"/>
              <w:rPr>
                <w:sz w:val="20"/>
                <w:szCs w:val="20"/>
                <w:color w:val="auto"/>
              </w:rPr>
            </w:pPr>
            <w:r>
              <w:rPr>
                <w:rFonts w:ascii="Arial" w:cs="Arial" w:eastAsia="Arial" w:hAnsi="Arial"/>
                <w:sz w:val="10"/>
                <w:szCs w:val="10"/>
                <w:color w:val="auto"/>
              </w:rPr>
              <w:t>106,998,888</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114,681,875</w:t>
            </w:r>
          </w:p>
        </w:tc>
        <w:tc>
          <w:tcPr>
            <w:tcW w:w="1000" w:type="dxa"/>
            <w:vAlign w:val="bottom"/>
          </w:tcPr>
          <w:p>
            <w:pPr>
              <w:jc w:val="center"/>
              <w:spacing w:after="0"/>
              <w:rPr>
                <w:sz w:val="20"/>
                <w:szCs w:val="20"/>
                <w:color w:val="auto"/>
              </w:rPr>
            </w:pPr>
            <w:r>
              <w:rPr>
                <w:rFonts w:ascii="Arial" w:cs="Arial" w:eastAsia="Arial" w:hAnsi="Arial"/>
                <w:sz w:val="10"/>
                <w:szCs w:val="10"/>
                <w:color w:val="auto"/>
              </w:rPr>
              <w:t>7.2%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8.7%</w:t>
            </w:r>
          </w:p>
        </w:tc>
      </w:tr>
      <w:tr>
        <w:trPr>
          <w:trHeight w:val="118"/>
        </w:trPr>
        <w:tc>
          <w:tcPr>
            <w:tcW w:w="51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Total deposits and obligations</w:t>
            </w:r>
          </w:p>
        </w:tc>
        <w:tc>
          <w:tcPr>
            <w:tcW w:w="1380" w:type="dxa"/>
            <w:vAlign w:val="bottom"/>
          </w:tcPr>
          <w:p>
            <w:pPr>
              <w:jc w:val="center"/>
              <w:spacing w:after="0"/>
              <w:rPr>
                <w:sz w:val="20"/>
                <w:szCs w:val="20"/>
                <w:color w:val="auto"/>
              </w:rPr>
            </w:pPr>
            <w:r>
              <w:rPr>
                <w:rFonts w:ascii="Arial" w:cs="Arial" w:eastAsia="Arial" w:hAnsi="Arial"/>
                <w:sz w:val="10"/>
                <w:szCs w:val="10"/>
                <w:color w:val="auto"/>
              </w:rPr>
              <w:t>147,704,994</w:t>
            </w:r>
          </w:p>
        </w:tc>
        <w:tc>
          <w:tcPr>
            <w:tcW w:w="1380" w:type="dxa"/>
            <w:vAlign w:val="bottom"/>
          </w:tcPr>
          <w:p>
            <w:pPr>
              <w:jc w:val="center"/>
              <w:spacing w:after="0"/>
              <w:rPr>
                <w:sz w:val="20"/>
                <w:szCs w:val="20"/>
                <w:color w:val="auto"/>
              </w:rPr>
            </w:pPr>
            <w:r>
              <w:rPr>
                <w:rFonts w:ascii="Arial" w:cs="Arial" w:eastAsia="Arial" w:hAnsi="Arial"/>
                <w:sz w:val="10"/>
                <w:szCs w:val="10"/>
                <w:color w:val="auto"/>
              </w:rPr>
              <w:t>154,435,451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161,842,066</w:t>
            </w:r>
          </w:p>
        </w:tc>
        <w:tc>
          <w:tcPr>
            <w:tcW w:w="1000" w:type="dxa"/>
            <w:vAlign w:val="bottom"/>
          </w:tcPr>
          <w:p>
            <w:pPr>
              <w:jc w:val="center"/>
              <w:spacing w:after="0"/>
              <w:rPr>
                <w:sz w:val="20"/>
                <w:szCs w:val="20"/>
                <w:color w:val="auto"/>
              </w:rPr>
            </w:pPr>
            <w:r>
              <w:rPr>
                <w:rFonts w:ascii="Arial" w:cs="Arial" w:eastAsia="Arial" w:hAnsi="Arial"/>
                <w:sz w:val="10"/>
                <w:szCs w:val="10"/>
                <w:color w:val="auto"/>
              </w:rPr>
              <w:t>4.8%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9.6%</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Payables from repurchase agreements and securities lending</w:t>
            </w:r>
          </w:p>
        </w:tc>
        <w:tc>
          <w:tcPr>
            <w:tcW w:w="1380" w:type="dxa"/>
            <w:vAlign w:val="bottom"/>
          </w:tcPr>
          <w:p>
            <w:pPr>
              <w:jc w:val="center"/>
              <w:spacing w:after="0"/>
              <w:rPr>
                <w:sz w:val="20"/>
                <w:szCs w:val="20"/>
                <w:color w:val="auto"/>
              </w:rPr>
            </w:pPr>
            <w:r>
              <w:rPr>
                <w:rFonts w:ascii="Arial" w:cs="Arial" w:eastAsia="Arial" w:hAnsi="Arial"/>
                <w:sz w:val="10"/>
                <w:szCs w:val="10"/>
                <w:color w:val="auto"/>
              </w:rPr>
              <w:t>10,168,427</w:t>
            </w:r>
          </w:p>
        </w:tc>
        <w:tc>
          <w:tcPr>
            <w:tcW w:w="1380" w:type="dxa"/>
            <w:vAlign w:val="bottom"/>
          </w:tcPr>
          <w:p>
            <w:pPr>
              <w:jc w:val="center"/>
              <w:spacing w:after="0"/>
              <w:rPr>
                <w:sz w:val="20"/>
                <w:szCs w:val="20"/>
                <w:color w:val="auto"/>
              </w:rPr>
            </w:pPr>
            <w:r>
              <w:rPr>
                <w:rFonts w:ascii="Arial" w:cs="Arial" w:eastAsia="Arial" w:hAnsi="Arial"/>
                <w:sz w:val="10"/>
                <w:szCs w:val="10"/>
                <w:color w:val="auto"/>
              </w:rPr>
              <w:t>7,383,104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9,060,710</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22.7%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-10.9%</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BCRP instruments</w:t>
            </w:r>
          </w:p>
        </w:tc>
        <w:tc>
          <w:tcPr>
            <w:tcW w:w="1380" w:type="dxa"/>
            <w:vAlign w:val="bottom"/>
          </w:tcPr>
          <w:p>
            <w:pPr>
              <w:jc w:val="center"/>
              <w:spacing w:after="0"/>
              <w:rPr>
                <w:sz w:val="20"/>
                <w:szCs w:val="20"/>
                <w:color w:val="auto"/>
              </w:rPr>
            </w:pPr>
            <w:r>
              <w:rPr>
                <w:rFonts w:ascii="Arial" w:cs="Arial" w:eastAsia="Arial" w:hAnsi="Arial"/>
                <w:sz w:val="10"/>
                <w:szCs w:val="10"/>
                <w:color w:val="auto"/>
              </w:rPr>
              <w:t>7,461,674</w:t>
            </w:r>
          </w:p>
        </w:tc>
        <w:tc>
          <w:tcPr>
            <w:tcW w:w="1380" w:type="dxa"/>
            <w:vAlign w:val="bottom"/>
          </w:tcPr>
          <w:p>
            <w:pPr>
              <w:jc w:val="center"/>
              <w:spacing w:after="0"/>
              <w:rPr>
                <w:sz w:val="20"/>
                <w:szCs w:val="20"/>
                <w:color w:val="auto"/>
              </w:rPr>
            </w:pPr>
            <w:r>
              <w:rPr>
                <w:rFonts w:ascii="Arial" w:cs="Arial" w:eastAsia="Arial" w:hAnsi="Arial"/>
                <w:sz w:val="10"/>
                <w:szCs w:val="10"/>
                <w:color w:val="auto"/>
              </w:rPr>
              <w:t>4,788,939</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6,646,830</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38.8%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-10.9%</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Repurchase agreements with third parties</w:t>
            </w:r>
          </w:p>
        </w:tc>
        <w:tc>
          <w:tcPr>
            <w:tcW w:w="1380" w:type="dxa"/>
            <w:vAlign w:val="bottom"/>
          </w:tcPr>
          <w:p>
            <w:pPr>
              <w:jc w:val="center"/>
              <w:spacing w:after="0"/>
              <w:rPr>
                <w:sz w:val="20"/>
                <w:szCs w:val="20"/>
                <w:color w:val="auto"/>
              </w:rPr>
            </w:pPr>
            <w:r>
              <w:rPr>
                <w:rFonts w:ascii="Arial" w:cs="Arial" w:eastAsia="Arial" w:hAnsi="Arial"/>
                <w:sz w:val="10"/>
                <w:szCs w:val="10"/>
                <w:color w:val="auto"/>
              </w:rPr>
              <w:t>2,608,631</w:t>
            </w:r>
          </w:p>
        </w:tc>
        <w:tc>
          <w:tcPr>
            <w:tcW w:w="1380" w:type="dxa"/>
            <w:vAlign w:val="bottom"/>
          </w:tcPr>
          <w:p>
            <w:pPr>
              <w:jc w:val="center"/>
              <w:spacing w:after="0"/>
              <w:rPr>
                <w:sz w:val="20"/>
                <w:szCs w:val="20"/>
                <w:color w:val="auto"/>
              </w:rPr>
            </w:pPr>
            <w:r>
              <w:rPr>
                <w:rFonts w:ascii="Arial" w:cs="Arial" w:eastAsia="Arial" w:hAnsi="Arial"/>
                <w:sz w:val="10"/>
                <w:szCs w:val="10"/>
                <w:color w:val="auto"/>
              </w:rPr>
              <w:t>2,517,833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2,298,494</w:t>
            </w:r>
          </w:p>
        </w:tc>
        <w:tc>
          <w:tcPr>
            <w:tcW w:w="1000" w:type="dxa"/>
            <w:vAlign w:val="bottom"/>
          </w:tcPr>
          <w:p>
            <w:pPr>
              <w:jc w:val="center"/>
              <w:spacing w:after="0"/>
              <w:rPr>
                <w:sz w:val="20"/>
                <w:szCs w:val="20"/>
                <w:color w:val="auto"/>
              </w:rPr>
            </w:pPr>
            <w:r>
              <w:rPr>
                <w:rFonts w:ascii="Arial" w:cs="Arial" w:eastAsia="Arial" w:hAnsi="Arial"/>
                <w:sz w:val="10"/>
                <w:szCs w:val="10"/>
                <w:color w:val="auto"/>
              </w:rPr>
              <w:t>-8.7%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-11.9%</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Repurchase agreements with customers</w:t>
            </w:r>
          </w:p>
        </w:tc>
        <w:tc>
          <w:tcPr>
            <w:tcW w:w="1380" w:type="dxa"/>
            <w:vAlign w:val="bottom"/>
          </w:tcPr>
          <w:p>
            <w:pPr>
              <w:jc w:val="center"/>
              <w:spacing w:after="0"/>
              <w:rPr>
                <w:sz w:val="20"/>
                <w:szCs w:val="20"/>
                <w:color w:val="auto"/>
              </w:rPr>
            </w:pPr>
            <w:r>
              <w:rPr>
                <w:rFonts w:ascii="Arial" w:cs="Arial" w:eastAsia="Arial" w:hAnsi="Arial"/>
                <w:sz w:val="10"/>
                <w:szCs w:val="10"/>
                <w:color w:val="auto"/>
              </w:rPr>
              <w:t>98,122</w:t>
            </w:r>
          </w:p>
        </w:tc>
        <w:tc>
          <w:tcPr>
            <w:tcW w:w="1380" w:type="dxa"/>
            <w:vAlign w:val="bottom"/>
          </w:tcPr>
          <w:p>
            <w:pPr>
              <w:jc w:val="center"/>
              <w:spacing w:after="0"/>
              <w:rPr>
                <w:sz w:val="20"/>
                <w:szCs w:val="20"/>
                <w:color w:val="auto"/>
              </w:rPr>
            </w:pPr>
            <w:r>
              <w:rPr>
                <w:rFonts w:ascii="Arial" w:cs="Arial" w:eastAsia="Arial" w:hAnsi="Arial"/>
                <w:sz w:val="10"/>
                <w:szCs w:val="10"/>
                <w:color w:val="auto"/>
              </w:rPr>
              <w:t>76,332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115,386</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51.2%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17.6%</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Due to banks and correspondents</w:t>
            </w:r>
          </w:p>
        </w:tc>
        <w:tc>
          <w:tcPr>
            <w:tcW w:w="1380" w:type="dxa"/>
            <w:vAlign w:val="bottom"/>
          </w:tcPr>
          <w:p>
            <w:pPr>
              <w:jc w:val="center"/>
              <w:spacing w:after="0"/>
              <w:rPr>
                <w:sz w:val="20"/>
                <w:szCs w:val="20"/>
                <w:color w:val="auto"/>
              </w:rPr>
            </w:pPr>
            <w:r>
              <w:rPr>
                <w:rFonts w:ascii="Arial" w:cs="Arial" w:eastAsia="Arial" w:hAnsi="Arial"/>
                <w:sz w:val="10"/>
                <w:szCs w:val="10"/>
                <w:color w:val="auto"/>
              </w:rPr>
              <w:t>12,278,681</w:t>
            </w:r>
          </w:p>
        </w:tc>
        <w:tc>
          <w:tcPr>
            <w:tcW w:w="1380" w:type="dxa"/>
            <w:vAlign w:val="bottom"/>
          </w:tcPr>
          <w:p>
            <w:pPr>
              <w:jc w:val="center"/>
              <w:spacing w:after="0"/>
              <w:rPr>
                <w:sz w:val="20"/>
                <w:szCs w:val="20"/>
                <w:color w:val="auto"/>
              </w:rPr>
            </w:pPr>
            <w:r>
              <w:rPr>
                <w:rFonts w:ascii="Arial" w:cs="Arial" w:eastAsia="Arial" w:hAnsi="Arial"/>
                <w:sz w:val="10"/>
                <w:szCs w:val="10"/>
                <w:color w:val="auto"/>
              </w:rPr>
              <w:t>12,704,234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10,754,385</w:t>
            </w:r>
          </w:p>
        </w:tc>
        <w:tc>
          <w:tcPr>
            <w:tcW w:w="1000" w:type="dxa"/>
            <w:vAlign w:val="bottom"/>
          </w:tcPr>
          <w:p>
            <w:pPr>
              <w:jc w:val="center"/>
              <w:spacing w:after="0"/>
              <w:rPr>
                <w:sz w:val="20"/>
                <w:szCs w:val="20"/>
                <w:color w:val="auto"/>
              </w:rPr>
            </w:pPr>
            <w:r>
              <w:rPr>
                <w:rFonts w:ascii="Arial" w:cs="Arial" w:eastAsia="Arial" w:hAnsi="Arial"/>
                <w:sz w:val="10"/>
                <w:szCs w:val="10"/>
                <w:color w:val="auto"/>
              </w:rPr>
              <w:t>-15.3%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-12.4%</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Bonds and notes issued</w:t>
            </w:r>
          </w:p>
        </w:tc>
        <w:tc>
          <w:tcPr>
            <w:tcW w:w="1380" w:type="dxa"/>
            <w:vAlign w:val="bottom"/>
          </w:tcPr>
          <w:p>
            <w:pPr>
              <w:jc w:val="center"/>
              <w:spacing w:after="0"/>
              <w:rPr>
                <w:sz w:val="20"/>
                <w:szCs w:val="20"/>
                <w:color w:val="auto"/>
              </w:rPr>
            </w:pPr>
            <w:r>
              <w:rPr>
                <w:rFonts w:ascii="Arial" w:cs="Arial" w:eastAsia="Arial" w:hAnsi="Arial"/>
                <w:sz w:val="10"/>
                <w:szCs w:val="10"/>
                <w:color w:val="auto"/>
              </w:rPr>
              <w:t>14,594,785</w:t>
            </w:r>
          </w:p>
        </w:tc>
        <w:tc>
          <w:tcPr>
            <w:tcW w:w="1380" w:type="dxa"/>
            <w:vAlign w:val="bottom"/>
          </w:tcPr>
          <w:p>
            <w:pPr>
              <w:jc w:val="center"/>
              <w:spacing w:after="0"/>
              <w:rPr>
                <w:sz w:val="20"/>
                <w:szCs w:val="20"/>
                <w:color w:val="auto"/>
              </w:rPr>
            </w:pPr>
            <w:r>
              <w:rPr>
                <w:rFonts w:ascii="Arial" w:cs="Arial" w:eastAsia="Arial" w:hAnsi="Arial"/>
                <w:sz w:val="10"/>
                <w:szCs w:val="10"/>
                <w:color w:val="auto"/>
              </w:rPr>
              <w:t>16,952,011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17,268,443</w:t>
            </w:r>
          </w:p>
        </w:tc>
        <w:tc>
          <w:tcPr>
            <w:tcW w:w="1000" w:type="dxa"/>
            <w:vAlign w:val="bottom"/>
          </w:tcPr>
          <w:p>
            <w:pPr>
              <w:jc w:val="center"/>
              <w:spacing w:after="0"/>
              <w:rPr>
                <w:sz w:val="20"/>
                <w:szCs w:val="20"/>
                <w:color w:val="auto"/>
              </w:rPr>
            </w:pPr>
            <w:r>
              <w:rPr>
                <w:rFonts w:ascii="Arial" w:cs="Arial" w:eastAsia="Arial" w:hAnsi="Arial"/>
                <w:sz w:val="10"/>
                <w:szCs w:val="10"/>
                <w:color w:val="auto"/>
              </w:rPr>
              <w:t>1.9%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18.3%</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Banker’s acceptances outstanding</w:t>
            </w:r>
          </w:p>
        </w:tc>
        <w:tc>
          <w:tcPr>
            <w:tcW w:w="1380" w:type="dxa"/>
            <w:vAlign w:val="bottom"/>
          </w:tcPr>
          <w:p>
            <w:pPr>
              <w:jc w:val="center"/>
              <w:spacing w:after="0"/>
              <w:rPr>
                <w:sz w:val="20"/>
                <w:szCs w:val="20"/>
                <w:color w:val="auto"/>
              </w:rPr>
            </w:pPr>
            <w:r>
              <w:rPr>
                <w:rFonts w:ascii="Arial" w:cs="Arial" w:eastAsia="Arial" w:hAnsi="Arial"/>
                <w:sz w:val="10"/>
                <w:szCs w:val="10"/>
                <w:color w:val="auto"/>
              </w:rPr>
              <w:t>412,401</w:t>
            </w:r>
          </w:p>
        </w:tc>
        <w:tc>
          <w:tcPr>
            <w:tcW w:w="1380" w:type="dxa"/>
            <w:vAlign w:val="bottom"/>
          </w:tcPr>
          <w:p>
            <w:pPr>
              <w:jc w:val="center"/>
              <w:spacing w:after="0"/>
              <w:rPr>
                <w:sz w:val="20"/>
                <w:szCs w:val="20"/>
                <w:color w:val="auto"/>
              </w:rPr>
            </w:pPr>
            <w:r>
              <w:rPr>
                <w:rFonts w:ascii="Arial" w:cs="Arial" w:eastAsia="Arial" w:hAnsi="Arial"/>
                <w:sz w:val="10"/>
                <w:szCs w:val="10"/>
                <w:color w:val="auto"/>
              </w:rPr>
              <w:t>466,957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528,184</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13.1%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28.1%</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Insurance contract liability</w:t>
            </w:r>
          </w:p>
        </w:tc>
        <w:tc>
          <w:tcPr>
            <w:tcW w:w="1380" w:type="dxa"/>
            <w:vAlign w:val="bottom"/>
          </w:tcPr>
          <w:p>
            <w:pPr>
              <w:jc w:val="center"/>
              <w:spacing w:after="0"/>
              <w:rPr>
                <w:sz w:val="20"/>
                <w:szCs w:val="20"/>
                <w:color w:val="auto"/>
              </w:rPr>
            </w:pPr>
            <w:r>
              <w:rPr>
                <w:rFonts w:ascii="Arial" w:cs="Arial" w:eastAsia="Arial" w:hAnsi="Arial"/>
                <w:sz w:val="10"/>
                <w:szCs w:val="10"/>
                <w:color w:val="auto"/>
              </w:rPr>
              <w:t>12,318,133</w:t>
            </w:r>
          </w:p>
        </w:tc>
        <w:tc>
          <w:tcPr>
            <w:tcW w:w="1380" w:type="dxa"/>
            <w:vAlign w:val="bottom"/>
          </w:tcPr>
          <w:p>
            <w:pPr>
              <w:jc w:val="center"/>
              <w:spacing w:after="0"/>
              <w:rPr>
                <w:sz w:val="20"/>
                <w:szCs w:val="20"/>
                <w:color w:val="auto"/>
              </w:rPr>
            </w:pPr>
            <w:r>
              <w:rPr>
                <w:rFonts w:ascii="Arial" w:cs="Arial" w:eastAsia="Arial" w:hAnsi="Arial"/>
                <w:sz w:val="10"/>
                <w:szCs w:val="10"/>
                <w:color w:val="auto"/>
              </w:rPr>
              <w:t>13,289,394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13,422,285</w:t>
            </w:r>
          </w:p>
        </w:tc>
        <w:tc>
          <w:tcPr>
            <w:tcW w:w="1000" w:type="dxa"/>
            <w:vAlign w:val="bottom"/>
          </w:tcPr>
          <w:p>
            <w:pPr>
              <w:jc w:val="center"/>
              <w:spacing w:after="0"/>
              <w:rPr>
                <w:sz w:val="20"/>
                <w:szCs w:val="20"/>
                <w:color w:val="auto"/>
              </w:rPr>
            </w:pPr>
            <w:r>
              <w:rPr>
                <w:rFonts w:ascii="Arial" w:cs="Arial" w:eastAsia="Arial" w:hAnsi="Arial"/>
                <w:sz w:val="10"/>
                <w:szCs w:val="10"/>
                <w:color w:val="auto"/>
              </w:rPr>
              <w:t>1.0%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9.0%</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Financial liabilities at fair value through profit or loss</w:t>
            </w:r>
          </w:p>
        </w:tc>
        <w:tc>
          <w:tcPr>
            <w:tcW w:w="1380" w:type="dxa"/>
            <w:vAlign w:val="bottom"/>
          </w:tcPr>
          <w:p>
            <w:pPr>
              <w:jc w:val="center"/>
              <w:spacing w:after="0"/>
              <w:rPr>
                <w:sz w:val="20"/>
                <w:szCs w:val="20"/>
                <w:color w:val="auto"/>
              </w:rPr>
            </w:pPr>
            <w:r>
              <w:rPr>
                <w:rFonts w:ascii="Arial" w:cs="Arial" w:eastAsia="Arial" w:hAnsi="Arial"/>
                <w:sz w:val="10"/>
                <w:szCs w:val="10"/>
                <w:color w:val="auto"/>
              </w:rPr>
              <w:t>641,915</w:t>
            </w:r>
          </w:p>
        </w:tc>
        <w:tc>
          <w:tcPr>
            <w:tcW w:w="1380" w:type="dxa"/>
            <w:vAlign w:val="bottom"/>
          </w:tcPr>
          <w:p>
            <w:pPr>
              <w:jc w:val="center"/>
              <w:spacing w:after="0"/>
              <w:rPr>
                <w:sz w:val="20"/>
                <w:szCs w:val="20"/>
                <w:color w:val="auto"/>
              </w:rPr>
            </w:pPr>
            <w:r>
              <w:rPr>
                <w:rFonts w:ascii="Arial" w:cs="Arial" w:eastAsia="Arial" w:hAnsi="Arial"/>
                <w:sz w:val="10"/>
                <w:szCs w:val="10"/>
                <w:color w:val="auto"/>
              </w:rPr>
              <w:t>698,747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151,485</w:t>
            </w:r>
          </w:p>
        </w:tc>
        <w:tc>
          <w:tcPr>
            <w:tcW w:w="1000" w:type="dxa"/>
            <w:vAlign w:val="bottom"/>
          </w:tcPr>
          <w:p>
            <w:pPr>
              <w:jc w:val="center"/>
              <w:spacing w:after="0"/>
              <w:rPr>
                <w:sz w:val="20"/>
                <w:szCs w:val="20"/>
                <w:color w:val="auto"/>
              </w:rPr>
            </w:pPr>
            <w:r>
              <w:rPr>
                <w:rFonts w:ascii="Arial" w:cs="Arial" w:eastAsia="Arial" w:hAnsi="Arial"/>
                <w:sz w:val="10"/>
                <w:szCs w:val="10"/>
                <w:color w:val="auto"/>
              </w:rPr>
              <w:t>-78.3%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-76.4%</w:t>
            </w:r>
          </w:p>
        </w:tc>
      </w:tr>
      <w:tr>
        <w:trPr>
          <w:trHeight w:val="137"/>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Other liabilities</w:t>
            </w:r>
          </w:p>
        </w:tc>
        <w:tc>
          <w:tcPr>
            <w:tcW w:w="1380" w:type="dxa"/>
            <w:vAlign w:val="bottom"/>
          </w:tcPr>
          <w:p>
            <w:pPr>
              <w:jc w:val="center"/>
              <w:spacing w:after="0"/>
              <w:rPr>
                <w:sz w:val="20"/>
                <w:szCs w:val="20"/>
                <w:color w:val="auto"/>
              </w:rPr>
            </w:pPr>
            <w:r>
              <w:rPr>
                <w:rFonts w:ascii="Arial" w:cs="Arial" w:eastAsia="Arial" w:hAnsi="Arial"/>
                <w:sz w:val="10"/>
                <w:szCs w:val="10"/>
                <w:color w:val="auto"/>
              </w:rPr>
              <w:t>7,613,787</w:t>
            </w:r>
          </w:p>
        </w:tc>
        <w:tc>
          <w:tcPr>
            <w:tcW w:w="1380" w:type="dxa"/>
            <w:vAlign w:val="bottom"/>
          </w:tcPr>
          <w:p>
            <w:pPr>
              <w:jc w:val="center"/>
              <w:spacing w:after="0"/>
              <w:rPr>
                <w:sz w:val="20"/>
                <w:szCs w:val="20"/>
                <w:color w:val="auto"/>
              </w:rPr>
            </w:pPr>
            <w:r>
              <w:rPr>
                <w:rFonts w:ascii="Arial" w:cs="Arial" w:eastAsia="Arial" w:hAnsi="Arial"/>
                <w:sz w:val="10"/>
                <w:szCs w:val="10"/>
                <w:color w:val="auto"/>
              </w:rPr>
              <w:t>9,752,701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8,192,692</w:t>
            </w:r>
          </w:p>
        </w:tc>
        <w:tc>
          <w:tcPr>
            <w:tcW w:w="1000" w:type="dxa"/>
            <w:vAlign w:val="bottom"/>
          </w:tcPr>
          <w:p>
            <w:pPr>
              <w:jc w:val="center"/>
              <w:spacing w:after="0"/>
              <w:rPr>
                <w:sz w:val="20"/>
                <w:szCs w:val="20"/>
                <w:color w:val="auto"/>
              </w:rPr>
            </w:pPr>
            <w:r>
              <w:rPr>
                <w:rFonts w:ascii="Arial" w:cs="Arial" w:eastAsia="Arial" w:hAnsi="Arial"/>
                <w:sz w:val="10"/>
                <w:szCs w:val="10"/>
                <w:color w:val="auto"/>
              </w:rPr>
              <w:t>-16.0%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7.6%</w:t>
            </w:r>
          </w:p>
        </w:tc>
      </w:tr>
      <w:tr>
        <w:trPr>
          <w:trHeight w:val="334"/>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Total Liabilities</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205,733,123</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215,682,599</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221,220,250</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7.5%</w:t>
            </w:r>
          </w:p>
        </w:tc>
      </w:tr>
      <w:tr>
        <w:trPr>
          <w:trHeight w:val="211"/>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equity</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32,460,004</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33,462,591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34,346,451</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5.8%</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Capital stock</w:t>
            </w:r>
          </w:p>
        </w:tc>
        <w:tc>
          <w:tcPr>
            <w:tcW w:w="1380" w:type="dxa"/>
            <w:vAlign w:val="bottom"/>
          </w:tcPr>
          <w:p>
            <w:pPr>
              <w:jc w:val="center"/>
              <w:spacing w:after="0"/>
              <w:rPr>
                <w:sz w:val="20"/>
                <w:szCs w:val="20"/>
                <w:color w:val="auto"/>
              </w:rPr>
            </w:pPr>
            <w:r>
              <w:rPr>
                <w:rFonts w:ascii="Arial" w:cs="Arial" w:eastAsia="Arial" w:hAnsi="Arial"/>
                <w:sz w:val="10"/>
                <w:szCs w:val="10"/>
                <w:color w:val="auto"/>
              </w:rPr>
              <w:t>1,318,993</w:t>
            </w:r>
          </w:p>
        </w:tc>
        <w:tc>
          <w:tcPr>
            <w:tcW w:w="1380" w:type="dxa"/>
            <w:vAlign w:val="bottom"/>
          </w:tcPr>
          <w:p>
            <w:pPr>
              <w:jc w:val="center"/>
              <w:spacing w:after="0"/>
              <w:rPr>
                <w:sz w:val="20"/>
                <w:szCs w:val="20"/>
                <w:color w:val="auto"/>
              </w:rPr>
            </w:pPr>
            <w:r>
              <w:rPr>
                <w:rFonts w:ascii="Arial" w:cs="Arial" w:eastAsia="Arial" w:hAnsi="Arial"/>
                <w:sz w:val="10"/>
                <w:szCs w:val="10"/>
                <w:color w:val="auto"/>
              </w:rPr>
              <w:t>1,318,993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1,318,993</w:t>
            </w:r>
          </w:p>
        </w:tc>
        <w:tc>
          <w:tcPr>
            <w:tcW w:w="1000" w:type="dxa"/>
            <w:vAlign w:val="bottom"/>
          </w:tcPr>
          <w:p>
            <w:pPr>
              <w:jc w:val="center"/>
              <w:spacing w:after="0"/>
              <w:rPr>
                <w:sz w:val="20"/>
                <w:szCs w:val="20"/>
                <w:color w:val="auto"/>
              </w:rPr>
            </w:pPr>
            <w:r>
              <w:rPr>
                <w:rFonts w:ascii="Arial" w:cs="Arial" w:eastAsia="Arial" w:hAnsi="Arial"/>
                <w:sz w:val="10"/>
                <w:szCs w:val="10"/>
                <w:color w:val="auto"/>
              </w:rPr>
              <w:t>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0.0%</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Treasury stock</w:t>
            </w:r>
          </w:p>
        </w:tc>
        <w:tc>
          <w:tcPr>
            <w:tcW w:w="1380" w:type="dxa"/>
            <w:vAlign w:val="bottom"/>
          </w:tcPr>
          <w:p>
            <w:pPr>
              <w:jc w:val="center"/>
              <w:spacing w:after="0"/>
              <w:rPr>
                <w:sz w:val="20"/>
                <w:szCs w:val="20"/>
                <w:color w:val="auto"/>
              </w:rPr>
            </w:pPr>
            <w:r>
              <w:rPr>
                <w:rFonts w:ascii="Arial" w:cs="Arial" w:eastAsia="Arial" w:hAnsi="Arial"/>
                <w:sz w:val="10"/>
                <w:szCs w:val="10"/>
                <w:color w:val="auto"/>
              </w:rPr>
              <w:t>(208,033)</w:t>
            </w:r>
          </w:p>
        </w:tc>
        <w:tc>
          <w:tcPr>
            <w:tcW w:w="1380" w:type="dxa"/>
            <w:vAlign w:val="bottom"/>
          </w:tcPr>
          <w:p>
            <w:pPr>
              <w:jc w:val="center"/>
              <w:spacing w:after="0"/>
              <w:rPr>
                <w:sz w:val="20"/>
                <w:szCs w:val="20"/>
                <w:color w:val="auto"/>
              </w:rPr>
            </w:pPr>
            <w:r>
              <w:rPr>
                <w:rFonts w:ascii="Arial" w:cs="Arial" w:eastAsia="Arial" w:hAnsi="Arial"/>
                <w:sz w:val="10"/>
                <w:szCs w:val="10"/>
                <w:color w:val="auto"/>
              </w:rPr>
              <w:t>(208,901)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(208,879)</w:t>
            </w:r>
          </w:p>
        </w:tc>
        <w:tc>
          <w:tcPr>
            <w:tcW w:w="1000" w:type="dxa"/>
            <w:vAlign w:val="bottom"/>
          </w:tcPr>
          <w:p>
            <w:pPr>
              <w:jc w:val="center"/>
              <w:spacing w:after="0"/>
              <w:rPr>
                <w:sz w:val="20"/>
                <w:szCs w:val="20"/>
                <w:color w:val="auto"/>
              </w:rPr>
            </w:pPr>
            <w:r>
              <w:rPr>
                <w:rFonts w:ascii="Arial" w:cs="Arial" w:eastAsia="Arial" w:hAnsi="Arial"/>
                <w:sz w:val="10"/>
                <w:szCs w:val="10"/>
                <w:color w:val="auto"/>
              </w:rPr>
              <w:t>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0.4%</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Capital surplus</w:t>
            </w:r>
          </w:p>
        </w:tc>
        <w:tc>
          <w:tcPr>
            <w:tcW w:w="1380" w:type="dxa"/>
            <w:vAlign w:val="bottom"/>
          </w:tcPr>
          <w:p>
            <w:pPr>
              <w:jc w:val="center"/>
              <w:spacing w:after="0"/>
              <w:rPr>
                <w:sz w:val="20"/>
                <w:szCs w:val="20"/>
                <w:color w:val="auto"/>
              </w:rPr>
            </w:pPr>
            <w:r>
              <w:rPr>
                <w:rFonts w:ascii="Arial" w:cs="Arial" w:eastAsia="Arial" w:hAnsi="Arial"/>
                <w:sz w:val="10"/>
                <w:szCs w:val="10"/>
                <w:color w:val="auto"/>
              </w:rPr>
              <w:t>228,239</w:t>
            </w:r>
          </w:p>
        </w:tc>
        <w:tc>
          <w:tcPr>
            <w:tcW w:w="1380" w:type="dxa"/>
            <w:vAlign w:val="bottom"/>
          </w:tcPr>
          <w:p>
            <w:pPr>
              <w:jc w:val="center"/>
              <w:spacing w:after="0"/>
              <w:rPr>
                <w:sz w:val="20"/>
                <w:szCs w:val="20"/>
                <w:color w:val="auto"/>
              </w:rPr>
            </w:pPr>
            <w:r>
              <w:rPr>
                <w:rFonts w:ascii="Arial" w:cs="Arial" w:eastAsia="Arial" w:hAnsi="Arial"/>
                <w:sz w:val="10"/>
                <w:szCs w:val="10"/>
                <w:color w:val="auto"/>
              </w:rPr>
              <w:t>179,027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176,307</w:t>
            </w:r>
          </w:p>
        </w:tc>
        <w:tc>
          <w:tcPr>
            <w:tcW w:w="1000" w:type="dxa"/>
            <w:vAlign w:val="bottom"/>
          </w:tcPr>
          <w:p>
            <w:pPr>
              <w:jc w:val="center"/>
              <w:spacing w:after="0"/>
              <w:rPr>
                <w:sz w:val="20"/>
                <w:szCs w:val="20"/>
                <w:color w:val="auto"/>
              </w:rPr>
            </w:pPr>
            <w:r>
              <w:rPr>
                <w:rFonts w:ascii="Arial" w:cs="Arial" w:eastAsia="Arial" w:hAnsi="Arial"/>
                <w:sz w:val="10"/>
                <w:szCs w:val="10"/>
                <w:color w:val="auto"/>
              </w:rPr>
              <w:t>-1.5%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-22.8%</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Reserves</w:t>
            </w:r>
          </w:p>
        </w:tc>
        <w:tc>
          <w:tcPr>
            <w:tcW w:w="1380" w:type="dxa"/>
            <w:vAlign w:val="bottom"/>
          </w:tcPr>
          <w:p>
            <w:pPr>
              <w:jc w:val="center"/>
              <w:spacing w:after="0"/>
              <w:rPr>
                <w:sz w:val="20"/>
                <w:szCs w:val="20"/>
                <w:color w:val="auto"/>
              </w:rPr>
            </w:pPr>
            <w:r>
              <w:rPr>
                <w:rFonts w:ascii="Arial" w:cs="Arial" w:eastAsia="Arial" w:hAnsi="Arial"/>
                <w:sz w:val="10"/>
                <w:szCs w:val="10"/>
                <w:color w:val="auto"/>
              </w:rPr>
              <w:t>26,252,578</w:t>
            </w:r>
          </w:p>
        </w:tc>
        <w:tc>
          <w:tcPr>
            <w:tcW w:w="1380" w:type="dxa"/>
            <w:vAlign w:val="bottom"/>
          </w:tcPr>
          <w:p>
            <w:pPr>
              <w:jc w:val="center"/>
              <w:spacing w:after="0"/>
              <w:rPr>
                <w:sz w:val="20"/>
                <w:szCs w:val="20"/>
                <w:color w:val="auto"/>
              </w:rPr>
            </w:pPr>
            <w:r>
              <w:rPr>
                <w:rFonts w:ascii="Arial" w:cs="Arial" w:eastAsia="Arial" w:hAnsi="Arial"/>
                <w:sz w:val="10"/>
                <w:szCs w:val="10"/>
                <w:color w:val="auto"/>
              </w:rPr>
              <w:t>27,187,346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27,202,665</w:t>
            </w:r>
          </w:p>
        </w:tc>
        <w:tc>
          <w:tcPr>
            <w:tcW w:w="1000" w:type="dxa"/>
            <w:vAlign w:val="bottom"/>
          </w:tcPr>
          <w:p>
            <w:pPr>
              <w:jc w:val="center"/>
              <w:spacing w:after="0"/>
              <w:rPr>
                <w:sz w:val="20"/>
                <w:szCs w:val="20"/>
                <w:color w:val="auto"/>
              </w:rPr>
            </w:pPr>
            <w:r>
              <w:rPr>
                <w:rFonts w:ascii="Arial" w:cs="Arial" w:eastAsia="Arial" w:hAnsi="Arial"/>
                <w:sz w:val="10"/>
                <w:szCs w:val="10"/>
                <w:color w:val="auto"/>
              </w:rPr>
              <w:t>0.1%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3.6%</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Other reserves</w:t>
            </w:r>
          </w:p>
        </w:tc>
        <w:tc>
          <w:tcPr>
            <w:tcW w:w="1380" w:type="dxa"/>
            <w:vAlign w:val="bottom"/>
          </w:tcPr>
          <w:p>
            <w:pPr>
              <w:jc w:val="center"/>
              <w:spacing w:after="0"/>
              <w:rPr>
                <w:sz w:val="20"/>
                <w:szCs w:val="20"/>
                <w:color w:val="auto"/>
              </w:rPr>
            </w:pPr>
            <w:r>
              <w:rPr>
                <w:rFonts w:ascii="Arial" w:cs="Arial" w:eastAsia="Arial" w:hAnsi="Arial"/>
                <w:sz w:val="10"/>
                <w:szCs w:val="10"/>
                <w:color w:val="auto"/>
              </w:rPr>
              <w:t>295,783</w:t>
            </w:r>
          </w:p>
        </w:tc>
        <w:tc>
          <w:tcPr>
            <w:tcW w:w="1380" w:type="dxa"/>
            <w:vAlign w:val="bottom"/>
          </w:tcPr>
          <w:p>
            <w:pPr>
              <w:jc w:val="center"/>
              <w:spacing w:after="0"/>
              <w:rPr>
                <w:sz w:val="20"/>
                <w:szCs w:val="20"/>
                <w:color w:val="auto"/>
              </w:rPr>
            </w:pPr>
            <w:r>
              <w:rPr>
                <w:rFonts w:ascii="Arial" w:cs="Arial" w:eastAsia="Arial" w:hAnsi="Arial"/>
                <w:sz w:val="10"/>
                <w:szCs w:val="10"/>
                <w:color w:val="auto"/>
              </w:rPr>
              <w:t>470,550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214,627</w:t>
            </w:r>
          </w:p>
        </w:tc>
        <w:tc>
          <w:tcPr>
            <w:tcW w:w="1000" w:type="dxa"/>
            <w:vAlign w:val="bottom"/>
          </w:tcPr>
          <w:p>
            <w:pPr>
              <w:jc w:val="center"/>
              <w:spacing w:after="0"/>
              <w:rPr>
                <w:sz w:val="20"/>
                <w:szCs w:val="20"/>
                <w:color w:val="auto"/>
              </w:rPr>
            </w:pPr>
            <w:r>
              <w:rPr>
                <w:rFonts w:ascii="Arial" w:cs="Arial" w:eastAsia="Arial" w:hAnsi="Arial"/>
                <w:sz w:val="10"/>
                <w:szCs w:val="10"/>
                <w:color w:val="auto"/>
              </w:rPr>
              <w:t>-54.4%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-27.4%</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Retained earnings</w:t>
            </w:r>
          </w:p>
        </w:tc>
        <w:tc>
          <w:tcPr>
            <w:tcW w:w="1380" w:type="dxa"/>
            <w:vAlign w:val="bottom"/>
          </w:tcPr>
          <w:p>
            <w:pPr>
              <w:jc w:val="center"/>
              <w:spacing w:after="0"/>
              <w:rPr>
                <w:sz w:val="20"/>
                <w:szCs w:val="20"/>
                <w:color w:val="auto"/>
              </w:rPr>
            </w:pPr>
            <w:r>
              <w:rPr>
                <w:rFonts w:ascii="Arial" w:cs="Arial" w:eastAsia="Arial" w:hAnsi="Arial"/>
                <w:sz w:val="10"/>
                <w:szCs w:val="10"/>
                <w:color w:val="auto"/>
              </w:rPr>
              <w:t>4,572,444</w:t>
            </w:r>
          </w:p>
        </w:tc>
        <w:tc>
          <w:tcPr>
            <w:tcW w:w="1380" w:type="dxa"/>
            <w:vAlign w:val="bottom"/>
          </w:tcPr>
          <w:p>
            <w:pPr>
              <w:jc w:val="center"/>
              <w:spacing w:after="0"/>
              <w:rPr>
                <w:sz w:val="20"/>
                <w:szCs w:val="20"/>
                <w:color w:val="auto"/>
              </w:rPr>
            </w:pPr>
            <w:r>
              <w:rPr>
                <w:rFonts w:ascii="Arial" w:cs="Arial" w:eastAsia="Arial" w:hAnsi="Arial"/>
                <w:sz w:val="10"/>
                <w:szCs w:val="10"/>
                <w:color w:val="auto"/>
              </w:rPr>
              <w:t>4,515,576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5,642,738</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25.0%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23.4%</w:t>
            </w:r>
          </w:p>
        </w:tc>
      </w:tr>
      <w:tr>
        <w:trPr>
          <w:trHeight w:val="137"/>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Non-controlling interest</w:t>
            </w:r>
          </w:p>
        </w:tc>
        <w:tc>
          <w:tcPr>
            <w:tcW w:w="1380" w:type="dxa"/>
            <w:vAlign w:val="bottom"/>
          </w:tcPr>
          <w:p>
            <w:pPr>
              <w:jc w:val="center"/>
              <w:spacing w:after="0"/>
              <w:rPr>
                <w:sz w:val="20"/>
                <w:szCs w:val="20"/>
                <w:color w:val="auto"/>
              </w:rPr>
            </w:pPr>
            <w:r>
              <w:rPr>
                <w:rFonts w:ascii="Arial" w:cs="Arial" w:eastAsia="Arial" w:hAnsi="Arial"/>
                <w:sz w:val="10"/>
                <w:szCs w:val="10"/>
                <w:color w:val="auto"/>
              </w:rPr>
              <w:t>647,061</w:t>
            </w:r>
          </w:p>
        </w:tc>
        <w:tc>
          <w:tcPr>
            <w:tcW w:w="1380" w:type="dxa"/>
            <w:vAlign w:val="bottom"/>
          </w:tcPr>
          <w:p>
            <w:pPr>
              <w:jc w:val="center"/>
              <w:spacing w:after="0"/>
              <w:rPr>
                <w:sz w:val="20"/>
                <w:szCs w:val="20"/>
                <w:color w:val="auto"/>
              </w:rPr>
            </w:pPr>
            <w:r>
              <w:rPr>
                <w:rFonts w:ascii="Arial" w:cs="Arial" w:eastAsia="Arial" w:hAnsi="Arial"/>
                <w:sz w:val="10"/>
                <w:szCs w:val="10"/>
                <w:color w:val="auto"/>
              </w:rPr>
              <w:t>614,600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630,783</w:t>
            </w:r>
          </w:p>
        </w:tc>
        <w:tc>
          <w:tcPr>
            <w:tcW w:w="1000" w:type="dxa"/>
            <w:vAlign w:val="bottom"/>
          </w:tcPr>
          <w:p>
            <w:pPr>
              <w:jc w:val="center"/>
              <w:spacing w:after="0"/>
              <w:rPr>
                <w:sz w:val="20"/>
                <w:szCs w:val="20"/>
                <w:color w:val="auto"/>
              </w:rPr>
            </w:pPr>
            <w:r>
              <w:rPr>
                <w:rFonts w:ascii="Arial" w:cs="Arial" w:eastAsia="Arial" w:hAnsi="Arial"/>
                <w:sz w:val="10"/>
                <w:szCs w:val="10"/>
                <w:color w:val="auto"/>
              </w:rPr>
              <w:t>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-2.5%</w:t>
            </w:r>
          </w:p>
        </w:tc>
      </w:tr>
      <w:tr>
        <w:trPr>
          <w:trHeight w:val="334"/>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Total Net Equity</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33,107,065</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34,077,191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34,977,234</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5.6%</w:t>
            </w:r>
          </w:p>
        </w:tc>
      </w:tr>
      <w:tr>
        <w:trPr>
          <w:trHeight w:val="303"/>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238,840,188</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249,759,790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256,197,484</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7.3%</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Off-balance sheet</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149,769,480</w:t>
            </w:r>
          </w:p>
        </w:tc>
        <w:tc>
          <w:tcPr>
            <w:tcW w:w="1380" w:type="dxa"/>
            <w:vAlign w:val="bottom"/>
          </w:tcPr>
          <w:p>
            <w:pPr>
              <w:jc w:val="center"/>
              <w:spacing w:after="0"/>
              <w:rPr>
                <w:sz w:val="20"/>
                <w:szCs w:val="20"/>
                <w:color w:val="auto"/>
              </w:rPr>
            </w:pPr>
            <w:r>
              <w:rPr>
                <w:rFonts w:ascii="Arial" w:cs="Arial" w:eastAsia="Arial" w:hAnsi="Arial"/>
                <w:sz w:val="10"/>
                <w:szCs w:val="10"/>
                <w:b w:val="1"/>
                <w:bCs w:val="1"/>
                <w:color w:val="auto"/>
              </w:rPr>
              <w:t>155,876,986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151,223,851</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-3.0%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1.0%</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Total performance bonds, stand-by and L/Cs.</w:t>
            </w:r>
          </w:p>
        </w:tc>
        <w:tc>
          <w:tcPr>
            <w:tcW w:w="1380" w:type="dxa"/>
            <w:vAlign w:val="bottom"/>
          </w:tcPr>
          <w:p>
            <w:pPr>
              <w:jc w:val="center"/>
              <w:spacing w:after="0"/>
              <w:rPr>
                <w:sz w:val="20"/>
                <w:szCs w:val="20"/>
                <w:color w:val="auto"/>
              </w:rPr>
            </w:pPr>
            <w:r>
              <w:rPr>
                <w:rFonts w:ascii="Arial" w:cs="Arial" w:eastAsia="Arial" w:hAnsi="Arial"/>
                <w:sz w:val="10"/>
                <w:szCs w:val="10"/>
                <w:color w:val="auto"/>
              </w:rPr>
              <w:t>20,051,616</w:t>
            </w:r>
          </w:p>
        </w:tc>
        <w:tc>
          <w:tcPr>
            <w:tcW w:w="1380" w:type="dxa"/>
            <w:vAlign w:val="bottom"/>
          </w:tcPr>
          <w:p>
            <w:pPr>
              <w:jc w:val="center"/>
              <w:spacing w:after="0"/>
              <w:rPr>
                <w:sz w:val="20"/>
                <w:szCs w:val="20"/>
                <w:color w:val="auto"/>
              </w:rPr>
            </w:pPr>
            <w:r>
              <w:rPr>
                <w:rFonts w:ascii="Arial" w:cs="Arial" w:eastAsia="Arial" w:hAnsi="Arial"/>
                <w:sz w:val="10"/>
                <w:szCs w:val="10"/>
                <w:color w:val="auto"/>
              </w:rPr>
              <w:t>20,206,333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22,139,322</w:t>
            </w:r>
          </w:p>
        </w:tc>
        <w:tc>
          <w:tcPr>
            <w:tcW w:w="1000" w:type="dxa"/>
            <w:vAlign w:val="bottom"/>
          </w:tcPr>
          <w:p>
            <w:pPr>
              <w:jc w:val="center"/>
              <w:spacing w:after="0"/>
              <w:rPr>
                <w:sz w:val="20"/>
                <w:szCs w:val="20"/>
                <w:color w:val="auto"/>
              </w:rPr>
            </w:pPr>
            <w:r>
              <w:rPr>
                <w:rFonts w:ascii="Arial" w:cs="Arial" w:eastAsia="Arial" w:hAnsi="Arial"/>
                <w:sz w:val="10"/>
                <w:szCs w:val="10"/>
                <w:color w:val="auto"/>
              </w:rPr>
              <w:t>9.6%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10.4%</w:t>
            </w:r>
          </w:p>
        </w:tc>
      </w:tr>
      <w:tr>
        <w:trPr>
          <w:trHeight w:val="118"/>
        </w:trPr>
        <w:tc>
          <w:tcPr>
            <w:tcW w:w="5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Undrawn credit lines, advised but not committed</w:t>
            </w:r>
          </w:p>
        </w:tc>
        <w:tc>
          <w:tcPr>
            <w:tcW w:w="1380" w:type="dxa"/>
            <w:vAlign w:val="bottom"/>
          </w:tcPr>
          <w:p>
            <w:pPr>
              <w:jc w:val="center"/>
              <w:spacing w:after="0"/>
              <w:rPr>
                <w:sz w:val="20"/>
                <w:szCs w:val="20"/>
                <w:color w:val="auto"/>
              </w:rPr>
            </w:pPr>
            <w:r>
              <w:rPr>
                <w:rFonts w:ascii="Arial" w:cs="Arial" w:eastAsia="Arial" w:hAnsi="Arial"/>
                <w:sz w:val="10"/>
                <w:szCs w:val="10"/>
                <w:color w:val="auto"/>
              </w:rPr>
              <w:t>87,091,701</w:t>
            </w:r>
          </w:p>
        </w:tc>
        <w:tc>
          <w:tcPr>
            <w:tcW w:w="1380" w:type="dxa"/>
            <w:vAlign w:val="bottom"/>
          </w:tcPr>
          <w:p>
            <w:pPr>
              <w:jc w:val="center"/>
              <w:spacing w:after="0"/>
              <w:rPr>
                <w:sz w:val="20"/>
                <w:szCs w:val="20"/>
                <w:color w:val="auto"/>
              </w:rPr>
            </w:pPr>
            <w:r>
              <w:rPr>
                <w:rFonts w:ascii="Arial" w:cs="Arial" w:eastAsia="Arial" w:hAnsi="Arial"/>
                <w:sz w:val="10"/>
                <w:szCs w:val="10"/>
                <w:color w:val="auto"/>
              </w:rPr>
              <w:t>88,226,431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85,269,774</w:t>
            </w:r>
          </w:p>
        </w:tc>
        <w:tc>
          <w:tcPr>
            <w:tcW w:w="1000" w:type="dxa"/>
            <w:vAlign w:val="bottom"/>
          </w:tcPr>
          <w:p>
            <w:pPr>
              <w:jc w:val="center"/>
              <w:spacing w:after="0"/>
              <w:rPr>
                <w:sz w:val="20"/>
                <w:szCs w:val="20"/>
                <w:color w:val="auto"/>
              </w:rPr>
            </w:pPr>
            <w:r>
              <w:rPr>
                <w:rFonts w:ascii="Arial" w:cs="Arial" w:eastAsia="Arial" w:hAnsi="Arial"/>
                <w:sz w:val="10"/>
                <w:szCs w:val="10"/>
                <w:color w:val="auto"/>
              </w:rPr>
              <w:t>-3.4%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-2.1%</w:t>
            </w:r>
          </w:p>
        </w:tc>
      </w:tr>
      <w:tr>
        <w:trPr>
          <w:trHeight w:val="131"/>
        </w:trPr>
        <w:tc>
          <w:tcPr>
            <w:tcW w:w="5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Total derivatives (notional) and others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42,626,163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47,444,222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43,814,755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-7.6%</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2.8%</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(1) Includes mainly accounts receivables from brokerage and others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 Due to reclassifications, the Balance Sheet may differ from those reported in previous quarters.</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8" w:name="page59"/>
    <w:bookmarkEnd w:id="58"/>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Income</w:t>
      </w: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860" w:type="dxa"/>
            <w:vAlign w:val="bottom"/>
            <w:tcBorders>
              <w:top w:val="single" w:sz="8" w:color="auto"/>
              <w:left w:val="single" w:sz="8" w:color="auto"/>
              <w:right w:val="single" w:sz="8" w:color="auto"/>
            </w:tcBorders>
            <w:shd w:val="clear" w:color="auto" w:fill="33CCCC"/>
          </w:tcPr>
          <w:p>
            <w:pPr>
              <w:spacing w:after="0"/>
              <w:rPr>
                <w:sz w:val="10"/>
                <w:szCs w:val="10"/>
                <w:color w:val="auto"/>
              </w:rPr>
            </w:pPr>
          </w:p>
        </w:tc>
        <w:tc>
          <w:tcPr>
            <w:tcW w:w="980" w:type="dxa"/>
            <w:vAlign w:val="bottom"/>
            <w:tcBorders>
              <w:top w:val="single" w:sz="8" w:color="auto"/>
            </w:tcBorders>
            <w:shd w:val="clear" w:color="auto" w:fill="33CCCC"/>
          </w:tcPr>
          <w:p>
            <w:pPr>
              <w:spacing w:after="0"/>
              <w:rPr>
                <w:sz w:val="10"/>
                <w:szCs w:val="10"/>
                <w:color w:val="auto"/>
              </w:rPr>
            </w:pPr>
          </w:p>
        </w:tc>
        <w:tc>
          <w:tcPr>
            <w:tcW w:w="860" w:type="dxa"/>
            <w:vAlign w:val="bottom"/>
            <w:tcBorders>
              <w:top w:val="single" w:sz="8" w:color="auto"/>
            </w:tcBorders>
            <w:shd w:val="clear" w:color="auto" w:fill="33CCCC"/>
          </w:tcPr>
          <w:p>
            <w:pPr>
              <w:ind w:left="240"/>
              <w:spacing w:after="0"/>
              <w:rPr>
                <w:sz w:val="20"/>
                <w:szCs w:val="20"/>
                <w:color w:val="auto"/>
              </w:rPr>
            </w:pPr>
            <w:r>
              <w:rPr>
                <w:rFonts w:ascii="Arial" w:cs="Arial" w:eastAsia="Arial" w:hAnsi="Arial"/>
                <w:sz w:val="10"/>
                <w:szCs w:val="10"/>
                <w:b w:val="1"/>
                <w:bCs w:val="1"/>
                <w:color w:val="FFFFFF"/>
              </w:rPr>
              <w:t>Quarter</w:t>
            </w:r>
          </w:p>
        </w:tc>
        <w:tc>
          <w:tcPr>
            <w:tcW w:w="1000" w:type="dxa"/>
            <w:vAlign w:val="bottom"/>
            <w:tcBorders>
              <w:top w:val="single" w:sz="8" w:color="auto"/>
              <w:right w:val="single" w:sz="8" w:color="auto"/>
            </w:tcBorders>
            <w:shd w:val="clear" w:color="auto" w:fill="33CCCC"/>
          </w:tcPr>
          <w:p>
            <w:pPr>
              <w:spacing w:after="0"/>
              <w:rPr>
                <w:sz w:val="10"/>
                <w:szCs w:val="10"/>
                <w:color w:val="auto"/>
              </w:rPr>
            </w:pPr>
          </w:p>
        </w:tc>
        <w:tc>
          <w:tcPr>
            <w:tcW w:w="1460" w:type="dxa"/>
            <w:vAlign w:val="bottom"/>
            <w:tcBorders>
              <w:top w:val="single" w:sz="8" w:color="auto"/>
              <w:right w:val="single" w:sz="8" w:color="auto"/>
            </w:tcBorders>
            <w:gridSpan w:val="2"/>
            <w:shd w:val="clear" w:color="auto" w:fill="33CCCC"/>
          </w:tcPr>
          <w:p>
            <w:pPr>
              <w:ind w:left="480"/>
              <w:spacing w:after="0"/>
              <w:rPr>
                <w:sz w:val="20"/>
                <w:szCs w:val="20"/>
                <w:color w:val="auto"/>
              </w:rPr>
            </w:pPr>
            <w:r>
              <w:rPr>
                <w:rFonts w:ascii="Arial" w:cs="Arial" w:eastAsia="Arial" w:hAnsi="Arial"/>
                <w:sz w:val="10"/>
                <w:szCs w:val="10"/>
                <w:b w:val="1"/>
                <w:bCs w:val="1"/>
                <w:color w:val="FFFFFF"/>
              </w:rPr>
              <w:t>% change</w:t>
            </w:r>
          </w:p>
        </w:tc>
        <w:tc>
          <w:tcPr>
            <w:tcW w:w="840" w:type="dxa"/>
            <w:vAlign w:val="bottom"/>
            <w:tcBorders>
              <w:top w:val="single" w:sz="8" w:color="auto"/>
            </w:tcBorders>
            <w:shd w:val="clear" w:color="auto" w:fill="33CCCC"/>
          </w:tcPr>
          <w:p>
            <w:pPr>
              <w:spacing w:after="0"/>
              <w:rPr>
                <w:sz w:val="10"/>
                <w:szCs w:val="10"/>
                <w:color w:val="auto"/>
              </w:rPr>
            </w:pPr>
          </w:p>
        </w:tc>
        <w:tc>
          <w:tcPr>
            <w:tcW w:w="122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0"/>
                <w:szCs w:val="10"/>
                <w:b w:val="1"/>
                <w:bCs w:val="1"/>
                <w:color w:val="FFFFFF"/>
              </w:rPr>
              <w:t>As of</w:t>
            </w:r>
          </w:p>
        </w:tc>
        <w:tc>
          <w:tcPr>
            <w:tcW w:w="10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 change</w:t>
            </w:r>
          </w:p>
        </w:tc>
      </w:tr>
      <w:tr>
        <w:trPr>
          <w:trHeight w:val="131"/>
        </w:trPr>
        <w:tc>
          <w:tcPr>
            <w:tcW w:w="386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7"/>
              </w:rPr>
              <w:t>4Q23</w:t>
            </w:r>
          </w:p>
        </w:tc>
        <w:tc>
          <w:tcPr>
            <w:tcW w:w="860" w:type="dxa"/>
            <w:vAlign w:val="bottom"/>
            <w:tcBorders>
              <w:bottom w:val="single" w:sz="8" w:color="auto"/>
            </w:tcBorders>
            <w:shd w:val="clear" w:color="auto" w:fill="33CCCC"/>
          </w:tcPr>
          <w:p>
            <w:pPr>
              <w:jc w:val="center"/>
              <w:ind w:left="68"/>
              <w:spacing w:after="0"/>
              <w:rPr>
                <w:sz w:val="20"/>
                <w:szCs w:val="20"/>
                <w:color w:val="auto"/>
              </w:rPr>
            </w:pPr>
            <w:r>
              <w:rPr>
                <w:rFonts w:ascii="Arial" w:cs="Arial" w:eastAsia="Arial" w:hAnsi="Arial"/>
                <w:sz w:val="10"/>
                <w:szCs w:val="10"/>
                <w:b w:val="1"/>
                <w:bCs w:val="1"/>
                <w:color w:val="FFFFFF"/>
              </w:rPr>
              <w:t>3Q24</w:t>
            </w:r>
          </w:p>
        </w:tc>
        <w:tc>
          <w:tcPr>
            <w:tcW w:w="1000" w:type="dxa"/>
            <w:vAlign w:val="bottom"/>
            <w:tcBorders>
              <w:bottom w:val="single" w:sz="8" w:color="auto"/>
              <w:right w:val="single" w:sz="8" w:color="auto"/>
            </w:tcBorders>
            <w:shd w:val="clear" w:color="auto" w:fill="33CCCC"/>
          </w:tcPr>
          <w:p>
            <w:pPr>
              <w:jc w:val="center"/>
              <w:ind w:left="48"/>
              <w:spacing w:after="0"/>
              <w:rPr>
                <w:sz w:val="20"/>
                <w:szCs w:val="20"/>
                <w:color w:val="auto"/>
              </w:rPr>
            </w:pPr>
            <w:r>
              <w:rPr>
                <w:rFonts w:ascii="Arial" w:cs="Arial" w:eastAsia="Arial" w:hAnsi="Arial"/>
                <w:sz w:val="10"/>
                <w:szCs w:val="10"/>
                <w:b w:val="1"/>
                <w:bCs w:val="1"/>
                <w:color w:val="FFFFFF"/>
              </w:rPr>
              <w:t>4Q24</w:t>
            </w:r>
          </w:p>
        </w:tc>
        <w:tc>
          <w:tcPr>
            <w:tcW w:w="68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0"/>
                <w:szCs w:val="10"/>
                <w:b w:val="1"/>
                <w:bCs w:val="1"/>
                <w:color w:val="FFFFFF"/>
              </w:rPr>
              <w:t>QoQ</w:t>
            </w:r>
          </w:p>
        </w:tc>
        <w:tc>
          <w:tcPr>
            <w:tcW w:w="780" w:type="dxa"/>
            <w:vAlign w:val="bottom"/>
            <w:tcBorders>
              <w:bottom w:val="single" w:sz="8" w:color="auto"/>
              <w:right w:val="single" w:sz="8" w:color="auto"/>
            </w:tcBorders>
            <w:shd w:val="clear" w:color="auto" w:fill="33CCCC"/>
          </w:tcPr>
          <w:p>
            <w:pPr>
              <w:ind w:left="280"/>
              <w:spacing w:after="0"/>
              <w:rPr>
                <w:sz w:val="20"/>
                <w:szCs w:val="20"/>
                <w:color w:val="auto"/>
              </w:rPr>
            </w:pPr>
            <w:r>
              <w:rPr>
                <w:rFonts w:ascii="Arial" w:cs="Arial" w:eastAsia="Arial" w:hAnsi="Arial"/>
                <w:sz w:val="10"/>
                <w:szCs w:val="10"/>
                <w:b w:val="1"/>
                <w:bCs w:val="1"/>
                <w:color w:val="FFFFFF"/>
              </w:rPr>
              <w:t>YoY</w:t>
            </w:r>
          </w:p>
        </w:tc>
        <w:tc>
          <w:tcPr>
            <w:tcW w:w="84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0"/>
                <w:szCs w:val="10"/>
                <w:b w:val="1"/>
                <w:bCs w:val="1"/>
                <w:color w:val="FFFFFF"/>
              </w:rPr>
              <w:t>Dec 23</w:t>
            </w:r>
          </w:p>
        </w:tc>
        <w:tc>
          <w:tcPr>
            <w:tcW w:w="1220" w:type="dxa"/>
            <w:vAlign w:val="bottom"/>
            <w:tcBorders>
              <w:bottom w:val="single" w:sz="8" w:color="auto"/>
              <w:right w:val="single" w:sz="8" w:color="auto"/>
            </w:tcBorders>
            <w:shd w:val="clear" w:color="auto" w:fill="33CCCC"/>
          </w:tcPr>
          <w:p>
            <w:pPr>
              <w:ind w:left="520"/>
              <w:spacing w:after="0"/>
              <w:rPr>
                <w:sz w:val="20"/>
                <w:szCs w:val="20"/>
                <w:color w:val="auto"/>
              </w:rPr>
            </w:pPr>
            <w:r>
              <w:rPr>
                <w:rFonts w:ascii="Arial" w:cs="Arial" w:eastAsia="Arial" w:hAnsi="Arial"/>
                <w:sz w:val="10"/>
                <w:szCs w:val="10"/>
                <w:b w:val="1"/>
                <w:bCs w:val="1"/>
                <w:color w:val="FFFFFF"/>
              </w:rPr>
              <w:t>Dec 24</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Dec 24 / Dec 23</w:t>
            </w:r>
          </w:p>
        </w:tc>
      </w:tr>
      <w:tr>
        <w:trPr>
          <w:trHeight w:val="98"/>
        </w:trPr>
        <w:tc>
          <w:tcPr>
            <w:tcW w:w="3860" w:type="dxa"/>
            <w:vAlign w:val="bottom"/>
            <w:tcBorders>
              <w:left w:val="single" w:sz="8" w:color="auto"/>
              <w:right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Interest income and expense</w:t>
            </w: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Interest and similar income</w:t>
            </w:r>
          </w:p>
        </w:tc>
        <w:tc>
          <w:tcPr>
            <w:tcW w:w="980" w:type="dxa"/>
            <w:vAlign w:val="bottom"/>
          </w:tcPr>
          <w:p>
            <w:pPr>
              <w:jc w:val="center"/>
              <w:spacing w:after="0"/>
              <w:rPr>
                <w:sz w:val="20"/>
                <w:szCs w:val="20"/>
                <w:color w:val="auto"/>
              </w:rPr>
            </w:pPr>
            <w:r>
              <w:rPr>
                <w:rFonts w:ascii="Arial" w:cs="Arial" w:eastAsia="Arial" w:hAnsi="Arial"/>
                <w:sz w:val="10"/>
                <w:szCs w:val="10"/>
                <w:color w:val="auto"/>
              </w:rPr>
              <w:t>4,870,042</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4,995,971</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5,012,121</w:t>
            </w:r>
          </w:p>
        </w:tc>
        <w:tc>
          <w:tcPr>
            <w:tcW w:w="680" w:type="dxa"/>
            <w:vAlign w:val="bottom"/>
          </w:tcPr>
          <w:p>
            <w:pPr>
              <w:jc w:val="center"/>
              <w:spacing w:after="0"/>
              <w:rPr>
                <w:sz w:val="20"/>
                <w:szCs w:val="20"/>
                <w:color w:val="auto"/>
              </w:rPr>
            </w:pPr>
            <w:r>
              <w:rPr>
                <w:rFonts w:ascii="Arial" w:cs="Arial" w:eastAsia="Arial" w:hAnsi="Arial"/>
                <w:sz w:val="10"/>
                <w:szCs w:val="10"/>
                <w:color w:val="auto"/>
              </w:rPr>
              <w:t>0.3%</w:t>
            </w:r>
          </w:p>
        </w:tc>
        <w:tc>
          <w:tcPr>
            <w:tcW w:w="780" w:type="dxa"/>
            <w:vAlign w:val="bottom"/>
            <w:tcBorders>
              <w:right w:val="single" w:sz="8" w:color="auto"/>
            </w:tcBorders>
          </w:tcPr>
          <w:p>
            <w:pPr>
              <w:jc w:val="center"/>
              <w:ind w:right="8"/>
              <w:spacing w:after="0"/>
              <w:rPr>
                <w:sz w:val="20"/>
                <w:szCs w:val="20"/>
                <w:color w:val="auto"/>
              </w:rPr>
            </w:pPr>
            <w:r>
              <w:rPr>
                <w:rFonts w:ascii="Arial" w:cs="Arial" w:eastAsia="Arial" w:hAnsi="Arial"/>
                <w:sz w:val="10"/>
                <w:szCs w:val="10"/>
                <w:color w:val="auto"/>
              </w:rPr>
              <w:t>2.9%</w:t>
            </w:r>
          </w:p>
        </w:tc>
        <w:tc>
          <w:tcPr>
            <w:tcW w:w="840" w:type="dxa"/>
            <w:vAlign w:val="bottom"/>
          </w:tcPr>
          <w:p>
            <w:pPr>
              <w:jc w:val="center"/>
              <w:ind w:left="108"/>
              <w:spacing w:after="0"/>
              <w:rPr>
                <w:sz w:val="20"/>
                <w:szCs w:val="20"/>
                <w:color w:val="auto"/>
              </w:rPr>
            </w:pPr>
            <w:r>
              <w:rPr>
                <w:rFonts w:ascii="Arial" w:cs="Arial" w:eastAsia="Arial" w:hAnsi="Arial"/>
                <w:sz w:val="10"/>
                <w:szCs w:val="10"/>
                <w:color w:val="auto"/>
              </w:rPr>
              <w:t>18,798,495</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19,869,256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5.7%</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Interest and similar expenses</w:t>
            </w:r>
          </w:p>
        </w:tc>
        <w:tc>
          <w:tcPr>
            <w:tcW w:w="980" w:type="dxa"/>
            <w:vAlign w:val="bottom"/>
          </w:tcPr>
          <w:p>
            <w:pPr>
              <w:jc w:val="center"/>
              <w:spacing w:after="0"/>
              <w:rPr>
                <w:sz w:val="20"/>
                <w:szCs w:val="20"/>
                <w:color w:val="auto"/>
              </w:rPr>
            </w:pPr>
            <w:r>
              <w:rPr>
                <w:rFonts w:ascii="Arial" w:cs="Arial" w:eastAsia="Arial" w:hAnsi="Arial"/>
                <w:sz w:val="10"/>
                <w:szCs w:val="10"/>
                <w:color w:val="auto"/>
              </w:rPr>
              <w:t>(1,522,358)</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(1,405,221)</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(1,382,327)</w:t>
            </w:r>
          </w:p>
        </w:tc>
        <w:tc>
          <w:tcPr>
            <w:tcW w:w="680" w:type="dxa"/>
            <w:vAlign w:val="bottom"/>
          </w:tcPr>
          <w:p>
            <w:pPr>
              <w:jc w:val="center"/>
              <w:spacing w:after="0"/>
              <w:rPr>
                <w:sz w:val="20"/>
                <w:szCs w:val="20"/>
                <w:color w:val="auto"/>
              </w:rPr>
            </w:pPr>
            <w:r>
              <w:rPr>
                <w:rFonts w:ascii="Arial" w:cs="Arial" w:eastAsia="Arial" w:hAnsi="Arial"/>
                <w:sz w:val="10"/>
                <w:szCs w:val="10"/>
                <w:color w:val="auto"/>
              </w:rPr>
              <w:t>-1.6%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-9.2%</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(5,860,523)</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(5,754,125)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-1.8%</w:t>
            </w:r>
          </w:p>
        </w:tc>
      </w:tr>
      <w:tr>
        <w:trPr>
          <w:trHeight w:val="143"/>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Net interest, similar income and expenses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3,347,684</w:t>
            </w:r>
          </w:p>
        </w:tc>
        <w:tc>
          <w:tcPr>
            <w:tcW w:w="860" w:type="dxa"/>
            <w:vAlign w:val="bottom"/>
          </w:tcPr>
          <w:p>
            <w:pPr>
              <w:jc w:val="center"/>
              <w:ind w:left="68"/>
              <w:spacing w:after="0"/>
              <w:rPr>
                <w:sz w:val="20"/>
                <w:szCs w:val="20"/>
                <w:color w:val="auto"/>
              </w:rPr>
            </w:pPr>
            <w:r>
              <w:rPr>
                <w:rFonts w:ascii="Arial" w:cs="Arial" w:eastAsia="Arial" w:hAnsi="Arial"/>
                <w:sz w:val="10"/>
                <w:szCs w:val="10"/>
                <w:b w:val="1"/>
                <w:bCs w:val="1"/>
                <w:color w:val="auto"/>
              </w:rPr>
              <w:t>3,590,750</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3,629,794</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1.1%</w:t>
            </w:r>
          </w:p>
        </w:tc>
        <w:tc>
          <w:tcPr>
            <w:tcW w:w="780" w:type="dxa"/>
            <w:vAlign w:val="bottom"/>
            <w:tcBorders>
              <w:right w:val="single" w:sz="8" w:color="auto"/>
            </w:tcBorders>
          </w:tcPr>
          <w:p>
            <w:pPr>
              <w:jc w:val="center"/>
              <w:ind w:right="8"/>
              <w:spacing w:after="0"/>
              <w:rPr>
                <w:sz w:val="20"/>
                <w:szCs w:val="20"/>
                <w:color w:val="auto"/>
              </w:rPr>
            </w:pPr>
            <w:r>
              <w:rPr>
                <w:rFonts w:ascii="Arial" w:cs="Arial" w:eastAsia="Arial" w:hAnsi="Arial"/>
                <w:sz w:val="10"/>
                <w:szCs w:val="10"/>
                <w:b w:val="1"/>
                <w:bCs w:val="1"/>
                <w:color w:val="auto"/>
              </w:rPr>
              <w:t>8.4%</w:t>
            </w:r>
          </w:p>
        </w:tc>
        <w:tc>
          <w:tcPr>
            <w:tcW w:w="840" w:type="dxa"/>
            <w:vAlign w:val="bottom"/>
          </w:tcPr>
          <w:p>
            <w:pPr>
              <w:jc w:val="center"/>
              <w:ind w:left="108"/>
              <w:spacing w:after="0"/>
              <w:rPr>
                <w:sz w:val="20"/>
                <w:szCs w:val="20"/>
                <w:color w:val="auto"/>
              </w:rPr>
            </w:pPr>
            <w:r>
              <w:rPr>
                <w:rFonts w:ascii="Arial" w:cs="Arial" w:eastAsia="Arial" w:hAnsi="Arial"/>
                <w:sz w:val="10"/>
                <w:szCs w:val="10"/>
                <w:b w:val="1"/>
                <w:bCs w:val="1"/>
                <w:color w:val="auto"/>
              </w:rPr>
              <w:t>12,937,972</w:t>
            </w:r>
          </w:p>
        </w:tc>
        <w:tc>
          <w:tcPr>
            <w:tcW w:w="1220" w:type="dxa"/>
            <w:vAlign w:val="bottom"/>
            <w:tcBorders>
              <w:right w:val="single" w:sz="8" w:color="auto"/>
            </w:tcBorders>
          </w:tcPr>
          <w:p>
            <w:pPr>
              <w:jc w:val="center"/>
              <w:ind w:left="88"/>
              <w:spacing w:after="0"/>
              <w:rPr>
                <w:sz w:val="20"/>
                <w:szCs w:val="20"/>
                <w:color w:val="auto"/>
              </w:rPr>
            </w:pPr>
            <w:r>
              <w:rPr>
                <w:rFonts w:ascii="Arial" w:cs="Arial" w:eastAsia="Arial" w:hAnsi="Arial"/>
                <w:sz w:val="10"/>
                <w:szCs w:val="10"/>
                <w:b w:val="1"/>
                <w:bCs w:val="1"/>
                <w:color w:val="auto"/>
              </w:rPr>
              <w:t>14,115,131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9.1%</w:t>
            </w:r>
          </w:p>
        </w:tc>
      </w:tr>
      <w:tr>
        <w:trPr>
          <w:trHeight w:val="211"/>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Gross provision for credit losses on loan portfolio</w:t>
            </w:r>
          </w:p>
        </w:tc>
        <w:tc>
          <w:tcPr>
            <w:tcW w:w="980" w:type="dxa"/>
            <w:vAlign w:val="bottom"/>
          </w:tcPr>
          <w:p>
            <w:pPr>
              <w:jc w:val="center"/>
              <w:spacing w:after="0"/>
              <w:rPr>
                <w:sz w:val="20"/>
                <w:szCs w:val="20"/>
                <w:color w:val="auto"/>
              </w:rPr>
            </w:pPr>
            <w:r>
              <w:rPr>
                <w:rFonts w:ascii="Arial" w:cs="Arial" w:eastAsia="Arial" w:hAnsi="Arial"/>
                <w:sz w:val="10"/>
                <w:szCs w:val="10"/>
                <w:color w:val="auto"/>
              </w:rPr>
              <w:t>(1,260,163)</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(981,870)</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(857,694)</w:t>
            </w:r>
          </w:p>
        </w:tc>
        <w:tc>
          <w:tcPr>
            <w:tcW w:w="680" w:type="dxa"/>
            <w:vAlign w:val="bottom"/>
          </w:tcPr>
          <w:p>
            <w:pPr>
              <w:jc w:val="center"/>
              <w:spacing w:after="0"/>
              <w:rPr>
                <w:sz w:val="20"/>
                <w:szCs w:val="20"/>
                <w:color w:val="auto"/>
              </w:rPr>
            </w:pPr>
            <w:r>
              <w:rPr>
                <w:rFonts w:ascii="Arial" w:cs="Arial" w:eastAsia="Arial" w:hAnsi="Arial"/>
                <w:sz w:val="10"/>
                <w:szCs w:val="10"/>
                <w:color w:val="auto"/>
              </w:rPr>
              <w:t>-12.6%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-31.9%</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(3,957,143)</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(3,943,301)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-0.3%</w:t>
            </w:r>
          </w:p>
        </w:tc>
      </w:tr>
      <w:tr>
        <w:trPr>
          <w:trHeight w:val="118"/>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Recoveries of written-off loans</w:t>
            </w:r>
          </w:p>
        </w:tc>
        <w:tc>
          <w:tcPr>
            <w:tcW w:w="980" w:type="dxa"/>
            <w:vAlign w:val="bottom"/>
          </w:tcPr>
          <w:p>
            <w:pPr>
              <w:jc w:val="center"/>
              <w:spacing w:after="0"/>
              <w:rPr>
                <w:sz w:val="20"/>
                <w:szCs w:val="20"/>
                <w:color w:val="auto"/>
              </w:rPr>
            </w:pPr>
            <w:r>
              <w:rPr>
                <w:rFonts w:ascii="Arial" w:cs="Arial" w:eastAsia="Arial" w:hAnsi="Arial"/>
                <w:sz w:val="10"/>
                <w:szCs w:val="10"/>
                <w:color w:val="auto"/>
              </w:rPr>
              <w:t>86,709</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113,789</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114,398</w:t>
            </w:r>
          </w:p>
        </w:tc>
        <w:tc>
          <w:tcPr>
            <w:tcW w:w="680" w:type="dxa"/>
            <w:vAlign w:val="bottom"/>
          </w:tcPr>
          <w:p>
            <w:pPr>
              <w:jc w:val="center"/>
              <w:spacing w:after="0"/>
              <w:rPr>
                <w:sz w:val="20"/>
                <w:szCs w:val="20"/>
                <w:color w:val="auto"/>
              </w:rPr>
            </w:pPr>
            <w:r>
              <w:rPr>
                <w:rFonts w:ascii="Arial" w:cs="Arial" w:eastAsia="Arial" w:hAnsi="Arial"/>
                <w:sz w:val="10"/>
                <w:szCs w:val="10"/>
                <w:color w:val="auto"/>
              </w:rPr>
              <w:t>0.5%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31.9%</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334,798</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423,854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26.6%</w:t>
            </w:r>
          </w:p>
        </w:tc>
      </w:tr>
      <w:tr>
        <w:trPr>
          <w:trHeight w:val="143"/>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Provision for credit losses on loan portfolio, net of recoveries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(1,173,454)</w:t>
            </w:r>
          </w:p>
        </w:tc>
        <w:tc>
          <w:tcPr>
            <w:tcW w:w="860" w:type="dxa"/>
            <w:vAlign w:val="bottom"/>
          </w:tcPr>
          <w:p>
            <w:pPr>
              <w:jc w:val="center"/>
              <w:ind w:left="88"/>
              <w:spacing w:after="0"/>
              <w:rPr>
                <w:sz w:val="20"/>
                <w:szCs w:val="20"/>
                <w:color w:val="auto"/>
              </w:rPr>
            </w:pPr>
            <w:r>
              <w:rPr>
                <w:rFonts w:ascii="Arial" w:cs="Arial" w:eastAsia="Arial" w:hAnsi="Arial"/>
                <w:sz w:val="10"/>
                <w:szCs w:val="10"/>
                <w:b w:val="1"/>
                <w:bCs w:val="1"/>
                <w:color w:val="auto"/>
              </w:rPr>
              <w:t>(868,081)</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(743,296)</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-14.4%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-36.7%</w:t>
            </w:r>
          </w:p>
        </w:tc>
        <w:tc>
          <w:tcPr>
            <w:tcW w:w="840" w:type="dxa"/>
            <w:vAlign w:val="bottom"/>
          </w:tcPr>
          <w:p>
            <w:pPr>
              <w:jc w:val="center"/>
              <w:ind w:left="128"/>
              <w:spacing w:after="0"/>
              <w:rPr>
                <w:sz w:val="20"/>
                <w:szCs w:val="20"/>
                <w:color w:val="auto"/>
              </w:rPr>
            </w:pPr>
            <w:r>
              <w:rPr>
                <w:rFonts w:ascii="Arial" w:cs="Arial" w:eastAsia="Arial" w:hAnsi="Arial"/>
                <w:sz w:val="10"/>
                <w:szCs w:val="10"/>
                <w:b w:val="1"/>
                <w:bCs w:val="1"/>
                <w:color w:val="auto"/>
              </w:rPr>
              <w:t>(3,622,345)</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(3,519,447)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-2.8%</w:t>
            </w:r>
          </w:p>
        </w:tc>
      </w:tr>
      <w:tr>
        <w:trPr>
          <w:trHeight w:val="211"/>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interest, similar income and expenses, after provision for credit losses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2,174,230</w:t>
            </w:r>
          </w:p>
        </w:tc>
        <w:tc>
          <w:tcPr>
            <w:tcW w:w="860" w:type="dxa"/>
            <w:vAlign w:val="bottom"/>
          </w:tcPr>
          <w:p>
            <w:pPr>
              <w:jc w:val="center"/>
              <w:ind w:left="68"/>
              <w:spacing w:after="0"/>
              <w:rPr>
                <w:sz w:val="20"/>
                <w:szCs w:val="20"/>
                <w:color w:val="auto"/>
              </w:rPr>
            </w:pPr>
            <w:r>
              <w:rPr>
                <w:rFonts w:ascii="Arial" w:cs="Arial" w:eastAsia="Arial" w:hAnsi="Arial"/>
                <w:sz w:val="10"/>
                <w:szCs w:val="10"/>
                <w:b w:val="1"/>
                <w:bCs w:val="1"/>
                <w:color w:val="auto"/>
              </w:rPr>
              <w:t>2,722,669</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2,886,498</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6.0%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32.8%</w:t>
            </w:r>
          </w:p>
        </w:tc>
        <w:tc>
          <w:tcPr>
            <w:tcW w:w="840" w:type="dxa"/>
            <w:vAlign w:val="bottom"/>
          </w:tcPr>
          <w:p>
            <w:pPr>
              <w:jc w:val="center"/>
              <w:ind w:left="128"/>
              <w:spacing w:after="0"/>
              <w:rPr>
                <w:sz w:val="20"/>
                <w:szCs w:val="20"/>
                <w:color w:val="auto"/>
              </w:rPr>
            </w:pPr>
            <w:r>
              <w:rPr>
                <w:rFonts w:ascii="Arial" w:cs="Arial" w:eastAsia="Arial" w:hAnsi="Arial"/>
                <w:sz w:val="10"/>
                <w:szCs w:val="10"/>
                <w:b w:val="1"/>
                <w:bCs w:val="1"/>
                <w:color w:val="auto"/>
              </w:rPr>
              <w:t>9,315,627</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10,595,684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13.7%</w:t>
            </w:r>
          </w:p>
        </w:tc>
      </w:tr>
      <w:tr>
        <w:trPr>
          <w:trHeight w:val="143"/>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on loan portfolio</w:t>
            </w: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211"/>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Other income</w:t>
            </w: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Fee income</w:t>
            </w:r>
          </w:p>
        </w:tc>
        <w:tc>
          <w:tcPr>
            <w:tcW w:w="980" w:type="dxa"/>
            <w:vAlign w:val="bottom"/>
          </w:tcPr>
          <w:p>
            <w:pPr>
              <w:jc w:val="center"/>
              <w:spacing w:after="0"/>
              <w:rPr>
                <w:sz w:val="20"/>
                <w:szCs w:val="20"/>
                <w:color w:val="auto"/>
              </w:rPr>
            </w:pPr>
            <w:r>
              <w:rPr>
                <w:rFonts w:ascii="Arial" w:cs="Arial" w:eastAsia="Arial" w:hAnsi="Arial"/>
                <w:sz w:val="10"/>
                <w:szCs w:val="10"/>
                <w:color w:val="auto"/>
              </w:rPr>
              <w:t>986,173</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1,108,314</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1,103,548</w:t>
            </w:r>
          </w:p>
        </w:tc>
        <w:tc>
          <w:tcPr>
            <w:tcW w:w="680" w:type="dxa"/>
            <w:vAlign w:val="bottom"/>
          </w:tcPr>
          <w:p>
            <w:pPr>
              <w:jc w:val="center"/>
              <w:spacing w:after="0"/>
              <w:rPr>
                <w:sz w:val="20"/>
                <w:szCs w:val="20"/>
                <w:color w:val="auto"/>
              </w:rPr>
            </w:pPr>
            <w:r>
              <w:rPr>
                <w:rFonts w:ascii="Arial" w:cs="Arial" w:eastAsia="Arial" w:hAnsi="Arial"/>
                <w:sz w:val="10"/>
                <w:szCs w:val="10"/>
                <w:color w:val="auto"/>
              </w:rPr>
              <w:t>-0.4%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11.9%</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3,804,459</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4,423,193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16.3%</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gain on foreign exchange transactions</w:t>
            </w:r>
          </w:p>
        </w:tc>
        <w:tc>
          <w:tcPr>
            <w:tcW w:w="980" w:type="dxa"/>
            <w:vAlign w:val="bottom"/>
          </w:tcPr>
          <w:p>
            <w:pPr>
              <w:jc w:val="center"/>
              <w:spacing w:after="0"/>
              <w:rPr>
                <w:sz w:val="20"/>
                <w:szCs w:val="20"/>
                <w:color w:val="auto"/>
              </w:rPr>
            </w:pPr>
            <w:r>
              <w:rPr>
                <w:rFonts w:ascii="Arial" w:cs="Arial" w:eastAsia="Arial" w:hAnsi="Arial"/>
                <w:sz w:val="10"/>
                <w:szCs w:val="10"/>
                <w:color w:val="auto"/>
              </w:rPr>
              <w:t>218,047</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172,998</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223,913</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29.4%</w:t>
            </w:r>
          </w:p>
        </w:tc>
        <w:tc>
          <w:tcPr>
            <w:tcW w:w="780" w:type="dxa"/>
            <w:vAlign w:val="bottom"/>
            <w:tcBorders>
              <w:right w:val="single" w:sz="8" w:color="auto"/>
            </w:tcBorders>
          </w:tcPr>
          <w:p>
            <w:pPr>
              <w:jc w:val="center"/>
              <w:ind w:right="8"/>
              <w:spacing w:after="0"/>
              <w:rPr>
                <w:sz w:val="20"/>
                <w:szCs w:val="20"/>
                <w:color w:val="auto"/>
              </w:rPr>
            </w:pPr>
            <w:r>
              <w:rPr>
                <w:rFonts w:ascii="Arial" w:cs="Arial" w:eastAsia="Arial" w:hAnsi="Arial"/>
                <w:sz w:val="10"/>
                <w:szCs w:val="10"/>
                <w:color w:val="auto"/>
              </w:rPr>
              <w:t>2.7%</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886,126</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781,076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-11.9%</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loss on securities</w:t>
            </w:r>
          </w:p>
        </w:tc>
        <w:tc>
          <w:tcPr>
            <w:tcW w:w="980" w:type="dxa"/>
            <w:vAlign w:val="bottom"/>
          </w:tcPr>
          <w:p>
            <w:pPr>
              <w:jc w:val="center"/>
              <w:spacing w:after="0"/>
              <w:rPr>
                <w:sz w:val="20"/>
                <w:szCs w:val="20"/>
                <w:color w:val="auto"/>
              </w:rPr>
            </w:pPr>
            <w:r>
              <w:rPr>
                <w:rFonts w:ascii="Arial" w:cs="Arial" w:eastAsia="Arial" w:hAnsi="Arial"/>
                <w:sz w:val="10"/>
                <w:szCs w:val="10"/>
                <w:color w:val="auto"/>
                <w:w w:val="99"/>
              </w:rPr>
              <w:t>115,825</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120,033</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(47,377)</w:t>
            </w:r>
          </w:p>
        </w:tc>
        <w:tc>
          <w:tcPr>
            <w:tcW w:w="680" w:type="dxa"/>
            <w:vAlign w:val="bottom"/>
          </w:tcPr>
          <w:p>
            <w:pPr>
              <w:jc w:val="center"/>
              <w:spacing w:after="0"/>
              <w:rPr>
                <w:sz w:val="20"/>
                <w:szCs w:val="20"/>
                <w:color w:val="auto"/>
              </w:rPr>
            </w:pPr>
            <w:r>
              <w:rPr>
                <w:rFonts w:ascii="Arial" w:cs="Arial" w:eastAsia="Arial" w:hAnsi="Arial"/>
                <w:sz w:val="10"/>
                <w:szCs w:val="10"/>
                <w:color w:val="auto"/>
              </w:rPr>
              <w:t>-139.5%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-140.9%</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308,055</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227,112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-26.3%</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gain from associates</w:t>
            </w:r>
          </w:p>
        </w:tc>
        <w:tc>
          <w:tcPr>
            <w:tcW w:w="980" w:type="dxa"/>
            <w:vAlign w:val="bottom"/>
          </w:tcPr>
          <w:p>
            <w:pPr>
              <w:jc w:val="center"/>
              <w:spacing w:after="0"/>
              <w:rPr>
                <w:sz w:val="20"/>
                <w:szCs w:val="20"/>
                <w:color w:val="auto"/>
              </w:rPr>
            </w:pPr>
            <w:r>
              <w:rPr>
                <w:rFonts w:ascii="Arial" w:cs="Arial" w:eastAsia="Arial" w:hAnsi="Arial"/>
                <w:sz w:val="10"/>
                <w:szCs w:val="10"/>
                <w:color w:val="auto"/>
              </w:rPr>
              <w:t>34,132</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35,600</w:t>
            </w:r>
          </w:p>
        </w:tc>
        <w:tc>
          <w:tcPr>
            <w:tcW w:w="1000" w:type="dxa"/>
            <w:vAlign w:val="bottom"/>
            <w:tcBorders>
              <w:right w:val="single" w:sz="8" w:color="auto"/>
            </w:tcBorders>
          </w:tcPr>
          <w:p>
            <w:pPr>
              <w:jc w:val="center"/>
              <w:ind w:left="28"/>
              <w:spacing w:after="0"/>
              <w:rPr>
                <w:sz w:val="20"/>
                <w:szCs w:val="20"/>
                <w:color w:val="auto"/>
              </w:rPr>
            </w:pPr>
            <w:r>
              <w:rPr>
                <w:rFonts w:ascii="Arial" w:cs="Arial" w:eastAsia="Arial" w:hAnsi="Arial"/>
                <w:sz w:val="10"/>
                <w:szCs w:val="10"/>
                <w:color w:val="auto"/>
              </w:rPr>
              <w:t>38,560</w:t>
            </w:r>
          </w:p>
        </w:tc>
        <w:tc>
          <w:tcPr>
            <w:tcW w:w="680" w:type="dxa"/>
            <w:vAlign w:val="bottom"/>
          </w:tcPr>
          <w:p>
            <w:pPr>
              <w:jc w:val="center"/>
              <w:spacing w:after="0"/>
              <w:rPr>
                <w:sz w:val="20"/>
                <w:szCs w:val="20"/>
                <w:color w:val="auto"/>
              </w:rPr>
            </w:pPr>
            <w:r>
              <w:rPr>
                <w:rFonts w:ascii="Arial" w:cs="Arial" w:eastAsia="Arial" w:hAnsi="Arial"/>
                <w:sz w:val="10"/>
                <w:szCs w:val="10"/>
                <w:color w:val="auto"/>
              </w:rPr>
              <w:t>8.3%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13.0%</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117,089</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135,183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15.5%</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gain (loss) on derivatives held for trading</w:t>
            </w:r>
          </w:p>
        </w:tc>
        <w:tc>
          <w:tcPr>
            <w:tcW w:w="980" w:type="dxa"/>
            <w:vAlign w:val="bottom"/>
          </w:tcPr>
          <w:p>
            <w:pPr>
              <w:jc w:val="center"/>
              <w:spacing w:after="0"/>
              <w:rPr>
                <w:sz w:val="20"/>
                <w:szCs w:val="20"/>
                <w:color w:val="auto"/>
              </w:rPr>
            </w:pPr>
            <w:r>
              <w:rPr>
                <w:rFonts w:ascii="Arial" w:cs="Arial" w:eastAsia="Arial" w:hAnsi="Arial"/>
                <w:sz w:val="10"/>
                <w:szCs w:val="10"/>
                <w:color w:val="auto"/>
              </w:rPr>
              <w:t>5,019</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93,801</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188,301</w:t>
            </w:r>
          </w:p>
        </w:tc>
        <w:tc>
          <w:tcPr>
            <w:tcW w:w="680" w:type="dxa"/>
            <w:vAlign w:val="bottom"/>
          </w:tcPr>
          <w:p>
            <w:pPr>
              <w:jc w:val="center"/>
              <w:spacing w:after="0"/>
              <w:rPr>
                <w:sz w:val="20"/>
                <w:szCs w:val="20"/>
                <w:color w:val="auto"/>
              </w:rPr>
            </w:pPr>
            <w:r>
              <w:rPr>
                <w:rFonts w:ascii="Arial" w:cs="Arial" w:eastAsia="Arial" w:hAnsi="Arial"/>
                <w:sz w:val="10"/>
                <w:szCs w:val="10"/>
                <w:color w:val="auto"/>
              </w:rPr>
              <w:t>100.7%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3651.8%</w:t>
            </w:r>
          </w:p>
        </w:tc>
        <w:tc>
          <w:tcPr>
            <w:tcW w:w="840" w:type="dxa"/>
            <w:vAlign w:val="bottom"/>
          </w:tcPr>
          <w:p>
            <w:pPr>
              <w:jc w:val="center"/>
              <w:ind w:left="108"/>
              <w:spacing w:after="0"/>
              <w:rPr>
                <w:sz w:val="20"/>
                <w:szCs w:val="20"/>
                <w:color w:val="auto"/>
              </w:rPr>
            </w:pPr>
            <w:r>
              <w:rPr>
                <w:rFonts w:ascii="Arial" w:cs="Arial" w:eastAsia="Arial" w:hAnsi="Arial"/>
                <w:sz w:val="10"/>
                <w:szCs w:val="10"/>
                <w:color w:val="auto"/>
              </w:rPr>
              <w:t>53,665</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363,834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578.0%</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gain (loss) from exchange differences</w:t>
            </w:r>
          </w:p>
        </w:tc>
        <w:tc>
          <w:tcPr>
            <w:tcW w:w="980" w:type="dxa"/>
            <w:vAlign w:val="bottom"/>
          </w:tcPr>
          <w:p>
            <w:pPr>
              <w:jc w:val="center"/>
              <w:spacing w:after="0"/>
              <w:rPr>
                <w:sz w:val="20"/>
                <w:szCs w:val="20"/>
                <w:color w:val="auto"/>
              </w:rPr>
            </w:pPr>
            <w:r>
              <w:rPr>
                <w:rFonts w:ascii="Arial" w:cs="Arial" w:eastAsia="Arial" w:hAnsi="Arial"/>
                <w:sz w:val="10"/>
                <w:szCs w:val="10"/>
                <w:color w:val="auto"/>
              </w:rPr>
              <w:t>15,255</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(6,139)</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(21,365)</w:t>
            </w:r>
          </w:p>
        </w:tc>
        <w:tc>
          <w:tcPr>
            <w:tcW w:w="680" w:type="dxa"/>
            <w:vAlign w:val="bottom"/>
          </w:tcPr>
          <w:p>
            <w:pPr>
              <w:jc w:val="center"/>
              <w:spacing w:after="0"/>
              <w:rPr>
                <w:sz w:val="20"/>
                <w:szCs w:val="20"/>
                <w:color w:val="auto"/>
              </w:rPr>
            </w:pPr>
            <w:r>
              <w:rPr>
                <w:rFonts w:ascii="Arial" w:cs="Arial" w:eastAsia="Arial" w:hAnsi="Arial"/>
                <w:sz w:val="10"/>
                <w:szCs w:val="10"/>
                <w:color w:val="auto"/>
              </w:rPr>
              <w:t>248.0%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-240.1%</w:t>
            </w:r>
          </w:p>
        </w:tc>
        <w:tc>
          <w:tcPr>
            <w:tcW w:w="840" w:type="dxa"/>
            <w:vAlign w:val="bottom"/>
          </w:tcPr>
          <w:p>
            <w:pPr>
              <w:jc w:val="center"/>
              <w:ind w:left="108"/>
              <w:spacing w:after="0"/>
              <w:rPr>
                <w:sz w:val="20"/>
                <w:szCs w:val="20"/>
                <w:color w:val="auto"/>
              </w:rPr>
            </w:pPr>
            <w:r>
              <w:rPr>
                <w:rFonts w:ascii="Arial" w:cs="Arial" w:eastAsia="Arial" w:hAnsi="Arial"/>
                <w:sz w:val="10"/>
                <w:szCs w:val="10"/>
                <w:color w:val="auto"/>
              </w:rPr>
              <w:t>45,778</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(41,058)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-189.7%</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Others</w:t>
            </w:r>
          </w:p>
        </w:tc>
        <w:tc>
          <w:tcPr>
            <w:tcW w:w="980" w:type="dxa"/>
            <w:vAlign w:val="bottom"/>
          </w:tcPr>
          <w:p>
            <w:pPr>
              <w:jc w:val="center"/>
              <w:spacing w:after="0"/>
              <w:rPr>
                <w:sz w:val="20"/>
                <w:szCs w:val="20"/>
                <w:color w:val="auto"/>
              </w:rPr>
            </w:pPr>
            <w:r>
              <w:rPr>
                <w:rFonts w:ascii="Arial" w:cs="Arial" w:eastAsia="Arial" w:hAnsi="Arial"/>
                <w:sz w:val="10"/>
                <w:szCs w:val="10"/>
                <w:color w:val="auto"/>
                <w:w w:val="99"/>
              </w:rPr>
              <w:t>112,372</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96,675</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176,384</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82.5%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57.0%</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440,653</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514,779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16.8%</w:t>
            </w:r>
          </w:p>
        </w:tc>
      </w:tr>
      <w:tr>
        <w:trPr>
          <w:trHeight w:val="143"/>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Total other income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1,486,823</w:t>
            </w:r>
          </w:p>
        </w:tc>
        <w:tc>
          <w:tcPr>
            <w:tcW w:w="860" w:type="dxa"/>
            <w:vAlign w:val="bottom"/>
          </w:tcPr>
          <w:p>
            <w:pPr>
              <w:jc w:val="center"/>
              <w:ind w:left="68"/>
              <w:spacing w:after="0"/>
              <w:rPr>
                <w:sz w:val="20"/>
                <w:szCs w:val="20"/>
                <w:color w:val="auto"/>
              </w:rPr>
            </w:pPr>
            <w:r>
              <w:rPr>
                <w:rFonts w:ascii="Arial" w:cs="Arial" w:eastAsia="Arial" w:hAnsi="Arial"/>
                <w:sz w:val="10"/>
                <w:szCs w:val="10"/>
                <w:b w:val="1"/>
                <w:bCs w:val="1"/>
                <w:color w:val="auto"/>
              </w:rPr>
              <w:t>1,621,282</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1,661,964</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2.5%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11.8%</w:t>
            </w:r>
          </w:p>
        </w:tc>
        <w:tc>
          <w:tcPr>
            <w:tcW w:w="840" w:type="dxa"/>
            <w:vAlign w:val="bottom"/>
          </w:tcPr>
          <w:p>
            <w:pPr>
              <w:jc w:val="center"/>
              <w:ind w:left="128"/>
              <w:spacing w:after="0"/>
              <w:rPr>
                <w:sz w:val="20"/>
                <w:szCs w:val="20"/>
                <w:color w:val="auto"/>
              </w:rPr>
            </w:pPr>
            <w:r>
              <w:rPr>
                <w:rFonts w:ascii="Arial" w:cs="Arial" w:eastAsia="Arial" w:hAnsi="Arial"/>
                <w:sz w:val="10"/>
                <w:szCs w:val="10"/>
                <w:b w:val="1"/>
                <w:bCs w:val="1"/>
                <w:color w:val="auto"/>
              </w:rPr>
              <w:t>5,655,825</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6,404,119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13.2%</w:t>
            </w:r>
          </w:p>
        </w:tc>
      </w:tr>
      <w:tr>
        <w:trPr>
          <w:trHeight w:val="211"/>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Insurance underwriting result</w:t>
            </w:r>
          </w:p>
        </w:tc>
        <w:tc>
          <w:tcPr>
            <w:tcW w:w="980" w:type="dxa"/>
            <w:vAlign w:val="bottom"/>
          </w:tcPr>
          <w:p>
            <w:pPr>
              <w:jc w:val="center"/>
              <w:spacing w:after="0"/>
              <w:rPr>
                <w:sz w:val="20"/>
                <w:szCs w:val="20"/>
                <w:color w:val="auto"/>
              </w:rPr>
            </w:pPr>
            <w:r>
              <w:rPr>
                <w:rFonts w:ascii="Arial" w:cs="Arial" w:eastAsia="Arial" w:hAnsi="Arial"/>
                <w:sz w:val="10"/>
                <w:szCs w:val="10"/>
                <w:color w:val="auto"/>
              </w:rPr>
              <w:t>385,043</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419,805</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407,149</w:t>
            </w:r>
          </w:p>
        </w:tc>
        <w:tc>
          <w:tcPr>
            <w:tcW w:w="680" w:type="dxa"/>
            <w:vAlign w:val="bottom"/>
          </w:tcPr>
          <w:p>
            <w:pPr>
              <w:jc w:val="center"/>
              <w:spacing w:after="0"/>
              <w:rPr>
                <w:sz w:val="20"/>
                <w:szCs w:val="20"/>
                <w:color w:val="auto"/>
              </w:rPr>
            </w:pPr>
            <w:r>
              <w:rPr>
                <w:rFonts w:ascii="Arial" w:cs="Arial" w:eastAsia="Arial" w:hAnsi="Arial"/>
                <w:sz w:val="10"/>
                <w:szCs w:val="10"/>
                <w:color w:val="auto"/>
              </w:rPr>
              <w:t>-3.0%</w:t>
            </w:r>
          </w:p>
        </w:tc>
        <w:tc>
          <w:tcPr>
            <w:tcW w:w="780" w:type="dxa"/>
            <w:vAlign w:val="bottom"/>
            <w:tcBorders>
              <w:right w:val="single" w:sz="8" w:color="auto"/>
            </w:tcBorders>
          </w:tcPr>
          <w:p>
            <w:pPr>
              <w:jc w:val="center"/>
              <w:ind w:right="8"/>
              <w:spacing w:after="0"/>
              <w:rPr>
                <w:sz w:val="20"/>
                <w:szCs w:val="20"/>
                <w:color w:val="auto"/>
              </w:rPr>
            </w:pPr>
            <w:r>
              <w:rPr>
                <w:rFonts w:ascii="Arial" w:cs="Arial" w:eastAsia="Arial" w:hAnsi="Arial"/>
                <w:sz w:val="10"/>
                <w:szCs w:val="10"/>
                <w:color w:val="auto"/>
              </w:rPr>
              <w:t>5.7%</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1,602,421</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1,693,617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5.7%</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Insurance Service Result</w:t>
            </w:r>
          </w:p>
        </w:tc>
        <w:tc>
          <w:tcPr>
            <w:tcW w:w="980" w:type="dxa"/>
            <w:vAlign w:val="bottom"/>
          </w:tcPr>
          <w:p>
            <w:pPr>
              <w:jc w:val="center"/>
              <w:spacing w:after="0"/>
              <w:rPr>
                <w:sz w:val="20"/>
                <w:szCs w:val="20"/>
                <w:color w:val="auto"/>
              </w:rPr>
            </w:pPr>
            <w:r>
              <w:rPr>
                <w:rFonts w:ascii="Arial" w:cs="Arial" w:eastAsia="Arial" w:hAnsi="Arial"/>
                <w:sz w:val="10"/>
                <w:szCs w:val="10"/>
                <w:color w:val="auto"/>
              </w:rPr>
              <w:t>(97,748)</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(128,030)</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(94,466)</w:t>
            </w:r>
          </w:p>
        </w:tc>
        <w:tc>
          <w:tcPr>
            <w:tcW w:w="680" w:type="dxa"/>
            <w:vAlign w:val="bottom"/>
          </w:tcPr>
          <w:p>
            <w:pPr>
              <w:jc w:val="center"/>
              <w:spacing w:after="0"/>
              <w:rPr>
                <w:sz w:val="20"/>
                <w:szCs w:val="20"/>
                <w:color w:val="auto"/>
              </w:rPr>
            </w:pPr>
            <w:r>
              <w:rPr>
                <w:rFonts w:ascii="Arial" w:cs="Arial" w:eastAsia="Arial" w:hAnsi="Arial"/>
                <w:sz w:val="10"/>
                <w:szCs w:val="10"/>
                <w:color w:val="auto"/>
              </w:rPr>
              <w:t>-26.2%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-3.4%</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(391,321)</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(494,597)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26.4%</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Reinsurance Result</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287,295</w:t>
            </w:r>
          </w:p>
        </w:tc>
        <w:tc>
          <w:tcPr>
            <w:tcW w:w="860" w:type="dxa"/>
            <w:vAlign w:val="bottom"/>
          </w:tcPr>
          <w:p>
            <w:pPr>
              <w:jc w:val="center"/>
              <w:ind w:left="68"/>
              <w:spacing w:after="0"/>
              <w:rPr>
                <w:sz w:val="20"/>
                <w:szCs w:val="20"/>
                <w:color w:val="auto"/>
              </w:rPr>
            </w:pPr>
            <w:r>
              <w:rPr>
                <w:rFonts w:ascii="Arial" w:cs="Arial" w:eastAsia="Arial" w:hAnsi="Arial"/>
                <w:sz w:val="10"/>
                <w:szCs w:val="10"/>
                <w:b w:val="1"/>
                <w:bCs w:val="1"/>
                <w:color w:val="auto"/>
              </w:rPr>
              <w:t>291,775</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312,683</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7.2%</w:t>
            </w:r>
          </w:p>
        </w:tc>
        <w:tc>
          <w:tcPr>
            <w:tcW w:w="780" w:type="dxa"/>
            <w:vAlign w:val="bottom"/>
            <w:tcBorders>
              <w:right w:val="single" w:sz="8" w:color="auto"/>
            </w:tcBorders>
          </w:tcPr>
          <w:p>
            <w:pPr>
              <w:jc w:val="center"/>
              <w:ind w:right="8"/>
              <w:spacing w:after="0"/>
              <w:rPr>
                <w:sz w:val="20"/>
                <w:szCs w:val="20"/>
                <w:color w:val="auto"/>
              </w:rPr>
            </w:pPr>
            <w:r>
              <w:rPr>
                <w:rFonts w:ascii="Arial" w:cs="Arial" w:eastAsia="Arial" w:hAnsi="Arial"/>
                <w:sz w:val="10"/>
                <w:szCs w:val="10"/>
                <w:b w:val="1"/>
                <w:bCs w:val="1"/>
                <w:color w:val="auto"/>
              </w:rPr>
              <w:t>8.8%</w:t>
            </w:r>
          </w:p>
        </w:tc>
        <w:tc>
          <w:tcPr>
            <w:tcW w:w="840" w:type="dxa"/>
            <w:vAlign w:val="bottom"/>
          </w:tcPr>
          <w:p>
            <w:pPr>
              <w:jc w:val="center"/>
              <w:ind w:left="128"/>
              <w:spacing w:after="0"/>
              <w:rPr>
                <w:sz w:val="20"/>
                <w:szCs w:val="20"/>
                <w:color w:val="auto"/>
              </w:rPr>
            </w:pPr>
            <w:r>
              <w:rPr>
                <w:rFonts w:ascii="Arial" w:cs="Arial" w:eastAsia="Arial" w:hAnsi="Arial"/>
                <w:sz w:val="10"/>
                <w:szCs w:val="10"/>
                <w:b w:val="1"/>
                <w:bCs w:val="1"/>
                <w:color w:val="auto"/>
              </w:rPr>
              <w:t>1,211,100</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1,199,020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-1.0%</w:t>
            </w:r>
          </w:p>
        </w:tc>
      </w:tr>
      <w:tr>
        <w:trPr>
          <w:trHeight w:val="143"/>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Total insurance underwriting result</w:t>
            </w: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211"/>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Expenses</w:t>
            </w:r>
          </w:p>
        </w:tc>
        <w:tc>
          <w:tcPr>
            <w:tcW w:w="980" w:type="dxa"/>
            <w:vAlign w:val="bottom"/>
          </w:tcPr>
          <w:p>
            <w:pPr>
              <w:jc w:val="center"/>
              <w:spacing w:after="0"/>
              <w:rPr>
                <w:sz w:val="20"/>
                <w:szCs w:val="20"/>
                <w:color w:val="auto"/>
              </w:rPr>
            </w:pPr>
            <w:r>
              <w:rPr>
                <w:rFonts w:ascii="Arial" w:cs="Arial" w:eastAsia="Arial" w:hAnsi="Arial"/>
                <w:sz w:val="10"/>
                <w:szCs w:val="10"/>
                <w:color w:val="auto"/>
              </w:rPr>
              <w:t>(1,119,758)</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(1,155,966)</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(1,271,578)</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10.0%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13.6%</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(4,265,453)</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(4,676,436)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9.6%</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Salaries and employee benefits</w:t>
            </w:r>
          </w:p>
        </w:tc>
        <w:tc>
          <w:tcPr>
            <w:tcW w:w="980" w:type="dxa"/>
            <w:vAlign w:val="bottom"/>
          </w:tcPr>
          <w:p>
            <w:pPr>
              <w:jc w:val="center"/>
              <w:spacing w:after="0"/>
              <w:rPr>
                <w:sz w:val="20"/>
                <w:szCs w:val="20"/>
                <w:color w:val="auto"/>
              </w:rPr>
            </w:pPr>
            <w:r>
              <w:rPr>
                <w:rFonts w:ascii="Arial" w:cs="Arial" w:eastAsia="Arial" w:hAnsi="Arial"/>
                <w:sz w:val="10"/>
                <w:szCs w:val="10"/>
                <w:color w:val="auto"/>
              </w:rPr>
              <w:t>(1,089,203)</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(1,047,386)</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(1,230,099)</w:t>
            </w:r>
          </w:p>
        </w:tc>
        <w:tc>
          <w:tcPr>
            <w:tcW w:w="680" w:type="dxa"/>
            <w:vAlign w:val="bottom"/>
          </w:tcPr>
          <w:p>
            <w:pPr>
              <w:jc w:val="center"/>
              <w:spacing w:after="0"/>
              <w:rPr>
                <w:sz w:val="20"/>
                <w:szCs w:val="20"/>
                <w:color w:val="auto"/>
              </w:rPr>
            </w:pPr>
            <w:r>
              <w:rPr>
                <w:rFonts w:ascii="Arial" w:cs="Arial" w:eastAsia="Arial" w:hAnsi="Arial"/>
                <w:sz w:val="10"/>
                <w:szCs w:val="10"/>
                <w:color w:val="auto"/>
                <w:w w:val="98"/>
              </w:rPr>
              <w:t>17.4%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12.9%</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(3,803,203)</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(4,183,775)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10.0%</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Administrative, general and tax expenses</w:t>
            </w:r>
          </w:p>
        </w:tc>
        <w:tc>
          <w:tcPr>
            <w:tcW w:w="980" w:type="dxa"/>
            <w:vAlign w:val="bottom"/>
          </w:tcPr>
          <w:p>
            <w:pPr>
              <w:jc w:val="center"/>
              <w:spacing w:after="0"/>
              <w:rPr>
                <w:sz w:val="20"/>
                <w:szCs w:val="20"/>
                <w:color w:val="auto"/>
              </w:rPr>
            </w:pPr>
            <w:r>
              <w:rPr>
                <w:rFonts w:ascii="Arial" w:cs="Arial" w:eastAsia="Arial" w:hAnsi="Arial"/>
                <w:sz w:val="10"/>
                <w:szCs w:val="10"/>
                <w:color w:val="auto"/>
              </w:rPr>
              <w:t>(177,618)</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(179,495)</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(186,625)</w:t>
            </w:r>
          </w:p>
        </w:tc>
        <w:tc>
          <w:tcPr>
            <w:tcW w:w="680" w:type="dxa"/>
            <w:vAlign w:val="bottom"/>
          </w:tcPr>
          <w:p>
            <w:pPr>
              <w:jc w:val="center"/>
              <w:spacing w:after="0"/>
              <w:rPr>
                <w:sz w:val="20"/>
                <w:szCs w:val="20"/>
                <w:color w:val="auto"/>
              </w:rPr>
            </w:pPr>
            <w:r>
              <w:rPr>
                <w:rFonts w:ascii="Arial" w:cs="Arial" w:eastAsia="Arial" w:hAnsi="Arial"/>
                <w:sz w:val="10"/>
                <w:szCs w:val="10"/>
                <w:color w:val="auto"/>
              </w:rPr>
              <w:t>4.0%</w:t>
            </w:r>
          </w:p>
        </w:tc>
        <w:tc>
          <w:tcPr>
            <w:tcW w:w="780" w:type="dxa"/>
            <w:vAlign w:val="bottom"/>
            <w:tcBorders>
              <w:right w:val="single" w:sz="8" w:color="auto"/>
            </w:tcBorders>
          </w:tcPr>
          <w:p>
            <w:pPr>
              <w:jc w:val="center"/>
              <w:ind w:right="8"/>
              <w:spacing w:after="0"/>
              <w:rPr>
                <w:sz w:val="20"/>
                <w:szCs w:val="20"/>
                <w:color w:val="auto"/>
              </w:rPr>
            </w:pPr>
            <w:r>
              <w:rPr>
                <w:rFonts w:ascii="Arial" w:cs="Arial" w:eastAsia="Arial" w:hAnsi="Arial"/>
                <w:sz w:val="10"/>
                <w:szCs w:val="10"/>
                <w:color w:val="auto"/>
              </w:rPr>
              <w:t>5.1%</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(659,007)</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(713,470)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8.3%</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Depreciation and amortization</w:t>
            </w:r>
          </w:p>
        </w:tc>
        <w:tc>
          <w:tcPr>
            <w:tcW w:w="980" w:type="dxa"/>
            <w:vAlign w:val="bottom"/>
          </w:tcPr>
          <w:p>
            <w:pPr>
              <w:jc w:val="center"/>
              <w:spacing w:after="0"/>
              <w:rPr>
                <w:sz w:val="20"/>
                <w:szCs w:val="20"/>
                <w:color w:val="auto"/>
              </w:rPr>
            </w:pPr>
            <w:r>
              <w:rPr>
                <w:rFonts w:ascii="Arial" w:cs="Arial" w:eastAsia="Arial" w:hAnsi="Arial"/>
                <w:sz w:val="10"/>
                <w:szCs w:val="10"/>
                <w:color w:val="auto"/>
              </w:rPr>
              <w:t>(71,959)</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(23,046)</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(4,300)</w:t>
            </w:r>
          </w:p>
        </w:tc>
        <w:tc>
          <w:tcPr>
            <w:tcW w:w="680" w:type="dxa"/>
            <w:vAlign w:val="bottom"/>
          </w:tcPr>
          <w:p>
            <w:pPr>
              <w:jc w:val="center"/>
              <w:spacing w:after="0"/>
              <w:rPr>
                <w:sz w:val="20"/>
                <w:szCs w:val="20"/>
                <w:color w:val="auto"/>
              </w:rPr>
            </w:pPr>
            <w:r>
              <w:rPr>
                <w:rFonts w:ascii="Arial" w:cs="Arial" w:eastAsia="Arial" w:hAnsi="Arial"/>
                <w:sz w:val="10"/>
                <w:szCs w:val="10"/>
                <w:color w:val="auto"/>
              </w:rPr>
              <w:t>-81.3%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-94.0%</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(71,959)</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(27,346)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-62.0%</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Association in participation</w:t>
            </w:r>
          </w:p>
        </w:tc>
        <w:tc>
          <w:tcPr>
            <w:tcW w:w="980" w:type="dxa"/>
            <w:vAlign w:val="bottom"/>
          </w:tcPr>
          <w:p>
            <w:pPr>
              <w:jc w:val="center"/>
              <w:spacing w:after="0"/>
              <w:rPr>
                <w:sz w:val="20"/>
                <w:szCs w:val="20"/>
                <w:color w:val="auto"/>
              </w:rPr>
            </w:pPr>
            <w:r>
              <w:rPr>
                <w:rFonts w:ascii="Arial" w:cs="Arial" w:eastAsia="Arial" w:hAnsi="Arial"/>
                <w:sz w:val="10"/>
                <w:szCs w:val="10"/>
                <w:color w:val="auto"/>
              </w:rPr>
              <w:t>(9,109)</w:t>
            </w:r>
          </w:p>
        </w:tc>
        <w:tc>
          <w:tcPr>
            <w:tcW w:w="860" w:type="dxa"/>
            <w:vAlign w:val="bottom"/>
          </w:tcPr>
          <w:p>
            <w:pPr>
              <w:jc w:val="center"/>
              <w:ind w:left="68"/>
              <w:spacing w:after="0"/>
              <w:rPr>
                <w:sz w:val="20"/>
                <w:szCs w:val="20"/>
                <w:color w:val="auto"/>
              </w:rPr>
            </w:pPr>
            <w:r>
              <w:rPr>
                <w:rFonts w:ascii="Arial" w:cs="Arial" w:eastAsia="Arial" w:hAnsi="Arial"/>
                <w:sz w:val="10"/>
                <w:szCs w:val="10"/>
                <w:color w:val="auto"/>
              </w:rPr>
              <w:t>(6,414)</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(3,808)</w:t>
            </w:r>
          </w:p>
        </w:tc>
        <w:tc>
          <w:tcPr>
            <w:tcW w:w="680" w:type="dxa"/>
            <w:vAlign w:val="bottom"/>
          </w:tcPr>
          <w:p>
            <w:pPr>
              <w:jc w:val="center"/>
              <w:spacing w:after="0"/>
              <w:rPr>
                <w:sz w:val="20"/>
                <w:szCs w:val="20"/>
                <w:color w:val="auto"/>
              </w:rPr>
            </w:pPr>
            <w:r>
              <w:rPr>
                <w:rFonts w:ascii="Arial" w:cs="Arial" w:eastAsia="Arial" w:hAnsi="Arial"/>
                <w:sz w:val="10"/>
                <w:szCs w:val="10"/>
                <w:color w:val="auto"/>
              </w:rPr>
              <w:t>-40.6%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-58.2%</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(53,097)</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(28,269)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-46.8%</w:t>
            </w:r>
          </w:p>
        </w:tc>
      </w:tr>
      <w:tr>
        <w:trPr>
          <w:trHeight w:val="118"/>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Other expenses</w:t>
            </w:r>
          </w:p>
        </w:tc>
        <w:tc>
          <w:tcPr>
            <w:tcW w:w="980" w:type="dxa"/>
            <w:vAlign w:val="bottom"/>
          </w:tcPr>
          <w:p>
            <w:pPr>
              <w:jc w:val="center"/>
              <w:spacing w:after="0"/>
              <w:rPr>
                <w:sz w:val="20"/>
                <w:szCs w:val="20"/>
                <w:color w:val="auto"/>
              </w:rPr>
            </w:pPr>
            <w:r>
              <w:rPr>
                <w:rFonts w:ascii="Arial" w:cs="Arial" w:eastAsia="Arial" w:hAnsi="Arial"/>
                <w:sz w:val="10"/>
                <w:szCs w:val="10"/>
                <w:color w:val="auto"/>
              </w:rPr>
              <w:t>(193,895)</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(111,859)</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(409,049)</w:t>
            </w:r>
          </w:p>
        </w:tc>
        <w:tc>
          <w:tcPr>
            <w:tcW w:w="680" w:type="dxa"/>
            <w:vAlign w:val="bottom"/>
          </w:tcPr>
          <w:p>
            <w:pPr>
              <w:jc w:val="center"/>
              <w:spacing w:after="0"/>
              <w:rPr>
                <w:sz w:val="20"/>
                <w:szCs w:val="20"/>
                <w:color w:val="auto"/>
              </w:rPr>
            </w:pPr>
            <w:r>
              <w:rPr>
                <w:rFonts w:ascii="Arial" w:cs="Arial" w:eastAsia="Arial" w:hAnsi="Arial"/>
                <w:sz w:val="10"/>
                <w:szCs w:val="10"/>
                <w:color w:val="auto"/>
              </w:rPr>
              <w:t>265.7%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111.0%</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(481,504)</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(745,000)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54.7%</w:t>
            </w:r>
          </w:p>
        </w:tc>
      </w:tr>
      <w:tr>
        <w:trPr>
          <w:trHeight w:val="143"/>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Total expenses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(2,661,542)</w:t>
            </w:r>
          </w:p>
        </w:tc>
        <w:tc>
          <w:tcPr>
            <w:tcW w:w="860" w:type="dxa"/>
            <w:vAlign w:val="bottom"/>
          </w:tcPr>
          <w:p>
            <w:pPr>
              <w:jc w:val="center"/>
              <w:ind w:left="68"/>
              <w:spacing w:after="0"/>
              <w:rPr>
                <w:sz w:val="20"/>
                <w:szCs w:val="20"/>
                <w:color w:val="auto"/>
              </w:rPr>
            </w:pPr>
            <w:r>
              <w:rPr>
                <w:rFonts w:ascii="Arial" w:cs="Arial" w:eastAsia="Arial" w:hAnsi="Arial"/>
                <w:sz w:val="10"/>
                <w:szCs w:val="10"/>
                <w:b w:val="1"/>
                <w:bCs w:val="1"/>
                <w:color w:val="auto"/>
              </w:rPr>
              <w:t>(2,524,166)</w:t>
            </w:r>
          </w:p>
        </w:tc>
        <w:tc>
          <w:tcPr>
            <w:tcW w:w="1000" w:type="dxa"/>
            <w:vAlign w:val="bottom"/>
            <w:tcBorders>
              <w:right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(3,105,459)</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8"/>
              </w:rPr>
              <w:t>23.0%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16.7%</w:t>
            </w:r>
          </w:p>
        </w:tc>
        <w:tc>
          <w:tcPr>
            <w:tcW w:w="840" w:type="dxa"/>
            <w:vAlign w:val="bottom"/>
          </w:tcPr>
          <w:p>
            <w:pPr>
              <w:jc w:val="center"/>
              <w:ind w:left="128"/>
              <w:spacing w:after="0"/>
              <w:rPr>
                <w:sz w:val="20"/>
                <w:szCs w:val="20"/>
                <w:color w:val="auto"/>
              </w:rPr>
            </w:pPr>
            <w:r>
              <w:rPr>
                <w:rFonts w:ascii="Arial" w:cs="Arial" w:eastAsia="Arial" w:hAnsi="Arial"/>
                <w:sz w:val="10"/>
                <w:szCs w:val="10"/>
                <w:b w:val="1"/>
                <w:bCs w:val="1"/>
                <w:color w:val="auto"/>
              </w:rPr>
              <w:t>(9,334,223)</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(10,374,296)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11.1%</w:t>
            </w:r>
          </w:p>
        </w:tc>
      </w:tr>
      <w:tr>
        <w:trPr>
          <w:trHeight w:val="236"/>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Profit before income tax</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1,286,806</w:t>
            </w:r>
          </w:p>
        </w:tc>
        <w:tc>
          <w:tcPr>
            <w:tcW w:w="860" w:type="dxa"/>
            <w:vAlign w:val="bottom"/>
          </w:tcPr>
          <w:p>
            <w:pPr>
              <w:jc w:val="center"/>
              <w:ind w:left="68"/>
              <w:spacing w:after="0"/>
              <w:rPr>
                <w:sz w:val="20"/>
                <w:szCs w:val="20"/>
                <w:color w:val="auto"/>
              </w:rPr>
            </w:pPr>
            <w:r>
              <w:rPr>
                <w:rFonts w:ascii="Arial" w:cs="Arial" w:eastAsia="Arial" w:hAnsi="Arial"/>
                <w:sz w:val="10"/>
                <w:szCs w:val="10"/>
                <w:b w:val="1"/>
                <w:bCs w:val="1"/>
                <w:color w:val="auto"/>
              </w:rPr>
              <w:t>2,111,560</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1,755,686</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-16.9%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36.4%</w:t>
            </w:r>
          </w:p>
        </w:tc>
        <w:tc>
          <w:tcPr>
            <w:tcW w:w="840" w:type="dxa"/>
            <w:vAlign w:val="bottom"/>
          </w:tcPr>
          <w:p>
            <w:pPr>
              <w:jc w:val="center"/>
              <w:ind w:left="128"/>
              <w:spacing w:after="0"/>
              <w:rPr>
                <w:sz w:val="20"/>
                <w:szCs w:val="20"/>
                <w:color w:val="auto"/>
              </w:rPr>
            </w:pPr>
            <w:r>
              <w:rPr>
                <w:rFonts w:ascii="Arial" w:cs="Arial" w:eastAsia="Arial" w:hAnsi="Arial"/>
                <w:sz w:val="10"/>
                <w:szCs w:val="10"/>
                <w:b w:val="1"/>
                <w:bCs w:val="1"/>
                <w:color w:val="auto"/>
              </w:rPr>
              <w:t>6,848,329</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7,824,527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14.3%</w:t>
            </w:r>
          </w:p>
        </w:tc>
      </w:tr>
      <w:tr>
        <w:trPr>
          <w:trHeight w:val="230"/>
        </w:trPr>
        <w:tc>
          <w:tcPr>
            <w:tcW w:w="38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Income tax</w:t>
            </w:r>
          </w:p>
        </w:tc>
        <w:tc>
          <w:tcPr>
            <w:tcW w:w="980" w:type="dxa"/>
            <w:vAlign w:val="bottom"/>
          </w:tcPr>
          <w:p>
            <w:pPr>
              <w:jc w:val="center"/>
              <w:spacing w:after="0"/>
              <w:rPr>
                <w:sz w:val="20"/>
                <w:szCs w:val="20"/>
                <w:color w:val="auto"/>
              </w:rPr>
            </w:pPr>
            <w:r>
              <w:rPr>
                <w:rFonts w:ascii="Arial" w:cs="Arial" w:eastAsia="Arial" w:hAnsi="Arial"/>
                <w:sz w:val="10"/>
                <w:szCs w:val="10"/>
                <w:color w:val="auto"/>
              </w:rPr>
              <w:t>(434,648)</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(555,117)</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color w:val="auto"/>
              </w:rPr>
              <w:t>(598,348)</w:t>
            </w:r>
          </w:p>
        </w:tc>
        <w:tc>
          <w:tcPr>
            <w:tcW w:w="680" w:type="dxa"/>
            <w:vAlign w:val="bottom"/>
          </w:tcPr>
          <w:p>
            <w:pPr>
              <w:jc w:val="center"/>
              <w:spacing w:after="0"/>
              <w:rPr>
                <w:sz w:val="20"/>
                <w:szCs w:val="20"/>
                <w:color w:val="auto"/>
              </w:rPr>
            </w:pPr>
            <w:r>
              <w:rPr>
                <w:rFonts w:ascii="Arial" w:cs="Arial" w:eastAsia="Arial" w:hAnsi="Arial"/>
                <w:sz w:val="10"/>
                <w:szCs w:val="10"/>
                <w:color w:val="auto"/>
              </w:rPr>
              <w:t>7.8%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37.7%</w:t>
            </w:r>
          </w:p>
        </w:tc>
        <w:tc>
          <w:tcPr>
            <w:tcW w:w="840" w:type="dxa"/>
            <w:vAlign w:val="bottom"/>
          </w:tcPr>
          <w:p>
            <w:pPr>
              <w:jc w:val="center"/>
              <w:ind w:left="128"/>
              <w:spacing w:after="0"/>
              <w:rPr>
                <w:sz w:val="20"/>
                <w:szCs w:val="20"/>
                <w:color w:val="auto"/>
              </w:rPr>
            </w:pPr>
            <w:r>
              <w:rPr>
                <w:rFonts w:ascii="Arial" w:cs="Arial" w:eastAsia="Arial" w:hAnsi="Arial"/>
                <w:sz w:val="10"/>
                <w:szCs w:val="10"/>
                <w:color w:val="auto"/>
              </w:rPr>
              <w:t>(1,888,451)</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(2,201,275)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16.6%</w:t>
            </w:r>
          </w:p>
        </w:tc>
      </w:tr>
      <w:tr>
        <w:trPr>
          <w:trHeight w:val="217"/>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profit</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852,158</w:t>
            </w:r>
          </w:p>
        </w:tc>
        <w:tc>
          <w:tcPr>
            <w:tcW w:w="860" w:type="dxa"/>
            <w:vAlign w:val="bottom"/>
          </w:tcPr>
          <w:p>
            <w:pPr>
              <w:jc w:val="center"/>
              <w:ind w:left="68"/>
              <w:spacing w:after="0"/>
              <w:rPr>
                <w:sz w:val="20"/>
                <w:szCs w:val="20"/>
                <w:color w:val="auto"/>
              </w:rPr>
            </w:pPr>
            <w:r>
              <w:rPr>
                <w:rFonts w:ascii="Arial" w:cs="Arial" w:eastAsia="Arial" w:hAnsi="Arial"/>
                <w:sz w:val="10"/>
                <w:szCs w:val="10"/>
                <w:b w:val="1"/>
                <w:bCs w:val="1"/>
                <w:color w:val="auto"/>
              </w:rPr>
              <w:t>1,556,443</w:t>
            </w:r>
          </w:p>
        </w:tc>
        <w:tc>
          <w:tcPr>
            <w:tcW w:w="1000" w:type="dxa"/>
            <w:vAlign w:val="bottom"/>
            <w:tcBorders>
              <w:right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1,157,338</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-25.6%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35.8%</w:t>
            </w:r>
          </w:p>
        </w:tc>
        <w:tc>
          <w:tcPr>
            <w:tcW w:w="840" w:type="dxa"/>
            <w:vAlign w:val="bottom"/>
          </w:tcPr>
          <w:p>
            <w:pPr>
              <w:jc w:val="center"/>
              <w:ind w:left="128"/>
              <w:spacing w:after="0"/>
              <w:rPr>
                <w:sz w:val="20"/>
                <w:szCs w:val="20"/>
                <w:color w:val="auto"/>
              </w:rPr>
            </w:pPr>
            <w:r>
              <w:rPr>
                <w:rFonts w:ascii="Arial" w:cs="Arial" w:eastAsia="Arial" w:hAnsi="Arial"/>
                <w:sz w:val="10"/>
                <w:szCs w:val="10"/>
                <w:b w:val="1"/>
                <w:bCs w:val="1"/>
                <w:color w:val="auto"/>
              </w:rPr>
              <w:t>4,959,878</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5,623,252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13.4%</w:t>
            </w:r>
          </w:p>
        </w:tc>
      </w:tr>
      <w:tr>
        <w:trPr>
          <w:trHeight w:val="118"/>
        </w:trPr>
        <w:tc>
          <w:tcPr>
            <w:tcW w:w="3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Non-controlling interest</w:t>
            </w:r>
          </w:p>
        </w:tc>
        <w:tc>
          <w:tcPr>
            <w:tcW w:w="980" w:type="dxa"/>
            <w:vAlign w:val="bottom"/>
          </w:tcPr>
          <w:p>
            <w:pPr>
              <w:jc w:val="center"/>
              <w:spacing w:after="0"/>
              <w:rPr>
                <w:sz w:val="20"/>
                <w:szCs w:val="20"/>
                <w:color w:val="auto"/>
              </w:rPr>
            </w:pPr>
            <w:r>
              <w:rPr>
                <w:rFonts w:ascii="Arial" w:cs="Arial" w:eastAsia="Arial" w:hAnsi="Arial"/>
                <w:sz w:val="10"/>
                <w:szCs w:val="10"/>
                <w:color w:val="auto"/>
              </w:rPr>
              <w:t>10,331</w:t>
            </w:r>
          </w:p>
        </w:tc>
        <w:tc>
          <w:tcPr>
            <w:tcW w:w="860" w:type="dxa"/>
            <w:vAlign w:val="bottom"/>
          </w:tcPr>
          <w:p>
            <w:pPr>
              <w:jc w:val="center"/>
              <w:ind w:left="88"/>
              <w:spacing w:after="0"/>
              <w:rPr>
                <w:sz w:val="20"/>
                <w:szCs w:val="20"/>
                <w:color w:val="auto"/>
              </w:rPr>
            </w:pPr>
            <w:r>
              <w:rPr>
                <w:rFonts w:ascii="Arial" w:cs="Arial" w:eastAsia="Arial" w:hAnsi="Arial"/>
                <w:sz w:val="10"/>
                <w:szCs w:val="10"/>
                <w:color w:val="auto"/>
              </w:rPr>
              <w:t>32,655</w:t>
            </w:r>
          </w:p>
        </w:tc>
        <w:tc>
          <w:tcPr>
            <w:tcW w:w="1000" w:type="dxa"/>
            <w:vAlign w:val="bottom"/>
            <w:tcBorders>
              <w:right w:val="single" w:sz="8" w:color="auto"/>
            </w:tcBorders>
          </w:tcPr>
          <w:p>
            <w:pPr>
              <w:jc w:val="center"/>
              <w:ind w:left="28"/>
              <w:spacing w:after="0"/>
              <w:rPr>
                <w:sz w:val="20"/>
                <w:szCs w:val="20"/>
                <w:color w:val="auto"/>
              </w:rPr>
            </w:pPr>
            <w:r>
              <w:rPr>
                <w:rFonts w:ascii="Arial" w:cs="Arial" w:eastAsia="Arial" w:hAnsi="Arial"/>
                <w:sz w:val="10"/>
                <w:szCs w:val="10"/>
                <w:color w:val="auto"/>
              </w:rPr>
              <w:t>30,625</w:t>
            </w:r>
          </w:p>
        </w:tc>
        <w:tc>
          <w:tcPr>
            <w:tcW w:w="680" w:type="dxa"/>
            <w:vAlign w:val="bottom"/>
          </w:tcPr>
          <w:p>
            <w:pPr>
              <w:jc w:val="center"/>
              <w:spacing w:after="0"/>
              <w:rPr>
                <w:sz w:val="20"/>
                <w:szCs w:val="20"/>
                <w:color w:val="auto"/>
              </w:rPr>
            </w:pPr>
            <w:r>
              <w:rPr>
                <w:rFonts w:ascii="Arial" w:cs="Arial" w:eastAsia="Arial" w:hAnsi="Arial"/>
                <w:sz w:val="10"/>
                <w:szCs w:val="10"/>
                <w:color w:val="auto"/>
              </w:rPr>
              <w:t>-6.2%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196.4%</w:t>
            </w:r>
          </w:p>
        </w:tc>
        <w:tc>
          <w:tcPr>
            <w:tcW w:w="840" w:type="dxa"/>
            <w:vAlign w:val="bottom"/>
          </w:tcPr>
          <w:p>
            <w:pPr>
              <w:jc w:val="center"/>
              <w:ind w:left="108"/>
              <w:spacing w:after="0"/>
              <w:rPr>
                <w:sz w:val="20"/>
                <w:szCs w:val="20"/>
                <w:color w:val="auto"/>
              </w:rPr>
            </w:pPr>
            <w:r>
              <w:rPr>
                <w:rFonts w:ascii="Arial" w:cs="Arial" w:eastAsia="Arial" w:hAnsi="Arial"/>
                <w:sz w:val="10"/>
                <w:szCs w:val="10"/>
                <w:color w:val="auto"/>
              </w:rPr>
              <w:t>94,338</w:t>
            </w:r>
          </w:p>
        </w:tc>
        <w:tc>
          <w:tcPr>
            <w:tcW w:w="1220" w:type="dxa"/>
            <w:vAlign w:val="bottom"/>
            <w:tcBorders>
              <w:right w:val="single" w:sz="8" w:color="auto"/>
            </w:tcBorders>
          </w:tcPr>
          <w:p>
            <w:pPr>
              <w:jc w:val="center"/>
              <w:ind w:left="108"/>
              <w:spacing w:after="0"/>
              <w:rPr>
                <w:sz w:val="20"/>
                <w:szCs w:val="20"/>
                <w:color w:val="auto"/>
              </w:rPr>
            </w:pPr>
            <w:r>
              <w:rPr>
                <w:rFonts w:ascii="Arial" w:cs="Arial" w:eastAsia="Arial" w:hAnsi="Arial"/>
                <w:sz w:val="10"/>
                <w:szCs w:val="10"/>
                <w:color w:val="auto"/>
              </w:rPr>
              <w:t>121,998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29.3%</w:t>
            </w:r>
          </w:p>
        </w:tc>
      </w:tr>
      <w:tr>
        <w:trPr>
          <w:trHeight w:val="131"/>
        </w:trPr>
        <w:tc>
          <w:tcPr>
            <w:tcW w:w="3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profit attributable to Credicorp</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841,827</w:t>
            </w:r>
          </w:p>
        </w:tc>
        <w:tc>
          <w:tcPr>
            <w:tcW w:w="860" w:type="dxa"/>
            <w:vAlign w:val="bottom"/>
            <w:tcBorders>
              <w:bottom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1,523,788</w:t>
            </w:r>
          </w:p>
        </w:tc>
        <w:tc>
          <w:tcPr>
            <w:tcW w:w="100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0"/>
                <w:szCs w:val="10"/>
                <w:b w:val="1"/>
                <w:bCs w:val="1"/>
                <w:color w:val="auto"/>
              </w:rPr>
              <w:t>1,126,713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-26.1%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33.8%</w:t>
            </w:r>
          </w:p>
        </w:tc>
        <w:tc>
          <w:tcPr>
            <w:tcW w:w="840" w:type="dxa"/>
            <w:vAlign w:val="bottom"/>
            <w:tcBorders>
              <w:bottom w:val="single" w:sz="8" w:color="auto"/>
            </w:tcBorders>
          </w:tcPr>
          <w:p>
            <w:pPr>
              <w:jc w:val="center"/>
              <w:ind w:left="128"/>
              <w:spacing w:after="0"/>
              <w:rPr>
                <w:sz w:val="20"/>
                <w:szCs w:val="20"/>
                <w:color w:val="auto"/>
              </w:rPr>
            </w:pPr>
            <w:r>
              <w:rPr>
                <w:rFonts w:ascii="Arial" w:cs="Arial" w:eastAsia="Arial" w:hAnsi="Arial"/>
                <w:sz w:val="10"/>
                <w:szCs w:val="10"/>
                <w:b w:val="1"/>
                <w:bCs w:val="1"/>
                <w:color w:val="auto"/>
              </w:rPr>
              <w:t>4,865,540</w:t>
            </w:r>
          </w:p>
        </w:tc>
        <w:tc>
          <w:tcPr>
            <w:tcW w:w="122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0"/>
                <w:szCs w:val="10"/>
                <w:b w:val="1"/>
                <w:bCs w:val="1"/>
                <w:color w:val="auto"/>
              </w:rPr>
              <w:t>5,501,254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13.1%</w:t>
            </w:r>
          </w:p>
        </w:tc>
      </w:tr>
    </w:tbl>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9" w:name="page60"/>
    <w:bookmarkEnd w:id="59"/>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12.6.2. Credicorp Stand-alone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Credicorp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Separate Statement of Financial Position</w:t>
      </w:r>
    </w:p>
    <w:p>
      <w:pPr>
        <w:jc w:val="center"/>
        <w:spacing w:after="0"/>
        <w:rPr>
          <w:sz w:val="20"/>
          <w:szCs w:val="20"/>
          <w:color w:val="auto"/>
        </w:rPr>
      </w:pPr>
      <w:r>
        <w:rPr>
          <w:rFonts w:ascii="Arial" w:cs="Arial" w:eastAsia="Arial" w:hAnsi="Arial"/>
          <w:sz w:val="16"/>
          <w:szCs w:val="16"/>
          <w:b w:val="1"/>
          <w:bCs w:val="1"/>
          <w:color w:val="auto"/>
        </w:rPr>
        <w:t>(In S/ thousands, IFRS)</w:t>
      </w:r>
    </w:p>
    <w:p>
      <w:pPr>
        <w:spacing w:after="0" w:line="161" w:lineRule="exact"/>
        <w:rPr>
          <w:sz w:val="20"/>
          <w:szCs w:val="20"/>
          <w:color w:val="auto"/>
        </w:rPr>
      </w:pPr>
    </w:p>
    <w:tbl>
      <w:tblPr>
        <w:tblLayout w:type="fixed"/>
        <w:tblInd w:w="1150" w:type="dxa"/>
        <w:tblCellMar>
          <w:top w:w="0" w:type="dxa"/>
          <w:left w:w="0" w:type="dxa"/>
          <w:bottom w:w="0" w:type="dxa"/>
          <w:right w:w="0" w:type="dxa"/>
        </w:tblCellMar>
      </w:tblPr>
      <w:tr>
        <w:trPr>
          <w:trHeight w:val="144"/>
        </w:trPr>
        <w:tc>
          <w:tcPr>
            <w:tcW w:w="386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1100" w:type="dxa"/>
            <w:vAlign w:val="bottom"/>
            <w:tcBorders>
              <w:top w:val="single" w:sz="8" w:color="auto"/>
            </w:tcBorders>
            <w:shd w:val="clear" w:color="auto" w:fill="33CCCC"/>
          </w:tcPr>
          <w:p>
            <w:pPr>
              <w:spacing w:after="0"/>
              <w:rPr>
                <w:sz w:val="12"/>
                <w:szCs w:val="12"/>
                <w:color w:val="auto"/>
              </w:rPr>
            </w:pPr>
          </w:p>
        </w:tc>
        <w:tc>
          <w:tcPr>
            <w:tcW w:w="1100" w:type="dxa"/>
            <w:vAlign w:val="bottom"/>
            <w:tcBorders>
              <w:top w:val="single" w:sz="8" w:color="auto"/>
            </w:tcBorders>
            <w:shd w:val="clear" w:color="auto" w:fill="33CCCC"/>
          </w:tcPr>
          <w:p>
            <w:pPr>
              <w:ind w:left="300"/>
              <w:spacing w:after="0"/>
              <w:rPr>
                <w:sz w:val="20"/>
                <w:szCs w:val="20"/>
                <w:color w:val="auto"/>
              </w:rPr>
            </w:pPr>
            <w:r>
              <w:rPr>
                <w:rFonts w:ascii="Arial" w:cs="Arial" w:eastAsia="Arial" w:hAnsi="Arial"/>
                <w:sz w:val="11"/>
                <w:szCs w:val="11"/>
                <w:b w:val="1"/>
                <w:bCs w:val="1"/>
                <w:color w:val="FFFFFF"/>
              </w:rPr>
              <w:t>As of</w:t>
            </w:r>
          </w:p>
        </w:tc>
        <w:tc>
          <w:tcPr>
            <w:tcW w:w="1160" w:type="dxa"/>
            <w:vAlign w:val="bottom"/>
            <w:tcBorders>
              <w:top w:val="single" w:sz="8" w:color="auto"/>
              <w:right w:val="single" w:sz="8" w:color="auto"/>
            </w:tcBorders>
            <w:shd w:val="clear" w:color="auto" w:fill="33CCCC"/>
          </w:tcPr>
          <w:p>
            <w:pPr>
              <w:spacing w:after="0"/>
              <w:rPr>
                <w:sz w:val="12"/>
                <w:szCs w:val="12"/>
                <w:color w:val="auto"/>
              </w:rPr>
            </w:pPr>
          </w:p>
        </w:tc>
        <w:tc>
          <w:tcPr>
            <w:tcW w:w="1760" w:type="dxa"/>
            <w:vAlign w:val="bottom"/>
            <w:tcBorders>
              <w:top w:val="single" w:sz="8" w:color="auto"/>
              <w:right w:val="single" w:sz="8" w:color="auto"/>
            </w:tcBorders>
            <w:gridSpan w:val="2"/>
            <w:shd w:val="clear" w:color="auto" w:fill="33CCCC"/>
          </w:tcPr>
          <w:p>
            <w:pPr>
              <w:ind w:left="600"/>
              <w:spacing w:after="0"/>
              <w:rPr>
                <w:sz w:val="20"/>
                <w:szCs w:val="20"/>
                <w:color w:val="auto"/>
              </w:rPr>
            </w:pPr>
            <w:r>
              <w:rPr>
                <w:rFonts w:ascii="Arial" w:cs="Arial" w:eastAsia="Arial" w:hAnsi="Arial"/>
                <w:sz w:val="11"/>
                <w:szCs w:val="11"/>
                <w:b w:val="1"/>
                <w:bCs w:val="1"/>
                <w:color w:val="FFFFFF"/>
              </w:rPr>
              <w:t>% change</w:t>
            </w:r>
          </w:p>
        </w:tc>
      </w:tr>
      <w:tr>
        <w:trPr>
          <w:trHeight w:val="131"/>
        </w:trPr>
        <w:tc>
          <w:tcPr>
            <w:tcW w:w="386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110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1"/>
                <w:szCs w:val="11"/>
                <w:b w:val="1"/>
                <w:bCs w:val="1"/>
                <w:color w:val="FFFFFF"/>
              </w:rPr>
              <w:t>Dec 23</w:t>
            </w:r>
          </w:p>
        </w:tc>
        <w:tc>
          <w:tcPr>
            <w:tcW w:w="110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1"/>
                <w:szCs w:val="11"/>
                <w:b w:val="1"/>
                <w:bCs w:val="1"/>
                <w:color w:val="FFFFFF"/>
              </w:rPr>
              <w:t>Sep 24</w:t>
            </w:r>
          </w:p>
        </w:tc>
        <w:tc>
          <w:tcPr>
            <w:tcW w:w="1160" w:type="dxa"/>
            <w:vAlign w:val="bottom"/>
            <w:tcBorders>
              <w:bottom w:val="single" w:sz="8" w:color="auto"/>
              <w:right w:val="single" w:sz="8" w:color="auto"/>
            </w:tcBorders>
            <w:shd w:val="clear" w:color="auto" w:fill="33CCCC"/>
          </w:tcPr>
          <w:p>
            <w:pPr>
              <w:ind w:left="380"/>
              <w:spacing w:after="0"/>
              <w:rPr>
                <w:sz w:val="20"/>
                <w:szCs w:val="20"/>
                <w:color w:val="auto"/>
              </w:rPr>
            </w:pPr>
            <w:r>
              <w:rPr>
                <w:rFonts w:ascii="Arial" w:cs="Arial" w:eastAsia="Arial" w:hAnsi="Arial"/>
                <w:sz w:val="11"/>
                <w:szCs w:val="11"/>
                <w:b w:val="1"/>
                <w:bCs w:val="1"/>
                <w:color w:val="FFFFFF"/>
              </w:rPr>
              <w:t>Dec 24</w:t>
            </w:r>
          </w:p>
        </w:tc>
        <w:tc>
          <w:tcPr>
            <w:tcW w:w="8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QoQ</w:t>
            </w:r>
          </w:p>
        </w:tc>
        <w:tc>
          <w:tcPr>
            <w:tcW w:w="900" w:type="dxa"/>
            <w:vAlign w:val="bottom"/>
            <w:tcBorders>
              <w:bottom w:val="single" w:sz="8" w:color="auto"/>
              <w:right w:val="single" w:sz="8" w:color="auto"/>
            </w:tcBorders>
            <w:shd w:val="clear" w:color="auto" w:fill="33CCCC"/>
          </w:tcPr>
          <w:p>
            <w:pPr>
              <w:ind w:left="340"/>
              <w:spacing w:after="0"/>
              <w:rPr>
                <w:sz w:val="20"/>
                <w:szCs w:val="20"/>
                <w:color w:val="auto"/>
              </w:rPr>
            </w:pPr>
            <w:r>
              <w:rPr>
                <w:rFonts w:ascii="Arial" w:cs="Arial" w:eastAsia="Arial" w:hAnsi="Arial"/>
                <w:sz w:val="11"/>
                <w:szCs w:val="11"/>
                <w:b w:val="1"/>
                <w:bCs w:val="1"/>
                <w:color w:val="FFFFFF"/>
              </w:rPr>
              <w:t>YoY</w:t>
            </w:r>
          </w:p>
        </w:tc>
      </w:tr>
      <w:tr>
        <w:trPr>
          <w:trHeight w:val="116"/>
        </w:trPr>
        <w:tc>
          <w:tcPr>
            <w:tcW w:w="3860" w:type="dxa"/>
            <w:vAlign w:val="bottom"/>
            <w:tcBorders>
              <w:left w:val="single" w:sz="8" w:color="auto"/>
              <w:right w:val="single" w:sz="8" w:color="auto"/>
            </w:tcBorders>
          </w:tcPr>
          <w:p>
            <w:pPr>
              <w:spacing w:after="0" w:line="116" w:lineRule="exact"/>
              <w:rPr>
                <w:sz w:val="20"/>
                <w:szCs w:val="20"/>
                <w:color w:val="auto"/>
              </w:rPr>
            </w:pPr>
            <w:r>
              <w:rPr>
                <w:rFonts w:ascii="Arial" w:cs="Arial" w:eastAsia="Arial" w:hAnsi="Arial"/>
                <w:sz w:val="11"/>
                <w:szCs w:val="11"/>
                <w:b w:val="1"/>
                <w:bCs w:val="1"/>
                <w:color w:val="auto"/>
              </w:rPr>
              <w:t>ASSETS</w:t>
            </w: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Cash and cash equivalents</w:t>
            </w:r>
          </w:p>
        </w:tc>
        <w:tc>
          <w:tcPr>
            <w:tcW w:w="1100" w:type="dxa"/>
            <w:vAlign w:val="bottom"/>
          </w:tcPr>
          <w:p>
            <w:pPr>
              <w:jc w:val="center"/>
              <w:spacing w:after="0"/>
              <w:rPr>
                <w:sz w:val="20"/>
                <w:szCs w:val="20"/>
                <w:color w:val="auto"/>
              </w:rPr>
            </w:pPr>
            <w:r>
              <w:rPr>
                <w:rFonts w:ascii="Arial" w:cs="Arial" w:eastAsia="Arial" w:hAnsi="Arial"/>
                <w:sz w:val="11"/>
                <w:szCs w:val="11"/>
                <w:color w:val="auto"/>
              </w:rPr>
              <w:t>529,773</w:t>
            </w:r>
          </w:p>
        </w:tc>
        <w:tc>
          <w:tcPr>
            <w:tcW w:w="1100" w:type="dxa"/>
            <w:vAlign w:val="bottom"/>
          </w:tcPr>
          <w:p>
            <w:pPr>
              <w:jc w:val="center"/>
              <w:spacing w:after="0"/>
              <w:rPr>
                <w:sz w:val="20"/>
                <w:szCs w:val="20"/>
                <w:color w:val="auto"/>
              </w:rPr>
            </w:pPr>
            <w:r>
              <w:rPr>
                <w:rFonts w:ascii="Arial" w:cs="Arial" w:eastAsia="Arial" w:hAnsi="Arial"/>
                <w:sz w:val="11"/>
                <w:szCs w:val="11"/>
                <w:color w:val="auto"/>
              </w:rPr>
              <w:t>594,754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399,943</w:t>
            </w:r>
          </w:p>
        </w:tc>
        <w:tc>
          <w:tcPr>
            <w:tcW w:w="860" w:type="dxa"/>
            <w:vAlign w:val="bottom"/>
          </w:tcPr>
          <w:p>
            <w:pPr>
              <w:jc w:val="center"/>
              <w:spacing w:after="0"/>
              <w:rPr>
                <w:sz w:val="20"/>
                <w:szCs w:val="20"/>
                <w:color w:val="auto"/>
              </w:rPr>
            </w:pPr>
            <w:r>
              <w:rPr>
                <w:rFonts w:ascii="Arial" w:cs="Arial" w:eastAsia="Arial" w:hAnsi="Arial"/>
                <w:sz w:val="11"/>
                <w:szCs w:val="11"/>
                <w:color w:val="auto"/>
              </w:rPr>
              <w:t>-32.8%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-24.5%</w:t>
            </w: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At fair value through profit or loss</w:t>
            </w:r>
          </w:p>
        </w:tc>
        <w:tc>
          <w:tcPr>
            <w:tcW w:w="1100" w:type="dxa"/>
            <w:vAlign w:val="bottom"/>
          </w:tcPr>
          <w:p>
            <w:pPr>
              <w:jc w:val="center"/>
              <w:spacing w:after="0"/>
              <w:rPr>
                <w:sz w:val="20"/>
                <w:szCs w:val="20"/>
                <w:color w:val="auto"/>
              </w:rPr>
            </w:pPr>
            <w:r>
              <w:rPr>
                <w:rFonts w:ascii="Arial" w:cs="Arial" w:eastAsia="Arial" w:hAnsi="Arial"/>
                <w:sz w:val="11"/>
                <w:szCs w:val="11"/>
                <w:color w:val="auto"/>
              </w:rPr>
              <w:t>501,026</w:t>
            </w:r>
          </w:p>
        </w:tc>
        <w:tc>
          <w:tcPr>
            <w:tcW w:w="1100" w:type="dxa"/>
            <w:vAlign w:val="bottom"/>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n.a.</w:t>
            </w:r>
          </w:p>
        </w:tc>
        <w:tc>
          <w:tcPr>
            <w:tcW w:w="90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n.a.</w:t>
            </w: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Fair value through other comprehensive income investments</w:t>
            </w:r>
          </w:p>
        </w:tc>
        <w:tc>
          <w:tcPr>
            <w:tcW w:w="1100" w:type="dxa"/>
            <w:vAlign w:val="bottom"/>
          </w:tcPr>
          <w:p>
            <w:pPr>
              <w:jc w:val="center"/>
              <w:spacing w:after="0"/>
              <w:rPr>
                <w:sz w:val="20"/>
                <w:szCs w:val="20"/>
                <w:color w:val="auto"/>
              </w:rPr>
            </w:pPr>
            <w:r>
              <w:rPr>
                <w:rFonts w:ascii="Arial" w:cs="Arial" w:eastAsia="Arial" w:hAnsi="Arial"/>
                <w:sz w:val="11"/>
                <w:szCs w:val="11"/>
                <w:color w:val="auto"/>
              </w:rPr>
              <w:t>1,418,293</w:t>
            </w:r>
          </w:p>
        </w:tc>
        <w:tc>
          <w:tcPr>
            <w:tcW w:w="1100" w:type="dxa"/>
            <w:vAlign w:val="bottom"/>
          </w:tcPr>
          <w:p>
            <w:pPr>
              <w:jc w:val="center"/>
              <w:spacing w:after="0"/>
              <w:rPr>
                <w:sz w:val="20"/>
                <w:szCs w:val="20"/>
                <w:color w:val="auto"/>
              </w:rPr>
            </w:pPr>
            <w:r>
              <w:rPr>
                <w:rFonts w:ascii="Arial" w:cs="Arial" w:eastAsia="Arial" w:hAnsi="Arial"/>
                <w:sz w:val="11"/>
                <w:szCs w:val="11"/>
                <w:color w:val="auto"/>
              </w:rPr>
              <w:t>1,279,564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1,262,327</w:t>
            </w:r>
          </w:p>
        </w:tc>
        <w:tc>
          <w:tcPr>
            <w:tcW w:w="860" w:type="dxa"/>
            <w:vAlign w:val="bottom"/>
          </w:tcPr>
          <w:p>
            <w:pPr>
              <w:jc w:val="center"/>
              <w:spacing w:after="0"/>
              <w:rPr>
                <w:sz w:val="20"/>
                <w:szCs w:val="20"/>
                <w:color w:val="auto"/>
              </w:rPr>
            </w:pPr>
            <w:r>
              <w:rPr>
                <w:rFonts w:ascii="Arial" w:cs="Arial" w:eastAsia="Arial" w:hAnsi="Arial"/>
                <w:sz w:val="11"/>
                <w:szCs w:val="11"/>
                <w:color w:val="auto"/>
              </w:rPr>
              <w:t>-1.3%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-11.0%</w:t>
            </w: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In subsidiaries and associates investments</w:t>
            </w:r>
          </w:p>
        </w:tc>
        <w:tc>
          <w:tcPr>
            <w:tcW w:w="1100" w:type="dxa"/>
            <w:vAlign w:val="bottom"/>
          </w:tcPr>
          <w:p>
            <w:pPr>
              <w:jc w:val="center"/>
              <w:spacing w:after="0"/>
              <w:rPr>
                <w:sz w:val="20"/>
                <w:szCs w:val="20"/>
                <w:color w:val="auto"/>
              </w:rPr>
            </w:pPr>
            <w:r>
              <w:rPr>
                <w:rFonts w:ascii="Arial" w:cs="Arial" w:eastAsia="Arial" w:hAnsi="Arial"/>
                <w:sz w:val="11"/>
                <w:szCs w:val="11"/>
                <w:color w:val="auto"/>
              </w:rPr>
              <w:t>36,150,565</w:t>
            </w:r>
          </w:p>
        </w:tc>
        <w:tc>
          <w:tcPr>
            <w:tcW w:w="1100" w:type="dxa"/>
            <w:vAlign w:val="bottom"/>
          </w:tcPr>
          <w:p>
            <w:pPr>
              <w:jc w:val="center"/>
              <w:spacing w:after="0"/>
              <w:rPr>
                <w:sz w:val="20"/>
                <w:szCs w:val="20"/>
                <w:color w:val="auto"/>
              </w:rPr>
            </w:pPr>
            <w:r>
              <w:rPr>
                <w:rFonts w:ascii="Arial" w:cs="Arial" w:eastAsia="Arial" w:hAnsi="Arial"/>
                <w:sz w:val="11"/>
                <w:szCs w:val="11"/>
                <w:color w:val="auto"/>
              </w:rPr>
              <w:t>37,481,263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38,291,133</w:t>
            </w:r>
          </w:p>
        </w:tc>
        <w:tc>
          <w:tcPr>
            <w:tcW w:w="860" w:type="dxa"/>
            <w:vAlign w:val="bottom"/>
          </w:tcPr>
          <w:p>
            <w:pPr>
              <w:jc w:val="center"/>
              <w:spacing w:after="0"/>
              <w:rPr>
                <w:sz w:val="20"/>
                <w:szCs w:val="20"/>
                <w:color w:val="auto"/>
              </w:rPr>
            </w:pPr>
            <w:r>
              <w:rPr>
                <w:rFonts w:ascii="Arial" w:cs="Arial" w:eastAsia="Arial" w:hAnsi="Arial"/>
                <w:sz w:val="11"/>
                <w:szCs w:val="11"/>
                <w:color w:val="auto"/>
              </w:rPr>
              <w:t>2.2%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5.9%</w:t>
            </w: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Investments at amortized cost</w:t>
            </w:r>
          </w:p>
        </w:tc>
        <w:tc>
          <w:tcPr>
            <w:tcW w:w="1100" w:type="dxa"/>
            <w:vAlign w:val="bottom"/>
          </w:tcPr>
          <w:p>
            <w:pPr>
              <w:jc w:val="center"/>
              <w:spacing w:after="0"/>
              <w:rPr>
                <w:sz w:val="20"/>
                <w:szCs w:val="20"/>
                <w:color w:val="auto"/>
              </w:rPr>
            </w:pPr>
            <w:r>
              <w:rPr>
                <w:rFonts w:ascii="Arial" w:cs="Arial" w:eastAsia="Arial" w:hAnsi="Arial"/>
                <w:sz w:val="11"/>
                <w:szCs w:val="11"/>
                <w:color w:val="auto"/>
              </w:rPr>
              <w:t>166,977</w:t>
            </w:r>
          </w:p>
        </w:tc>
        <w:tc>
          <w:tcPr>
            <w:tcW w:w="1100" w:type="dxa"/>
            <w:vAlign w:val="bottom"/>
          </w:tcPr>
          <w:p>
            <w:pPr>
              <w:jc w:val="center"/>
              <w:spacing w:after="0"/>
              <w:rPr>
                <w:sz w:val="20"/>
                <w:szCs w:val="20"/>
                <w:color w:val="auto"/>
              </w:rPr>
            </w:pPr>
            <w:r>
              <w:rPr>
                <w:rFonts w:ascii="Arial" w:cs="Arial" w:eastAsia="Arial" w:hAnsi="Arial"/>
                <w:sz w:val="11"/>
                <w:szCs w:val="11"/>
                <w:color w:val="auto"/>
              </w:rPr>
              <w:t>629,491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695,652</w:t>
            </w:r>
          </w:p>
        </w:tc>
        <w:tc>
          <w:tcPr>
            <w:tcW w:w="860" w:type="dxa"/>
            <w:vAlign w:val="bottom"/>
          </w:tcPr>
          <w:p>
            <w:pPr>
              <w:jc w:val="center"/>
              <w:spacing w:after="0"/>
              <w:rPr>
                <w:sz w:val="20"/>
                <w:szCs w:val="20"/>
                <w:color w:val="auto"/>
              </w:rPr>
            </w:pPr>
            <w:r>
              <w:rPr>
                <w:rFonts w:ascii="Arial" w:cs="Arial" w:eastAsia="Arial" w:hAnsi="Arial"/>
                <w:sz w:val="11"/>
                <w:szCs w:val="11"/>
                <w:color w:val="auto"/>
              </w:rPr>
              <w:t>10.5%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316.6%</w:t>
            </w:r>
          </w:p>
        </w:tc>
      </w:tr>
      <w:tr>
        <w:trPr>
          <w:trHeight w:val="149"/>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Other assets</w:t>
            </w:r>
          </w:p>
        </w:tc>
        <w:tc>
          <w:tcPr>
            <w:tcW w:w="1100" w:type="dxa"/>
            <w:vAlign w:val="bottom"/>
          </w:tcPr>
          <w:p>
            <w:pPr>
              <w:jc w:val="center"/>
              <w:spacing w:after="0"/>
              <w:rPr>
                <w:sz w:val="20"/>
                <w:szCs w:val="20"/>
                <w:color w:val="auto"/>
              </w:rPr>
            </w:pPr>
            <w:r>
              <w:rPr>
                <w:rFonts w:ascii="Arial" w:cs="Arial" w:eastAsia="Arial" w:hAnsi="Arial"/>
                <w:sz w:val="11"/>
                <w:szCs w:val="11"/>
                <w:color w:val="auto"/>
                <w:w w:val="97"/>
              </w:rPr>
              <w:t>99</w:t>
            </w:r>
          </w:p>
        </w:tc>
        <w:tc>
          <w:tcPr>
            <w:tcW w:w="1100" w:type="dxa"/>
            <w:vAlign w:val="bottom"/>
          </w:tcPr>
          <w:p>
            <w:pPr>
              <w:jc w:val="center"/>
              <w:spacing w:after="0"/>
              <w:rPr>
                <w:sz w:val="20"/>
                <w:szCs w:val="20"/>
                <w:color w:val="auto"/>
              </w:rPr>
            </w:pPr>
            <w:r>
              <w:rPr>
                <w:rFonts w:ascii="Arial" w:cs="Arial" w:eastAsia="Arial" w:hAnsi="Arial"/>
                <w:sz w:val="11"/>
                <w:szCs w:val="11"/>
                <w:color w:val="auto"/>
              </w:rPr>
              <w:t>856,336</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6,777</w:t>
            </w:r>
          </w:p>
        </w:tc>
        <w:tc>
          <w:tcPr>
            <w:tcW w:w="860" w:type="dxa"/>
            <w:vAlign w:val="bottom"/>
          </w:tcPr>
          <w:p>
            <w:pPr>
              <w:jc w:val="center"/>
              <w:spacing w:after="0"/>
              <w:rPr>
                <w:sz w:val="20"/>
                <w:szCs w:val="20"/>
                <w:color w:val="auto"/>
              </w:rPr>
            </w:pPr>
            <w:r>
              <w:rPr>
                <w:rFonts w:ascii="Arial" w:cs="Arial" w:eastAsia="Arial" w:hAnsi="Arial"/>
                <w:sz w:val="11"/>
                <w:szCs w:val="11"/>
                <w:color w:val="auto"/>
              </w:rPr>
              <w:t>-99.2%</w:t>
            </w:r>
          </w:p>
        </w:tc>
        <w:tc>
          <w:tcPr>
            <w:tcW w:w="90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n.a.</w:t>
            </w:r>
          </w:p>
        </w:tc>
      </w:tr>
      <w:tr>
        <w:trPr>
          <w:trHeight w:val="268"/>
        </w:trPr>
        <w:tc>
          <w:tcPr>
            <w:tcW w:w="3860" w:type="dxa"/>
            <w:vAlign w:val="bottom"/>
            <w:tcBorders>
              <w:left w:val="single" w:sz="8" w:color="auto"/>
              <w:right w:val="single" w:sz="8" w:color="auto"/>
            </w:tcBorders>
          </w:tcPr>
          <w:p>
            <w:pPr>
              <w:ind w:left="1580"/>
              <w:spacing w:after="0"/>
              <w:rPr>
                <w:sz w:val="20"/>
                <w:szCs w:val="20"/>
                <w:color w:val="auto"/>
              </w:rPr>
            </w:pPr>
            <w:r>
              <w:rPr>
                <w:rFonts w:ascii="Arial" w:cs="Arial" w:eastAsia="Arial" w:hAnsi="Arial"/>
                <w:sz w:val="11"/>
                <w:szCs w:val="11"/>
                <w:b w:val="1"/>
                <w:bCs w:val="1"/>
                <w:color w:val="auto"/>
              </w:rPr>
              <w:t>Total Assets</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38,766,733</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40,841,408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40,655,832</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-0.5%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4.9%</w:t>
            </w:r>
          </w:p>
        </w:tc>
      </w:tr>
      <w:tr>
        <w:trPr>
          <w:trHeight w:val="239"/>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LIABILITIES AND NET SHAREHOLDERS' EQUITY</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Due to banks, correspondents and other entities</w:t>
            </w:r>
          </w:p>
        </w:tc>
        <w:tc>
          <w:tcPr>
            <w:tcW w:w="1100" w:type="dxa"/>
            <w:vAlign w:val="bottom"/>
          </w:tcPr>
          <w:p>
            <w:pPr>
              <w:jc w:val="center"/>
              <w:spacing w:after="0"/>
              <w:rPr>
                <w:sz w:val="20"/>
                <w:szCs w:val="20"/>
                <w:color w:val="auto"/>
              </w:rPr>
            </w:pPr>
            <w:r>
              <w:rPr>
                <w:rFonts w:ascii="Arial" w:cs="Arial" w:eastAsia="Arial" w:hAnsi="Arial"/>
                <w:sz w:val="11"/>
                <w:szCs w:val="11"/>
                <w:color w:val="auto"/>
              </w:rPr>
              <w:t>30,866</w:t>
            </w:r>
          </w:p>
        </w:tc>
        <w:tc>
          <w:tcPr>
            <w:tcW w:w="1100" w:type="dxa"/>
            <w:vAlign w:val="bottom"/>
          </w:tcPr>
          <w:p>
            <w:pPr>
              <w:jc w:val="center"/>
              <w:spacing w:after="0"/>
              <w:rPr>
                <w:sz w:val="20"/>
                <w:szCs w:val="20"/>
                <w:color w:val="auto"/>
              </w:rPr>
            </w:pPr>
            <w:r>
              <w:rPr>
                <w:rFonts w:ascii="Arial" w:cs="Arial" w:eastAsia="Arial" w:hAnsi="Arial"/>
                <w:sz w:val="11"/>
                <w:szCs w:val="11"/>
                <w:color w:val="auto"/>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860" w:type="dxa"/>
            <w:vAlign w:val="bottom"/>
          </w:tcPr>
          <w:p>
            <w:pPr>
              <w:jc w:val="center"/>
              <w:spacing w:after="0"/>
              <w:rPr>
                <w:sz w:val="20"/>
                <w:szCs w:val="20"/>
                <w:color w:val="auto"/>
              </w:rPr>
            </w:pPr>
            <w:r>
              <w:rPr>
                <w:rFonts w:ascii="Arial" w:cs="Arial" w:eastAsia="Arial" w:hAnsi="Arial"/>
                <w:sz w:val="11"/>
                <w:szCs w:val="11"/>
                <w:color w:val="auto"/>
              </w:rPr>
              <w:t>n.a.</w:t>
            </w:r>
          </w:p>
        </w:tc>
        <w:tc>
          <w:tcPr>
            <w:tcW w:w="90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n.a.</w:t>
            </w: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Bonds and notes issued</w:t>
            </w:r>
          </w:p>
        </w:tc>
        <w:tc>
          <w:tcPr>
            <w:tcW w:w="1100" w:type="dxa"/>
            <w:vAlign w:val="bottom"/>
          </w:tcPr>
          <w:p>
            <w:pPr>
              <w:jc w:val="center"/>
              <w:spacing w:after="0"/>
              <w:rPr>
                <w:sz w:val="20"/>
                <w:szCs w:val="20"/>
                <w:color w:val="auto"/>
              </w:rPr>
            </w:pPr>
            <w:r>
              <w:rPr>
                <w:rFonts w:ascii="Arial" w:cs="Arial" w:eastAsia="Arial" w:hAnsi="Arial"/>
                <w:sz w:val="11"/>
                <w:szCs w:val="11"/>
                <w:color w:val="auto"/>
              </w:rPr>
              <w:t>1,798,858</w:t>
            </w:r>
          </w:p>
        </w:tc>
        <w:tc>
          <w:tcPr>
            <w:tcW w:w="1100" w:type="dxa"/>
            <w:vAlign w:val="bottom"/>
          </w:tcPr>
          <w:p>
            <w:pPr>
              <w:jc w:val="center"/>
              <w:spacing w:after="0"/>
              <w:rPr>
                <w:sz w:val="20"/>
                <w:szCs w:val="20"/>
                <w:color w:val="auto"/>
              </w:rPr>
            </w:pPr>
            <w:r>
              <w:rPr>
                <w:rFonts w:ascii="Arial" w:cs="Arial" w:eastAsia="Arial" w:hAnsi="Arial"/>
                <w:sz w:val="11"/>
                <w:szCs w:val="11"/>
                <w:color w:val="auto"/>
              </w:rPr>
              <w:t>1,814,219</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1,829,657</w:t>
            </w:r>
          </w:p>
        </w:tc>
        <w:tc>
          <w:tcPr>
            <w:tcW w:w="860" w:type="dxa"/>
            <w:vAlign w:val="bottom"/>
          </w:tcPr>
          <w:p>
            <w:pPr>
              <w:jc w:val="center"/>
              <w:spacing w:after="0"/>
              <w:rPr>
                <w:sz w:val="20"/>
                <w:szCs w:val="20"/>
                <w:color w:val="auto"/>
              </w:rPr>
            </w:pPr>
            <w:r>
              <w:rPr>
                <w:rFonts w:ascii="Arial" w:cs="Arial" w:eastAsia="Arial" w:hAnsi="Arial"/>
                <w:sz w:val="11"/>
                <w:szCs w:val="11"/>
                <w:color w:val="auto"/>
              </w:rPr>
              <w:t>0.9%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1.7%</w:t>
            </w:r>
          </w:p>
        </w:tc>
      </w:tr>
      <w:tr>
        <w:trPr>
          <w:trHeight w:val="149"/>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Other liabilities</w:t>
            </w:r>
          </w:p>
        </w:tc>
        <w:tc>
          <w:tcPr>
            <w:tcW w:w="1100" w:type="dxa"/>
            <w:vAlign w:val="bottom"/>
          </w:tcPr>
          <w:p>
            <w:pPr>
              <w:jc w:val="center"/>
              <w:spacing w:after="0"/>
              <w:rPr>
                <w:sz w:val="20"/>
                <w:szCs w:val="20"/>
                <w:color w:val="auto"/>
              </w:rPr>
            </w:pPr>
            <w:r>
              <w:rPr>
                <w:rFonts w:ascii="Arial" w:cs="Arial" w:eastAsia="Arial" w:hAnsi="Arial"/>
                <w:sz w:val="11"/>
                <w:szCs w:val="11"/>
                <w:color w:val="auto"/>
              </w:rPr>
              <w:t>255,707</w:t>
            </w:r>
          </w:p>
        </w:tc>
        <w:tc>
          <w:tcPr>
            <w:tcW w:w="1100" w:type="dxa"/>
            <w:vAlign w:val="bottom"/>
          </w:tcPr>
          <w:p>
            <w:pPr>
              <w:jc w:val="center"/>
              <w:spacing w:after="0"/>
              <w:rPr>
                <w:sz w:val="20"/>
                <w:szCs w:val="20"/>
                <w:color w:val="auto"/>
              </w:rPr>
            </w:pPr>
            <w:r>
              <w:rPr>
                <w:rFonts w:ascii="Arial" w:cs="Arial" w:eastAsia="Arial" w:hAnsi="Arial"/>
                <w:sz w:val="11"/>
                <w:szCs w:val="11"/>
                <w:color w:val="auto"/>
              </w:rPr>
              <w:t>1,294,018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230,660</w:t>
            </w:r>
          </w:p>
        </w:tc>
        <w:tc>
          <w:tcPr>
            <w:tcW w:w="860" w:type="dxa"/>
            <w:vAlign w:val="bottom"/>
          </w:tcPr>
          <w:p>
            <w:pPr>
              <w:jc w:val="center"/>
              <w:spacing w:after="0"/>
              <w:rPr>
                <w:sz w:val="20"/>
                <w:szCs w:val="20"/>
                <w:color w:val="auto"/>
              </w:rPr>
            </w:pPr>
            <w:r>
              <w:rPr>
                <w:rFonts w:ascii="Arial" w:cs="Arial" w:eastAsia="Arial" w:hAnsi="Arial"/>
                <w:sz w:val="11"/>
                <w:szCs w:val="11"/>
                <w:color w:val="auto"/>
              </w:rPr>
              <w:t>-82.2%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-9.8%</w:t>
            </w:r>
          </w:p>
        </w:tc>
      </w:tr>
      <w:tr>
        <w:trPr>
          <w:trHeight w:val="268"/>
        </w:trPr>
        <w:tc>
          <w:tcPr>
            <w:tcW w:w="3860" w:type="dxa"/>
            <w:vAlign w:val="bottom"/>
            <w:tcBorders>
              <w:left w:val="single" w:sz="8" w:color="auto"/>
              <w:right w:val="single" w:sz="8" w:color="auto"/>
            </w:tcBorders>
          </w:tcPr>
          <w:p>
            <w:pPr>
              <w:ind w:left="1520"/>
              <w:spacing w:after="0"/>
              <w:rPr>
                <w:sz w:val="20"/>
                <w:szCs w:val="20"/>
                <w:color w:val="auto"/>
              </w:rPr>
            </w:pPr>
            <w:r>
              <w:rPr>
                <w:rFonts w:ascii="Arial" w:cs="Arial" w:eastAsia="Arial" w:hAnsi="Arial"/>
                <w:sz w:val="11"/>
                <w:szCs w:val="11"/>
                <w:b w:val="1"/>
                <w:bCs w:val="1"/>
                <w:color w:val="auto"/>
              </w:rPr>
              <w:t>Total Liabilities</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2,085,431</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3,108,237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2,060,317</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-33.7%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-1.2%</w:t>
            </w:r>
          </w:p>
        </w:tc>
      </w:tr>
      <w:tr>
        <w:trPr>
          <w:trHeight w:val="239"/>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NET EQUITY</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Capital stock</w:t>
            </w:r>
          </w:p>
        </w:tc>
        <w:tc>
          <w:tcPr>
            <w:tcW w:w="1100" w:type="dxa"/>
            <w:vAlign w:val="bottom"/>
          </w:tcPr>
          <w:p>
            <w:pPr>
              <w:jc w:val="center"/>
              <w:spacing w:after="0"/>
              <w:rPr>
                <w:sz w:val="20"/>
                <w:szCs w:val="20"/>
                <w:color w:val="auto"/>
              </w:rPr>
            </w:pPr>
            <w:r>
              <w:rPr>
                <w:rFonts w:ascii="Arial" w:cs="Arial" w:eastAsia="Arial" w:hAnsi="Arial"/>
                <w:sz w:val="11"/>
                <w:szCs w:val="11"/>
                <w:color w:val="auto"/>
              </w:rPr>
              <w:t>1,318,993</w:t>
            </w:r>
          </w:p>
        </w:tc>
        <w:tc>
          <w:tcPr>
            <w:tcW w:w="1100" w:type="dxa"/>
            <w:vAlign w:val="bottom"/>
          </w:tcPr>
          <w:p>
            <w:pPr>
              <w:jc w:val="center"/>
              <w:spacing w:after="0"/>
              <w:rPr>
                <w:sz w:val="20"/>
                <w:szCs w:val="20"/>
                <w:color w:val="auto"/>
              </w:rPr>
            </w:pPr>
            <w:r>
              <w:rPr>
                <w:rFonts w:ascii="Arial" w:cs="Arial" w:eastAsia="Arial" w:hAnsi="Arial"/>
                <w:sz w:val="11"/>
                <w:szCs w:val="11"/>
                <w:color w:val="auto"/>
              </w:rPr>
              <w:t>1,318,993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1,318,993</w:t>
            </w:r>
          </w:p>
        </w:tc>
        <w:tc>
          <w:tcPr>
            <w:tcW w:w="860" w:type="dxa"/>
            <w:vAlign w:val="bottom"/>
          </w:tcPr>
          <w:p>
            <w:pPr>
              <w:jc w:val="center"/>
              <w:spacing w:after="0"/>
              <w:rPr>
                <w:sz w:val="20"/>
                <w:szCs w:val="20"/>
                <w:color w:val="auto"/>
              </w:rPr>
            </w:pPr>
            <w:r>
              <w:rPr>
                <w:rFonts w:ascii="Arial" w:cs="Arial" w:eastAsia="Arial" w:hAnsi="Arial"/>
                <w:sz w:val="11"/>
                <w:szCs w:val="11"/>
                <w:color w:val="auto"/>
              </w:rPr>
              <w:t>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0.0%</w:t>
            </w: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Capital Surplus</w:t>
            </w:r>
          </w:p>
        </w:tc>
        <w:tc>
          <w:tcPr>
            <w:tcW w:w="1100" w:type="dxa"/>
            <w:vAlign w:val="bottom"/>
          </w:tcPr>
          <w:p>
            <w:pPr>
              <w:jc w:val="center"/>
              <w:spacing w:after="0"/>
              <w:rPr>
                <w:sz w:val="20"/>
                <w:szCs w:val="20"/>
                <w:color w:val="auto"/>
              </w:rPr>
            </w:pPr>
            <w:r>
              <w:rPr>
                <w:rFonts w:ascii="Arial" w:cs="Arial" w:eastAsia="Arial" w:hAnsi="Arial"/>
                <w:sz w:val="11"/>
                <w:szCs w:val="11"/>
                <w:color w:val="auto"/>
              </w:rPr>
              <w:t>384,542</w:t>
            </w:r>
          </w:p>
        </w:tc>
        <w:tc>
          <w:tcPr>
            <w:tcW w:w="1100" w:type="dxa"/>
            <w:vAlign w:val="bottom"/>
          </w:tcPr>
          <w:p>
            <w:pPr>
              <w:jc w:val="center"/>
              <w:spacing w:after="0"/>
              <w:rPr>
                <w:sz w:val="20"/>
                <w:szCs w:val="20"/>
                <w:color w:val="auto"/>
              </w:rPr>
            </w:pPr>
            <w:r>
              <w:rPr>
                <w:rFonts w:ascii="Arial" w:cs="Arial" w:eastAsia="Arial" w:hAnsi="Arial"/>
                <w:sz w:val="11"/>
                <w:szCs w:val="11"/>
                <w:color w:val="auto"/>
              </w:rPr>
              <w:t>384,542</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384,542</w:t>
            </w:r>
          </w:p>
        </w:tc>
        <w:tc>
          <w:tcPr>
            <w:tcW w:w="860" w:type="dxa"/>
            <w:vAlign w:val="bottom"/>
          </w:tcPr>
          <w:p>
            <w:pPr>
              <w:jc w:val="center"/>
              <w:spacing w:after="0"/>
              <w:rPr>
                <w:sz w:val="20"/>
                <w:szCs w:val="20"/>
                <w:color w:val="auto"/>
              </w:rPr>
            </w:pPr>
            <w:r>
              <w:rPr>
                <w:rFonts w:ascii="Arial" w:cs="Arial" w:eastAsia="Arial" w:hAnsi="Arial"/>
                <w:sz w:val="11"/>
                <w:szCs w:val="11"/>
                <w:color w:val="auto"/>
              </w:rPr>
              <w:t>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0.0%</w:t>
            </w: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Reserve</w:t>
            </w:r>
          </w:p>
        </w:tc>
        <w:tc>
          <w:tcPr>
            <w:tcW w:w="1100" w:type="dxa"/>
            <w:vAlign w:val="bottom"/>
          </w:tcPr>
          <w:p>
            <w:pPr>
              <w:jc w:val="center"/>
              <w:spacing w:after="0"/>
              <w:rPr>
                <w:sz w:val="20"/>
                <w:szCs w:val="20"/>
                <w:color w:val="auto"/>
              </w:rPr>
            </w:pPr>
            <w:r>
              <w:rPr>
                <w:rFonts w:ascii="Arial" w:cs="Arial" w:eastAsia="Arial" w:hAnsi="Arial"/>
                <w:sz w:val="11"/>
                <w:szCs w:val="11"/>
                <w:color w:val="auto"/>
              </w:rPr>
              <w:t>25,905,526</w:t>
            </w:r>
          </w:p>
        </w:tc>
        <w:tc>
          <w:tcPr>
            <w:tcW w:w="1100" w:type="dxa"/>
            <w:vAlign w:val="bottom"/>
          </w:tcPr>
          <w:p>
            <w:pPr>
              <w:jc w:val="center"/>
              <w:spacing w:after="0"/>
              <w:rPr>
                <w:sz w:val="20"/>
                <w:szCs w:val="20"/>
                <w:color w:val="auto"/>
              </w:rPr>
            </w:pPr>
            <w:r>
              <w:rPr>
                <w:rFonts w:ascii="Arial" w:cs="Arial" w:eastAsia="Arial" w:hAnsi="Arial"/>
                <w:sz w:val="11"/>
                <w:szCs w:val="11"/>
                <w:color w:val="auto"/>
              </w:rPr>
              <w:t>26,651,433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26,651,390</w:t>
            </w:r>
          </w:p>
        </w:tc>
        <w:tc>
          <w:tcPr>
            <w:tcW w:w="860" w:type="dxa"/>
            <w:vAlign w:val="bottom"/>
          </w:tcPr>
          <w:p>
            <w:pPr>
              <w:jc w:val="center"/>
              <w:spacing w:after="0"/>
              <w:rPr>
                <w:sz w:val="20"/>
                <w:szCs w:val="20"/>
                <w:color w:val="auto"/>
              </w:rPr>
            </w:pPr>
            <w:r>
              <w:rPr>
                <w:rFonts w:ascii="Arial" w:cs="Arial" w:eastAsia="Arial" w:hAnsi="Arial"/>
                <w:sz w:val="11"/>
                <w:szCs w:val="11"/>
                <w:color w:val="auto"/>
              </w:rPr>
              <w:t>0.0%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2.9%</w:t>
            </w:r>
          </w:p>
        </w:tc>
      </w:tr>
      <w:tr>
        <w:trPr>
          <w:trHeight w:val="131"/>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Unrealized results</w:t>
            </w:r>
          </w:p>
        </w:tc>
        <w:tc>
          <w:tcPr>
            <w:tcW w:w="1100" w:type="dxa"/>
            <w:vAlign w:val="bottom"/>
          </w:tcPr>
          <w:p>
            <w:pPr>
              <w:jc w:val="center"/>
              <w:spacing w:after="0"/>
              <w:rPr>
                <w:sz w:val="20"/>
                <w:szCs w:val="20"/>
                <w:color w:val="auto"/>
              </w:rPr>
            </w:pPr>
            <w:r>
              <w:rPr>
                <w:rFonts w:ascii="Arial" w:cs="Arial" w:eastAsia="Arial" w:hAnsi="Arial"/>
                <w:sz w:val="11"/>
                <w:szCs w:val="11"/>
                <w:color w:val="auto"/>
              </w:rPr>
              <w:t>68,056</w:t>
            </w:r>
          </w:p>
        </w:tc>
        <w:tc>
          <w:tcPr>
            <w:tcW w:w="1100" w:type="dxa"/>
            <w:vAlign w:val="bottom"/>
          </w:tcPr>
          <w:p>
            <w:pPr>
              <w:jc w:val="center"/>
              <w:spacing w:after="0"/>
              <w:rPr>
                <w:sz w:val="20"/>
                <w:szCs w:val="20"/>
                <w:color w:val="auto"/>
              </w:rPr>
            </w:pPr>
            <w:r>
              <w:rPr>
                <w:rFonts w:ascii="Arial" w:cs="Arial" w:eastAsia="Arial" w:hAnsi="Arial"/>
                <w:sz w:val="11"/>
                <w:szCs w:val="11"/>
                <w:color w:val="auto"/>
              </w:rPr>
              <w:t>292,640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35,535</w:t>
            </w:r>
          </w:p>
        </w:tc>
        <w:tc>
          <w:tcPr>
            <w:tcW w:w="860" w:type="dxa"/>
            <w:vAlign w:val="bottom"/>
          </w:tcPr>
          <w:p>
            <w:pPr>
              <w:jc w:val="center"/>
              <w:spacing w:after="0"/>
              <w:rPr>
                <w:sz w:val="20"/>
                <w:szCs w:val="20"/>
                <w:color w:val="auto"/>
              </w:rPr>
            </w:pPr>
            <w:r>
              <w:rPr>
                <w:rFonts w:ascii="Arial" w:cs="Arial" w:eastAsia="Arial" w:hAnsi="Arial"/>
                <w:sz w:val="11"/>
                <w:szCs w:val="11"/>
                <w:color w:val="auto"/>
              </w:rPr>
              <w:t>-87.9%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-47.8%</w:t>
            </w:r>
          </w:p>
        </w:tc>
      </w:tr>
      <w:tr>
        <w:trPr>
          <w:trHeight w:val="149"/>
        </w:trPr>
        <w:tc>
          <w:tcPr>
            <w:tcW w:w="3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1"/>
                <w:szCs w:val="11"/>
                <w:color w:val="auto"/>
              </w:rPr>
              <w:t>Retained earnings</w:t>
            </w:r>
          </w:p>
        </w:tc>
        <w:tc>
          <w:tcPr>
            <w:tcW w:w="1100" w:type="dxa"/>
            <w:vAlign w:val="bottom"/>
          </w:tcPr>
          <w:p>
            <w:pPr>
              <w:jc w:val="center"/>
              <w:spacing w:after="0"/>
              <w:rPr>
                <w:sz w:val="20"/>
                <w:szCs w:val="20"/>
                <w:color w:val="auto"/>
              </w:rPr>
            </w:pPr>
            <w:r>
              <w:rPr>
                <w:rFonts w:ascii="Arial" w:cs="Arial" w:eastAsia="Arial" w:hAnsi="Arial"/>
                <w:sz w:val="11"/>
                <w:szCs w:val="11"/>
                <w:color w:val="auto"/>
              </w:rPr>
              <w:t>9,004,185</w:t>
            </w:r>
          </w:p>
        </w:tc>
        <w:tc>
          <w:tcPr>
            <w:tcW w:w="1100" w:type="dxa"/>
            <w:vAlign w:val="bottom"/>
          </w:tcPr>
          <w:p>
            <w:pPr>
              <w:jc w:val="center"/>
              <w:spacing w:after="0"/>
              <w:rPr>
                <w:sz w:val="20"/>
                <w:szCs w:val="20"/>
                <w:color w:val="auto"/>
              </w:rPr>
            </w:pPr>
            <w:r>
              <w:rPr>
                <w:rFonts w:ascii="Arial" w:cs="Arial" w:eastAsia="Arial" w:hAnsi="Arial"/>
                <w:sz w:val="11"/>
                <w:szCs w:val="11"/>
                <w:color w:val="auto"/>
              </w:rPr>
              <w:t>9,085,563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10,205,055</w:t>
            </w:r>
          </w:p>
        </w:tc>
        <w:tc>
          <w:tcPr>
            <w:tcW w:w="860" w:type="dxa"/>
            <w:vAlign w:val="bottom"/>
          </w:tcPr>
          <w:p>
            <w:pPr>
              <w:jc w:val="center"/>
              <w:spacing w:after="0"/>
              <w:rPr>
                <w:sz w:val="20"/>
                <w:szCs w:val="20"/>
                <w:color w:val="auto"/>
              </w:rPr>
            </w:pPr>
            <w:r>
              <w:rPr>
                <w:rFonts w:ascii="Arial" w:cs="Arial" w:eastAsia="Arial" w:hAnsi="Arial"/>
                <w:sz w:val="11"/>
                <w:szCs w:val="11"/>
                <w:color w:val="auto"/>
              </w:rPr>
              <w:t>12.3%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13.3%</w:t>
            </w:r>
          </w:p>
        </w:tc>
      </w:tr>
      <w:tr>
        <w:trPr>
          <w:trHeight w:val="268"/>
        </w:trPr>
        <w:tc>
          <w:tcPr>
            <w:tcW w:w="3860" w:type="dxa"/>
            <w:vAlign w:val="bottom"/>
            <w:tcBorders>
              <w:left w:val="single" w:sz="8" w:color="auto"/>
              <w:right w:val="single" w:sz="8" w:color="auto"/>
            </w:tcBorders>
          </w:tcPr>
          <w:p>
            <w:pPr>
              <w:ind w:left="1500"/>
              <w:spacing w:after="0"/>
              <w:rPr>
                <w:sz w:val="20"/>
                <w:szCs w:val="20"/>
                <w:color w:val="auto"/>
              </w:rPr>
            </w:pPr>
            <w:r>
              <w:rPr>
                <w:rFonts w:ascii="Arial" w:cs="Arial" w:eastAsia="Arial" w:hAnsi="Arial"/>
                <w:sz w:val="11"/>
                <w:szCs w:val="11"/>
                <w:b w:val="1"/>
                <w:bCs w:val="1"/>
                <w:color w:val="auto"/>
              </w:rPr>
              <w:t>Total net equity</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36,681,302</w:t>
            </w: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rPr>
              <w:t>37,733,171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38,595,515</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2.3%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5.2%</w:t>
            </w:r>
          </w:p>
        </w:tc>
      </w:tr>
      <w:tr>
        <w:trPr>
          <w:trHeight w:val="246"/>
        </w:trPr>
        <w:tc>
          <w:tcPr>
            <w:tcW w:w="38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Total Liabilities And Equity</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38,766,733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40,841,408</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40,655,832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-0.5%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4.9%</w:t>
            </w:r>
          </w:p>
        </w:tc>
      </w:tr>
    </w:tbl>
    <w:p>
      <w:pPr>
        <w:spacing w:after="0" w:line="169"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Statement of Income</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(S/ Thousands, IFRS)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780" w:type="dxa"/>
            <w:vAlign w:val="bottom"/>
            <w:tcBorders>
              <w:top w:val="single" w:sz="8" w:color="auto"/>
              <w:left w:val="single" w:sz="8" w:color="auto"/>
              <w:right w:val="single" w:sz="8" w:color="auto"/>
            </w:tcBorders>
            <w:shd w:val="clear" w:color="auto" w:fill="33CCCC"/>
          </w:tcPr>
          <w:p>
            <w:pPr>
              <w:spacing w:after="0"/>
              <w:rPr>
                <w:sz w:val="10"/>
                <w:szCs w:val="10"/>
                <w:color w:val="auto"/>
              </w:rPr>
            </w:pPr>
          </w:p>
        </w:tc>
        <w:tc>
          <w:tcPr>
            <w:tcW w:w="980" w:type="dxa"/>
            <w:vAlign w:val="bottom"/>
            <w:tcBorders>
              <w:top w:val="single" w:sz="8" w:color="auto"/>
            </w:tcBorders>
            <w:shd w:val="clear" w:color="auto" w:fill="33CCCC"/>
          </w:tcPr>
          <w:p>
            <w:pPr>
              <w:spacing w:after="0"/>
              <w:rPr>
                <w:sz w:val="10"/>
                <w:szCs w:val="10"/>
                <w:color w:val="auto"/>
              </w:rPr>
            </w:pPr>
          </w:p>
        </w:tc>
        <w:tc>
          <w:tcPr>
            <w:tcW w:w="1000" w:type="dxa"/>
            <w:vAlign w:val="bottom"/>
            <w:tcBorders>
              <w:top w:val="single" w:sz="8" w:color="auto"/>
            </w:tcBorders>
            <w:shd w:val="clear" w:color="auto" w:fill="33CCCC"/>
          </w:tcPr>
          <w:p>
            <w:pPr>
              <w:ind w:left="320"/>
              <w:spacing w:after="0"/>
              <w:rPr>
                <w:sz w:val="20"/>
                <w:szCs w:val="20"/>
                <w:color w:val="auto"/>
              </w:rPr>
            </w:pPr>
            <w:r>
              <w:rPr>
                <w:rFonts w:ascii="Arial" w:cs="Arial" w:eastAsia="Arial" w:hAnsi="Arial"/>
                <w:sz w:val="10"/>
                <w:szCs w:val="10"/>
                <w:b w:val="1"/>
                <w:bCs w:val="1"/>
                <w:color w:val="FFFFFF"/>
              </w:rPr>
              <w:t>Quarter</w:t>
            </w:r>
          </w:p>
        </w:tc>
        <w:tc>
          <w:tcPr>
            <w:tcW w:w="1000" w:type="dxa"/>
            <w:vAlign w:val="bottom"/>
            <w:tcBorders>
              <w:top w:val="single" w:sz="8" w:color="auto"/>
              <w:right w:val="single" w:sz="8" w:color="auto"/>
            </w:tcBorders>
            <w:shd w:val="clear" w:color="auto" w:fill="33CCCC"/>
          </w:tcPr>
          <w:p>
            <w:pPr>
              <w:spacing w:after="0"/>
              <w:rPr>
                <w:sz w:val="10"/>
                <w:szCs w:val="10"/>
                <w:color w:val="auto"/>
              </w:rPr>
            </w:pPr>
          </w:p>
        </w:tc>
        <w:tc>
          <w:tcPr>
            <w:tcW w:w="1220" w:type="dxa"/>
            <w:vAlign w:val="bottom"/>
            <w:tcBorders>
              <w:top w:val="single" w:sz="8" w:color="auto"/>
              <w:right w:val="single" w:sz="8" w:color="auto"/>
            </w:tcBorders>
            <w:gridSpan w:val="2"/>
            <w:shd w:val="clear" w:color="auto" w:fill="33CCCC"/>
          </w:tcPr>
          <w:p>
            <w:pPr>
              <w:ind w:left="340"/>
              <w:spacing w:after="0"/>
              <w:rPr>
                <w:sz w:val="20"/>
                <w:szCs w:val="20"/>
                <w:color w:val="auto"/>
              </w:rPr>
            </w:pPr>
            <w:r>
              <w:rPr>
                <w:rFonts w:ascii="Arial" w:cs="Arial" w:eastAsia="Arial" w:hAnsi="Arial"/>
                <w:sz w:val="10"/>
                <w:szCs w:val="10"/>
                <w:b w:val="1"/>
                <w:bCs w:val="1"/>
                <w:color w:val="FFFFFF"/>
              </w:rPr>
              <w:t>% Change</w:t>
            </w:r>
          </w:p>
        </w:tc>
        <w:tc>
          <w:tcPr>
            <w:tcW w:w="720" w:type="dxa"/>
            <w:vAlign w:val="bottom"/>
            <w:tcBorders>
              <w:top w:val="single" w:sz="8" w:color="auto"/>
            </w:tcBorders>
            <w:shd w:val="clear" w:color="auto" w:fill="33CCCC"/>
          </w:tcPr>
          <w:p>
            <w:pPr>
              <w:spacing w:after="0"/>
              <w:rPr>
                <w:sz w:val="10"/>
                <w:szCs w:val="10"/>
                <w:color w:val="auto"/>
              </w:rPr>
            </w:pPr>
          </w:p>
        </w:tc>
        <w:tc>
          <w:tcPr>
            <w:tcW w:w="114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0"/>
                <w:szCs w:val="10"/>
                <w:b w:val="1"/>
                <w:bCs w:val="1"/>
                <w:color w:val="FFFFFF"/>
              </w:rPr>
              <w:t>Up to</w:t>
            </w:r>
          </w:p>
        </w:tc>
        <w:tc>
          <w:tcPr>
            <w:tcW w:w="140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 Change</w:t>
            </w:r>
          </w:p>
        </w:tc>
      </w:tr>
      <w:tr>
        <w:trPr>
          <w:trHeight w:val="131"/>
        </w:trPr>
        <w:tc>
          <w:tcPr>
            <w:tcW w:w="378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97"/>
              </w:rPr>
              <w:t>4Q23</w:t>
            </w:r>
          </w:p>
        </w:tc>
        <w:tc>
          <w:tcPr>
            <w:tcW w:w="10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3Q24</w:t>
            </w:r>
          </w:p>
        </w:tc>
        <w:tc>
          <w:tcPr>
            <w:tcW w:w="10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4Q24</w:t>
            </w:r>
          </w:p>
        </w:tc>
        <w:tc>
          <w:tcPr>
            <w:tcW w:w="5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QoQ</w:t>
            </w:r>
          </w:p>
        </w:tc>
        <w:tc>
          <w:tcPr>
            <w:tcW w:w="6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YoY</w:t>
            </w:r>
          </w:p>
        </w:tc>
        <w:tc>
          <w:tcPr>
            <w:tcW w:w="72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0"/>
                <w:szCs w:val="10"/>
                <w:b w:val="1"/>
                <w:bCs w:val="1"/>
                <w:color w:val="FFFFFF"/>
              </w:rPr>
              <w:t>Dec 23</w:t>
            </w:r>
          </w:p>
        </w:tc>
        <w:tc>
          <w:tcPr>
            <w:tcW w:w="1140" w:type="dxa"/>
            <w:vAlign w:val="bottom"/>
            <w:tcBorders>
              <w:bottom w:val="single" w:sz="8" w:color="auto"/>
              <w:right w:val="single" w:sz="8" w:color="auto"/>
            </w:tcBorders>
            <w:shd w:val="clear" w:color="auto" w:fill="33CCCC"/>
          </w:tcPr>
          <w:p>
            <w:pPr>
              <w:ind w:left="460"/>
              <w:spacing w:after="0"/>
              <w:rPr>
                <w:sz w:val="20"/>
                <w:szCs w:val="20"/>
                <w:color w:val="auto"/>
              </w:rPr>
            </w:pPr>
            <w:r>
              <w:rPr>
                <w:rFonts w:ascii="Arial" w:cs="Arial" w:eastAsia="Arial" w:hAnsi="Arial"/>
                <w:sz w:val="10"/>
                <w:szCs w:val="10"/>
                <w:b w:val="1"/>
                <w:bCs w:val="1"/>
                <w:color w:val="FFFFFF"/>
              </w:rPr>
              <w:t>Dec 24</w:t>
            </w:r>
          </w:p>
        </w:tc>
        <w:tc>
          <w:tcPr>
            <w:tcW w:w="140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Dec 24 / Dec 23</w:t>
            </w:r>
          </w:p>
        </w:tc>
      </w:tr>
      <w:tr>
        <w:trPr>
          <w:trHeight w:val="136"/>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Interest income</w:t>
            </w: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r>
      <w:tr>
        <w:trPr>
          <w:trHeight w:val="198"/>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share of the income from investments in subsidiaries and associates</w:t>
            </w:r>
          </w:p>
        </w:tc>
        <w:tc>
          <w:tcPr>
            <w:tcW w:w="980" w:type="dxa"/>
            <w:vAlign w:val="bottom"/>
          </w:tcPr>
          <w:p>
            <w:pPr>
              <w:jc w:val="center"/>
              <w:spacing w:after="0"/>
              <w:rPr>
                <w:sz w:val="20"/>
                <w:szCs w:val="20"/>
                <w:color w:val="auto"/>
              </w:rPr>
            </w:pPr>
            <w:r>
              <w:rPr>
                <w:rFonts w:ascii="Arial" w:cs="Arial" w:eastAsia="Arial" w:hAnsi="Arial"/>
                <w:sz w:val="10"/>
                <w:szCs w:val="10"/>
                <w:color w:val="auto"/>
                <w:w w:val="99"/>
              </w:rPr>
              <w:t>906,901</w:t>
            </w:r>
          </w:p>
        </w:tc>
        <w:tc>
          <w:tcPr>
            <w:tcW w:w="1000" w:type="dxa"/>
            <w:vAlign w:val="bottom"/>
          </w:tcPr>
          <w:p>
            <w:pPr>
              <w:jc w:val="center"/>
              <w:spacing w:after="0"/>
              <w:rPr>
                <w:sz w:val="20"/>
                <w:szCs w:val="20"/>
                <w:color w:val="auto"/>
              </w:rPr>
            </w:pPr>
            <w:r>
              <w:rPr>
                <w:rFonts w:ascii="Arial" w:cs="Arial" w:eastAsia="Arial" w:hAnsi="Arial"/>
                <w:sz w:val="10"/>
                <w:szCs w:val="10"/>
                <w:color w:val="auto"/>
              </w:rPr>
              <w:t>1,735,379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1,121,288</w:t>
            </w:r>
          </w:p>
        </w:tc>
        <w:tc>
          <w:tcPr>
            <w:tcW w:w="580" w:type="dxa"/>
            <w:vAlign w:val="bottom"/>
          </w:tcPr>
          <w:p>
            <w:pPr>
              <w:jc w:val="center"/>
              <w:spacing w:after="0"/>
              <w:rPr>
                <w:sz w:val="20"/>
                <w:szCs w:val="20"/>
                <w:color w:val="auto"/>
              </w:rPr>
            </w:pPr>
            <w:r>
              <w:rPr>
                <w:rFonts w:ascii="Arial" w:cs="Arial" w:eastAsia="Arial" w:hAnsi="Arial"/>
                <w:sz w:val="10"/>
                <w:szCs w:val="10"/>
                <w:color w:val="auto"/>
              </w:rPr>
              <w:t>-35.4%</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23.6%</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5,439,451</w:t>
            </w:r>
          </w:p>
        </w:tc>
        <w:tc>
          <w:tcPr>
            <w:tcW w:w="114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6,313,139</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16.1%</w:t>
            </w:r>
          </w:p>
        </w:tc>
      </w:tr>
      <w:tr>
        <w:trPr>
          <w:trHeight w:val="118"/>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Interest and similar income</w:t>
            </w:r>
          </w:p>
        </w:tc>
        <w:tc>
          <w:tcPr>
            <w:tcW w:w="980" w:type="dxa"/>
            <w:vAlign w:val="bottom"/>
          </w:tcPr>
          <w:p>
            <w:pPr>
              <w:jc w:val="center"/>
              <w:spacing w:after="0"/>
              <w:rPr>
                <w:sz w:val="20"/>
                <w:szCs w:val="20"/>
                <w:color w:val="auto"/>
              </w:rPr>
            </w:pPr>
            <w:r>
              <w:rPr>
                <w:rFonts w:ascii="Arial" w:cs="Arial" w:eastAsia="Arial" w:hAnsi="Arial"/>
                <w:sz w:val="10"/>
                <w:szCs w:val="10"/>
                <w:color w:val="auto"/>
              </w:rPr>
              <w:t>1,170</w:t>
            </w:r>
          </w:p>
        </w:tc>
        <w:tc>
          <w:tcPr>
            <w:tcW w:w="1000" w:type="dxa"/>
            <w:vAlign w:val="bottom"/>
          </w:tcPr>
          <w:p>
            <w:pPr>
              <w:jc w:val="center"/>
              <w:spacing w:after="0"/>
              <w:rPr>
                <w:sz w:val="20"/>
                <w:szCs w:val="20"/>
                <w:color w:val="auto"/>
              </w:rPr>
            </w:pPr>
            <w:r>
              <w:rPr>
                <w:rFonts w:ascii="Arial" w:cs="Arial" w:eastAsia="Arial" w:hAnsi="Arial"/>
                <w:sz w:val="10"/>
                <w:szCs w:val="10"/>
                <w:color w:val="auto"/>
              </w:rPr>
              <w:t>22,290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24,419</w:t>
            </w:r>
          </w:p>
        </w:tc>
        <w:tc>
          <w:tcPr>
            <w:tcW w:w="580" w:type="dxa"/>
            <w:vAlign w:val="bottom"/>
          </w:tcPr>
          <w:p>
            <w:pPr>
              <w:jc w:val="center"/>
              <w:spacing w:after="0"/>
              <w:rPr>
                <w:sz w:val="20"/>
                <w:szCs w:val="20"/>
                <w:color w:val="auto"/>
              </w:rPr>
            </w:pPr>
            <w:r>
              <w:rPr>
                <w:rFonts w:ascii="Arial" w:cs="Arial" w:eastAsia="Arial" w:hAnsi="Arial"/>
                <w:sz w:val="10"/>
                <w:szCs w:val="10"/>
                <w:color w:val="auto"/>
              </w:rPr>
              <w:t>9.6%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n.a.</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10,895</w:t>
            </w:r>
          </w:p>
        </w:tc>
        <w:tc>
          <w:tcPr>
            <w:tcW w:w="1140" w:type="dxa"/>
            <w:vAlign w:val="bottom"/>
            <w:tcBorders>
              <w:right w:val="single" w:sz="8" w:color="auto"/>
            </w:tcBorders>
          </w:tcPr>
          <w:p>
            <w:pPr>
              <w:jc w:val="center"/>
              <w:ind w:left="88"/>
              <w:spacing w:after="0"/>
              <w:rPr>
                <w:sz w:val="20"/>
                <w:szCs w:val="20"/>
                <w:color w:val="auto"/>
              </w:rPr>
            </w:pPr>
            <w:r>
              <w:rPr>
                <w:rFonts w:ascii="Arial" w:cs="Arial" w:eastAsia="Arial" w:hAnsi="Arial"/>
                <w:sz w:val="10"/>
                <w:szCs w:val="10"/>
                <w:color w:val="auto"/>
              </w:rPr>
              <w:t>93,486</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758.1%</w:t>
            </w:r>
          </w:p>
        </w:tc>
      </w:tr>
      <w:tr>
        <w:trPr>
          <w:trHeight w:val="118"/>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gain on financial assets at fair value through profit or loss</w:t>
            </w:r>
          </w:p>
        </w:tc>
        <w:tc>
          <w:tcPr>
            <w:tcW w:w="980" w:type="dxa"/>
            <w:vAlign w:val="bottom"/>
          </w:tcPr>
          <w:p>
            <w:pPr>
              <w:jc w:val="center"/>
              <w:spacing w:after="0"/>
              <w:rPr>
                <w:sz w:val="20"/>
                <w:szCs w:val="20"/>
                <w:color w:val="auto"/>
              </w:rPr>
            </w:pPr>
            <w:r>
              <w:rPr>
                <w:rFonts w:ascii="Arial" w:cs="Arial" w:eastAsia="Arial" w:hAnsi="Arial"/>
                <w:sz w:val="10"/>
                <w:szCs w:val="10"/>
                <w:color w:val="auto"/>
              </w:rPr>
              <w:t>32,430</w:t>
            </w:r>
          </w:p>
        </w:tc>
        <w:tc>
          <w:tcPr>
            <w:tcW w:w="100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w:t>
            </w:r>
          </w:p>
        </w:tc>
        <w:tc>
          <w:tcPr>
            <w:tcW w:w="580" w:type="dxa"/>
            <w:vAlign w:val="bottom"/>
          </w:tcPr>
          <w:p>
            <w:pPr>
              <w:jc w:val="center"/>
              <w:spacing w:after="0"/>
              <w:rPr>
                <w:sz w:val="20"/>
                <w:szCs w:val="20"/>
                <w:color w:val="auto"/>
              </w:rPr>
            </w:pPr>
            <w:r>
              <w:rPr>
                <w:rFonts w:ascii="Arial" w:cs="Arial" w:eastAsia="Arial" w:hAnsi="Arial"/>
                <w:sz w:val="10"/>
                <w:szCs w:val="10"/>
                <w:color w:val="auto"/>
              </w:rPr>
              <w:t>n.a.</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n.a.</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67,652</w:t>
            </w:r>
          </w:p>
        </w:tc>
        <w:tc>
          <w:tcPr>
            <w:tcW w:w="114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1,234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-98.2%</w:t>
            </w:r>
          </w:p>
        </w:tc>
      </w:tr>
      <w:tr>
        <w:trPr>
          <w:trHeight w:val="143"/>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income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9"/>
              </w:rPr>
              <w:t>940,501</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1,757,669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1,145,707</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rPr>
              <w:t>-34.8%</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21.8%</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5,517,998</w:t>
            </w:r>
          </w:p>
        </w:tc>
        <w:tc>
          <w:tcPr>
            <w:tcW w:w="114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6,407,859</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16.1%</w:t>
            </w:r>
          </w:p>
        </w:tc>
      </w:tr>
      <w:tr>
        <w:trPr>
          <w:trHeight w:val="211"/>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Interest and similar expense</w:t>
            </w:r>
          </w:p>
        </w:tc>
        <w:tc>
          <w:tcPr>
            <w:tcW w:w="980" w:type="dxa"/>
            <w:vAlign w:val="bottom"/>
          </w:tcPr>
          <w:p>
            <w:pPr>
              <w:jc w:val="center"/>
              <w:spacing w:after="0"/>
              <w:rPr>
                <w:sz w:val="20"/>
                <w:szCs w:val="20"/>
                <w:color w:val="auto"/>
              </w:rPr>
            </w:pPr>
            <w:r>
              <w:rPr>
                <w:rFonts w:ascii="Arial" w:cs="Arial" w:eastAsia="Arial" w:hAnsi="Arial"/>
                <w:sz w:val="10"/>
                <w:szCs w:val="10"/>
                <w:color w:val="auto"/>
              </w:rPr>
              <w:t>(14,444)</w:t>
            </w:r>
          </w:p>
        </w:tc>
        <w:tc>
          <w:tcPr>
            <w:tcW w:w="1000" w:type="dxa"/>
            <w:vAlign w:val="bottom"/>
          </w:tcPr>
          <w:p>
            <w:pPr>
              <w:jc w:val="center"/>
              <w:spacing w:after="0"/>
              <w:rPr>
                <w:sz w:val="20"/>
                <w:szCs w:val="20"/>
                <w:color w:val="auto"/>
              </w:rPr>
            </w:pPr>
            <w:r>
              <w:rPr>
                <w:rFonts w:ascii="Arial" w:cs="Arial" w:eastAsia="Arial" w:hAnsi="Arial"/>
                <w:sz w:val="10"/>
                <w:szCs w:val="10"/>
                <w:color w:val="auto"/>
              </w:rPr>
              <w:t>(13,527)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(13,637)</w:t>
            </w:r>
          </w:p>
        </w:tc>
        <w:tc>
          <w:tcPr>
            <w:tcW w:w="580" w:type="dxa"/>
            <w:vAlign w:val="bottom"/>
          </w:tcPr>
          <w:p>
            <w:pPr>
              <w:jc w:val="center"/>
              <w:spacing w:after="0"/>
              <w:rPr>
                <w:sz w:val="20"/>
                <w:szCs w:val="20"/>
                <w:color w:val="auto"/>
              </w:rPr>
            </w:pPr>
            <w:r>
              <w:rPr>
                <w:rFonts w:ascii="Arial" w:cs="Arial" w:eastAsia="Arial" w:hAnsi="Arial"/>
                <w:sz w:val="10"/>
                <w:szCs w:val="10"/>
                <w:color w:val="auto"/>
              </w:rPr>
              <w:t>0.8%</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-5.6%</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(56,276)</w:t>
            </w:r>
          </w:p>
        </w:tc>
        <w:tc>
          <w:tcPr>
            <w:tcW w:w="1140" w:type="dxa"/>
            <w:vAlign w:val="bottom"/>
            <w:tcBorders>
              <w:right w:val="single" w:sz="8" w:color="auto"/>
            </w:tcBorders>
          </w:tcPr>
          <w:p>
            <w:pPr>
              <w:jc w:val="center"/>
              <w:ind w:left="88"/>
              <w:spacing w:after="0"/>
              <w:rPr>
                <w:sz w:val="20"/>
                <w:szCs w:val="20"/>
                <w:color w:val="auto"/>
              </w:rPr>
            </w:pPr>
            <w:r>
              <w:rPr>
                <w:rFonts w:ascii="Arial" w:cs="Arial" w:eastAsia="Arial" w:hAnsi="Arial"/>
                <w:sz w:val="10"/>
                <w:szCs w:val="10"/>
                <w:color w:val="auto"/>
              </w:rPr>
              <w:t>(54,237)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-3.6%</w:t>
            </w:r>
          </w:p>
        </w:tc>
      </w:tr>
      <w:tr>
        <w:trPr>
          <w:trHeight w:val="118"/>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Administrative and general expenses</w:t>
            </w:r>
          </w:p>
        </w:tc>
        <w:tc>
          <w:tcPr>
            <w:tcW w:w="980" w:type="dxa"/>
            <w:vAlign w:val="bottom"/>
          </w:tcPr>
          <w:p>
            <w:pPr>
              <w:jc w:val="center"/>
              <w:spacing w:after="0"/>
              <w:rPr>
                <w:sz w:val="20"/>
                <w:szCs w:val="20"/>
                <w:color w:val="auto"/>
              </w:rPr>
            </w:pPr>
            <w:r>
              <w:rPr>
                <w:rFonts w:ascii="Arial" w:cs="Arial" w:eastAsia="Arial" w:hAnsi="Arial"/>
                <w:sz w:val="10"/>
                <w:szCs w:val="10"/>
                <w:color w:val="auto"/>
              </w:rPr>
              <w:t>(9,274)</w:t>
            </w:r>
          </w:p>
        </w:tc>
        <w:tc>
          <w:tcPr>
            <w:tcW w:w="1000" w:type="dxa"/>
            <w:vAlign w:val="bottom"/>
          </w:tcPr>
          <w:p>
            <w:pPr>
              <w:jc w:val="center"/>
              <w:spacing w:after="0"/>
              <w:rPr>
                <w:sz w:val="20"/>
                <w:szCs w:val="20"/>
                <w:color w:val="auto"/>
              </w:rPr>
            </w:pPr>
            <w:r>
              <w:rPr>
                <w:rFonts w:ascii="Arial" w:cs="Arial" w:eastAsia="Arial" w:hAnsi="Arial"/>
                <w:sz w:val="10"/>
                <w:szCs w:val="10"/>
                <w:color w:val="auto"/>
              </w:rPr>
              <w:t>(4,034)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(4,134)</w:t>
            </w:r>
          </w:p>
        </w:tc>
        <w:tc>
          <w:tcPr>
            <w:tcW w:w="580" w:type="dxa"/>
            <w:vAlign w:val="bottom"/>
          </w:tcPr>
          <w:p>
            <w:pPr>
              <w:jc w:val="center"/>
              <w:spacing w:after="0"/>
              <w:rPr>
                <w:sz w:val="20"/>
                <w:szCs w:val="20"/>
                <w:color w:val="auto"/>
              </w:rPr>
            </w:pPr>
            <w:r>
              <w:rPr>
                <w:rFonts w:ascii="Arial" w:cs="Arial" w:eastAsia="Arial" w:hAnsi="Arial"/>
                <w:sz w:val="10"/>
                <w:szCs w:val="10"/>
                <w:color w:val="auto"/>
              </w:rPr>
              <w:t>2.5%</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-55.4%</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(25,362)</w:t>
            </w:r>
          </w:p>
        </w:tc>
        <w:tc>
          <w:tcPr>
            <w:tcW w:w="1140" w:type="dxa"/>
            <w:vAlign w:val="bottom"/>
            <w:tcBorders>
              <w:right w:val="single" w:sz="8" w:color="auto"/>
            </w:tcBorders>
          </w:tcPr>
          <w:p>
            <w:pPr>
              <w:jc w:val="center"/>
              <w:ind w:left="88"/>
              <w:spacing w:after="0"/>
              <w:rPr>
                <w:sz w:val="20"/>
                <w:szCs w:val="20"/>
                <w:color w:val="auto"/>
              </w:rPr>
            </w:pPr>
            <w:r>
              <w:rPr>
                <w:rFonts w:ascii="Arial" w:cs="Arial" w:eastAsia="Arial" w:hAnsi="Arial"/>
                <w:sz w:val="10"/>
                <w:szCs w:val="10"/>
                <w:color w:val="auto"/>
              </w:rPr>
              <w:t>(18,085)</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-28.7%</w:t>
            </w:r>
          </w:p>
        </w:tc>
      </w:tr>
      <w:tr>
        <w:trPr>
          <w:trHeight w:val="143"/>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expenses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(23,718)</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(17,561)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(17,771)</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rPr>
              <w:t>1.2%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-25.1%</w:t>
            </w:r>
          </w:p>
        </w:tc>
        <w:tc>
          <w:tcPr>
            <w:tcW w:w="720" w:type="dxa"/>
            <w:vAlign w:val="bottom"/>
          </w:tcPr>
          <w:p>
            <w:pPr>
              <w:jc w:val="center"/>
              <w:ind w:left="68"/>
              <w:spacing w:after="0"/>
              <w:rPr>
                <w:sz w:val="20"/>
                <w:szCs w:val="20"/>
                <w:color w:val="auto"/>
              </w:rPr>
            </w:pPr>
            <w:r>
              <w:rPr>
                <w:rFonts w:ascii="Arial" w:cs="Arial" w:eastAsia="Arial" w:hAnsi="Arial"/>
                <w:sz w:val="10"/>
                <w:szCs w:val="10"/>
                <w:b w:val="1"/>
                <w:bCs w:val="1"/>
                <w:color w:val="auto"/>
              </w:rPr>
              <w:t>(81,638)</w:t>
            </w:r>
          </w:p>
        </w:tc>
        <w:tc>
          <w:tcPr>
            <w:tcW w:w="1140" w:type="dxa"/>
            <w:vAlign w:val="bottom"/>
            <w:tcBorders>
              <w:right w:val="single" w:sz="8" w:color="auto"/>
            </w:tcBorders>
          </w:tcPr>
          <w:p>
            <w:pPr>
              <w:jc w:val="center"/>
              <w:ind w:left="88"/>
              <w:spacing w:after="0"/>
              <w:rPr>
                <w:sz w:val="20"/>
                <w:szCs w:val="20"/>
                <w:color w:val="auto"/>
              </w:rPr>
            </w:pPr>
            <w:r>
              <w:rPr>
                <w:rFonts w:ascii="Arial" w:cs="Arial" w:eastAsia="Arial" w:hAnsi="Arial"/>
                <w:sz w:val="10"/>
                <w:szCs w:val="10"/>
                <w:b w:val="1"/>
                <w:bCs w:val="1"/>
                <w:color w:val="auto"/>
              </w:rPr>
              <w:t>(72,322)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-11.4%</w:t>
            </w:r>
          </w:p>
        </w:tc>
      </w:tr>
      <w:tr>
        <w:trPr>
          <w:trHeight w:val="236"/>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Operating income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9"/>
              </w:rPr>
              <w:t>916,783</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1,740,108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1,127,936</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rPr>
              <w:t>-35.2%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23.0%</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5,436,360</w:t>
            </w:r>
          </w:p>
        </w:tc>
        <w:tc>
          <w:tcPr>
            <w:tcW w:w="114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6,335,537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16.5%</w:t>
            </w:r>
          </w:p>
        </w:tc>
      </w:tr>
      <w:tr>
        <w:trPr>
          <w:trHeight w:val="211"/>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Results from exchange differences</w:t>
            </w:r>
          </w:p>
        </w:tc>
        <w:tc>
          <w:tcPr>
            <w:tcW w:w="980" w:type="dxa"/>
            <w:vAlign w:val="bottom"/>
          </w:tcPr>
          <w:p>
            <w:pPr>
              <w:jc w:val="center"/>
              <w:spacing w:after="0"/>
              <w:rPr>
                <w:sz w:val="20"/>
                <w:szCs w:val="20"/>
                <w:color w:val="auto"/>
              </w:rPr>
            </w:pPr>
            <w:r>
              <w:rPr>
                <w:rFonts w:ascii="Arial" w:cs="Arial" w:eastAsia="Arial" w:hAnsi="Arial"/>
                <w:sz w:val="10"/>
                <w:szCs w:val="10"/>
                <w:color w:val="auto"/>
                <w:w w:val="95"/>
              </w:rPr>
              <w:t>510</w:t>
            </w:r>
          </w:p>
        </w:tc>
        <w:tc>
          <w:tcPr>
            <w:tcW w:w="1000" w:type="dxa"/>
            <w:vAlign w:val="bottom"/>
          </w:tcPr>
          <w:p>
            <w:pPr>
              <w:jc w:val="center"/>
              <w:spacing w:after="0"/>
              <w:rPr>
                <w:sz w:val="20"/>
                <w:szCs w:val="20"/>
                <w:color w:val="auto"/>
              </w:rPr>
            </w:pPr>
            <w:r>
              <w:rPr>
                <w:rFonts w:ascii="Arial" w:cs="Arial" w:eastAsia="Arial" w:hAnsi="Arial"/>
                <w:sz w:val="10"/>
                <w:szCs w:val="10"/>
                <w:color w:val="auto"/>
                <w:w w:val="94"/>
              </w:rPr>
              <w:t>(119)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175</w:t>
            </w:r>
          </w:p>
        </w:tc>
        <w:tc>
          <w:tcPr>
            <w:tcW w:w="580" w:type="dxa"/>
            <w:vAlign w:val="bottom"/>
          </w:tcPr>
          <w:p>
            <w:pPr>
              <w:jc w:val="center"/>
              <w:spacing w:after="0"/>
              <w:rPr>
                <w:sz w:val="20"/>
                <w:szCs w:val="20"/>
                <w:color w:val="auto"/>
              </w:rPr>
            </w:pPr>
            <w:r>
              <w:rPr>
                <w:rFonts w:ascii="Arial" w:cs="Arial" w:eastAsia="Arial" w:hAnsi="Arial"/>
                <w:sz w:val="10"/>
                <w:szCs w:val="10"/>
                <w:color w:val="auto"/>
              </w:rPr>
              <w:t>n.a.</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-65.7%</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(1,549)</w:t>
            </w:r>
          </w:p>
        </w:tc>
        <w:tc>
          <w:tcPr>
            <w:tcW w:w="114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(2,681)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73.1%</w:t>
            </w:r>
          </w:p>
        </w:tc>
      </w:tr>
      <w:tr>
        <w:trPr>
          <w:trHeight w:val="137"/>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Other, net</w:t>
            </w:r>
          </w:p>
        </w:tc>
        <w:tc>
          <w:tcPr>
            <w:tcW w:w="980" w:type="dxa"/>
            <w:vAlign w:val="bottom"/>
          </w:tcPr>
          <w:p>
            <w:pPr>
              <w:jc w:val="center"/>
              <w:spacing w:after="0"/>
              <w:rPr>
                <w:sz w:val="20"/>
                <w:szCs w:val="20"/>
                <w:color w:val="auto"/>
              </w:rPr>
            </w:pPr>
            <w:r>
              <w:rPr>
                <w:rFonts w:ascii="Arial" w:cs="Arial" w:eastAsia="Arial" w:hAnsi="Arial"/>
                <w:sz w:val="10"/>
                <w:szCs w:val="10"/>
                <w:color w:val="auto"/>
                <w:w w:val="95"/>
              </w:rPr>
              <w:t>111</w:t>
            </w:r>
          </w:p>
        </w:tc>
        <w:tc>
          <w:tcPr>
            <w:tcW w:w="1000" w:type="dxa"/>
            <w:vAlign w:val="bottom"/>
          </w:tcPr>
          <w:p>
            <w:pPr>
              <w:jc w:val="center"/>
              <w:spacing w:after="0"/>
              <w:rPr>
                <w:sz w:val="20"/>
                <w:szCs w:val="20"/>
                <w:color w:val="auto"/>
              </w:rPr>
            </w:pPr>
            <w:r>
              <w:rPr>
                <w:rFonts w:ascii="Arial" w:cs="Arial" w:eastAsia="Arial" w:hAnsi="Arial"/>
                <w:sz w:val="10"/>
                <w:szCs w:val="10"/>
                <w:color w:val="auto"/>
              </w:rPr>
              <w:t>(367)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w:t>
            </w:r>
          </w:p>
        </w:tc>
        <w:tc>
          <w:tcPr>
            <w:tcW w:w="580" w:type="dxa"/>
            <w:vAlign w:val="bottom"/>
          </w:tcPr>
          <w:p>
            <w:pPr>
              <w:jc w:val="center"/>
              <w:spacing w:after="0"/>
              <w:rPr>
                <w:sz w:val="20"/>
                <w:szCs w:val="20"/>
                <w:color w:val="auto"/>
              </w:rPr>
            </w:pPr>
            <w:r>
              <w:rPr>
                <w:rFonts w:ascii="Arial" w:cs="Arial" w:eastAsia="Arial" w:hAnsi="Arial"/>
                <w:sz w:val="10"/>
                <w:szCs w:val="10"/>
                <w:color w:val="auto"/>
              </w:rPr>
              <w:t>n.a.</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-106.3%</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2,977</w:t>
            </w:r>
          </w:p>
        </w:tc>
        <w:tc>
          <w:tcPr>
            <w:tcW w:w="1140" w:type="dxa"/>
            <w:vAlign w:val="bottom"/>
            <w:tcBorders>
              <w:right w:val="single" w:sz="8" w:color="auto"/>
            </w:tcBorders>
          </w:tcPr>
          <w:p>
            <w:pPr>
              <w:jc w:val="center"/>
              <w:ind w:left="88"/>
              <w:spacing w:after="0"/>
              <w:rPr>
                <w:sz w:val="20"/>
                <w:szCs w:val="20"/>
                <w:color w:val="auto"/>
              </w:rPr>
            </w:pPr>
            <w:r>
              <w:rPr>
                <w:rFonts w:ascii="Arial" w:cs="Arial" w:eastAsia="Arial" w:hAnsi="Arial"/>
                <w:sz w:val="10"/>
                <w:szCs w:val="10"/>
                <w:color w:val="auto"/>
              </w:rPr>
              <w:t>(292)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n.a.</w:t>
            </w:r>
          </w:p>
        </w:tc>
      </w:tr>
      <w:tr>
        <w:trPr>
          <w:trHeight w:val="217"/>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Profit before income tax</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9"/>
              </w:rPr>
              <w:t>917,404</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1,739,622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1,128,104</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rPr>
              <w:t>-35.2%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23.0%</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5,437,788</w:t>
            </w:r>
          </w:p>
        </w:tc>
        <w:tc>
          <w:tcPr>
            <w:tcW w:w="114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6,332,564</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16.5%</w:t>
            </w:r>
          </w:p>
        </w:tc>
      </w:tr>
      <w:tr>
        <w:trPr>
          <w:trHeight w:val="118"/>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Income tax</w:t>
            </w:r>
          </w:p>
        </w:tc>
        <w:tc>
          <w:tcPr>
            <w:tcW w:w="980" w:type="dxa"/>
            <w:vAlign w:val="bottom"/>
          </w:tcPr>
          <w:p>
            <w:pPr>
              <w:jc w:val="center"/>
              <w:spacing w:after="0"/>
              <w:rPr>
                <w:sz w:val="20"/>
                <w:szCs w:val="20"/>
                <w:color w:val="auto"/>
              </w:rPr>
            </w:pPr>
            <w:r>
              <w:rPr>
                <w:rFonts w:ascii="Arial" w:cs="Arial" w:eastAsia="Arial" w:hAnsi="Arial"/>
                <w:sz w:val="10"/>
                <w:szCs w:val="10"/>
                <w:color w:val="auto"/>
              </w:rPr>
              <w:t>(68,500)</w:t>
            </w:r>
          </w:p>
        </w:tc>
        <w:tc>
          <w:tcPr>
            <w:tcW w:w="1000" w:type="dxa"/>
            <w:vAlign w:val="bottom"/>
          </w:tcPr>
          <w:p>
            <w:pPr>
              <w:jc w:val="center"/>
              <w:spacing w:after="0"/>
              <w:rPr>
                <w:sz w:val="20"/>
                <w:szCs w:val="20"/>
                <w:color w:val="auto"/>
              </w:rPr>
            </w:pPr>
            <w:r>
              <w:rPr>
                <w:rFonts w:ascii="Arial" w:cs="Arial" w:eastAsia="Arial" w:hAnsi="Arial"/>
                <w:sz w:val="10"/>
                <w:szCs w:val="10"/>
                <w:color w:val="auto"/>
              </w:rPr>
              <w:t>(43,118)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(8,612)</w:t>
            </w:r>
          </w:p>
        </w:tc>
        <w:tc>
          <w:tcPr>
            <w:tcW w:w="580" w:type="dxa"/>
            <w:vAlign w:val="bottom"/>
          </w:tcPr>
          <w:p>
            <w:pPr>
              <w:jc w:val="center"/>
              <w:spacing w:after="0"/>
              <w:rPr>
                <w:sz w:val="20"/>
                <w:szCs w:val="20"/>
                <w:color w:val="auto"/>
              </w:rPr>
            </w:pPr>
            <w:r>
              <w:rPr>
                <w:rFonts w:ascii="Arial" w:cs="Arial" w:eastAsia="Arial" w:hAnsi="Arial"/>
                <w:sz w:val="10"/>
                <w:szCs w:val="10"/>
                <w:color w:val="auto"/>
              </w:rPr>
              <w:t>-80.0%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-87.4%</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(209,238)</w:t>
            </w:r>
          </w:p>
        </w:tc>
        <w:tc>
          <w:tcPr>
            <w:tcW w:w="1140" w:type="dxa"/>
            <w:vAlign w:val="bottom"/>
            <w:tcBorders>
              <w:right w:val="single" w:sz="8" w:color="auto"/>
            </w:tcBorders>
          </w:tcPr>
          <w:p>
            <w:pPr>
              <w:jc w:val="center"/>
              <w:ind w:left="88"/>
              <w:spacing w:after="0"/>
              <w:rPr>
                <w:sz w:val="20"/>
                <w:szCs w:val="20"/>
                <w:color w:val="auto"/>
              </w:rPr>
            </w:pPr>
            <w:r>
              <w:rPr>
                <w:rFonts w:ascii="Arial" w:cs="Arial" w:eastAsia="Arial" w:hAnsi="Arial"/>
                <w:sz w:val="10"/>
                <w:szCs w:val="10"/>
                <w:color w:val="auto"/>
              </w:rPr>
              <w:t>(146,713)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-29.9%</w:t>
            </w:r>
          </w:p>
        </w:tc>
      </w:tr>
      <w:tr>
        <w:trPr>
          <w:trHeight w:val="131"/>
        </w:trPr>
        <w:tc>
          <w:tcPr>
            <w:tcW w:w="3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income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848,904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1,696,504</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1,119,492</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-34.0%</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31.9%</w:t>
            </w:r>
          </w:p>
        </w:tc>
        <w:tc>
          <w:tcPr>
            <w:tcW w:w="72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rPr>
              <w:t>5,228,550</w:t>
            </w:r>
          </w:p>
        </w:tc>
        <w:tc>
          <w:tcPr>
            <w:tcW w:w="114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6,185,851</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18.3%</w:t>
            </w:r>
          </w:p>
        </w:tc>
      </w:tr>
      <w:tr>
        <w:trPr>
          <w:trHeight w:val="111"/>
        </w:trPr>
        <w:tc>
          <w:tcPr>
            <w:tcW w:w="37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r>
      <w:tr>
        <w:trPr>
          <w:trHeight w:val="111"/>
        </w:trPr>
        <w:tc>
          <w:tcPr>
            <w:tcW w:w="3780" w:type="dxa"/>
            <w:vAlign w:val="bottom"/>
            <w:tcBorders>
              <w:left w:val="single" w:sz="8" w:color="auto"/>
              <w:bottom w:val="single" w:sz="8" w:color="auto"/>
              <w:right w:val="single" w:sz="8" w:color="auto"/>
            </w:tcBorders>
          </w:tcPr>
          <w:p>
            <w:pPr>
              <w:ind w:left="20"/>
              <w:spacing w:after="0" w:line="111" w:lineRule="exact"/>
              <w:rPr>
                <w:sz w:val="20"/>
                <w:szCs w:val="20"/>
                <w:color w:val="auto"/>
              </w:rPr>
            </w:pPr>
            <w:r>
              <w:rPr>
                <w:rFonts w:ascii="Arial" w:cs="Arial" w:eastAsia="Arial" w:hAnsi="Arial"/>
                <w:sz w:val="10"/>
                <w:szCs w:val="10"/>
                <w:b w:val="1"/>
                <w:bCs w:val="1"/>
                <w:color w:val="auto"/>
              </w:rPr>
              <w:t>Double Leverage Ratio</w:t>
            </w:r>
          </w:p>
        </w:tc>
        <w:tc>
          <w:tcPr>
            <w:tcW w:w="980" w:type="dxa"/>
            <w:vAlign w:val="bottom"/>
            <w:tcBorders>
              <w:bottom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w w:val="98"/>
              </w:rPr>
              <w:t>98.6%</w:t>
            </w:r>
          </w:p>
        </w:tc>
        <w:tc>
          <w:tcPr>
            <w:tcW w:w="1000" w:type="dxa"/>
            <w:vAlign w:val="bottom"/>
            <w:tcBorders>
              <w:bottom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rPr>
              <w:t>99.3%</w:t>
            </w:r>
          </w:p>
        </w:tc>
        <w:tc>
          <w:tcPr>
            <w:tcW w:w="1000" w:type="dxa"/>
            <w:vAlign w:val="bottom"/>
            <w:tcBorders>
              <w:bottom w:val="single" w:sz="8" w:color="auto"/>
              <w:right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rPr>
              <w:t>99.2%</w:t>
            </w:r>
          </w:p>
        </w:tc>
        <w:tc>
          <w:tcPr>
            <w:tcW w:w="580" w:type="dxa"/>
            <w:vAlign w:val="bottom"/>
            <w:tcBorders>
              <w:bottom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rPr>
              <w:t>-12 bps</w:t>
            </w:r>
          </w:p>
        </w:tc>
        <w:tc>
          <w:tcPr>
            <w:tcW w:w="640" w:type="dxa"/>
            <w:vAlign w:val="bottom"/>
            <w:tcBorders>
              <w:bottom w:val="single" w:sz="8" w:color="auto"/>
              <w:right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rPr>
              <w:t>66 bps</w:t>
            </w:r>
          </w:p>
        </w:tc>
        <w:tc>
          <w:tcPr>
            <w:tcW w:w="720" w:type="dxa"/>
            <w:vAlign w:val="bottom"/>
            <w:tcBorders>
              <w:bottom w:val="single" w:sz="8" w:color="auto"/>
            </w:tcBorders>
          </w:tcPr>
          <w:p>
            <w:pPr>
              <w:jc w:val="center"/>
              <w:ind w:left="88"/>
              <w:spacing w:after="0" w:line="111" w:lineRule="exact"/>
              <w:rPr>
                <w:sz w:val="20"/>
                <w:szCs w:val="20"/>
                <w:color w:val="auto"/>
              </w:rPr>
            </w:pPr>
            <w:r>
              <w:rPr>
                <w:rFonts w:ascii="Arial" w:cs="Arial" w:eastAsia="Arial" w:hAnsi="Arial"/>
                <w:sz w:val="10"/>
                <w:szCs w:val="10"/>
                <w:b w:val="1"/>
                <w:bCs w:val="1"/>
                <w:color w:val="auto"/>
              </w:rPr>
              <w:t>98.6%</w:t>
            </w:r>
          </w:p>
        </w:tc>
        <w:tc>
          <w:tcPr>
            <w:tcW w:w="1140" w:type="dxa"/>
            <w:vAlign w:val="bottom"/>
            <w:tcBorders>
              <w:bottom w:val="single" w:sz="8" w:color="auto"/>
              <w:right w:val="single" w:sz="8" w:color="auto"/>
            </w:tcBorders>
          </w:tcPr>
          <w:p>
            <w:pPr>
              <w:jc w:val="center"/>
              <w:ind w:left="68"/>
              <w:spacing w:after="0" w:line="111" w:lineRule="exact"/>
              <w:rPr>
                <w:sz w:val="20"/>
                <w:szCs w:val="20"/>
                <w:color w:val="auto"/>
              </w:rPr>
            </w:pPr>
            <w:r>
              <w:rPr>
                <w:rFonts w:ascii="Arial" w:cs="Arial" w:eastAsia="Arial" w:hAnsi="Arial"/>
                <w:sz w:val="10"/>
                <w:szCs w:val="10"/>
                <w:b w:val="1"/>
                <w:bCs w:val="1"/>
                <w:color w:val="auto"/>
              </w:rPr>
              <w:t>99.2%</w:t>
            </w:r>
          </w:p>
        </w:tc>
        <w:tc>
          <w:tcPr>
            <w:tcW w:w="1400" w:type="dxa"/>
            <w:vAlign w:val="bottom"/>
            <w:tcBorders>
              <w:bottom w:val="single" w:sz="8" w:color="auto"/>
              <w:right w:val="single" w:sz="8" w:color="auto"/>
            </w:tcBorders>
          </w:tcPr>
          <w:p>
            <w:pPr>
              <w:jc w:val="center"/>
              <w:spacing w:after="0" w:line="111" w:lineRule="exact"/>
              <w:rPr>
                <w:sz w:val="20"/>
                <w:szCs w:val="20"/>
                <w:color w:val="auto"/>
              </w:rPr>
            </w:pPr>
            <w:r>
              <w:rPr>
                <w:rFonts w:ascii="Arial" w:cs="Arial" w:eastAsia="Arial" w:hAnsi="Arial"/>
                <w:sz w:val="10"/>
                <w:szCs w:val="10"/>
                <w:b w:val="1"/>
                <w:bCs w:val="1"/>
                <w:color w:val="auto"/>
              </w:rPr>
              <w:t>66 bps</w:t>
            </w:r>
          </w:p>
        </w:tc>
      </w:tr>
    </w:tbl>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415"/>
        </w:trPr>
        <w:tc>
          <w:tcPr>
            <w:tcW w:w="6840" w:type="dxa"/>
            <w:vAlign w:val="bottom"/>
            <w:tcBorders>
              <w:left w:val="single" w:sz="8" w:color="auto"/>
            </w:tcBorders>
            <w:gridSpan w:val="3"/>
            <w:shd w:val="clear" w:color="auto" w:fill="000000"/>
          </w:tcPr>
          <w:p>
            <w:pPr>
              <w:ind w:left="2680"/>
              <w:spacing w:after="0"/>
              <w:rPr>
                <w:sz w:val="20"/>
                <w:szCs w:val="20"/>
                <w:color w:val="auto"/>
              </w:rPr>
            </w:pPr>
            <w:r>
              <w:rPr>
                <w:rFonts w:ascii="Calibri" w:cs="Calibri" w:eastAsia="Calibri" w:hAnsi="Calibri"/>
                <w:sz w:val="19"/>
                <w:szCs w:val="19"/>
                <w:color w:val="A6A6A6"/>
              </w:rPr>
              <w:t xml:space="preserve">|  </w:t>
            </w:r>
            <w:r>
              <w:rPr>
                <w:rFonts w:ascii="Calibri" w:cs="Calibri" w:eastAsia="Calibri" w:hAnsi="Calibri"/>
                <w:sz w:val="15"/>
                <w:szCs w:val="15"/>
                <w:color w:val="FFFFFF"/>
              </w:rPr>
              <w:t>Earnings Release 4Q / 2024</w:t>
            </w:r>
          </w:p>
        </w:tc>
        <w:tc>
          <w:tcPr>
            <w:tcW w:w="3620" w:type="dxa"/>
            <w:vAlign w:val="bottom"/>
            <w:gridSpan w:val="3"/>
            <w:shd w:val="clear" w:color="auto" w:fill="000000"/>
          </w:tcPr>
          <w:p>
            <w:pPr>
              <w:ind w:left="820"/>
              <w:spacing w:after="0"/>
              <w:rPr>
                <w:sz w:val="20"/>
                <w:szCs w:val="20"/>
                <w:color w:val="auto"/>
              </w:rPr>
            </w:pPr>
            <w:r>
              <w:rPr>
                <w:rFonts w:ascii="Calibri" w:cs="Calibri" w:eastAsia="Calibri" w:hAnsi="Calibri"/>
                <w:sz w:val="16"/>
                <w:szCs w:val="16"/>
                <w:color w:val="ED3FA8"/>
              </w:rPr>
              <w:t>Analysis of 4Q24 Consolidated Results</w:t>
            </w:r>
          </w:p>
        </w:tc>
        <w:tc>
          <w:tcPr>
            <w:tcW w:w="7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60" w:type="dxa"/>
            <w:vAlign w:val="bottom"/>
            <w:tcBorders>
              <w:left w:val="single" w:sz="8" w:color="auto"/>
            </w:tcBorders>
            <w:shd w:val="clear" w:color="auto" w:fill="000000"/>
          </w:tcPr>
          <w:p>
            <w:pPr>
              <w:spacing w:after="0"/>
              <w:rPr>
                <w:sz w:val="20"/>
                <w:szCs w:val="20"/>
                <w:color w:val="auto"/>
              </w:rPr>
            </w:pPr>
          </w:p>
        </w:tc>
        <w:tc>
          <w:tcPr>
            <w:tcW w:w="1260" w:type="dxa"/>
            <w:vAlign w:val="bottom"/>
            <w:tcBorders>
              <w:right w:val="single" w:sz="8" w:color="auto"/>
            </w:tcBorders>
            <w:shd w:val="clear" w:color="auto" w:fill="000000"/>
          </w:tcPr>
          <w:p>
            <w:pPr>
              <w:spacing w:after="0"/>
              <w:rPr>
                <w:sz w:val="20"/>
                <w:szCs w:val="20"/>
                <w:color w:val="auto"/>
              </w:rPr>
            </w:pPr>
          </w:p>
        </w:tc>
        <w:tc>
          <w:tcPr>
            <w:tcW w:w="1120" w:type="dxa"/>
            <w:vAlign w:val="bottom"/>
            <w:shd w:val="clear" w:color="auto" w:fill="000000"/>
          </w:tcPr>
          <w:p>
            <w:pPr>
              <w:spacing w:after="0"/>
              <w:rPr>
                <w:sz w:val="20"/>
                <w:szCs w:val="20"/>
                <w:color w:val="auto"/>
              </w:rPr>
            </w:pPr>
          </w:p>
        </w:tc>
        <w:tc>
          <w:tcPr>
            <w:tcW w:w="1080" w:type="dxa"/>
            <w:vAlign w:val="bottom"/>
            <w:shd w:val="clear" w:color="auto" w:fill="000000"/>
          </w:tcPr>
          <w:p>
            <w:pPr>
              <w:spacing w:after="0"/>
              <w:rPr>
                <w:sz w:val="20"/>
                <w:szCs w:val="20"/>
                <w:color w:val="auto"/>
              </w:rPr>
            </w:pPr>
          </w:p>
        </w:tc>
        <w:tc>
          <w:tcPr>
            <w:tcW w:w="1120" w:type="dxa"/>
            <w:vAlign w:val="bottom"/>
            <w:tcBorders>
              <w:right w:val="single" w:sz="8" w:color="auto"/>
            </w:tcBorders>
            <w:shd w:val="clear" w:color="auto" w:fill="000000"/>
          </w:tcPr>
          <w:p>
            <w:pPr>
              <w:spacing w:after="0"/>
              <w:rPr>
                <w:sz w:val="20"/>
                <w:szCs w:val="20"/>
                <w:color w:val="auto"/>
              </w:rPr>
            </w:pPr>
          </w:p>
        </w:tc>
        <w:tc>
          <w:tcPr>
            <w:tcW w:w="1420" w:type="dxa"/>
            <w:vAlign w:val="bottom"/>
            <w:shd w:val="clear" w:color="auto" w:fill="000000"/>
          </w:tcPr>
          <w:p>
            <w:pPr>
              <w:spacing w:after="0"/>
              <w:rPr>
                <w:sz w:val="20"/>
                <w:szCs w:val="20"/>
                <w:color w:val="auto"/>
              </w:rPr>
            </w:pPr>
          </w:p>
        </w:tc>
        <w:tc>
          <w:tcPr>
            <w:tcW w:w="780" w:type="dxa"/>
            <w:vAlign w:val="bottom"/>
            <w:tcBorders>
              <w:right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4460" w:type="dxa"/>
            <w:vAlign w:val="bottom"/>
            <w:tcBorders>
              <w:left w:val="single" w:sz="8" w:color="E93BAC"/>
            </w:tcBorders>
            <w:shd w:val="clear" w:color="auto" w:fill="E93BAC"/>
          </w:tcPr>
          <w:p>
            <w:pPr>
              <w:spacing w:after="0"/>
              <w:rPr>
                <w:sz w:val="24"/>
                <w:szCs w:val="24"/>
                <w:color w:val="auto"/>
              </w:rPr>
            </w:pPr>
          </w:p>
        </w:tc>
        <w:tc>
          <w:tcPr>
            <w:tcW w:w="1260" w:type="dxa"/>
            <w:vAlign w:val="bottom"/>
            <w:tcBorders>
              <w:right w:val="single" w:sz="8" w:color="E93BAC"/>
            </w:tcBorders>
            <w:shd w:val="clear" w:color="auto" w:fill="E93BAC"/>
          </w:tcPr>
          <w:p>
            <w:pPr>
              <w:spacing w:after="0"/>
              <w:rPr>
                <w:sz w:val="24"/>
                <w:szCs w:val="24"/>
                <w:color w:val="auto"/>
              </w:rPr>
            </w:pPr>
          </w:p>
        </w:tc>
        <w:tc>
          <w:tcPr>
            <w:tcW w:w="1120" w:type="dxa"/>
            <w:vAlign w:val="bottom"/>
            <w:shd w:val="clear" w:color="auto" w:fill="E93BAC"/>
          </w:tcPr>
          <w:p>
            <w:pPr>
              <w:spacing w:after="0"/>
              <w:rPr>
                <w:sz w:val="24"/>
                <w:szCs w:val="24"/>
                <w:color w:val="auto"/>
              </w:rPr>
            </w:pPr>
          </w:p>
        </w:tc>
        <w:tc>
          <w:tcPr>
            <w:tcW w:w="1080" w:type="dxa"/>
            <w:vAlign w:val="bottom"/>
            <w:shd w:val="clear" w:color="auto" w:fill="E93BAC"/>
          </w:tcPr>
          <w:p>
            <w:pPr>
              <w:spacing w:after="0"/>
              <w:rPr>
                <w:sz w:val="24"/>
                <w:szCs w:val="24"/>
                <w:color w:val="auto"/>
              </w:rPr>
            </w:pPr>
          </w:p>
        </w:tc>
        <w:tc>
          <w:tcPr>
            <w:tcW w:w="1120" w:type="dxa"/>
            <w:vAlign w:val="bottom"/>
            <w:tcBorders>
              <w:right w:val="single" w:sz="8" w:color="E93BAC"/>
            </w:tcBorders>
            <w:shd w:val="clear" w:color="auto" w:fill="E93BAC"/>
          </w:tcPr>
          <w:p>
            <w:pPr>
              <w:spacing w:after="0"/>
              <w:rPr>
                <w:sz w:val="24"/>
                <w:szCs w:val="24"/>
                <w:color w:val="auto"/>
              </w:rPr>
            </w:pPr>
          </w:p>
        </w:tc>
        <w:tc>
          <w:tcPr>
            <w:tcW w:w="1420" w:type="dxa"/>
            <w:vAlign w:val="bottom"/>
            <w:shd w:val="clear" w:color="auto" w:fill="E93BAC"/>
          </w:tcPr>
          <w:p>
            <w:pPr>
              <w:spacing w:after="0"/>
              <w:rPr>
                <w:sz w:val="24"/>
                <w:szCs w:val="24"/>
                <w:color w:val="auto"/>
              </w:rPr>
            </w:pPr>
          </w:p>
        </w:tc>
        <w:tc>
          <w:tcPr>
            <w:tcW w:w="780" w:type="dxa"/>
            <w:vAlign w:val="bottom"/>
            <w:tcBorders>
              <w:right w:val="single" w:sz="8" w:color="E93BAC"/>
            </w:tcBorders>
            <w:shd w:val="clear" w:color="auto" w:fill="E93BAC"/>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60" w:type="dxa"/>
            <w:vAlign w:val="bottom"/>
          </w:tcPr>
          <w:p>
            <w:pPr>
              <w:spacing w:after="0"/>
              <w:rPr>
                <w:sz w:val="20"/>
                <w:szCs w:val="20"/>
                <w:color w:val="auto"/>
              </w:rPr>
            </w:pPr>
            <w:r>
              <w:rPr>
                <w:rFonts w:ascii="Arial" w:cs="Arial" w:eastAsia="Arial" w:hAnsi="Arial"/>
                <w:sz w:val="16"/>
                <w:szCs w:val="16"/>
                <w:b w:val="1"/>
                <w:bCs w:val="1"/>
                <w:color w:val="auto"/>
              </w:rPr>
              <w:t>12.6.3 BCP Consolidated</w:t>
            </w:r>
          </w:p>
        </w:tc>
        <w:tc>
          <w:tcPr>
            <w:tcW w:w="23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Banco de Credito del Peru</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6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920" w:type="dxa"/>
            <w:vAlign w:val="bottom"/>
            <w:gridSpan w:val="4"/>
          </w:tcPr>
          <w:p>
            <w:pPr>
              <w:jc w:val="center"/>
              <w:ind w:left="3278"/>
              <w:spacing w:after="0"/>
              <w:rPr>
                <w:sz w:val="20"/>
                <w:szCs w:val="20"/>
                <w:color w:val="auto"/>
              </w:rPr>
            </w:pPr>
            <w:r>
              <w:rPr>
                <w:rFonts w:ascii="Arial" w:cs="Arial" w:eastAsia="Arial" w:hAnsi="Arial"/>
                <w:sz w:val="16"/>
                <w:szCs w:val="16"/>
                <w:b w:val="1"/>
                <w:bCs w:val="1"/>
                <w:color w:val="auto"/>
                <w:w w:val="98"/>
              </w:rPr>
              <w:t>Consolidated Statement of Financial Position</w:t>
            </w:r>
          </w:p>
        </w:tc>
        <w:tc>
          <w:tcPr>
            <w:tcW w:w="1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(S/ thousands, IFRS)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60" w:type="dxa"/>
            <w:vAlign w:val="bottom"/>
            <w:tcBorders>
              <w:left w:val="single" w:sz="8" w:color="auto"/>
            </w:tcBorders>
            <w:shd w:val="clear" w:color="auto" w:fill="33CCCC"/>
          </w:tcPr>
          <w:p>
            <w:pPr>
              <w:spacing w:after="0"/>
              <w:rPr>
                <w:sz w:val="9"/>
                <w:szCs w:val="9"/>
                <w:color w:val="auto"/>
              </w:rPr>
            </w:pPr>
          </w:p>
        </w:tc>
        <w:tc>
          <w:tcPr>
            <w:tcW w:w="1260" w:type="dxa"/>
            <w:vAlign w:val="bottom"/>
            <w:tcBorders>
              <w:right w:val="single" w:sz="8" w:color="auto"/>
            </w:tcBorders>
            <w:shd w:val="clear" w:color="auto" w:fill="33CCCC"/>
          </w:tcPr>
          <w:p>
            <w:pPr>
              <w:spacing w:after="0"/>
              <w:rPr>
                <w:sz w:val="9"/>
                <w:szCs w:val="9"/>
                <w:color w:val="auto"/>
              </w:rPr>
            </w:pPr>
          </w:p>
        </w:tc>
        <w:tc>
          <w:tcPr>
            <w:tcW w:w="1120" w:type="dxa"/>
            <w:vAlign w:val="bottom"/>
            <w:shd w:val="clear" w:color="auto" w:fill="33CCCC"/>
          </w:tcPr>
          <w:p>
            <w:pPr>
              <w:spacing w:after="0"/>
              <w:rPr>
                <w:sz w:val="9"/>
                <w:szCs w:val="9"/>
                <w:color w:val="auto"/>
              </w:rPr>
            </w:pPr>
          </w:p>
        </w:tc>
        <w:tc>
          <w:tcPr>
            <w:tcW w:w="1080" w:type="dxa"/>
            <w:vAlign w:val="bottom"/>
            <w:shd w:val="clear" w:color="auto" w:fill="33CCCC"/>
          </w:tcPr>
          <w:p>
            <w:pPr>
              <w:jc w:val="center"/>
              <w:spacing w:after="0" w:line="107" w:lineRule="exact"/>
              <w:rPr>
                <w:sz w:val="20"/>
                <w:szCs w:val="20"/>
                <w:color w:val="auto"/>
              </w:rPr>
            </w:pPr>
            <w:r>
              <w:rPr>
                <w:rFonts w:ascii="Arial" w:cs="Arial" w:eastAsia="Arial" w:hAnsi="Arial"/>
                <w:sz w:val="12"/>
                <w:szCs w:val="12"/>
                <w:b w:val="1"/>
                <w:bCs w:val="1"/>
                <w:color w:val="FFFFFF"/>
                <w:w w:val="99"/>
              </w:rPr>
              <w:t>As of</w:t>
            </w:r>
          </w:p>
        </w:tc>
        <w:tc>
          <w:tcPr>
            <w:tcW w:w="1120" w:type="dxa"/>
            <w:vAlign w:val="bottom"/>
            <w:tcBorders>
              <w:right w:val="single" w:sz="8" w:color="auto"/>
            </w:tcBorders>
            <w:shd w:val="clear" w:color="auto" w:fill="33CCCC"/>
          </w:tcPr>
          <w:p>
            <w:pPr>
              <w:spacing w:after="0"/>
              <w:rPr>
                <w:sz w:val="9"/>
                <w:szCs w:val="9"/>
                <w:color w:val="auto"/>
              </w:rPr>
            </w:pPr>
          </w:p>
        </w:tc>
        <w:tc>
          <w:tcPr>
            <w:tcW w:w="1420" w:type="dxa"/>
            <w:vAlign w:val="bottom"/>
            <w:shd w:val="clear" w:color="auto" w:fill="33CCCC"/>
          </w:tcPr>
          <w:p>
            <w:pPr>
              <w:ind w:left="800"/>
              <w:spacing w:after="0" w:line="107" w:lineRule="exact"/>
              <w:rPr>
                <w:sz w:val="20"/>
                <w:szCs w:val="20"/>
                <w:color w:val="auto"/>
              </w:rPr>
            </w:pPr>
            <w:r>
              <w:rPr>
                <w:rFonts w:ascii="Arial" w:cs="Arial" w:eastAsia="Arial" w:hAnsi="Arial"/>
                <w:sz w:val="12"/>
                <w:szCs w:val="12"/>
                <w:b w:val="1"/>
                <w:bCs w:val="1"/>
                <w:color w:val="FFFFFF"/>
              </w:rPr>
              <w:t>% change</w:t>
            </w:r>
          </w:p>
        </w:tc>
        <w:tc>
          <w:tcPr>
            <w:tcW w:w="780" w:type="dxa"/>
            <w:vAlign w:val="bottom"/>
            <w:tcBorders>
              <w:right w:val="single" w:sz="8" w:color="auto"/>
            </w:tcBorders>
            <w:shd w:val="clear" w:color="auto" w:fill="33CCC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460" w:type="dxa"/>
            <w:vAlign w:val="bottom"/>
            <w:tcBorders>
              <w:left w:val="single" w:sz="8" w:color="auto"/>
              <w:bottom w:val="single" w:sz="8" w:color="auto"/>
            </w:tcBorders>
            <w:shd w:val="clear" w:color="auto" w:fill="33CCCC"/>
          </w:tcPr>
          <w:p>
            <w:pPr>
              <w:spacing w:after="0"/>
              <w:rPr>
                <w:sz w:val="12"/>
                <w:szCs w:val="12"/>
                <w:color w:val="auto"/>
              </w:rPr>
            </w:pPr>
          </w:p>
        </w:tc>
        <w:tc>
          <w:tcPr>
            <w:tcW w:w="1260" w:type="dxa"/>
            <w:vAlign w:val="bottom"/>
            <w:tcBorders>
              <w:bottom w:val="single" w:sz="8" w:color="auto"/>
              <w:right w:val="single" w:sz="8" w:color="auto"/>
            </w:tcBorders>
            <w:shd w:val="clear" w:color="auto" w:fill="33CCCC"/>
          </w:tcPr>
          <w:p>
            <w:pPr>
              <w:spacing w:after="0"/>
              <w:rPr>
                <w:sz w:val="12"/>
                <w:szCs w:val="12"/>
                <w:color w:val="auto"/>
              </w:rPr>
            </w:pPr>
          </w:p>
        </w:tc>
        <w:tc>
          <w:tcPr>
            <w:tcW w:w="112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2"/>
                <w:szCs w:val="12"/>
                <w:b w:val="1"/>
                <w:bCs w:val="1"/>
                <w:color w:val="FFFFFF"/>
              </w:rPr>
              <w:t>Dec 23</w:t>
            </w:r>
          </w:p>
        </w:tc>
        <w:tc>
          <w:tcPr>
            <w:tcW w:w="10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Sep 24</w:t>
            </w:r>
          </w:p>
        </w:tc>
        <w:tc>
          <w:tcPr>
            <w:tcW w:w="1120" w:type="dxa"/>
            <w:vAlign w:val="bottom"/>
            <w:tcBorders>
              <w:bottom w:val="single" w:sz="8" w:color="auto"/>
              <w:right w:val="single" w:sz="8" w:color="auto"/>
            </w:tcBorders>
            <w:shd w:val="clear" w:color="auto" w:fill="33CCCC"/>
          </w:tcPr>
          <w:p>
            <w:pPr>
              <w:ind w:left="360"/>
              <w:spacing w:after="0"/>
              <w:rPr>
                <w:sz w:val="20"/>
                <w:szCs w:val="20"/>
                <w:color w:val="auto"/>
              </w:rPr>
            </w:pPr>
            <w:r>
              <w:rPr>
                <w:rFonts w:ascii="Arial" w:cs="Arial" w:eastAsia="Arial" w:hAnsi="Arial"/>
                <w:sz w:val="12"/>
                <w:szCs w:val="12"/>
                <w:b w:val="1"/>
                <w:bCs w:val="1"/>
                <w:color w:val="FFFFFF"/>
              </w:rPr>
              <w:t>Dec 24</w:t>
            </w:r>
          </w:p>
        </w:tc>
        <w:tc>
          <w:tcPr>
            <w:tcW w:w="1420" w:type="dxa"/>
            <w:vAlign w:val="bottom"/>
            <w:tcBorders>
              <w:bottom w:val="single" w:sz="8" w:color="auto"/>
            </w:tcBorders>
            <w:shd w:val="clear" w:color="auto" w:fill="33CCCC"/>
          </w:tcPr>
          <w:p>
            <w:pPr>
              <w:jc w:val="center"/>
              <w:ind w:right="259"/>
              <w:spacing w:after="0"/>
              <w:rPr>
                <w:sz w:val="20"/>
                <w:szCs w:val="20"/>
                <w:color w:val="auto"/>
              </w:rPr>
            </w:pPr>
            <w:r>
              <w:rPr>
                <w:rFonts w:ascii="Arial" w:cs="Arial" w:eastAsia="Arial" w:hAnsi="Arial"/>
                <w:sz w:val="12"/>
                <w:szCs w:val="12"/>
                <w:b w:val="1"/>
                <w:bCs w:val="1"/>
                <w:color w:val="FFFFFF"/>
                <w:w w:val="99"/>
              </w:rPr>
              <w:t>QoQ</w:t>
            </w:r>
          </w:p>
        </w:tc>
        <w:tc>
          <w:tcPr>
            <w:tcW w:w="780" w:type="dxa"/>
            <w:vAlign w:val="bottom"/>
            <w:tcBorders>
              <w:bottom w:val="single" w:sz="8" w:color="auto"/>
              <w:right w:val="single" w:sz="8" w:color="auto"/>
            </w:tcBorders>
            <w:shd w:val="clear" w:color="auto" w:fill="33CCCC"/>
          </w:tcPr>
          <w:p>
            <w:pPr>
              <w:ind w:left="120"/>
              <w:spacing w:after="0"/>
              <w:rPr>
                <w:sz w:val="20"/>
                <w:szCs w:val="20"/>
                <w:color w:val="auto"/>
              </w:rPr>
            </w:pPr>
            <w:r>
              <w:rPr>
                <w:rFonts w:ascii="Arial" w:cs="Arial" w:eastAsia="Arial" w:hAnsi="Arial"/>
                <w:sz w:val="12"/>
                <w:szCs w:val="12"/>
                <w:b w:val="1"/>
                <w:bCs w:val="1"/>
                <w:color w:val="FFFFFF"/>
              </w:rPr>
              <w:t>YoY</w:t>
            </w:r>
          </w:p>
        </w:tc>
        <w:tc>
          <w:tcPr>
            <w:tcW w:w="0" w:type="dxa"/>
            <w:vAlign w:val="bottom"/>
          </w:tcPr>
          <w:p>
            <w:pPr>
              <w:spacing w:after="0"/>
              <w:rPr>
                <w:sz w:val="1"/>
                <w:szCs w:val="1"/>
                <w:color w:val="auto"/>
              </w:rPr>
            </w:pPr>
          </w:p>
        </w:tc>
      </w:tr>
      <w:tr>
        <w:trPr>
          <w:trHeight w:val="106"/>
        </w:trPr>
        <w:tc>
          <w:tcPr>
            <w:tcW w:w="4460" w:type="dxa"/>
            <w:vAlign w:val="bottom"/>
            <w:tcBorders>
              <w:left w:val="single" w:sz="8" w:color="auto"/>
            </w:tcBorders>
          </w:tcPr>
          <w:p>
            <w:pPr>
              <w:ind w:left="20"/>
              <w:spacing w:after="0" w:line="107" w:lineRule="exact"/>
              <w:rPr>
                <w:sz w:val="20"/>
                <w:szCs w:val="20"/>
                <w:color w:val="auto"/>
              </w:rPr>
            </w:pPr>
            <w:r>
              <w:rPr>
                <w:rFonts w:ascii="Arial" w:cs="Arial" w:eastAsia="Arial" w:hAnsi="Arial"/>
                <w:sz w:val="12"/>
                <w:szCs w:val="12"/>
                <w:b w:val="1"/>
                <w:bCs w:val="1"/>
                <w:color w:val="auto"/>
              </w:rPr>
              <w:t>ASSETS</w:t>
            </w:r>
          </w:p>
        </w:tc>
        <w:tc>
          <w:tcPr>
            <w:tcW w:w="126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Cash and due from banks</w:t>
            </w:r>
          </w:p>
        </w:tc>
        <w:tc>
          <w:tcPr>
            <w:tcW w:w="126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Non-interest bearing</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rPr>
              <w:t>6,025,352</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rPr>
              <w:t>5,134,613</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5,430,818</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rPr>
              <w:t>5.8%</w:t>
            </w:r>
          </w:p>
        </w:tc>
        <w:tc>
          <w:tcPr>
            <w:tcW w:w="780" w:type="dxa"/>
            <w:vAlign w:val="bottom"/>
            <w:tcBorders>
              <w:right w:val="single" w:sz="8" w:color="auto"/>
            </w:tcBorders>
          </w:tcPr>
          <w:p>
            <w:pPr>
              <w:jc w:val="center"/>
              <w:ind w:right="279"/>
              <w:spacing w:after="0" w:line="132"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Interest bearing</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w w:val="99"/>
              </w:rPr>
              <w:t>24,668,794</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w w:val="99"/>
              </w:rPr>
              <w:t>36,092,693</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39,106,465</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rPr>
              <w:t>8.4%</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color w:val="auto"/>
                <w:w w:val="99"/>
              </w:rPr>
              <w:t>58.5%</w:t>
            </w:r>
          </w:p>
        </w:tc>
        <w:tc>
          <w:tcPr>
            <w:tcW w:w="0" w:type="dxa"/>
            <w:vAlign w:val="bottom"/>
          </w:tcPr>
          <w:p>
            <w:pPr>
              <w:spacing w:after="0"/>
              <w:rPr>
                <w:sz w:val="1"/>
                <w:szCs w:val="1"/>
                <w:color w:val="auto"/>
              </w:rPr>
            </w:pPr>
          </w:p>
        </w:tc>
      </w:tr>
      <w:tr>
        <w:trPr>
          <w:trHeight w:val="16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Total cash and due from banks</w:t>
            </w:r>
          </w:p>
        </w:tc>
        <w:tc>
          <w:tcPr>
            <w:tcW w:w="1260" w:type="dxa"/>
            <w:vAlign w:val="bottom"/>
            <w:tcBorders>
              <w:right w:val="single" w:sz="8" w:color="auto"/>
            </w:tcBorders>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30,694,146</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9"/>
              </w:rPr>
              <w:t>41,227,306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44,537,283</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8.0%</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9"/>
              </w:rPr>
              <w:t>45.1%</w:t>
            </w:r>
          </w:p>
        </w:tc>
        <w:tc>
          <w:tcPr>
            <w:tcW w:w="0" w:type="dxa"/>
            <w:vAlign w:val="bottom"/>
          </w:tcPr>
          <w:p>
            <w:pPr>
              <w:spacing w:after="0"/>
              <w:rPr>
                <w:sz w:val="1"/>
                <w:szCs w:val="1"/>
                <w:color w:val="auto"/>
              </w:rPr>
            </w:pPr>
          </w:p>
        </w:tc>
      </w:tr>
      <w:tr>
        <w:trPr>
          <w:trHeight w:val="262"/>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Cash collateral, reverse repurchase agreements and securities borrowing</w:t>
            </w:r>
          </w:p>
        </w:tc>
        <w:tc>
          <w:tcPr>
            <w:tcW w:w="1260" w:type="dxa"/>
            <w:vAlign w:val="bottom"/>
            <w:tcBorders>
              <w:right w:val="single" w:sz="8" w:color="auto"/>
            </w:tcBorders>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100,211</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622,399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19,151</w:t>
            </w:r>
          </w:p>
        </w:tc>
        <w:tc>
          <w:tcPr>
            <w:tcW w:w="1420" w:type="dxa"/>
            <w:vAlign w:val="bottom"/>
          </w:tcPr>
          <w:p>
            <w:pPr>
              <w:jc w:val="center"/>
              <w:ind w:right="259"/>
              <w:spacing w:after="0"/>
              <w:rPr>
                <w:sz w:val="20"/>
                <w:szCs w:val="20"/>
                <w:color w:val="auto"/>
              </w:rPr>
            </w:pPr>
            <w:r>
              <w:rPr>
                <w:rFonts w:ascii="Arial" w:cs="Arial" w:eastAsia="Arial" w:hAnsi="Arial"/>
                <w:sz w:val="12"/>
                <w:szCs w:val="12"/>
                <w:b w:val="1"/>
                <w:bCs w:val="1"/>
                <w:color w:val="auto"/>
                <w:w w:val="99"/>
              </w:rPr>
              <w:t>-96.9%</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9"/>
              </w:rPr>
              <w:t>-80.9%</w:t>
            </w:r>
          </w:p>
        </w:tc>
        <w:tc>
          <w:tcPr>
            <w:tcW w:w="0" w:type="dxa"/>
            <w:vAlign w:val="bottom"/>
          </w:tcPr>
          <w:p>
            <w:pPr>
              <w:spacing w:after="0"/>
              <w:rPr>
                <w:sz w:val="1"/>
                <w:szCs w:val="1"/>
                <w:color w:val="auto"/>
              </w:rPr>
            </w:pPr>
          </w:p>
        </w:tc>
      </w:tr>
      <w:tr>
        <w:trPr>
          <w:trHeight w:val="22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Fair value through profit or loss investments</w:t>
            </w:r>
          </w:p>
        </w:tc>
        <w:tc>
          <w:tcPr>
            <w:tcW w:w="1260" w:type="dxa"/>
            <w:vAlign w:val="bottom"/>
            <w:tcBorders>
              <w:right w:val="single" w:sz="8" w:color="auto"/>
            </w:tcBorders>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362,360</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704,968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603,635</w:t>
            </w:r>
          </w:p>
        </w:tc>
        <w:tc>
          <w:tcPr>
            <w:tcW w:w="1420" w:type="dxa"/>
            <w:vAlign w:val="bottom"/>
          </w:tcPr>
          <w:p>
            <w:pPr>
              <w:jc w:val="center"/>
              <w:ind w:right="259"/>
              <w:spacing w:after="0"/>
              <w:rPr>
                <w:sz w:val="20"/>
                <w:szCs w:val="20"/>
                <w:color w:val="auto"/>
              </w:rPr>
            </w:pPr>
            <w:r>
              <w:rPr>
                <w:rFonts w:ascii="Arial" w:cs="Arial" w:eastAsia="Arial" w:hAnsi="Arial"/>
                <w:sz w:val="12"/>
                <w:szCs w:val="12"/>
                <w:b w:val="1"/>
                <w:bCs w:val="1"/>
                <w:color w:val="auto"/>
                <w:w w:val="99"/>
              </w:rPr>
              <w:t>-14.4%</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9"/>
              </w:rPr>
              <w:t>66.6%</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b w:val="1"/>
                <w:bCs w:val="1"/>
                <w:color w:val="auto"/>
              </w:rPr>
              <w:t>Fair value through other comprehensive income investments</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20,592,731</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22,888,341</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rPr>
              <w:t>23,375,769</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b w:val="1"/>
                <w:bCs w:val="1"/>
                <w:color w:val="auto"/>
              </w:rPr>
              <w:t>2.1%</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b w:val="1"/>
                <w:bCs w:val="1"/>
                <w:color w:val="auto"/>
                <w:w w:val="99"/>
              </w:rPr>
              <w:t>13.5%</w:t>
            </w:r>
          </w:p>
        </w:tc>
        <w:tc>
          <w:tcPr>
            <w:tcW w:w="0" w:type="dxa"/>
            <w:vAlign w:val="bottom"/>
          </w:tcPr>
          <w:p>
            <w:pPr>
              <w:spacing w:after="0"/>
              <w:rPr>
                <w:sz w:val="1"/>
                <w:szCs w:val="1"/>
                <w:color w:val="auto"/>
              </w:rPr>
            </w:pPr>
          </w:p>
        </w:tc>
      </w:tr>
      <w:tr>
        <w:trPr>
          <w:trHeight w:val="16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Amortized cost investments</w:t>
            </w:r>
          </w:p>
        </w:tc>
        <w:tc>
          <w:tcPr>
            <w:tcW w:w="1260" w:type="dxa"/>
            <w:vAlign w:val="bottom"/>
            <w:tcBorders>
              <w:right w:val="single" w:sz="8" w:color="auto"/>
            </w:tcBorders>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9,557,451</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8,178,619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8,277,440</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1.2%</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9"/>
              </w:rPr>
              <w:t>-13.4%</w:t>
            </w:r>
          </w:p>
        </w:tc>
        <w:tc>
          <w:tcPr>
            <w:tcW w:w="0" w:type="dxa"/>
            <w:vAlign w:val="bottom"/>
          </w:tcPr>
          <w:p>
            <w:pPr>
              <w:spacing w:after="0"/>
              <w:rPr>
                <w:sz w:val="1"/>
                <w:szCs w:val="1"/>
                <w:color w:val="auto"/>
              </w:rPr>
            </w:pPr>
          </w:p>
        </w:tc>
      </w:tr>
      <w:tr>
        <w:trPr>
          <w:trHeight w:val="22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Loans</w:t>
            </w:r>
          </w:p>
        </w:tc>
        <w:tc>
          <w:tcPr>
            <w:tcW w:w="1260" w:type="dxa"/>
            <w:vAlign w:val="bottom"/>
            <w:tcBorders>
              <w:right w:val="single" w:sz="8" w:color="auto"/>
            </w:tcBorders>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131,767,137</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129,063,925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132,053,791</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2.3%</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rPr>
              <w:t>0.2%</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Current</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rPr>
              <w:t>125,948,604</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rPr>
              <w:t>123,400,733</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126,990,918</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rPr>
              <w:t>2.9%</w:t>
            </w:r>
          </w:p>
        </w:tc>
        <w:tc>
          <w:tcPr>
            <w:tcW w:w="780" w:type="dxa"/>
            <w:vAlign w:val="bottom"/>
            <w:tcBorders>
              <w:right w:val="single" w:sz="8" w:color="auto"/>
            </w:tcBorders>
          </w:tcPr>
          <w:p>
            <w:pPr>
              <w:jc w:val="center"/>
              <w:ind w:right="279"/>
              <w:spacing w:after="0" w:line="132" w:lineRule="exact"/>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Internal overdue loans</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rPr>
              <w:t>5,818,533</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rPr>
              <w:t>5,663,192</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5,062,873</w:t>
            </w:r>
          </w:p>
        </w:tc>
        <w:tc>
          <w:tcPr>
            <w:tcW w:w="1420" w:type="dxa"/>
            <w:vAlign w:val="bottom"/>
          </w:tcPr>
          <w:p>
            <w:pPr>
              <w:jc w:val="center"/>
              <w:ind w:right="259"/>
              <w:spacing w:after="0" w:line="132" w:lineRule="exact"/>
              <w:rPr>
                <w:sz w:val="20"/>
                <w:szCs w:val="20"/>
                <w:color w:val="auto"/>
              </w:rPr>
            </w:pPr>
            <w:r>
              <w:rPr>
                <w:rFonts w:ascii="Arial" w:cs="Arial" w:eastAsia="Arial" w:hAnsi="Arial"/>
                <w:sz w:val="12"/>
                <w:szCs w:val="12"/>
                <w:color w:val="auto"/>
                <w:w w:val="99"/>
              </w:rPr>
              <w:t>-10.6%</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color w:val="auto"/>
                <w:w w:val="99"/>
              </w:rPr>
              <w:t>-13.0%</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Less - allowance for loan losses</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rPr>
              <w:t>(7,772,720)</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w w:val="97"/>
              </w:rPr>
              <w:t>(7,714,711)</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(7,443,523)</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rPr>
              <w:t>-3.5%</w:t>
            </w:r>
          </w:p>
        </w:tc>
        <w:tc>
          <w:tcPr>
            <w:tcW w:w="780" w:type="dxa"/>
            <w:vAlign w:val="bottom"/>
            <w:tcBorders>
              <w:right w:val="single" w:sz="8" w:color="auto"/>
            </w:tcBorders>
          </w:tcPr>
          <w:p>
            <w:pPr>
              <w:jc w:val="center"/>
              <w:ind w:right="279"/>
              <w:spacing w:after="0" w:line="132"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61"/>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Loans, net</w:t>
            </w:r>
          </w:p>
        </w:tc>
        <w:tc>
          <w:tcPr>
            <w:tcW w:w="1260" w:type="dxa"/>
            <w:vAlign w:val="bottom"/>
            <w:tcBorders>
              <w:right w:val="single" w:sz="8" w:color="auto"/>
            </w:tcBorders>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rPr>
              <w:t>123,994,417</w:t>
            </w:r>
          </w:p>
        </w:tc>
        <w:tc>
          <w:tcPr>
            <w:tcW w:w="1080" w:type="dxa"/>
            <w:vAlign w:val="bottom"/>
          </w:tcPr>
          <w:p>
            <w:pPr>
              <w:jc w:val="center"/>
              <w:spacing w:after="0"/>
              <w:rPr>
                <w:sz w:val="20"/>
                <w:szCs w:val="20"/>
                <w:color w:val="auto"/>
              </w:rPr>
            </w:pPr>
            <w:r>
              <w:rPr>
                <w:rFonts w:ascii="Arial" w:cs="Arial" w:eastAsia="Arial" w:hAnsi="Arial"/>
                <w:sz w:val="12"/>
                <w:szCs w:val="12"/>
                <w:color w:val="auto"/>
              </w:rPr>
              <w:t>121,349,214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124,610,268</w:t>
            </w:r>
          </w:p>
        </w:tc>
        <w:tc>
          <w:tcPr>
            <w:tcW w:w="1420" w:type="dxa"/>
            <w:vAlign w:val="bottom"/>
          </w:tcPr>
          <w:p>
            <w:pPr>
              <w:jc w:val="center"/>
              <w:ind w:right="279"/>
              <w:spacing w:after="0"/>
              <w:rPr>
                <w:sz w:val="20"/>
                <w:szCs w:val="20"/>
                <w:color w:val="auto"/>
              </w:rPr>
            </w:pPr>
            <w:r>
              <w:rPr>
                <w:rFonts w:ascii="Arial" w:cs="Arial" w:eastAsia="Arial" w:hAnsi="Arial"/>
                <w:sz w:val="12"/>
                <w:szCs w:val="12"/>
                <w:color w:val="auto"/>
              </w:rPr>
              <w:t>2.7%</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233"/>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 xml:space="preserve">Property, furniture and equipment, net </w:t>
            </w:r>
            <w:r>
              <w:rPr>
                <w:rFonts w:ascii="Arial" w:cs="Arial" w:eastAsia="Arial" w:hAnsi="Arial"/>
                <w:sz w:val="20"/>
                <w:szCs w:val="20"/>
                <w:b w:val="1"/>
                <w:bCs w:val="1"/>
                <w:color w:val="auto"/>
                <w:vertAlign w:val="superscript"/>
              </w:rPr>
              <w:t>(1)</w:t>
            </w:r>
          </w:p>
        </w:tc>
        <w:tc>
          <w:tcPr>
            <w:tcW w:w="1260" w:type="dxa"/>
            <w:vAlign w:val="bottom"/>
            <w:tcBorders>
              <w:right w:val="single" w:sz="8" w:color="auto"/>
            </w:tcBorders>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1,559,485</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1,479,708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1,496,066</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1.1%</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rPr>
              <w:t>-4.1%</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b w:val="1"/>
                <w:bCs w:val="1"/>
                <w:color w:val="auto"/>
              </w:rPr>
              <w:t>Due from customers on acceptances</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412,401</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466,957</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rPr>
              <w:t>528,184</w:t>
            </w:r>
          </w:p>
        </w:tc>
        <w:tc>
          <w:tcPr>
            <w:tcW w:w="1420" w:type="dxa"/>
            <w:vAlign w:val="bottom"/>
          </w:tcPr>
          <w:p>
            <w:pPr>
              <w:jc w:val="center"/>
              <w:ind w:right="259"/>
              <w:spacing w:after="0" w:line="132" w:lineRule="exact"/>
              <w:rPr>
                <w:sz w:val="20"/>
                <w:szCs w:val="20"/>
                <w:color w:val="auto"/>
              </w:rPr>
            </w:pPr>
            <w:r>
              <w:rPr>
                <w:rFonts w:ascii="Arial" w:cs="Arial" w:eastAsia="Arial" w:hAnsi="Arial"/>
                <w:sz w:val="12"/>
                <w:szCs w:val="12"/>
                <w:b w:val="1"/>
                <w:bCs w:val="1"/>
                <w:color w:val="auto"/>
                <w:w w:val="99"/>
              </w:rPr>
              <w:t>13.1%</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b w:val="1"/>
                <w:bCs w:val="1"/>
                <w:color w:val="auto"/>
                <w:w w:val="99"/>
              </w:rPr>
              <w:t>28.1%</w:t>
            </w:r>
          </w:p>
        </w:tc>
        <w:tc>
          <w:tcPr>
            <w:tcW w:w="0" w:type="dxa"/>
            <w:vAlign w:val="bottom"/>
          </w:tcPr>
          <w:p>
            <w:pPr>
              <w:spacing w:after="0"/>
              <w:rPr>
                <w:sz w:val="1"/>
                <w:szCs w:val="1"/>
                <w:color w:val="auto"/>
              </w:rPr>
            </w:pPr>
          </w:p>
        </w:tc>
      </w:tr>
      <w:tr>
        <w:trPr>
          <w:trHeight w:val="125"/>
        </w:trPr>
        <w:tc>
          <w:tcPr>
            <w:tcW w:w="4460" w:type="dxa"/>
            <w:vAlign w:val="bottom"/>
            <w:tcBorders>
              <w:left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Investments in associates</w:t>
            </w:r>
          </w:p>
        </w:tc>
        <w:tc>
          <w:tcPr>
            <w:tcW w:w="1260" w:type="dxa"/>
            <w:vAlign w:val="bottom"/>
            <w:tcBorders>
              <w:right w:val="single" w:sz="8" w:color="auto"/>
            </w:tcBorders>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7"/>
              </w:rPr>
              <w:t>21,426</w:t>
            </w:r>
          </w:p>
        </w:tc>
        <w:tc>
          <w:tcPr>
            <w:tcW w:w="10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7"/>
              </w:rPr>
              <w:t>29,053</w:t>
            </w:r>
          </w:p>
        </w:tc>
        <w:tc>
          <w:tcPr>
            <w:tcW w:w="11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29,368</w:t>
            </w:r>
          </w:p>
        </w:tc>
        <w:tc>
          <w:tcPr>
            <w:tcW w:w="1420" w:type="dxa"/>
            <w:vAlign w:val="bottom"/>
          </w:tcPr>
          <w:p>
            <w:pPr>
              <w:jc w:val="center"/>
              <w:ind w:right="279"/>
              <w:spacing w:after="0" w:line="126" w:lineRule="exact"/>
              <w:rPr>
                <w:sz w:val="20"/>
                <w:szCs w:val="20"/>
                <w:color w:val="auto"/>
              </w:rPr>
            </w:pPr>
            <w:r>
              <w:rPr>
                <w:rFonts w:ascii="Arial" w:cs="Arial" w:eastAsia="Arial" w:hAnsi="Arial"/>
                <w:sz w:val="12"/>
                <w:szCs w:val="12"/>
                <w:b w:val="1"/>
                <w:bCs w:val="1"/>
                <w:color w:val="auto"/>
              </w:rPr>
              <w:t>1.1%</w:t>
            </w:r>
          </w:p>
        </w:tc>
        <w:tc>
          <w:tcPr>
            <w:tcW w:w="780" w:type="dxa"/>
            <w:vAlign w:val="bottom"/>
            <w:tcBorders>
              <w:right w:val="single" w:sz="8" w:color="auto"/>
            </w:tcBorders>
          </w:tcPr>
          <w:p>
            <w:pPr>
              <w:jc w:val="center"/>
              <w:ind w:right="259"/>
              <w:spacing w:after="0" w:line="126" w:lineRule="exact"/>
              <w:rPr>
                <w:sz w:val="20"/>
                <w:szCs w:val="20"/>
                <w:color w:val="auto"/>
              </w:rPr>
            </w:pPr>
            <w:r>
              <w:rPr>
                <w:rFonts w:ascii="Arial" w:cs="Arial" w:eastAsia="Arial" w:hAnsi="Arial"/>
                <w:sz w:val="12"/>
                <w:szCs w:val="12"/>
                <w:b w:val="1"/>
                <w:bCs w:val="1"/>
                <w:color w:val="auto"/>
                <w:w w:val="99"/>
              </w:rPr>
              <w:t>37.1%</w:t>
            </w:r>
          </w:p>
        </w:tc>
        <w:tc>
          <w:tcPr>
            <w:tcW w:w="0" w:type="dxa"/>
            <w:vAlign w:val="bottom"/>
          </w:tcPr>
          <w:p>
            <w:pPr>
              <w:spacing w:after="0"/>
              <w:rPr>
                <w:sz w:val="1"/>
                <w:szCs w:val="1"/>
                <w:color w:val="auto"/>
              </w:rPr>
            </w:pPr>
          </w:p>
        </w:tc>
      </w:tr>
      <w:tr>
        <w:trPr>
          <w:trHeight w:val="268"/>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 xml:space="preserve">Other assets </w:t>
            </w:r>
            <w:r>
              <w:rPr>
                <w:rFonts w:ascii="Arial" w:cs="Arial" w:eastAsia="Arial" w:hAnsi="Arial"/>
                <w:sz w:val="20"/>
                <w:szCs w:val="20"/>
                <w:b w:val="1"/>
                <w:bCs w:val="1"/>
                <w:color w:val="auto"/>
                <w:vertAlign w:val="superscript"/>
              </w:rPr>
              <w:t>(2)</w:t>
            </w:r>
          </w:p>
        </w:tc>
        <w:tc>
          <w:tcPr>
            <w:tcW w:w="1260" w:type="dxa"/>
            <w:vAlign w:val="bottom"/>
            <w:tcBorders>
              <w:right w:val="single" w:sz="8" w:color="auto"/>
            </w:tcBorders>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6,510,227</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7,959,779</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7,609,096</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-4.4%</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9"/>
              </w:rPr>
              <w:t>16.9%</w:t>
            </w:r>
          </w:p>
        </w:tc>
        <w:tc>
          <w:tcPr>
            <w:tcW w:w="0" w:type="dxa"/>
            <w:vAlign w:val="bottom"/>
          </w:tcPr>
          <w:p>
            <w:pPr>
              <w:spacing w:after="0"/>
              <w:rPr>
                <w:sz w:val="1"/>
                <w:szCs w:val="1"/>
                <w:color w:val="auto"/>
              </w:rPr>
            </w:pPr>
          </w:p>
        </w:tc>
      </w:tr>
      <w:tr>
        <w:trPr>
          <w:trHeight w:val="167"/>
        </w:trPr>
        <w:tc>
          <w:tcPr>
            <w:tcW w:w="4460" w:type="dxa"/>
            <w:vAlign w:val="bottom"/>
            <w:tcBorders>
              <w:left w:val="single" w:sz="8" w:color="auto"/>
            </w:tcBorders>
          </w:tcPr>
          <w:p>
            <w:pPr>
              <w:jc w:val="center"/>
              <w:ind w:left="1198"/>
              <w:spacing w:after="0"/>
              <w:rPr>
                <w:sz w:val="20"/>
                <w:szCs w:val="20"/>
                <w:color w:val="auto"/>
              </w:rPr>
            </w:pPr>
            <w:r>
              <w:rPr>
                <w:rFonts w:ascii="Arial" w:cs="Arial" w:eastAsia="Arial" w:hAnsi="Arial"/>
                <w:sz w:val="12"/>
                <w:szCs w:val="12"/>
                <w:b w:val="1"/>
                <w:bCs w:val="1"/>
                <w:color w:val="auto"/>
              </w:rPr>
              <w:t>Total Assets</w:t>
            </w:r>
          </w:p>
        </w:tc>
        <w:tc>
          <w:tcPr>
            <w:tcW w:w="1260" w:type="dxa"/>
            <w:vAlign w:val="bottom"/>
            <w:tcBorders>
              <w:right w:val="single" w:sz="8" w:color="auto"/>
            </w:tcBorders>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193,804,855</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204,906,344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211,086,260</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3.0%</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rPr>
              <w:t>8.9%</w:t>
            </w:r>
          </w:p>
        </w:tc>
        <w:tc>
          <w:tcPr>
            <w:tcW w:w="0" w:type="dxa"/>
            <w:vAlign w:val="bottom"/>
          </w:tcPr>
          <w:p>
            <w:pPr>
              <w:spacing w:after="0"/>
              <w:rPr>
                <w:sz w:val="1"/>
                <w:szCs w:val="1"/>
                <w:color w:val="auto"/>
              </w:rPr>
            </w:pPr>
          </w:p>
        </w:tc>
      </w:tr>
      <w:tr>
        <w:trPr>
          <w:trHeight w:val="22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126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4460" w:type="dxa"/>
            <w:vAlign w:val="bottom"/>
            <w:tcBorders>
              <w:left w:val="single" w:sz="8" w:color="auto"/>
            </w:tcBorders>
          </w:tcPr>
          <w:p>
            <w:pPr>
              <w:ind w:left="20"/>
              <w:spacing w:after="0" w:line="126" w:lineRule="exact"/>
              <w:rPr>
                <w:sz w:val="20"/>
                <w:szCs w:val="20"/>
                <w:color w:val="auto"/>
              </w:rPr>
            </w:pPr>
            <w:r>
              <w:rPr>
                <w:rFonts w:ascii="Arial" w:cs="Arial" w:eastAsia="Arial" w:hAnsi="Arial"/>
                <w:sz w:val="12"/>
                <w:szCs w:val="12"/>
                <w:color w:val="auto"/>
              </w:rPr>
              <w:t>Deposits and obligations</w:t>
            </w:r>
          </w:p>
        </w:tc>
        <w:tc>
          <w:tcPr>
            <w:tcW w:w="1260" w:type="dxa"/>
            <w:vAlign w:val="bottom"/>
            <w:tcBorders>
              <w:right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1" w:lineRule="exact"/>
              <w:rPr>
                <w:sz w:val="20"/>
                <w:szCs w:val="20"/>
                <w:color w:val="auto"/>
              </w:rPr>
            </w:pPr>
            <w:r>
              <w:rPr>
                <w:rFonts w:ascii="Arial" w:cs="Arial" w:eastAsia="Arial" w:hAnsi="Arial"/>
                <w:sz w:val="10"/>
                <w:szCs w:val="10"/>
                <w:color w:val="auto"/>
              </w:rPr>
              <w:t xml:space="preserve">Non-interest bearing </w:t>
            </w:r>
            <w:r>
              <w:rPr>
                <w:rFonts w:ascii="Arial" w:cs="Arial" w:eastAsia="Arial" w:hAnsi="Arial"/>
                <w:sz w:val="15"/>
                <w:szCs w:val="15"/>
                <w:color w:val="auto"/>
                <w:vertAlign w:val="superscript"/>
              </w:rPr>
              <w:t>(1)</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w w:val="99"/>
              </w:rPr>
              <w:t>39,377,289</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w w:val="99"/>
              </w:rPr>
              <w:t>45,310,064</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44,280,933</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rPr>
              <w:t>-2.3%</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color w:val="auto"/>
                <w:w w:val="99"/>
              </w:rPr>
              <w:t>12.5%</w:t>
            </w:r>
          </w:p>
        </w:tc>
        <w:tc>
          <w:tcPr>
            <w:tcW w:w="0" w:type="dxa"/>
            <w:vAlign w:val="bottom"/>
          </w:tcPr>
          <w:p>
            <w:pPr>
              <w:spacing w:after="0"/>
              <w:rPr>
                <w:sz w:val="1"/>
                <w:szCs w:val="1"/>
                <w:color w:val="auto"/>
              </w:rPr>
            </w:pPr>
          </w:p>
        </w:tc>
      </w:tr>
      <w:tr>
        <w:trPr>
          <w:trHeight w:val="137"/>
        </w:trPr>
        <w:tc>
          <w:tcPr>
            <w:tcW w:w="4460" w:type="dxa"/>
            <w:vAlign w:val="bottom"/>
            <w:tcBorders>
              <w:left w:val="single" w:sz="8" w:color="auto"/>
            </w:tcBorders>
          </w:tcPr>
          <w:p>
            <w:pPr>
              <w:ind w:left="20"/>
              <w:spacing w:after="0" w:line="137" w:lineRule="exact"/>
              <w:rPr>
                <w:sz w:val="20"/>
                <w:szCs w:val="20"/>
                <w:color w:val="auto"/>
              </w:rPr>
            </w:pPr>
            <w:r>
              <w:rPr>
                <w:rFonts w:ascii="Arial" w:cs="Arial" w:eastAsia="Arial" w:hAnsi="Arial"/>
                <w:sz w:val="10"/>
                <w:szCs w:val="10"/>
                <w:color w:val="auto"/>
              </w:rPr>
              <w:t xml:space="preserve">Interest bearing </w:t>
            </w:r>
            <w:r>
              <w:rPr>
                <w:rFonts w:ascii="Arial" w:cs="Arial" w:eastAsia="Arial" w:hAnsi="Arial"/>
                <w:sz w:val="15"/>
                <w:szCs w:val="15"/>
                <w:color w:val="auto"/>
                <w:vertAlign w:val="superscript"/>
              </w:rPr>
              <w:t>(1)</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Arial" w:cs="Arial" w:eastAsia="Arial" w:hAnsi="Arial"/>
                <w:sz w:val="12"/>
                <w:szCs w:val="12"/>
                <w:color w:val="auto"/>
                <w:w w:val="99"/>
              </w:rPr>
              <w:t>92,931,227</w:t>
            </w:r>
          </w:p>
        </w:tc>
        <w:tc>
          <w:tcPr>
            <w:tcW w:w="1080" w:type="dxa"/>
            <w:vAlign w:val="bottom"/>
          </w:tcPr>
          <w:p>
            <w:pPr>
              <w:jc w:val="center"/>
              <w:spacing w:after="0" w:line="137" w:lineRule="exact"/>
              <w:rPr>
                <w:sz w:val="20"/>
                <w:szCs w:val="20"/>
                <w:color w:val="auto"/>
              </w:rPr>
            </w:pPr>
            <w:r>
              <w:rPr>
                <w:rFonts w:ascii="Arial" w:cs="Arial" w:eastAsia="Arial" w:hAnsi="Arial"/>
                <w:sz w:val="12"/>
                <w:szCs w:val="12"/>
                <w:color w:val="auto"/>
                <w:w w:val="99"/>
              </w:rPr>
              <w:t>95,985,178</w:t>
            </w:r>
          </w:p>
        </w:tc>
        <w:tc>
          <w:tcPr>
            <w:tcW w:w="11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color w:val="auto"/>
              </w:rPr>
              <w:t>103,434,795</w:t>
            </w:r>
          </w:p>
        </w:tc>
        <w:tc>
          <w:tcPr>
            <w:tcW w:w="1420" w:type="dxa"/>
            <w:vAlign w:val="bottom"/>
          </w:tcPr>
          <w:p>
            <w:pPr>
              <w:jc w:val="center"/>
              <w:ind w:right="279"/>
              <w:spacing w:after="0" w:line="137" w:lineRule="exact"/>
              <w:rPr>
                <w:sz w:val="20"/>
                <w:szCs w:val="20"/>
                <w:color w:val="auto"/>
              </w:rPr>
            </w:pPr>
            <w:r>
              <w:rPr>
                <w:rFonts w:ascii="Arial" w:cs="Arial" w:eastAsia="Arial" w:hAnsi="Arial"/>
                <w:sz w:val="12"/>
                <w:szCs w:val="12"/>
                <w:color w:val="auto"/>
              </w:rPr>
              <w:t>7.8%</w:t>
            </w:r>
          </w:p>
        </w:tc>
        <w:tc>
          <w:tcPr>
            <w:tcW w:w="780" w:type="dxa"/>
            <w:vAlign w:val="bottom"/>
            <w:tcBorders>
              <w:right w:val="single" w:sz="8" w:color="auto"/>
            </w:tcBorders>
          </w:tcPr>
          <w:p>
            <w:pPr>
              <w:jc w:val="center"/>
              <w:ind w:right="259"/>
              <w:spacing w:after="0" w:line="137" w:lineRule="exact"/>
              <w:rPr>
                <w:sz w:val="20"/>
                <w:szCs w:val="20"/>
                <w:color w:val="auto"/>
              </w:rPr>
            </w:pPr>
            <w:r>
              <w:rPr>
                <w:rFonts w:ascii="Arial" w:cs="Arial" w:eastAsia="Arial" w:hAnsi="Arial"/>
                <w:sz w:val="12"/>
                <w:szCs w:val="12"/>
                <w:color w:val="auto"/>
                <w:w w:val="99"/>
              </w:rPr>
              <w:t>11.3%</w:t>
            </w:r>
          </w:p>
        </w:tc>
        <w:tc>
          <w:tcPr>
            <w:tcW w:w="0" w:type="dxa"/>
            <w:vAlign w:val="bottom"/>
          </w:tcPr>
          <w:p>
            <w:pPr>
              <w:spacing w:after="0"/>
              <w:rPr>
                <w:sz w:val="1"/>
                <w:szCs w:val="1"/>
                <w:color w:val="auto"/>
              </w:rPr>
            </w:pPr>
          </w:p>
        </w:tc>
      </w:tr>
      <w:tr>
        <w:trPr>
          <w:trHeight w:val="16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Total deposits and obligations</w:t>
            </w:r>
          </w:p>
        </w:tc>
        <w:tc>
          <w:tcPr>
            <w:tcW w:w="1260" w:type="dxa"/>
            <w:vAlign w:val="bottom"/>
            <w:tcBorders>
              <w:right w:val="single" w:sz="8" w:color="auto"/>
            </w:tcBorders>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132,308,516</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141,295,242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147,715,728</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4.5%</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9"/>
              </w:rPr>
              <w:t>11.6%</w:t>
            </w:r>
          </w:p>
        </w:tc>
        <w:tc>
          <w:tcPr>
            <w:tcW w:w="0" w:type="dxa"/>
            <w:vAlign w:val="bottom"/>
          </w:tcPr>
          <w:p>
            <w:pPr>
              <w:spacing w:after="0"/>
              <w:rPr>
                <w:sz w:val="1"/>
                <w:szCs w:val="1"/>
                <w:color w:val="auto"/>
              </w:rPr>
            </w:pPr>
          </w:p>
        </w:tc>
      </w:tr>
      <w:tr>
        <w:trPr>
          <w:trHeight w:val="22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Payables from repurchase agreements and securities lending</w:t>
            </w:r>
          </w:p>
        </w:tc>
        <w:tc>
          <w:tcPr>
            <w:tcW w:w="1260" w:type="dxa"/>
            <w:vAlign w:val="bottom"/>
            <w:tcBorders>
              <w:right w:val="single" w:sz="8" w:color="auto"/>
            </w:tcBorders>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8,005,844</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5,621,745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7,203,885</w:t>
            </w:r>
          </w:p>
        </w:tc>
        <w:tc>
          <w:tcPr>
            <w:tcW w:w="1420" w:type="dxa"/>
            <w:vAlign w:val="bottom"/>
          </w:tcPr>
          <w:p>
            <w:pPr>
              <w:jc w:val="center"/>
              <w:ind w:right="259"/>
              <w:spacing w:after="0"/>
              <w:rPr>
                <w:sz w:val="20"/>
                <w:szCs w:val="20"/>
                <w:color w:val="auto"/>
              </w:rPr>
            </w:pPr>
            <w:r>
              <w:rPr>
                <w:rFonts w:ascii="Arial" w:cs="Arial" w:eastAsia="Arial" w:hAnsi="Arial"/>
                <w:sz w:val="12"/>
                <w:szCs w:val="12"/>
                <w:b w:val="1"/>
                <w:bCs w:val="1"/>
                <w:color w:val="auto"/>
                <w:w w:val="99"/>
              </w:rPr>
              <w:t>28.1%</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9"/>
              </w:rPr>
              <w:t>-10.0%</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BCRP instruments</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rPr>
              <w:t>7,461,674</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rPr>
              <w:t>4,788,939</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6,646,830</w:t>
            </w:r>
          </w:p>
        </w:tc>
        <w:tc>
          <w:tcPr>
            <w:tcW w:w="1420" w:type="dxa"/>
            <w:vAlign w:val="bottom"/>
          </w:tcPr>
          <w:p>
            <w:pPr>
              <w:jc w:val="center"/>
              <w:ind w:right="259"/>
              <w:spacing w:after="0" w:line="132" w:lineRule="exact"/>
              <w:rPr>
                <w:sz w:val="20"/>
                <w:szCs w:val="20"/>
                <w:color w:val="auto"/>
              </w:rPr>
            </w:pPr>
            <w:r>
              <w:rPr>
                <w:rFonts w:ascii="Arial" w:cs="Arial" w:eastAsia="Arial" w:hAnsi="Arial"/>
                <w:sz w:val="12"/>
                <w:szCs w:val="12"/>
                <w:color w:val="auto"/>
                <w:w w:val="99"/>
              </w:rPr>
              <w:t>38.8%</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color w:val="auto"/>
                <w:w w:val="99"/>
              </w:rPr>
              <w:t>-10.9%</w:t>
            </w:r>
          </w:p>
        </w:tc>
        <w:tc>
          <w:tcPr>
            <w:tcW w:w="0" w:type="dxa"/>
            <w:vAlign w:val="bottom"/>
          </w:tcPr>
          <w:p>
            <w:pPr>
              <w:spacing w:after="0"/>
              <w:rPr>
                <w:sz w:val="1"/>
                <w:szCs w:val="1"/>
                <w:color w:val="auto"/>
              </w:rPr>
            </w:pPr>
          </w:p>
        </w:tc>
      </w:tr>
      <w:tr>
        <w:trPr>
          <w:trHeight w:val="161"/>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Repurchase agreements with third parties</w:t>
            </w:r>
          </w:p>
        </w:tc>
        <w:tc>
          <w:tcPr>
            <w:tcW w:w="1260" w:type="dxa"/>
            <w:vAlign w:val="bottom"/>
            <w:tcBorders>
              <w:right w:val="single" w:sz="8" w:color="auto"/>
            </w:tcBorders>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rPr>
              <w:t>544,170</w:t>
            </w:r>
          </w:p>
        </w:tc>
        <w:tc>
          <w:tcPr>
            <w:tcW w:w="1080" w:type="dxa"/>
            <w:vAlign w:val="bottom"/>
          </w:tcPr>
          <w:p>
            <w:pPr>
              <w:jc w:val="center"/>
              <w:spacing w:after="0"/>
              <w:rPr>
                <w:sz w:val="20"/>
                <w:szCs w:val="20"/>
                <w:color w:val="auto"/>
              </w:rPr>
            </w:pPr>
            <w:r>
              <w:rPr>
                <w:rFonts w:ascii="Arial" w:cs="Arial" w:eastAsia="Arial" w:hAnsi="Arial"/>
                <w:sz w:val="12"/>
                <w:szCs w:val="12"/>
                <w:color w:val="auto"/>
              </w:rPr>
              <w:t>832,806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557,055</w:t>
            </w:r>
          </w:p>
        </w:tc>
        <w:tc>
          <w:tcPr>
            <w:tcW w:w="1420" w:type="dxa"/>
            <w:vAlign w:val="bottom"/>
          </w:tcPr>
          <w:p>
            <w:pPr>
              <w:jc w:val="center"/>
              <w:ind w:right="259"/>
              <w:spacing w:after="0"/>
              <w:rPr>
                <w:sz w:val="20"/>
                <w:szCs w:val="20"/>
                <w:color w:val="auto"/>
              </w:rPr>
            </w:pPr>
            <w:r>
              <w:rPr>
                <w:rFonts w:ascii="Arial" w:cs="Arial" w:eastAsia="Arial" w:hAnsi="Arial"/>
                <w:sz w:val="12"/>
                <w:szCs w:val="12"/>
                <w:color w:val="auto"/>
                <w:w w:val="99"/>
              </w:rPr>
              <w:t>-33.1%</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33"/>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Due to banks and correspondents</w:t>
            </w:r>
          </w:p>
        </w:tc>
        <w:tc>
          <w:tcPr>
            <w:tcW w:w="1260" w:type="dxa"/>
            <w:vAlign w:val="bottom"/>
            <w:tcBorders>
              <w:right w:val="single" w:sz="8" w:color="auto"/>
            </w:tcBorders>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11,870,116</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9"/>
              </w:rPr>
              <w:t>12,210,085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10,165,266</w:t>
            </w:r>
          </w:p>
        </w:tc>
        <w:tc>
          <w:tcPr>
            <w:tcW w:w="1420" w:type="dxa"/>
            <w:vAlign w:val="bottom"/>
          </w:tcPr>
          <w:p>
            <w:pPr>
              <w:jc w:val="center"/>
              <w:ind w:right="259"/>
              <w:spacing w:after="0"/>
              <w:rPr>
                <w:sz w:val="20"/>
                <w:szCs w:val="20"/>
                <w:color w:val="auto"/>
              </w:rPr>
            </w:pPr>
            <w:r>
              <w:rPr>
                <w:rFonts w:ascii="Arial" w:cs="Arial" w:eastAsia="Arial" w:hAnsi="Arial"/>
                <w:sz w:val="12"/>
                <w:szCs w:val="12"/>
                <w:b w:val="1"/>
                <w:bCs w:val="1"/>
                <w:color w:val="auto"/>
                <w:w w:val="99"/>
              </w:rPr>
              <w:t>-16.7%</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b w:val="1"/>
                <w:bCs w:val="1"/>
                <w:color w:val="auto"/>
                <w:w w:val="99"/>
              </w:rPr>
              <w:t>-14.4%</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b w:val="1"/>
                <w:bCs w:val="1"/>
                <w:color w:val="auto"/>
              </w:rPr>
              <w:t>Bonds and notes issued</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10,961,427</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13,351,992</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rPr>
              <w:t>13,627,208</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b w:val="1"/>
                <w:bCs w:val="1"/>
                <w:color w:val="auto"/>
              </w:rPr>
              <w:t>2.1%</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b w:val="1"/>
                <w:bCs w:val="1"/>
                <w:color w:val="auto"/>
                <w:w w:val="99"/>
              </w:rPr>
              <w:t>24.3%</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b w:val="1"/>
                <w:bCs w:val="1"/>
                <w:color w:val="auto"/>
              </w:rPr>
              <w:t>Banker’s acceptances outstanding</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412,401</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rPr>
              <w:t>466,957</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rPr>
              <w:t>528,184</w:t>
            </w:r>
          </w:p>
        </w:tc>
        <w:tc>
          <w:tcPr>
            <w:tcW w:w="1420" w:type="dxa"/>
            <w:vAlign w:val="bottom"/>
          </w:tcPr>
          <w:p>
            <w:pPr>
              <w:jc w:val="center"/>
              <w:ind w:right="259"/>
              <w:spacing w:after="0" w:line="132" w:lineRule="exact"/>
              <w:rPr>
                <w:sz w:val="20"/>
                <w:szCs w:val="20"/>
                <w:color w:val="auto"/>
              </w:rPr>
            </w:pPr>
            <w:r>
              <w:rPr>
                <w:rFonts w:ascii="Arial" w:cs="Arial" w:eastAsia="Arial" w:hAnsi="Arial"/>
                <w:sz w:val="12"/>
                <w:szCs w:val="12"/>
                <w:b w:val="1"/>
                <w:bCs w:val="1"/>
                <w:color w:val="auto"/>
                <w:w w:val="99"/>
              </w:rPr>
              <w:t>13.1%</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b w:val="1"/>
                <w:bCs w:val="1"/>
                <w:color w:val="auto"/>
                <w:w w:val="99"/>
              </w:rPr>
              <w:t>28.1%</w:t>
            </w:r>
          </w:p>
        </w:tc>
        <w:tc>
          <w:tcPr>
            <w:tcW w:w="0" w:type="dxa"/>
            <w:vAlign w:val="bottom"/>
          </w:tcPr>
          <w:p>
            <w:pPr>
              <w:spacing w:after="0"/>
              <w:rPr>
                <w:sz w:val="1"/>
                <w:szCs w:val="1"/>
                <w:color w:val="auto"/>
              </w:rPr>
            </w:pPr>
          </w:p>
        </w:tc>
      </w:tr>
      <w:tr>
        <w:trPr>
          <w:trHeight w:val="125"/>
        </w:trPr>
        <w:tc>
          <w:tcPr>
            <w:tcW w:w="4460" w:type="dxa"/>
            <w:vAlign w:val="bottom"/>
            <w:tcBorders>
              <w:left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Financial liabilities at fair value through profit or loss</w:t>
            </w:r>
          </w:p>
        </w:tc>
        <w:tc>
          <w:tcPr>
            <w:tcW w:w="1260" w:type="dxa"/>
            <w:vAlign w:val="bottom"/>
            <w:tcBorders>
              <w:right w:val="single" w:sz="8" w:color="auto"/>
            </w:tcBorders>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7"/>
              </w:rPr>
              <w:t>91,966</w:t>
            </w:r>
          </w:p>
        </w:tc>
        <w:tc>
          <w:tcPr>
            <w:tcW w:w="10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354,562</w:t>
            </w:r>
          </w:p>
        </w:tc>
        <w:tc>
          <w:tcPr>
            <w:tcW w:w="11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w:t>
            </w:r>
          </w:p>
        </w:tc>
        <w:tc>
          <w:tcPr>
            <w:tcW w:w="1420" w:type="dxa"/>
            <w:vAlign w:val="bottom"/>
          </w:tcPr>
          <w:p>
            <w:pPr>
              <w:jc w:val="center"/>
              <w:ind w:right="279"/>
              <w:spacing w:after="0" w:line="126" w:lineRule="exact"/>
              <w:rPr>
                <w:sz w:val="20"/>
                <w:szCs w:val="20"/>
                <w:color w:val="auto"/>
              </w:rPr>
            </w:pPr>
            <w:r>
              <w:rPr>
                <w:rFonts w:ascii="Arial" w:cs="Arial" w:eastAsia="Arial" w:hAnsi="Arial"/>
                <w:sz w:val="12"/>
                <w:szCs w:val="12"/>
                <w:b w:val="1"/>
                <w:bCs w:val="1"/>
                <w:color w:val="auto"/>
                <w:w w:val="96"/>
              </w:rPr>
              <w:t>n.a.</w:t>
            </w:r>
          </w:p>
        </w:tc>
        <w:tc>
          <w:tcPr>
            <w:tcW w:w="780" w:type="dxa"/>
            <w:vAlign w:val="bottom"/>
            <w:tcBorders>
              <w:right w:val="single" w:sz="8" w:color="auto"/>
            </w:tcBorders>
          </w:tcPr>
          <w:p>
            <w:pPr>
              <w:ind w:left="120"/>
              <w:spacing w:after="0" w:line="126" w:lineRule="exact"/>
              <w:rPr>
                <w:sz w:val="20"/>
                <w:szCs w:val="20"/>
                <w:color w:val="auto"/>
              </w:rPr>
            </w:pPr>
            <w:r>
              <w:rPr>
                <w:rFonts w:ascii="Arial" w:cs="Arial" w:eastAsia="Arial" w:hAnsi="Arial"/>
                <w:sz w:val="12"/>
                <w:szCs w:val="12"/>
                <w:b w:val="1"/>
                <w:bCs w:val="1"/>
                <w:color w:val="auto"/>
              </w:rPr>
              <w:t>n.a.</w:t>
            </w:r>
          </w:p>
        </w:tc>
        <w:tc>
          <w:tcPr>
            <w:tcW w:w="0" w:type="dxa"/>
            <w:vAlign w:val="bottom"/>
          </w:tcPr>
          <w:p>
            <w:pPr>
              <w:spacing w:after="0"/>
              <w:rPr>
                <w:sz w:val="1"/>
                <w:szCs w:val="1"/>
                <w:color w:val="auto"/>
              </w:rPr>
            </w:pPr>
          </w:p>
        </w:tc>
      </w:tr>
      <w:tr>
        <w:trPr>
          <w:trHeight w:val="137"/>
        </w:trPr>
        <w:tc>
          <w:tcPr>
            <w:tcW w:w="4460" w:type="dxa"/>
            <w:vAlign w:val="bottom"/>
            <w:tcBorders>
              <w:left w:val="single" w:sz="8" w:color="auto"/>
            </w:tcBorders>
          </w:tcPr>
          <w:p>
            <w:pPr>
              <w:ind w:left="20"/>
              <w:spacing w:after="0" w:line="137" w:lineRule="exact"/>
              <w:rPr>
                <w:sz w:val="20"/>
                <w:szCs w:val="20"/>
                <w:color w:val="auto"/>
              </w:rPr>
            </w:pPr>
            <w:r>
              <w:rPr>
                <w:rFonts w:ascii="Arial" w:cs="Arial" w:eastAsia="Arial" w:hAnsi="Arial"/>
                <w:sz w:val="10"/>
                <w:szCs w:val="10"/>
                <w:b w:val="1"/>
                <w:bCs w:val="1"/>
                <w:color w:val="auto"/>
              </w:rPr>
              <w:t xml:space="preserve">Other liabilities </w:t>
            </w:r>
            <w:r>
              <w:rPr>
                <w:rFonts w:ascii="Arial" w:cs="Arial" w:eastAsia="Arial" w:hAnsi="Arial"/>
                <w:sz w:val="15"/>
                <w:szCs w:val="15"/>
                <w:b w:val="1"/>
                <w:bCs w:val="1"/>
                <w:color w:val="auto"/>
                <w:vertAlign w:val="superscript"/>
              </w:rPr>
              <w:t>(3)</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4,995,178</w:t>
            </w:r>
          </w:p>
        </w:tc>
        <w:tc>
          <w:tcPr>
            <w:tcW w:w="10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6,110,653</w:t>
            </w:r>
          </w:p>
        </w:tc>
        <w:tc>
          <w:tcPr>
            <w:tcW w:w="11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2"/>
                <w:szCs w:val="12"/>
                <w:b w:val="1"/>
                <w:bCs w:val="1"/>
                <w:color w:val="auto"/>
              </w:rPr>
              <w:t>5,694,394</w:t>
            </w:r>
          </w:p>
        </w:tc>
        <w:tc>
          <w:tcPr>
            <w:tcW w:w="1420" w:type="dxa"/>
            <w:vAlign w:val="bottom"/>
          </w:tcPr>
          <w:p>
            <w:pPr>
              <w:jc w:val="center"/>
              <w:ind w:right="279"/>
              <w:spacing w:after="0" w:line="137" w:lineRule="exact"/>
              <w:rPr>
                <w:sz w:val="20"/>
                <w:szCs w:val="20"/>
                <w:color w:val="auto"/>
              </w:rPr>
            </w:pPr>
            <w:r>
              <w:rPr>
                <w:rFonts w:ascii="Arial" w:cs="Arial" w:eastAsia="Arial" w:hAnsi="Arial"/>
                <w:sz w:val="12"/>
                <w:szCs w:val="12"/>
                <w:b w:val="1"/>
                <w:bCs w:val="1"/>
                <w:color w:val="auto"/>
              </w:rPr>
              <w:t>-6.8%</w:t>
            </w:r>
          </w:p>
        </w:tc>
        <w:tc>
          <w:tcPr>
            <w:tcW w:w="780" w:type="dxa"/>
            <w:vAlign w:val="bottom"/>
            <w:tcBorders>
              <w:right w:val="single" w:sz="8" w:color="auto"/>
            </w:tcBorders>
          </w:tcPr>
          <w:p>
            <w:pPr>
              <w:jc w:val="center"/>
              <w:ind w:right="259"/>
              <w:spacing w:after="0" w:line="137" w:lineRule="exact"/>
              <w:rPr>
                <w:sz w:val="20"/>
                <w:szCs w:val="20"/>
                <w:color w:val="auto"/>
              </w:rPr>
            </w:pPr>
            <w:r>
              <w:rPr>
                <w:rFonts w:ascii="Arial" w:cs="Arial" w:eastAsia="Arial" w:hAnsi="Arial"/>
                <w:sz w:val="12"/>
                <w:szCs w:val="12"/>
                <w:b w:val="1"/>
                <w:bCs w:val="1"/>
                <w:color w:val="auto"/>
                <w:w w:val="99"/>
              </w:rPr>
              <w:t>14.0%</w:t>
            </w:r>
          </w:p>
        </w:tc>
        <w:tc>
          <w:tcPr>
            <w:tcW w:w="0" w:type="dxa"/>
            <w:vAlign w:val="bottom"/>
          </w:tcPr>
          <w:p>
            <w:pPr>
              <w:spacing w:after="0"/>
              <w:rPr>
                <w:sz w:val="1"/>
                <w:szCs w:val="1"/>
                <w:color w:val="auto"/>
              </w:rPr>
            </w:pPr>
          </w:p>
        </w:tc>
      </w:tr>
      <w:tr>
        <w:trPr>
          <w:trHeight w:val="167"/>
        </w:trPr>
        <w:tc>
          <w:tcPr>
            <w:tcW w:w="4460" w:type="dxa"/>
            <w:vAlign w:val="bottom"/>
            <w:tcBorders>
              <w:left w:val="single" w:sz="8" w:color="auto"/>
            </w:tcBorders>
          </w:tcPr>
          <w:p>
            <w:pPr>
              <w:jc w:val="center"/>
              <w:ind w:left="1198"/>
              <w:spacing w:after="0"/>
              <w:rPr>
                <w:sz w:val="20"/>
                <w:szCs w:val="20"/>
                <w:color w:val="auto"/>
              </w:rPr>
            </w:pPr>
            <w:r>
              <w:rPr>
                <w:rFonts w:ascii="Arial" w:cs="Arial" w:eastAsia="Arial" w:hAnsi="Arial"/>
                <w:sz w:val="12"/>
                <w:szCs w:val="12"/>
                <w:b w:val="1"/>
                <w:bCs w:val="1"/>
                <w:color w:val="auto"/>
              </w:rPr>
              <w:t>Total Liabilities</w:t>
            </w:r>
          </w:p>
        </w:tc>
        <w:tc>
          <w:tcPr>
            <w:tcW w:w="1260" w:type="dxa"/>
            <w:vAlign w:val="bottom"/>
            <w:tcBorders>
              <w:right w:val="single" w:sz="8" w:color="auto"/>
            </w:tcBorders>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168,645,448</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179,411,236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184,934,665</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3.1%</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rPr>
              <w:t>9.7%</w:t>
            </w:r>
          </w:p>
        </w:tc>
        <w:tc>
          <w:tcPr>
            <w:tcW w:w="0" w:type="dxa"/>
            <w:vAlign w:val="bottom"/>
          </w:tcPr>
          <w:p>
            <w:pPr>
              <w:spacing w:after="0"/>
              <w:rPr>
                <w:sz w:val="1"/>
                <w:szCs w:val="1"/>
                <w:color w:val="auto"/>
              </w:rPr>
            </w:pPr>
          </w:p>
        </w:tc>
      </w:tr>
      <w:tr>
        <w:trPr>
          <w:trHeight w:val="22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Net equity</w:t>
            </w:r>
          </w:p>
        </w:tc>
        <w:tc>
          <w:tcPr>
            <w:tcW w:w="1260" w:type="dxa"/>
            <w:vAlign w:val="bottom"/>
            <w:tcBorders>
              <w:right w:val="single" w:sz="8" w:color="auto"/>
            </w:tcBorders>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24,998,419</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9"/>
              </w:rPr>
              <w:t>25,347,135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26,007,483</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2.6%</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rPr>
              <w:t>4.0%</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Capital stock</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w w:val="99"/>
              </w:rPr>
              <w:t>12,679,794</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w w:val="99"/>
              </w:rPr>
              <w:t>12,679,794</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12,679,794</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rPr>
              <w:t>0.0%</w:t>
            </w:r>
          </w:p>
        </w:tc>
        <w:tc>
          <w:tcPr>
            <w:tcW w:w="780" w:type="dxa"/>
            <w:vAlign w:val="bottom"/>
            <w:tcBorders>
              <w:right w:val="single" w:sz="8" w:color="auto"/>
            </w:tcBorders>
          </w:tcPr>
          <w:p>
            <w:pPr>
              <w:jc w:val="center"/>
              <w:ind w:right="279"/>
              <w:spacing w:after="0" w:line="132" w:lineRule="exact"/>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Reserves</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rPr>
              <w:t>6,372,059</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rPr>
              <w:t>6,372,468</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5,905,440</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rPr>
              <w:t>-7.3%</w:t>
            </w:r>
          </w:p>
        </w:tc>
        <w:tc>
          <w:tcPr>
            <w:tcW w:w="780" w:type="dxa"/>
            <w:vAlign w:val="bottom"/>
            <w:tcBorders>
              <w:right w:val="single" w:sz="8" w:color="auto"/>
            </w:tcBorders>
          </w:tcPr>
          <w:p>
            <w:pPr>
              <w:jc w:val="center"/>
              <w:ind w:right="279"/>
              <w:spacing w:after="0" w:line="132" w:lineRule="exact"/>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Unrealized gains and losses</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rPr>
              <w:t>(108,012)</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rPr>
              <w:t>223,921</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82,590</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w w:val="99"/>
              </w:rPr>
              <w:t>n.a.</w:t>
            </w:r>
          </w:p>
        </w:tc>
        <w:tc>
          <w:tcPr>
            <w:tcW w:w="780" w:type="dxa"/>
            <w:vAlign w:val="bottom"/>
            <w:tcBorders>
              <w:right w:val="single" w:sz="8" w:color="auto"/>
            </w:tcBorders>
          </w:tcPr>
          <w:p>
            <w:pPr>
              <w:ind w:left="120"/>
              <w:spacing w:after="0" w:line="132" w:lineRule="exact"/>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1"/>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Retained earnings</w:t>
            </w:r>
          </w:p>
        </w:tc>
        <w:tc>
          <w:tcPr>
            <w:tcW w:w="1260" w:type="dxa"/>
            <w:vAlign w:val="bottom"/>
            <w:tcBorders>
              <w:right w:val="single" w:sz="8" w:color="auto"/>
            </w:tcBorders>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rPr>
              <w:t>6,054,578</w:t>
            </w:r>
          </w:p>
        </w:tc>
        <w:tc>
          <w:tcPr>
            <w:tcW w:w="1080" w:type="dxa"/>
            <w:vAlign w:val="bottom"/>
          </w:tcPr>
          <w:p>
            <w:pPr>
              <w:jc w:val="center"/>
              <w:spacing w:after="0"/>
              <w:rPr>
                <w:sz w:val="20"/>
                <w:szCs w:val="20"/>
                <w:color w:val="auto"/>
              </w:rPr>
            </w:pPr>
            <w:r>
              <w:rPr>
                <w:rFonts w:ascii="Arial" w:cs="Arial" w:eastAsia="Arial" w:hAnsi="Arial"/>
                <w:sz w:val="12"/>
                <w:szCs w:val="12"/>
                <w:color w:val="auto"/>
              </w:rPr>
              <w:t>6,070,952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7,339,659</w:t>
            </w:r>
          </w:p>
        </w:tc>
        <w:tc>
          <w:tcPr>
            <w:tcW w:w="1420" w:type="dxa"/>
            <w:vAlign w:val="bottom"/>
          </w:tcPr>
          <w:p>
            <w:pPr>
              <w:jc w:val="center"/>
              <w:ind w:right="259"/>
              <w:spacing w:after="0"/>
              <w:rPr>
                <w:sz w:val="20"/>
                <w:szCs w:val="20"/>
                <w:color w:val="auto"/>
              </w:rPr>
            </w:pPr>
            <w:r>
              <w:rPr>
                <w:rFonts w:ascii="Arial" w:cs="Arial" w:eastAsia="Arial" w:hAnsi="Arial"/>
                <w:sz w:val="12"/>
                <w:szCs w:val="12"/>
                <w:color w:val="auto"/>
                <w:w w:val="99"/>
              </w:rPr>
              <w:t>20.9%</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color w:val="auto"/>
                <w:w w:val="99"/>
              </w:rPr>
              <w:t>21.2%</w:t>
            </w:r>
          </w:p>
        </w:tc>
        <w:tc>
          <w:tcPr>
            <w:tcW w:w="0" w:type="dxa"/>
            <w:vAlign w:val="bottom"/>
          </w:tcPr>
          <w:p>
            <w:pPr>
              <w:spacing w:after="0"/>
              <w:rPr>
                <w:sz w:val="1"/>
                <w:szCs w:val="1"/>
                <w:color w:val="auto"/>
              </w:rPr>
            </w:pPr>
          </w:p>
        </w:tc>
      </w:tr>
      <w:tr>
        <w:trPr>
          <w:trHeight w:val="262"/>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Non-controlling interest</w:t>
            </w:r>
          </w:p>
        </w:tc>
        <w:tc>
          <w:tcPr>
            <w:tcW w:w="1260" w:type="dxa"/>
            <w:vAlign w:val="bottom"/>
            <w:tcBorders>
              <w:right w:val="single" w:sz="8" w:color="auto"/>
            </w:tcBorders>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rPr>
              <w:t>160,988</w:t>
            </w:r>
          </w:p>
        </w:tc>
        <w:tc>
          <w:tcPr>
            <w:tcW w:w="1080" w:type="dxa"/>
            <w:vAlign w:val="bottom"/>
          </w:tcPr>
          <w:p>
            <w:pPr>
              <w:jc w:val="center"/>
              <w:spacing w:after="0"/>
              <w:rPr>
                <w:sz w:val="20"/>
                <w:szCs w:val="20"/>
                <w:color w:val="auto"/>
              </w:rPr>
            </w:pPr>
            <w:r>
              <w:rPr>
                <w:rFonts w:ascii="Arial" w:cs="Arial" w:eastAsia="Arial" w:hAnsi="Arial"/>
                <w:sz w:val="12"/>
                <w:szCs w:val="12"/>
                <w:color w:val="auto"/>
              </w:rPr>
              <w:t>147,973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144,112</w:t>
            </w:r>
          </w:p>
        </w:tc>
        <w:tc>
          <w:tcPr>
            <w:tcW w:w="1420" w:type="dxa"/>
            <w:vAlign w:val="bottom"/>
          </w:tcPr>
          <w:p>
            <w:pPr>
              <w:jc w:val="center"/>
              <w:ind w:right="279"/>
              <w:spacing w:after="0"/>
              <w:rPr>
                <w:sz w:val="20"/>
                <w:szCs w:val="20"/>
                <w:color w:val="auto"/>
              </w:rPr>
            </w:pPr>
            <w:r>
              <w:rPr>
                <w:rFonts w:ascii="Arial" w:cs="Arial" w:eastAsia="Arial" w:hAnsi="Arial"/>
                <w:sz w:val="12"/>
                <w:szCs w:val="12"/>
                <w:color w:val="auto"/>
              </w:rPr>
              <w:t>-2.6%</w:t>
            </w:r>
          </w:p>
        </w:tc>
        <w:tc>
          <w:tcPr>
            <w:tcW w:w="780" w:type="dxa"/>
            <w:vAlign w:val="bottom"/>
            <w:tcBorders>
              <w:right w:val="single" w:sz="8" w:color="auto"/>
            </w:tcBorders>
          </w:tcPr>
          <w:p>
            <w:pPr>
              <w:jc w:val="center"/>
              <w:ind w:right="259"/>
              <w:spacing w:after="0"/>
              <w:rPr>
                <w:sz w:val="20"/>
                <w:szCs w:val="20"/>
                <w:color w:val="auto"/>
              </w:rPr>
            </w:pPr>
            <w:r>
              <w:rPr>
                <w:rFonts w:ascii="Arial" w:cs="Arial" w:eastAsia="Arial" w:hAnsi="Arial"/>
                <w:sz w:val="12"/>
                <w:szCs w:val="12"/>
                <w:color w:val="auto"/>
                <w:w w:val="99"/>
              </w:rPr>
              <w:t>-10.5%</w:t>
            </w:r>
          </w:p>
        </w:tc>
        <w:tc>
          <w:tcPr>
            <w:tcW w:w="0" w:type="dxa"/>
            <w:vAlign w:val="bottom"/>
          </w:tcPr>
          <w:p>
            <w:pPr>
              <w:spacing w:after="0"/>
              <w:rPr>
                <w:sz w:val="1"/>
                <w:szCs w:val="1"/>
                <w:color w:val="auto"/>
              </w:rPr>
            </w:pPr>
          </w:p>
        </w:tc>
      </w:tr>
      <w:tr>
        <w:trPr>
          <w:trHeight w:val="268"/>
        </w:trPr>
        <w:tc>
          <w:tcPr>
            <w:tcW w:w="4460" w:type="dxa"/>
            <w:vAlign w:val="bottom"/>
            <w:tcBorders>
              <w:left w:val="single" w:sz="8" w:color="auto"/>
            </w:tcBorders>
          </w:tcPr>
          <w:p>
            <w:pPr>
              <w:jc w:val="center"/>
              <w:ind w:left="1198"/>
              <w:spacing w:after="0"/>
              <w:rPr>
                <w:sz w:val="20"/>
                <w:szCs w:val="20"/>
                <w:color w:val="auto"/>
              </w:rPr>
            </w:pPr>
            <w:r>
              <w:rPr>
                <w:rFonts w:ascii="Arial" w:cs="Arial" w:eastAsia="Arial" w:hAnsi="Arial"/>
                <w:sz w:val="12"/>
                <w:szCs w:val="12"/>
                <w:b w:val="1"/>
                <w:bCs w:val="1"/>
                <w:color w:val="auto"/>
              </w:rPr>
              <w:t>Total Net Equity</w:t>
            </w:r>
          </w:p>
        </w:tc>
        <w:tc>
          <w:tcPr>
            <w:tcW w:w="1260" w:type="dxa"/>
            <w:vAlign w:val="bottom"/>
            <w:tcBorders>
              <w:right w:val="single" w:sz="8" w:color="auto"/>
            </w:tcBorders>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25,159,407</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9"/>
              </w:rPr>
              <w:t>25,495,108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26,151,595</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2.6%</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rPr>
              <w:t>3.9%</w:t>
            </w:r>
          </w:p>
        </w:tc>
        <w:tc>
          <w:tcPr>
            <w:tcW w:w="0" w:type="dxa"/>
            <w:vAlign w:val="bottom"/>
          </w:tcPr>
          <w:p>
            <w:pPr>
              <w:spacing w:after="0"/>
              <w:rPr>
                <w:sz w:val="1"/>
                <w:szCs w:val="1"/>
                <w:color w:val="auto"/>
              </w:rPr>
            </w:pPr>
          </w:p>
        </w:tc>
      </w:tr>
      <w:tr>
        <w:trPr>
          <w:trHeight w:val="262"/>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1260" w:type="dxa"/>
            <w:vAlign w:val="bottom"/>
            <w:tcBorders>
              <w:right w:val="single" w:sz="8" w:color="auto"/>
            </w:tcBorders>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193,804,855</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204,906,344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211,086,260</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3.0%</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rPr>
              <w:t>8.9%</w:t>
            </w:r>
          </w:p>
        </w:tc>
        <w:tc>
          <w:tcPr>
            <w:tcW w:w="0" w:type="dxa"/>
            <w:vAlign w:val="bottom"/>
          </w:tcPr>
          <w:p>
            <w:pPr>
              <w:spacing w:after="0"/>
              <w:rPr>
                <w:sz w:val="1"/>
                <w:szCs w:val="1"/>
                <w:color w:val="auto"/>
              </w:rPr>
            </w:pPr>
          </w:p>
        </w:tc>
      </w:tr>
      <w:tr>
        <w:trPr>
          <w:trHeight w:val="227"/>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Off-balance sheet</w:t>
            </w:r>
          </w:p>
        </w:tc>
        <w:tc>
          <w:tcPr>
            <w:tcW w:w="1260" w:type="dxa"/>
            <w:vAlign w:val="bottom"/>
            <w:tcBorders>
              <w:right w:val="single" w:sz="8" w:color="auto"/>
            </w:tcBorders>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138,140,917</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144,241,520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139,066,953</w:t>
            </w: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-3.6%</w:t>
            </w:r>
          </w:p>
        </w:tc>
        <w:tc>
          <w:tcPr>
            <w:tcW w:w="780" w:type="dxa"/>
            <w:vAlign w:val="bottom"/>
            <w:tcBorders>
              <w:right w:val="single" w:sz="8" w:color="auto"/>
            </w:tcBorders>
          </w:tcPr>
          <w:p>
            <w:pPr>
              <w:jc w:val="center"/>
              <w:ind w:right="279"/>
              <w:spacing w:after="0"/>
              <w:rPr>
                <w:sz w:val="20"/>
                <w:szCs w:val="20"/>
                <w:color w:val="auto"/>
              </w:rPr>
            </w:pPr>
            <w:r>
              <w:rPr>
                <w:rFonts w:ascii="Arial" w:cs="Arial" w:eastAsia="Arial" w:hAnsi="Arial"/>
                <w:sz w:val="12"/>
                <w:szCs w:val="12"/>
                <w:b w:val="1"/>
                <w:bCs w:val="1"/>
                <w:color w:val="auto"/>
              </w:rPr>
              <w:t>0.7%</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Total performance bonds, stand-by and L/Cs.</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w w:val="99"/>
              </w:rPr>
              <w:t>19,328,506</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w w:val="99"/>
              </w:rPr>
              <w:t>19,593,247</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21,683,478</w:t>
            </w:r>
          </w:p>
        </w:tc>
        <w:tc>
          <w:tcPr>
            <w:tcW w:w="1420" w:type="dxa"/>
            <w:vAlign w:val="bottom"/>
          </w:tcPr>
          <w:p>
            <w:pPr>
              <w:jc w:val="center"/>
              <w:ind w:right="259"/>
              <w:spacing w:after="0" w:line="132" w:lineRule="exact"/>
              <w:rPr>
                <w:sz w:val="20"/>
                <w:szCs w:val="20"/>
                <w:color w:val="auto"/>
              </w:rPr>
            </w:pPr>
            <w:r>
              <w:rPr>
                <w:rFonts w:ascii="Arial" w:cs="Arial" w:eastAsia="Arial" w:hAnsi="Arial"/>
                <w:sz w:val="12"/>
                <w:szCs w:val="12"/>
                <w:color w:val="auto"/>
                <w:w w:val="99"/>
              </w:rPr>
              <w:t>10.7%</w:t>
            </w:r>
          </w:p>
        </w:tc>
        <w:tc>
          <w:tcPr>
            <w:tcW w:w="780" w:type="dxa"/>
            <w:vAlign w:val="bottom"/>
            <w:tcBorders>
              <w:right w:val="single" w:sz="8" w:color="auto"/>
            </w:tcBorders>
          </w:tcPr>
          <w:p>
            <w:pPr>
              <w:jc w:val="center"/>
              <w:ind w:right="259"/>
              <w:spacing w:after="0" w:line="132" w:lineRule="exact"/>
              <w:rPr>
                <w:sz w:val="20"/>
                <w:szCs w:val="20"/>
                <w:color w:val="auto"/>
              </w:rPr>
            </w:pPr>
            <w:r>
              <w:rPr>
                <w:rFonts w:ascii="Arial" w:cs="Arial" w:eastAsia="Arial" w:hAnsi="Arial"/>
                <w:sz w:val="12"/>
                <w:szCs w:val="12"/>
                <w:color w:val="auto"/>
                <w:w w:val="99"/>
              </w:rPr>
              <w:t>12.2%</w:t>
            </w:r>
          </w:p>
        </w:tc>
        <w:tc>
          <w:tcPr>
            <w:tcW w:w="0" w:type="dxa"/>
            <w:vAlign w:val="bottom"/>
          </w:tcPr>
          <w:p>
            <w:pPr>
              <w:spacing w:after="0"/>
              <w:rPr>
                <w:sz w:val="1"/>
                <w:szCs w:val="1"/>
                <w:color w:val="auto"/>
              </w:rPr>
            </w:pPr>
          </w:p>
        </w:tc>
      </w:tr>
      <w:tr>
        <w:trPr>
          <w:trHeight w:val="131"/>
        </w:trPr>
        <w:tc>
          <w:tcPr>
            <w:tcW w:w="4460" w:type="dxa"/>
            <w:vAlign w:val="bottom"/>
            <w:tcBorders>
              <w:left w:val="single" w:sz="8" w:color="auto"/>
            </w:tcBorders>
          </w:tcPr>
          <w:p>
            <w:pPr>
              <w:ind w:left="20"/>
              <w:spacing w:after="0" w:line="132" w:lineRule="exact"/>
              <w:rPr>
                <w:sz w:val="20"/>
                <w:szCs w:val="20"/>
                <w:color w:val="auto"/>
              </w:rPr>
            </w:pPr>
            <w:r>
              <w:rPr>
                <w:rFonts w:ascii="Arial" w:cs="Arial" w:eastAsia="Arial" w:hAnsi="Arial"/>
                <w:sz w:val="12"/>
                <w:szCs w:val="12"/>
                <w:color w:val="auto"/>
              </w:rPr>
              <w:t>Undrawn credit lines, advised but not committed</w:t>
            </w:r>
          </w:p>
        </w:tc>
        <w:tc>
          <w:tcPr>
            <w:tcW w:w="1260" w:type="dxa"/>
            <w:vAlign w:val="bottom"/>
            <w:tcBorders>
              <w:right w:val="single" w:sz="8" w:color="auto"/>
            </w:tcBorders>
          </w:tcPr>
          <w:p>
            <w:pPr>
              <w:spacing w:after="0"/>
              <w:rPr>
                <w:sz w:val="11"/>
                <w:szCs w:val="11"/>
                <w:color w:val="auto"/>
              </w:rPr>
            </w:pPr>
          </w:p>
        </w:tc>
        <w:tc>
          <w:tcPr>
            <w:tcW w:w="1120" w:type="dxa"/>
            <w:vAlign w:val="bottom"/>
          </w:tcPr>
          <w:p>
            <w:pPr>
              <w:jc w:val="center"/>
              <w:spacing w:after="0" w:line="132" w:lineRule="exact"/>
              <w:rPr>
                <w:sz w:val="20"/>
                <w:szCs w:val="20"/>
                <w:color w:val="auto"/>
              </w:rPr>
            </w:pPr>
            <w:r>
              <w:rPr>
                <w:rFonts w:ascii="Arial" w:cs="Arial" w:eastAsia="Arial" w:hAnsi="Arial"/>
                <w:sz w:val="12"/>
                <w:szCs w:val="12"/>
                <w:color w:val="auto"/>
                <w:w w:val="99"/>
              </w:rPr>
              <w:t>76,719,565</w:t>
            </w:r>
          </w:p>
        </w:tc>
        <w:tc>
          <w:tcPr>
            <w:tcW w:w="1080" w:type="dxa"/>
            <w:vAlign w:val="bottom"/>
          </w:tcPr>
          <w:p>
            <w:pPr>
              <w:jc w:val="center"/>
              <w:spacing w:after="0" w:line="132" w:lineRule="exact"/>
              <w:rPr>
                <w:sz w:val="20"/>
                <w:szCs w:val="20"/>
                <w:color w:val="auto"/>
              </w:rPr>
            </w:pPr>
            <w:r>
              <w:rPr>
                <w:rFonts w:ascii="Arial" w:cs="Arial" w:eastAsia="Arial" w:hAnsi="Arial"/>
                <w:sz w:val="12"/>
                <w:szCs w:val="12"/>
                <w:color w:val="auto"/>
                <w:w w:val="99"/>
              </w:rPr>
              <w:t>77,964,739</w:t>
            </w:r>
          </w:p>
        </w:tc>
        <w:tc>
          <w:tcPr>
            <w:tcW w:w="11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74,193,794</w:t>
            </w:r>
          </w:p>
        </w:tc>
        <w:tc>
          <w:tcPr>
            <w:tcW w:w="1420" w:type="dxa"/>
            <w:vAlign w:val="bottom"/>
          </w:tcPr>
          <w:p>
            <w:pPr>
              <w:jc w:val="center"/>
              <w:ind w:right="279"/>
              <w:spacing w:after="0" w:line="132" w:lineRule="exact"/>
              <w:rPr>
                <w:sz w:val="20"/>
                <w:szCs w:val="20"/>
                <w:color w:val="auto"/>
              </w:rPr>
            </w:pPr>
            <w:r>
              <w:rPr>
                <w:rFonts w:ascii="Arial" w:cs="Arial" w:eastAsia="Arial" w:hAnsi="Arial"/>
                <w:sz w:val="12"/>
                <w:szCs w:val="12"/>
                <w:color w:val="auto"/>
              </w:rPr>
              <w:t>-4.8%</w:t>
            </w:r>
          </w:p>
        </w:tc>
        <w:tc>
          <w:tcPr>
            <w:tcW w:w="780" w:type="dxa"/>
            <w:vAlign w:val="bottom"/>
            <w:tcBorders>
              <w:right w:val="single" w:sz="8" w:color="auto"/>
            </w:tcBorders>
          </w:tcPr>
          <w:p>
            <w:pPr>
              <w:jc w:val="center"/>
              <w:ind w:right="279"/>
              <w:spacing w:after="0" w:line="132" w:lineRule="exact"/>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9"/>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Total derivatives (notional) and others</w:t>
            </w:r>
          </w:p>
        </w:tc>
        <w:tc>
          <w:tcPr>
            <w:tcW w:w="1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42,092,846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46,683,534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43,189,681</w:t>
            </w:r>
          </w:p>
        </w:tc>
        <w:tc>
          <w:tcPr>
            <w:tcW w:w="1420" w:type="dxa"/>
            <w:vAlign w:val="bottom"/>
            <w:tcBorders>
              <w:bottom w:val="single" w:sz="8" w:color="auto"/>
            </w:tcBorders>
          </w:tcPr>
          <w:p>
            <w:pPr>
              <w:jc w:val="center"/>
              <w:ind w:right="279"/>
              <w:spacing w:after="0"/>
              <w:rPr>
                <w:sz w:val="20"/>
                <w:szCs w:val="20"/>
                <w:color w:val="auto"/>
              </w:rPr>
            </w:pPr>
            <w:r>
              <w:rPr>
                <w:rFonts w:ascii="Arial" w:cs="Arial" w:eastAsia="Arial" w:hAnsi="Arial"/>
                <w:sz w:val="12"/>
                <w:szCs w:val="12"/>
                <w:color w:val="auto"/>
              </w:rPr>
              <w:t>-7.5%</w:t>
            </w:r>
          </w:p>
        </w:tc>
        <w:tc>
          <w:tcPr>
            <w:tcW w:w="780" w:type="dxa"/>
            <w:vAlign w:val="bottom"/>
            <w:tcBorders>
              <w:bottom w:val="single" w:sz="8" w:color="auto"/>
              <w:right w:val="single" w:sz="8" w:color="auto"/>
            </w:tcBorders>
          </w:tcPr>
          <w:p>
            <w:pPr>
              <w:jc w:val="center"/>
              <w:ind w:right="279"/>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-6228080</wp:posOffset>
            </wp:positionV>
            <wp:extent cx="1016000" cy="141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154" w:lineRule="exact"/>
        <w:rPr>
          <w:sz w:val="20"/>
          <w:szCs w:val="20"/>
          <w:color w:val="auto"/>
        </w:rPr>
      </w:pPr>
    </w:p>
    <w:p>
      <w:pPr>
        <w:ind w:left="220" w:hanging="215"/>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Right of use asset of lease contracts is included by application of IFRS 16.</w:t>
      </w:r>
    </w:p>
    <w:p>
      <w:pPr>
        <w:spacing w:after="0" w:line="10" w:lineRule="exact"/>
        <w:rPr>
          <w:rFonts w:ascii="Arial" w:cs="Arial" w:eastAsia="Arial" w:hAnsi="Arial"/>
          <w:sz w:val="14"/>
          <w:szCs w:val="14"/>
          <w:color w:val="auto"/>
        </w:rPr>
      </w:pPr>
    </w:p>
    <w:p>
      <w:pPr>
        <w:ind w:left="220" w:hanging="215"/>
        <w:spacing w:after="0" w:line="234" w:lineRule="auto"/>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Mainly includes intangible assets, other receivable accounts, trading derivatives receivable accounts and tax credit.</w:t>
      </w:r>
    </w:p>
    <w:p>
      <w:pPr>
        <w:ind w:left="220" w:hanging="215"/>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Mainly includes other payable accounts, trading derivatives payable accounts and taxes for payable.</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330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130" cy="23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Banco de Credito del Peru</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Income</w:t>
      </w:r>
    </w:p>
    <w:p>
      <w:pPr>
        <w:jc w:val="center"/>
        <w:spacing w:after="0"/>
        <w:rPr>
          <w:sz w:val="20"/>
          <w:szCs w:val="20"/>
          <w:color w:val="auto"/>
        </w:rPr>
      </w:pPr>
      <w:r>
        <w:rPr>
          <w:rFonts w:ascii="Arial" w:cs="Arial" w:eastAsia="Arial" w:hAnsi="Arial"/>
          <w:sz w:val="16"/>
          <w:szCs w:val="16"/>
          <w:b w:val="1"/>
          <w:bCs w:val="1"/>
          <w:color w:val="auto"/>
        </w:rPr>
        <w:t>(S/ thousands, IFRS)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4080" w:type="dxa"/>
            <w:vAlign w:val="bottom"/>
            <w:tcBorders>
              <w:top w:val="single" w:sz="8" w:color="auto"/>
              <w:left w:val="single" w:sz="8" w:color="auto"/>
              <w:right w:val="single" w:sz="8" w:color="auto"/>
            </w:tcBorders>
            <w:shd w:val="clear" w:color="auto" w:fill="33CCCC"/>
          </w:tcPr>
          <w:p>
            <w:pPr>
              <w:spacing w:after="0"/>
              <w:rPr>
                <w:sz w:val="10"/>
                <w:szCs w:val="10"/>
                <w:color w:val="auto"/>
              </w:rPr>
            </w:pPr>
          </w:p>
        </w:tc>
        <w:tc>
          <w:tcPr>
            <w:tcW w:w="900" w:type="dxa"/>
            <w:vAlign w:val="bottom"/>
            <w:tcBorders>
              <w:top w:val="single" w:sz="8" w:color="auto"/>
            </w:tcBorders>
            <w:shd w:val="clear" w:color="auto" w:fill="33CCCC"/>
          </w:tcPr>
          <w:p>
            <w:pPr>
              <w:spacing w:after="0"/>
              <w:rPr>
                <w:sz w:val="10"/>
                <w:szCs w:val="10"/>
                <w:color w:val="auto"/>
              </w:rPr>
            </w:pPr>
          </w:p>
        </w:tc>
        <w:tc>
          <w:tcPr>
            <w:tcW w:w="920" w:type="dxa"/>
            <w:vAlign w:val="bottom"/>
            <w:tcBorders>
              <w:top w:val="single" w:sz="8" w:color="auto"/>
            </w:tcBorders>
            <w:shd w:val="clear" w:color="auto" w:fill="33CCCC"/>
          </w:tcPr>
          <w:p>
            <w:pPr>
              <w:ind w:left="300"/>
              <w:spacing w:after="0"/>
              <w:rPr>
                <w:sz w:val="20"/>
                <w:szCs w:val="20"/>
                <w:color w:val="auto"/>
              </w:rPr>
            </w:pPr>
            <w:r>
              <w:rPr>
                <w:rFonts w:ascii="Arial" w:cs="Arial" w:eastAsia="Arial" w:hAnsi="Arial"/>
                <w:sz w:val="10"/>
                <w:szCs w:val="10"/>
                <w:b w:val="1"/>
                <w:bCs w:val="1"/>
                <w:color w:val="FFFFFF"/>
              </w:rPr>
              <w:t>Quarter</w:t>
            </w:r>
          </w:p>
        </w:tc>
        <w:tc>
          <w:tcPr>
            <w:tcW w:w="980" w:type="dxa"/>
            <w:vAlign w:val="bottom"/>
            <w:tcBorders>
              <w:top w:val="single" w:sz="8" w:color="auto"/>
              <w:right w:val="single" w:sz="8" w:color="auto"/>
            </w:tcBorders>
            <w:shd w:val="clear" w:color="auto" w:fill="33CCCC"/>
          </w:tcPr>
          <w:p>
            <w:pPr>
              <w:spacing w:after="0"/>
              <w:rPr>
                <w:sz w:val="10"/>
                <w:szCs w:val="10"/>
                <w:color w:val="auto"/>
              </w:rPr>
            </w:pPr>
          </w:p>
        </w:tc>
        <w:tc>
          <w:tcPr>
            <w:tcW w:w="1140" w:type="dxa"/>
            <w:vAlign w:val="bottom"/>
            <w:tcBorders>
              <w:top w:val="single" w:sz="8" w:color="auto"/>
            </w:tcBorders>
            <w:shd w:val="clear" w:color="auto" w:fill="33CCCC"/>
          </w:tcPr>
          <w:p>
            <w:pPr>
              <w:ind w:left="640"/>
              <w:spacing w:after="0"/>
              <w:rPr>
                <w:sz w:val="20"/>
                <w:szCs w:val="20"/>
                <w:color w:val="auto"/>
              </w:rPr>
            </w:pPr>
            <w:r>
              <w:rPr>
                <w:rFonts w:ascii="Arial" w:cs="Arial" w:eastAsia="Arial" w:hAnsi="Arial"/>
                <w:sz w:val="10"/>
                <w:szCs w:val="10"/>
                <w:b w:val="1"/>
                <w:bCs w:val="1"/>
                <w:color w:val="FFFFFF"/>
              </w:rPr>
              <w:t>% change</w:t>
            </w:r>
          </w:p>
        </w:tc>
        <w:tc>
          <w:tcPr>
            <w:tcW w:w="680" w:type="dxa"/>
            <w:vAlign w:val="bottom"/>
            <w:tcBorders>
              <w:top w:val="single" w:sz="8" w:color="auto"/>
              <w:right w:val="single" w:sz="8" w:color="auto"/>
            </w:tcBorders>
            <w:shd w:val="clear" w:color="auto" w:fill="33CCCC"/>
          </w:tcPr>
          <w:p>
            <w:pPr>
              <w:spacing w:after="0"/>
              <w:rPr>
                <w:sz w:val="10"/>
                <w:szCs w:val="10"/>
                <w:color w:val="auto"/>
              </w:rPr>
            </w:pPr>
          </w:p>
        </w:tc>
        <w:tc>
          <w:tcPr>
            <w:tcW w:w="720" w:type="dxa"/>
            <w:vAlign w:val="bottom"/>
            <w:tcBorders>
              <w:top w:val="single" w:sz="8" w:color="auto"/>
            </w:tcBorders>
            <w:shd w:val="clear" w:color="auto" w:fill="33CCCC"/>
          </w:tcPr>
          <w:p>
            <w:pPr>
              <w:spacing w:after="0"/>
              <w:rPr>
                <w:sz w:val="10"/>
                <w:szCs w:val="10"/>
                <w:color w:val="auto"/>
              </w:rPr>
            </w:pPr>
          </w:p>
        </w:tc>
        <w:tc>
          <w:tcPr>
            <w:tcW w:w="110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0"/>
                <w:szCs w:val="10"/>
                <w:b w:val="1"/>
                <w:bCs w:val="1"/>
                <w:color w:val="FFFFFF"/>
              </w:rPr>
              <w:t>As of</w:t>
            </w:r>
          </w:p>
        </w:tc>
        <w:tc>
          <w:tcPr>
            <w:tcW w:w="7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 Change</w:t>
            </w:r>
          </w:p>
        </w:tc>
      </w:tr>
      <w:tr>
        <w:trPr>
          <w:trHeight w:val="118"/>
        </w:trPr>
        <w:tc>
          <w:tcPr>
            <w:tcW w:w="4080" w:type="dxa"/>
            <w:vAlign w:val="bottom"/>
            <w:tcBorders>
              <w:left w:val="single" w:sz="8" w:color="auto"/>
              <w:right w:val="single" w:sz="8" w:color="auto"/>
            </w:tcBorders>
            <w:shd w:val="clear" w:color="auto" w:fill="33CCCC"/>
          </w:tcPr>
          <w:p>
            <w:pPr>
              <w:spacing w:after="0"/>
              <w:rPr>
                <w:sz w:val="10"/>
                <w:szCs w:val="10"/>
                <w:color w:val="auto"/>
              </w:rPr>
            </w:pPr>
          </w:p>
        </w:tc>
        <w:tc>
          <w:tcPr>
            <w:tcW w:w="900" w:type="dxa"/>
            <w:vAlign w:val="bottom"/>
            <w:shd w:val="clear" w:color="auto" w:fill="33CCCC"/>
          </w:tcPr>
          <w:p>
            <w:pPr>
              <w:jc w:val="center"/>
              <w:spacing w:after="0"/>
              <w:rPr>
                <w:sz w:val="20"/>
                <w:szCs w:val="20"/>
                <w:color w:val="auto"/>
              </w:rPr>
            </w:pPr>
            <w:r>
              <w:rPr>
                <w:rFonts w:ascii="Arial" w:cs="Arial" w:eastAsia="Arial" w:hAnsi="Arial"/>
                <w:sz w:val="10"/>
                <w:szCs w:val="10"/>
                <w:b w:val="1"/>
                <w:bCs w:val="1"/>
                <w:color w:val="FFFFFF"/>
              </w:rPr>
              <w:t>4Q23</w:t>
            </w:r>
          </w:p>
        </w:tc>
        <w:tc>
          <w:tcPr>
            <w:tcW w:w="920" w:type="dxa"/>
            <w:vAlign w:val="bottom"/>
            <w:shd w:val="clear" w:color="auto" w:fill="33CCCC"/>
          </w:tcPr>
          <w:p>
            <w:pPr>
              <w:jc w:val="center"/>
              <w:spacing w:after="0"/>
              <w:rPr>
                <w:sz w:val="20"/>
                <w:szCs w:val="20"/>
                <w:color w:val="auto"/>
              </w:rPr>
            </w:pPr>
            <w:r>
              <w:rPr>
                <w:rFonts w:ascii="Arial" w:cs="Arial" w:eastAsia="Arial" w:hAnsi="Arial"/>
                <w:sz w:val="10"/>
                <w:szCs w:val="10"/>
                <w:b w:val="1"/>
                <w:bCs w:val="1"/>
                <w:color w:val="FFFFFF"/>
              </w:rPr>
              <w:t>3Q24</w:t>
            </w:r>
          </w:p>
        </w:tc>
        <w:tc>
          <w:tcPr>
            <w:tcW w:w="980" w:type="dxa"/>
            <w:vAlign w:val="bottom"/>
            <w:tcBorders>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4Q24</w:t>
            </w:r>
          </w:p>
        </w:tc>
        <w:tc>
          <w:tcPr>
            <w:tcW w:w="1140" w:type="dxa"/>
            <w:vAlign w:val="bottom"/>
            <w:shd w:val="clear" w:color="auto" w:fill="33CCCC"/>
          </w:tcPr>
          <w:p>
            <w:pPr>
              <w:jc w:val="center"/>
              <w:ind w:right="248"/>
              <w:spacing w:after="0"/>
              <w:rPr>
                <w:sz w:val="20"/>
                <w:szCs w:val="20"/>
                <w:color w:val="auto"/>
              </w:rPr>
            </w:pPr>
            <w:r>
              <w:rPr>
                <w:rFonts w:ascii="Arial" w:cs="Arial" w:eastAsia="Arial" w:hAnsi="Arial"/>
                <w:sz w:val="10"/>
                <w:szCs w:val="10"/>
                <w:b w:val="1"/>
                <w:bCs w:val="1"/>
                <w:color w:val="FFFFFF"/>
              </w:rPr>
              <w:t>QoQ</w:t>
            </w:r>
          </w:p>
        </w:tc>
        <w:tc>
          <w:tcPr>
            <w:tcW w:w="680" w:type="dxa"/>
            <w:vAlign w:val="bottom"/>
            <w:tcBorders>
              <w:right w:val="single" w:sz="8" w:color="auto"/>
            </w:tcBorders>
            <w:shd w:val="clear" w:color="auto" w:fill="33CCCC"/>
          </w:tcPr>
          <w:p>
            <w:pPr>
              <w:ind w:left="80"/>
              <w:spacing w:after="0"/>
              <w:rPr>
                <w:sz w:val="20"/>
                <w:szCs w:val="20"/>
                <w:color w:val="auto"/>
              </w:rPr>
            </w:pPr>
            <w:r>
              <w:rPr>
                <w:rFonts w:ascii="Arial" w:cs="Arial" w:eastAsia="Arial" w:hAnsi="Arial"/>
                <w:sz w:val="10"/>
                <w:szCs w:val="10"/>
                <w:b w:val="1"/>
                <w:bCs w:val="1"/>
                <w:color w:val="FFFFFF"/>
              </w:rPr>
              <w:t>YoY</w:t>
            </w:r>
          </w:p>
        </w:tc>
        <w:tc>
          <w:tcPr>
            <w:tcW w:w="720" w:type="dxa"/>
            <w:vAlign w:val="bottom"/>
            <w:shd w:val="clear" w:color="auto" w:fill="33CCCC"/>
          </w:tcPr>
          <w:p>
            <w:pPr>
              <w:ind w:left="260"/>
              <w:spacing w:after="0"/>
              <w:rPr>
                <w:sz w:val="20"/>
                <w:szCs w:val="20"/>
                <w:color w:val="auto"/>
              </w:rPr>
            </w:pPr>
            <w:r>
              <w:rPr>
                <w:rFonts w:ascii="Arial" w:cs="Arial" w:eastAsia="Arial" w:hAnsi="Arial"/>
                <w:sz w:val="10"/>
                <w:szCs w:val="10"/>
                <w:b w:val="1"/>
                <w:bCs w:val="1"/>
                <w:color w:val="FFFFFF"/>
              </w:rPr>
              <w:t>Dec 23</w:t>
            </w:r>
          </w:p>
        </w:tc>
        <w:tc>
          <w:tcPr>
            <w:tcW w:w="1100" w:type="dxa"/>
            <w:vAlign w:val="bottom"/>
            <w:tcBorders>
              <w:right w:val="single" w:sz="8" w:color="auto"/>
            </w:tcBorders>
            <w:shd w:val="clear" w:color="auto" w:fill="33CCCC"/>
          </w:tcPr>
          <w:p>
            <w:pPr>
              <w:ind w:left="440"/>
              <w:spacing w:after="0"/>
              <w:rPr>
                <w:sz w:val="20"/>
                <w:szCs w:val="20"/>
                <w:color w:val="auto"/>
              </w:rPr>
            </w:pPr>
            <w:r>
              <w:rPr>
                <w:rFonts w:ascii="Arial" w:cs="Arial" w:eastAsia="Arial" w:hAnsi="Arial"/>
                <w:sz w:val="10"/>
                <w:szCs w:val="10"/>
                <w:b w:val="1"/>
                <w:bCs w:val="1"/>
                <w:color w:val="FFFFFF"/>
              </w:rPr>
              <w:t>Dec 24</w:t>
            </w:r>
          </w:p>
        </w:tc>
        <w:tc>
          <w:tcPr>
            <w:tcW w:w="720" w:type="dxa"/>
            <w:vAlign w:val="bottom"/>
            <w:tcBorders>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rPr>
              <w:t>Dec 24 / Dec</w:t>
            </w:r>
          </w:p>
        </w:tc>
      </w:tr>
      <w:tr>
        <w:trPr>
          <w:trHeight w:val="131"/>
        </w:trPr>
        <w:tc>
          <w:tcPr>
            <w:tcW w:w="408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00" w:type="dxa"/>
            <w:vAlign w:val="bottom"/>
            <w:tcBorders>
              <w:bottom w:val="single" w:sz="8" w:color="auto"/>
            </w:tcBorders>
            <w:shd w:val="clear" w:color="auto" w:fill="33CCCC"/>
          </w:tcPr>
          <w:p>
            <w:pPr>
              <w:spacing w:after="0"/>
              <w:rPr>
                <w:sz w:val="11"/>
                <w:szCs w:val="11"/>
                <w:color w:val="auto"/>
              </w:rPr>
            </w:pPr>
          </w:p>
        </w:tc>
        <w:tc>
          <w:tcPr>
            <w:tcW w:w="920" w:type="dxa"/>
            <w:vAlign w:val="bottom"/>
            <w:tcBorders>
              <w:bottom w:val="single" w:sz="8" w:color="auto"/>
            </w:tcBorders>
            <w:shd w:val="clear" w:color="auto" w:fill="33CCCC"/>
          </w:tcPr>
          <w:p>
            <w:pPr>
              <w:spacing w:after="0"/>
              <w:rPr>
                <w:sz w:val="11"/>
                <w:szCs w:val="11"/>
                <w:color w:val="auto"/>
              </w:rPr>
            </w:pPr>
          </w:p>
        </w:tc>
        <w:tc>
          <w:tcPr>
            <w:tcW w:w="980" w:type="dxa"/>
            <w:vAlign w:val="bottom"/>
            <w:tcBorders>
              <w:bottom w:val="single" w:sz="8" w:color="auto"/>
              <w:right w:val="single" w:sz="8" w:color="auto"/>
            </w:tcBorders>
            <w:shd w:val="clear" w:color="auto" w:fill="33CCCC"/>
          </w:tcPr>
          <w:p>
            <w:pPr>
              <w:spacing w:after="0"/>
              <w:rPr>
                <w:sz w:val="11"/>
                <w:szCs w:val="11"/>
                <w:color w:val="auto"/>
              </w:rPr>
            </w:pPr>
          </w:p>
        </w:tc>
        <w:tc>
          <w:tcPr>
            <w:tcW w:w="1140" w:type="dxa"/>
            <w:vAlign w:val="bottom"/>
            <w:tcBorders>
              <w:bottom w:val="single" w:sz="8" w:color="auto"/>
            </w:tcBorders>
            <w:shd w:val="clear" w:color="auto" w:fill="33CCCC"/>
          </w:tcPr>
          <w:p>
            <w:pPr>
              <w:spacing w:after="0"/>
              <w:rPr>
                <w:sz w:val="11"/>
                <w:szCs w:val="11"/>
                <w:color w:val="auto"/>
              </w:rPr>
            </w:pPr>
          </w:p>
        </w:tc>
        <w:tc>
          <w:tcPr>
            <w:tcW w:w="680" w:type="dxa"/>
            <w:vAlign w:val="bottom"/>
            <w:tcBorders>
              <w:bottom w:val="single" w:sz="8" w:color="auto"/>
              <w:right w:val="single" w:sz="8" w:color="auto"/>
            </w:tcBorders>
            <w:shd w:val="clear" w:color="auto" w:fill="33CCCC"/>
          </w:tcPr>
          <w:p>
            <w:pPr>
              <w:spacing w:after="0"/>
              <w:rPr>
                <w:sz w:val="11"/>
                <w:szCs w:val="11"/>
                <w:color w:val="auto"/>
              </w:rPr>
            </w:pPr>
          </w:p>
        </w:tc>
        <w:tc>
          <w:tcPr>
            <w:tcW w:w="720" w:type="dxa"/>
            <w:vAlign w:val="bottom"/>
            <w:tcBorders>
              <w:bottom w:val="single" w:sz="8" w:color="auto"/>
            </w:tcBorders>
            <w:shd w:val="clear" w:color="auto" w:fill="33CCCC"/>
          </w:tcPr>
          <w:p>
            <w:pPr>
              <w:spacing w:after="0"/>
              <w:rPr>
                <w:sz w:val="11"/>
                <w:szCs w:val="11"/>
                <w:color w:val="auto"/>
              </w:rPr>
            </w:pPr>
          </w:p>
        </w:tc>
        <w:tc>
          <w:tcPr>
            <w:tcW w:w="1100" w:type="dxa"/>
            <w:vAlign w:val="bottom"/>
            <w:tcBorders>
              <w:bottom w:val="single" w:sz="8" w:color="auto"/>
              <w:right w:val="single" w:sz="8" w:color="auto"/>
            </w:tcBorders>
            <w:shd w:val="clear" w:color="auto" w:fill="33CCCC"/>
          </w:tcPr>
          <w:p>
            <w:pPr>
              <w:spacing w:after="0"/>
              <w:rPr>
                <w:sz w:val="11"/>
                <w:szCs w:val="11"/>
                <w:color w:val="auto"/>
              </w:rPr>
            </w:pPr>
          </w:p>
        </w:tc>
        <w:tc>
          <w:tcPr>
            <w:tcW w:w="7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0"/>
                <w:szCs w:val="10"/>
                <w:b w:val="1"/>
                <w:bCs w:val="1"/>
                <w:color w:val="FFFFFF"/>
                <w:w w:val="89"/>
              </w:rPr>
              <w:t>23</w:t>
            </w:r>
          </w:p>
        </w:tc>
      </w:tr>
      <w:tr>
        <w:trPr>
          <w:trHeight w:val="98"/>
        </w:trPr>
        <w:tc>
          <w:tcPr>
            <w:tcW w:w="4080" w:type="dxa"/>
            <w:vAlign w:val="bottom"/>
            <w:tcBorders>
              <w:left w:val="single" w:sz="8" w:color="auto"/>
              <w:right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Interest income and expense</w:t>
            </w: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r>
      <w:tr>
        <w:trPr>
          <w:trHeight w:val="110"/>
        </w:trPr>
        <w:tc>
          <w:tcPr>
            <w:tcW w:w="4080" w:type="dxa"/>
            <w:vAlign w:val="bottom"/>
            <w:tcBorders>
              <w:left w:val="single" w:sz="8" w:color="auto"/>
              <w:right w:val="single" w:sz="8" w:color="auto"/>
            </w:tcBorders>
          </w:tcPr>
          <w:p>
            <w:pPr>
              <w:ind w:left="180"/>
              <w:spacing w:after="0" w:line="110" w:lineRule="exact"/>
              <w:rPr>
                <w:sz w:val="20"/>
                <w:szCs w:val="20"/>
                <w:color w:val="auto"/>
              </w:rPr>
            </w:pPr>
            <w:r>
              <w:rPr>
                <w:rFonts w:ascii="Arial" w:cs="Arial" w:eastAsia="Arial" w:hAnsi="Arial"/>
                <w:sz w:val="10"/>
                <w:szCs w:val="10"/>
                <w:color w:val="auto"/>
              </w:rPr>
              <w:t>Interest and similar income</w:t>
            </w:r>
          </w:p>
        </w:tc>
        <w:tc>
          <w:tcPr>
            <w:tcW w:w="900" w:type="dxa"/>
            <w:vAlign w:val="bottom"/>
          </w:tcPr>
          <w:p>
            <w:pPr>
              <w:jc w:val="center"/>
              <w:spacing w:after="0" w:line="110" w:lineRule="exact"/>
              <w:rPr>
                <w:sz w:val="20"/>
                <w:szCs w:val="20"/>
                <w:color w:val="auto"/>
              </w:rPr>
            </w:pPr>
            <w:r>
              <w:rPr>
                <w:rFonts w:ascii="Arial" w:cs="Arial" w:eastAsia="Arial" w:hAnsi="Arial"/>
                <w:sz w:val="10"/>
                <w:szCs w:val="10"/>
                <w:color w:val="auto"/>
              </w:rPr>
              <w:t>4,265,959</w:t>
            </w:r>
          </w:p>
        </w:tc>
        <w:tc>
          <w:tcPr>
            <w:tcW w:w="920" w:type="dxa"/>
            <w:vAlign w:val="bottom"/>
          </w:tcPr>
          <w:p>
            <w:pPr>
              <w:jc w:val="center"/>
              <w:spacing w:after="0" w:line="110" w:lineRule="exact"/>
              <w:rPr>
                <w:sz w:val="20"/>
                <w:szCs w:val="20"/>
                <w:color w:val="auto"/>
              </w:rPr>
            </w:pPr>
            <w:r>
              <w:rPr>
                <w:rFonts w:ascii="Arial" w:cs="Arial" w:eastAsia="Arial" w:hAnsi="Arial"/>
                <w:sz w:val="10"/>
                <w:szCs w:val="10"/>
                <w:color w:val="auto"/>
              </w:rPr>
              <w:t>4,363,712</w:t>
            </w:r>
          </w:p>
        </w:tc>
        <w:tc>
          <w:tcPr>
            <w:tcW w:w="9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4,381,994</w:t>
            </w:r>
          </w:p>
        </w:tc>
        <w:tc>
          <w:tcPr>
            <w:tcW w:w="1140" w:type="dxa"/>
            <w:vAlign w:val="bottom"/>
          </w:tcPr>
          <w:p>
            <w:pPr>
              <w:jc w:val="center"/>
              <w:ind w:right="248"/>
              <w:spacing w:after="0" w:line="110" w:lineRule="exact"/>
              <w:rPr>
                <w:sz w:val="20"/>
                <w:szCs w:val="20"/>
                <w:color w:val="auto"/>
              </w:rPr>
            </w:pPr>
            <w:r>
              <w:rPr>
                <w:rFonts w:ascii="Arial" w:cs="Arial" w:eastAsia="Arial" w:hAnsi="Arial"/>
                <w:sz w:val="10"/>
                <w:szCs w:val="10"/>
                <w:color w:val="auto"/>
              </w:rPr>
              <w:t>0.4%</w:t>
            </w:r>
          </w:p>
        </w:tc>
        <w:tc>
          <w:tcPr>
            <w:tcW w:w="680" w:type="dxa"/>
            <w:vAlign w:val="bottom"/>
            <w:tcBorders>
              <w:right w:val="single" w:sz="8" w:color="auto"/>
            </w:tcBorders>
          </w:tcPr>
          <w:p>
            <w:pPr>
              <w:jc w:val="center"/>
              <w:ind w:right="268"/>
              <w:spacing w:after="0" w:line="110" w:lineRule="exact"/>
              <w:rPr>
                <w:sz w:val="20"/>
                <w:szCs w:val="20"/>
                <w:color w:val="auto"/>
              </w:rPr>
            </w:pPr>
            <w:r>
              <w:rPr>
                <w:rFonts w:ascii="Arial" w:cs="Arial" w:eastAsia="Arial" w:hAnsi="Arial"/>
                <w:sz w:val="10"/>
                <w:szCs w:val="10"/>
                <w:color w:val="auto"/>
              </w:rPr>
              <w:t>2.7%</w:t>
            </w:r>
          </w:p>
        </w:tc>
        <w:tc>
          <w:tcPr>
            <w:tcW w:w="720" w:type="dxa"/>
            <w:vAlign w:val="bottom"/>
          </w:tcPr>
          <w:p>
            <w:pPr>
              <w:jc w:val="center"/>
              <w:ind w:left="68"/>
              <w:spacing w:after="0" w:line="110" w:lineRule="exact"/>
              <w:rPr>
                <w:sz w:val="20"/>
                <w:szCs w:val="20"/>
                <w:color w:val="auto"/>
              </w:rPr>
            </w:pPr>
            <w:r>
              <w:rPr>
                <w:rFonts w:ascii="Arial" w:cs="Arial" w:eastAsia="Arial" w:hAnsi="Arial"/>
                <w:sz w:val="10"/>
                <w:szCs w:val="10"/>
                <w:color w:val="auto"/>
              </w:rPr>
              <w:t>16,463,174</w:t>
            </w:r>
          </w:p>
        </w:tc>
        <w:tc>
          <w:tcPr>
            <w:tcW w:w="1100" w:type="dxa"/>
            <w:vAlign w:val="bottom"/>
            <w:tcBorders>
              <w:right w:val="single" w:sz="8" w:color="auto"/>
            </w:tcBorders>
          </w:tcPr>
          <w:p>
            <w:pPr>
              <w:jc w:val="center"/>
              <w:ind w:left="68"/>
              <w:spacing w:after="0" w:line="110" w:lineRule="exact"/>
              <w:rPr>
                <w:sz w:val="20"/>
                <w:szCs w:val="20"/>
                <w:color w:val="auto"/>
              </w:rPr>
            </w:pPr>
            <w:r>
              <w:rPr>
                <w:rFonts w:ascii="Arial" w:cs="Arial" w:eastAsia="Arial" w:hAnsi="Arial"/>
                <w:sz w:val="10"/>
                <w:szCs w:val="10"/>
                <w:color w:val="auto"/>
              </w:rPr>
              <w:t>17,346,146</w:t>
            </w:r>
          </w:p>
        </w:tc>
        <w:tc>
          <w:tcPr>
            <w:tcW w:w="72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5.4%</w:t>
            </w:r>
          </w:p>
        </w:tc>
      </w:tr>
      <w:tr>
        <w:trPr>
          <w:trHeight w:val="126"/>
        </w:trPr>
        <w:tc>
          <w:tcPr>
            <w:tcW w:w="4080" w:type="dxa"/>
            <w:vAlign w:val="bottom"/>
            <w:tcBorders>
              <w:left w:val="single" w:sz="8" w:color="auto"/>
              <w:right w:val="single" w:sz="8" w:color="auto"/>
            </w:tcBorders>
          </w:tcPr>
          <w:p>
            <w:pPr>
              <w:ind w:left="180"/>
              <w:spacing w:after="0" w:line="127" w:lineRule="exact"/>
              <w:rPr>
                <w:sz w:val="20"/>
                <w:szCs w:val="20"/>
                <w:color w:val="auto"/>
              </w:rPr>
            </w:pPr>
            <w:r>
              <w:rPr>
                <w:rFonts w:ascii="Arial" w:cs="Arial" w:eastAsia="Arial" w:hAnsi="Arial"/>
                <w:sz w:val="9"/>
                <w:szCs w:val="9"/>
                <w:color w:val="auto"/>
              </w:rPr>
              <w:t xml:space="preserve">Interest and similar expenses </w:t>
            </w:r>
            <w:r>
              <w:rPr>
                <w:rFonts w:ascii="Arial" w:cs="Arial" w:eastAsia="Arial" w:hAnsi="Arial"/>
                <w:sz w:val="14"/>
                <w:szCs w:val="14"/>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0"/>
                <w:szCs w:val="10"/>
                <w:color w:val="auto"/>
              </w:rPr>
              <w:t>(1,153,770)</w:t>
            </w:r>
          </w:p>
        </w:tc>
        <w:tc>
          <w:tcPr>
            <w:tcW w:w="920" w:type="dxa"/>
            <w:vAlign w:val="bottom"/>
          </w:tcPr>
          <w:p>
            <w:pPr>
              <w:jc w:val="center"/>
              <w:spacing w:after="0"/>
              <w:rPr>
                <w:sz w:val="20"/>
                <w:szCs w:val="20"/>
                <w:color w:val="auto"/>
              </w:rPr>
            </w:pPr>
            <w:r>
              <w:rPr>
                <w:rFonts w:ascii="Arial" w:cs="Arial" w:eastAsia="Arial" w:hAnsi="Arial"/>
                <w:sz w:val="10"/>
                <w:szCs w:val="10"/>
                <w:color w:val="auto"/>
              </w:rPr>
              <w:t>(1,040,332)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(1,025,087)</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-1.5%</w:t>
            </w:r>
          </w:p>
        </w:tc>
        <w:tc>
          <w:tcPr>
            <w:tcW w:w="680" w:type="dxa"/>
            <w:vAlign w:val="bottom"/>
            <w:tcBorders>
              <w:right w:val="single" w:sz="8" w:color="auto"/>
            </w:tcBorders>
          </w:tcPr>
          <w:p>
            <w:pPr>
              <w:jc w:val="center"/>
              <w:ind w:right="268"/>
              <w:spacing w:after="0"/>
              <w:rPr>
                <w:sz w:val="20"/>
                <w:szCs w:val="20"/>
                <w:color w:val="auto"/>
              </w:rPr>
            </w:pPr>
            <w:r>
              <w:rPr>
                <w:rFonts w:ascii="Arial" w:cs="Arial" w:eastAsia="Arial" w:hAnsi="Arial"/>
                <w:sz w:val="10"/>
                <w:szCs w:val="10"/>
                <w:color w:val="auto"/>
              </w:rPr>
              <w:t>-11.2%</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(4,477,974)</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(4,286,492)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-4.3%</w:t>
            </w:r>
          </w:p>
        </w:tc>
      </w:tr>
      <w:tr>
        <w:trPr>
          <w:trHeight w:val="143"/>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Interest income and expense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3,112,189</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3,323,380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3,356,907</w:t>
            </w:r>
          </w:p>
        </w:tc>
        <w:tc>
          <w:tcPr>
            <w:tcW w:w="1140" w:type="dxa"/>
            <w:vAlign w:val="bottom"/>
          </w:tcPr>
          <w:p>
            <w:pPr>
              <w:jc w:val="center"/>
              <w:ind w:right="248"/>
              <w:spacing w:after="0"/>
              <w:rPr>
                <w:sz w:val="20"/>
                <w:szCs w:val="20"/>
                <w:color w:val="auto"/>
              </w:rPr>
            </w:pPr>
            <w:r>
              <w:rPr>
                <w:rFonts w:ascii="Arial" w:cs="Arial" w:eastAsia="Arial" w:hAnsi="Arial"/>
                <w:sz w:val="10"/>
                <w:szCs w:val="10"/>
                <w:b w:val="1"/>
                <w:bCs w:val="1"/>
                <w:color w:val="auto"/>
              </w:rPr>
              <w:t>1.0%</w:t>
            </w:r>
          </w:p>
        </w:tc>
        <w:tc>
          <w:tcPr>
            <w:tcW w:w="680" w:type="dxa"/>
            <w:vAlign w:val="bottom"/>
            <w:tcBorders>
              <w:right w:val="single" w:sz="8" w:color="auto"/>
            </w:tcBorders>
          </w:tcPr>
          <w:p>
            <w:pPr>
              <w:jc w:val="center"/>
              <w:ind w:right="268"/>
              <w:spacing w:after="0"/>
              <w:rPr>
                <w:sz w:val="20"/>
                <w:szCs w:val="20"/>
                <w:color w:val="auto"/>
              </w:rPr>
            </w:pPr>
            <w:r>
              <w:rPr>
                <w:rFonts w:ascii="Arial" w:cs="Arial" w:eastAsia="Arial" w:hAnsi="Arial"/>
                <w:sz w:val="10"/>
                <w:szCs w:val="10"/>
                <w:b w:val="1"/>
                <w:bCs w:val="1"/>
                <w:color w:val="auto"/>
              </w:rPr>
              <w:t>7.9%</w:t>
            </w:r>
          </w:p>
        </w:tc>
        <w:tc>
          <w:tcPr>
            <w:tcW w:w="720" w:type="dxa"/>
            <w:vAlign w:val="bottom"/>
          </w:tcPr>
          <w:p>
            <w:pPr>
              <w:jc w:val="center"/>
              <w:ind w:left="68"/>
              <w:spacing w:after="0"/>
              <w:rPr>
                <w:sz w:val="20"/>
                <w:szCs w:val="20"/>
                <w:color w:val="auto"/>
              </w:rPr>
            </w:pPr>
            <w:r>
              <w:rPr>
                <w:rFonts w:ascii="Arial" w:cs="Arial" w:eastAsia="Arial" w:hAnsi="Arial"/>
                <w:sz w:val="10"/>
                <w:szCs w:val="10"/>
                <w:b w:val="1"/>
                <w:bCs w:val="1"/>
                <w:color w:val="auto"/>
              </w:rPr>
              <w:t>11,985,200</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13,059,654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9.0%</w:t>
            </w:r>
          </w:p>
        </w:tc>
      </w:tr>
      <w:tr>
        <w:trPr>
          <w:trHeight w:val="21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Provision for credit losses on loan portfolio</w:t>
            </w:r>
          </w:p>
        </w:tc>
        <w:tc>
          <w:tcPr>
            <w:tcW w:w="900" w:type="dxa"/>
            <w:vAlign w:val="bottom"/>
          </w:tcPr>
          <w:p>
            <w:pPr>
              <w:jc w:val="center"/>
              <w:spacing w:after="0"/>
              <w:rPr>
                <w:sz w:val="20"/>
                <w:szCs w:val="20"/>
                <w:color w:val="auto"/>
              </w:rPr>
            </w:pPr>
            <w:r>
              <w:rPr>
                <w:rFonts w:ascii="Arial" w:cs="Arial" w:eastAsia="Arial" w:hAnsi="Arial"/>
                <w:sz w:val="10"/>
                <w:szCs w:val="10"/>
                <w:color w:val="auto"/>
              </w:rPr>
              <w:t>(1,160,527)</w:t>
            </w:r>
          </w:p>
        </w:tc>
        <w:tc>
          <w:tcPr>
            <w:tcW w:w="920" w:type="dxa"/>
            <w:vAlign w:val="bottom"/>
          </w:tcPr>
          <w:p>
            <w:pPr>
              <w:jc w:val="center"/>
              <w:spacing w:after="0"/>
              <w:rPr>
                <w:sz w:val="20"/>
                <w:szCs w:val="20"/>
                <w:color w:val="auto"/>
              </w:rPr>
            </w:pPr>
            <w:r>
              <w:rPr>
                <w:rFonts w:ascii="Arial" w:cs="Arial" w:eastAsia="Arial" w:hAnsi="Arial"/>
                <w:sz w:val="10"/>
                <w:szCs w:val="10"/>
                <w:color w:val="auto"/>
              </w:rPr>
              <w:t>(935,374)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(786,209)</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-15.9%</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-32.3%</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(3,768,729)</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(3,683,332)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-2.3%</w:t>
            </w:r>
          </w:p>
        </w:tc>
      </w:tr>
      <w:tr>
        <w:trPr>
          <w:trHeight w:val="118"/>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Recoveries of written-off loans</w:t>
            </w:r>
          </w:p>
        </w:tc>
        <w:tc>
          <w:tcPr>
            <w:tcW w:w="900" w:type="dxa"/>
            <w:vAlign w:val="bottom"/>
          </w:tcPr>
          <w:p>
            <w:pPr>
              <w:jc w:val="center"/>
              <w:spacing w:after="0"/>
              <w:rPr>
                <w:sz w:val="20"/>
                <w:szCs w:val="20"/>
                <w:color w:val="auto"/>
              </w:rPr>
            </w:pPr>
            <w:r>
              <w:rPr>
                <w:rFonts w:ascii="Arial" w:cs="Arial" w:eastAsia="Arial" w:hAnsi="Arial"/>
                <w:sz w:val="10"/>
                <w:szCs w:val="10"/>
                <w:color w:val="auto"/>
              </w:rPr>
              <w:t>81,398</w:t>
            </w:r>
          </w:p>
        </w:tc>
        <w:tc>
          <w:tcPr>
            <w:tcW w:w="920" w:type="dxa"/>
            <w:vAlign w:val="bottom"/>
          </w:tcPr>
          <w:p>
            <w:pPr>
              <w:jc w:val="center"/>
              <w:spacing w:after="0"/>
              <w:rPr>
                <w:sz w:val="20"/>
                <w:szCs w:val="20"/>
                <w:color w:val="auto"/>
              </w:rPr>
            </w:pPr>
            <w:r>
              <w:rPr>
                <w:rFonts w:ascii="Arial" w:cs="Arial" w:eastAsia="Arial" w:hAnsi="Arial"/>
                <w:sz w:val="10"/>
                <w:szCs w:val="10"/>
                <w:color w:val="auto"/>
              </w:rPr>
              <w:t>107,848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108,560</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0.7%</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33.4%</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313,405</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402,380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28.4%</w:t>
            </w:r>
          </w:p>
        </w:tc>
      </w:tr>
      <w:tr>
        <w:trPr>
          <w:trHeight w:val="143"/>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Provision for credit losses on loan portfolio, net of recoveries</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(1,079,129)</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(827,526)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(677,649)</w:t>
            </w:r>
          </w:p>
        </w:tc>
        <w:tc>
          <w:tcPr>
            <w:tcW w:w="1140" w:type="dxa"/>
            <w:vAlign w:val="bottom"/>
          </w:tcPr>
          <w:p>
            <w:pPr>
              <w:jc w:val="center"/>
              <w:ind w:right="248"/>
              <w:spacing w:after="0"/>
              <w:rPr>
                <w:sz w:val="20"/>
                <w:szCs w:val="20"/>
                <w:color w:val="auto"/>
              </w:rPr>
            </w:pPr>
            <w:r>
              <w:rPr>
                <w:rFonts w:ascii="Arial" w:cs="Arial" w:eastAsia="Arial" w:hAnsi="Arial"/>
                <w:sz w:val="10"/>
                <w:szCs w:val="10"/>
                <w:b w:val="1"/>
                <w:bCs w:val="1"/>
                <w:color w:val="auto"/>
              </w:rPr>
              <w:t>-18.1%</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rPr>
              <w:t>-37.2%</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(3,455,324)</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(3,280,952)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-5.0%</w:t>
            </w:r>
          </w:p>
        </w:tc>
      </w:tr>
      <w:tr>
        <w:trPr>
          <w:trHeight w:val="21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interest, similar income and expenses, after provision for credit losses on</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2,033,060</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2,495,854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2,679,258</w:t>
            </w:r>
          </w:p>
        </w:tc>
        <w:tc>
          <w:tcPr>
            <w:tcW w:w="1140" w:type="dxa"/>
            <w:vAlign w:val="bottom"/>
          </w:tcPr>
          <w:p>
            <w:pPr>
              <w:jc w:val="center"/>
              <w:ind w:right="248"/>
              <w:spacing w:after="0"/>
              <w:rPr>
                <w:sz w:val="20"/>
                <w:szCs w:val="20"/>
                <w:color w:val="auto"/>
              </w:rPr>
            </w:pPr>
            <w:r>
              <w:rPr>
                <w:rFonts w:ascii="Arial" w:cs="Arial" w:eastAsia="Arial" w:hAnsi="Arial"/>
                <w:sz w:val="10"/>
                <w:szCs w:val="10"/>
                <w:b w:val="1"/>
                <w:bCs w:val="1"/>
                <w:color w:val="auto"/>
              </w:rPr>
              <w:t>7.3%</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rPr>
              <w:t>31.8%</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8,529,876</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9,778,702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14.6%</w:t>
            </w:r>
          </w:p>
        </w:tc>
      </w:tr>
      <w:tr>
        <w:trPr>
          <w:trHeight w:val="143"/>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loan portfolio</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r>
      <w:tr>
        <w:trPr>
          <w:trHeight w:val="21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Other income</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118"/>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Fee income</w:t>
            </w:r>
          </w:p>
        </w:tc>
        <w:tc>
          <w:tcPr>
            <w:tcW w:w="900" w:type="dxa"/>
            <w:vAlign w:val="bottom"/>
          </w:tcPr>
          <w:p>
            <w:pPr>
              <w:jc w:val="center"/>
              <w:spacing w:after="0"/>
              <w:rPr>
                <w:sz w:val="20"/>
                <w:szCs w:val="20"/>
                <w:color w:val="auto"/>
              </w:rPr>
            </w:pPr>
            <w:r>
              <w:rPr>
                <w:rFonts w:ascii="Arial" w:cs="Arial" w:eastAsia="Arial" w:hAnsi="Arial"/>
                <w:sz w:val="10"/>
                <w:szCs w:val="10"/>
                <w:color w:val="auto"/>
              </w:rPr>
              <w:t>773,261</w:t>
            </w:r>
          </w:p>
        </w:tc>
        <w:tc>
          <w:tcPr>
            <w:tcW w:w="920" w:type="dxa"/>
            <w:vAlign w:val="bottom"/>
          </w:tcPr>
          <w:p>
            <w:pPr>
              <w:jc w:val="center"/>
              <w:spacing w:after="0"/>
              <w:rPr>
                <w:sz w:val="20"/>
                <w:szCs w:val="20"/>
                <w:color w:val="auto"/>
              </w:rPr>
            </w:pPr>
            <w:r>
              <w:rPr>
                <w:rFonts w:ascii="Arial" w:cs="Arial" w:eastAsia="Arial" w:hAnsi="Arial"/>
                <w:sz w:val="10"/>
                <w:szCs w:val="10"/>
                <w:color w:val="auto"/>
              </w:rPr>
              <w:t>898,766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912,573</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1.5%</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18.0%</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3,039,965</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3,442,417</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13.2%</w:t>
            </w:r>
          </w:p>
        </w:tc>
      </w:tr>
      <w:tr>
        <w:trPr>
          <w:trHeight w:val="118"/>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gain on foreign exchange transactions</w:t>
            </w:r>
          </w:p>
        </w:tc>
        <w:tc>
          <w:tcPr>
            <w:tcW w:w="900" w:type="dxa"/>
            <w:vAlign w:val="bottom"/>
          </w:tcPr>
          <w:p>
            <w:pPr>
              <w:jc w:val="center"/>
              <w:spacing w:after="0"/>
              <w:rPr>
                <w:sz w:val="20"/>
                <w:szCs w:val="20"/>
                <w:color w:val="auto"/>
              </w:rPr>
            </w:pPr>
            <w:r>
              <w:rPr>
                <w:rFonts w:ascii="Arial" w:cs="Arial" w:eastAsia="Arial" w:hAnsi="Arial"/>
                <w:sz w:val="10"/>
                <w:szCs w:val="10"/>
                <w:color w:val="auto"/>
              </w:rPr>
              <w:t>268,615</w:t>
            </w:r>
          </w:p>
        </w:tc>
        <w:tc>
          <w:tcPr>
            <w:tcW w:w="920" w:type="dxa"/>
            <w:vAlign w:val="bottom"/>
          </w:tcPr>
          <w:p>
            <w:pPr>
              <w:jc w:val="center"/>
              <w:spacing w:after="0"/>
              <w:rPr>
                <w:sz w:val="20"/>
                <w:szCs w:val="20"/>
                <w:color w:val="auto"/>
              </w:rPr>
            </w:pPr>
            <w:r>
              <w:rPr>
                <w:rFonts w:ascii="Arial" w:cs="Arial" w:eastAsia="Arial" w:hAnsi="Arial"/>
                <w:sz w:val="10"/>
                <w:szCs w:val="10"/>
                <w:color w:val="auto"/>
              </w:rPr>
              <w:t>299,425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313,538</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4.7%</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16.7%</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997,648</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1,166,567</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16.9%</w:t>
            </w:r>
          </w:p>
        </w:tc>
      </w:tr>
      <w:tr>
        <w:trPr>
          <w:trHeight w:val="118"/>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gain (loss) on securities</w:t>
            </w:r>
          </w:p>
        </w:tc>
        <w:tc>
          <w:tcPr>
            <w:tcW w:w="900" w:type="dxa"/>
            <w:vAlign w:val="bottom"/>
          </w:tcPr>
          <w:p>
            <w:pPr>
              <w:jc w:val="center"/>
              <w:spacing w:after="0"/>
              <w:rPr>
                <w:sz w:val="20"/>
                <w:szCs w:val="20"/>
                <w:color w:val="auto"/>
              </w:rPr>
            </w:pPr>
            <w:r>
              <w:rPr>
                <w:rFonts w:ascii="Arial" w:cs="Arial" w:eastAsia="Arial" w:hAnsi="Arial"/>
                <w:sz w:val="10"/>
                <w:szCs w:val="10"/>
                <w:color w:val="auto"/>
              </w:rPr>
              <w:t>10,759</w:t>
            </w:r>
          </w:p>
        </w:tc>
        <w:tc>
          <w:tcPr>
            <w:tcW w:w="920" w:type="dxa"/>
            <w:vAlign w:val="bottom"/>
          </w:tcPr>
          <w:p>
            <w:pPr>
              <w:jc w:val="center"/>
              <w:spacing w:after="0"/>
              <w:rPr>
                <w:sz w:val="20"/>
                <w:szCs w:val="20"/>
                <w:color w:val="auto"/>
              </w:rPr>
            </w:pPr>
            <w:r>
              <w:rPr>
                <w:rFonts w:ascii="Arial" w:cs="Arial" w:eastAsia="Arial" w:hAnsi="Arial"/>
                <w:sz w:val="10"/>
                <w:szCs w:val="10"/>
                <w:color w:val="auto"/>
              </w:rPr>
              <w:t>24,114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(19,571)</w:t>
            </w:r>
          </w:p>
        </w:tc>
        <w:tc>
          <w:tcPr>
            <w:tcW w:w="1140" w:type="dxa"/>
            <w:vAlign w:val="bottom"/>
          </w:tcPr>
          <w:p>
            <w:pPr>
              <w:jc w:val="center"/>
              <w:ind w:right="228"/>
              <w:spacing w:after="0"/>
              <w:rPr>
                <w:sz w:val="20"/>
                <w:szCs w:val="20"/>
                <w:color w:val="auto"/>
              </w:rPr>
            </w:pPr>
            <w:r>
              <w:rPr>
                <w:rFonts w:ascii="Arial" w:cs="Arial" w:eastAsia="Arial" w:hAnsi="Arial"/>
                <w:sz w:val="10"/>
                <w:szCs w:val="10"/>
                <w:color w:val="auto"/>
              </w:rPr>
              <w:t>n.a.</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0"/>
                <w:szCs w:val="10"/>
                <w:color w:val="auto"/>
              </w:rPr>
              <w:t>n.a.</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(23,102)</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27,933</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n.a.</w:t>
            </w:r>
          </w:p>
        </w:tc>
      </w:tr>
      <w:tr>
        <w:trPr>
          <w:trHeight w:val="118"/>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gain on derivatives held for trading</w:t>
            </w:r>
          </w:p>
        </w:tc>
        <w:tc>
          <w:tcPr>
            <w:tcW w:w="900" w:type="dxa"/>
            <w:vAlign w:val="bottom"/>
          </w:tcPr>
          <w:p>
            <w:pPr>
              <w:jc w:val="center"/>
              <w:spacing w:after="0"/>
              <w:rPr>
                <w:sz w:val="20"/>
                <w:szCs w:val="20"/>
                <w:color w:val="auto"/>
              </w:rPr>
            </w:pPr>
            <w:r>
              <w:rPr>
                <w:rFonts w:ascii="Arial" w:cs="Arial" w:eastAsia="Arial" w:hAnsi="Arial"/>
                <w:sz w:val="10"/>
                <w:szCs w:val="10"/>
                <w:color w:val="auto"/>
              </w:rPr>
              <w:t>21,750</w:t>
            </w:r>
          </w:p>
        </w:tc>
        <w:tc>
          <w:tcPr>
            <w:tcW w:w="920" w:type="dxa"/>
            <w:vAlign w:val="bottom"/>
          </w:tcPr>
          <w:p>
            <w:pPr>
              <w:jc w:val="center"/>
              <w:spacing w:after="0"/>
              <w:rPr>
                <w:sz w:val="20"/>
                <w:szCs w:val="20"/>
                <w:color w:val="auto"/>
              </w:rPr>
            </w:pPr>
            <w:r>
              <w:rPr>
                <w:rFonts w:ascii="Arial" w:cs="Arial" w:eastAsia="Arial" w:hAnsi="Arial"/>
                <w:sz w:val="10"/>
                <w:szCs w:val="10"/>
                <w:color w:val="auto"/>
              </w:rPr>
              <w:t>13,639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24,881</w:t>
            </w:r>
          </w:p>
        </w:tc>
        <w:tc>
          <w:tcPr>
            <w:tcW w:w="1140" w:type="dxa"/>
            <w:vAlign w:val="bottom"/>
          </w:tcPr>
          <w:p>
            <w:pPr>
              <w:jc w:val="center"/>
              <w:ind w:right="228"/>
              <w:spacing w:after="0"/>
              <w:rPr>
                <w:sz w:val="20"/>
                <w:szCs w:val="20"/>
                <w:color w:val="auto"/>
              </w:rPr>
            </w:pPr>
            <w:r>
              <w:rPr>
                <w:rFonts w:ascii="Arial" w:cs="Arial" w:eastAsia="Arial" w:hAnsi="Arial"/>
                <w:sz w:val="10"/>
                <w:szCs w:val="10"/>
                <w:color w:val="auto"/>
              </w:rPr>
              <w:t>82.4%</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14.4%</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99,156</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77,674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-21.7%</w:t>
            </w:r>
          </w:p>
        </w:tc>
      </w:tr>
      <w:tr>
        <w:trPr>
          <w:trHeight w:val="118"/>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Net loss (gain) from exchange differences</w:t>
            </w:r>
          </w:p>
        </w:tc>
        <w:tc>
          <w:tcPr>
            <w:tcW w:w="900" w:type="dxa"/>
            <w:vAlign w:val="bottom"/>
          </w:tcPr>
          <w:p>
            <w:pPr>
              <w:jc w:val="center"/>
              <w:spacing w:after="0"/>
              <w:rPr>
                <w:sz w:val="20"/>
                <w:szCs w:val="20"/>
                <w:color w:val="auto"/>
              </w:rPr>
            </w:pPr>
            <w:r>
              <w:rPr>
                <w:rFonts w:ascii="Arial" w:cs="Arial" w:eastAsia="Arial" w:hAnsi="Arial"/>
                <w:sz w:val="10"/>
                <w:szCs w:val="10"/>
                <w:color w:val="auto"/>
              </w:rPr>
              <w:t>8,795</w:t>
            </w:r>
          </w:p>
        </w:tc>
        <w:tc>
          <w:tcPr>
            <w:tcW w:w="920" w:type="dxa"/>
            <w:vAlign w:val="bottom"/>
          </w:tcPr>
          <w:p>
            <w:pPr>
              <w:jc w:val="center"/>
              <w:spacing w:after="0"/>
              <w:rPr>
                <w:sz w:val="20"/>
                <w:szCs w:val="20"/>
                <w:color w:val="auto"/>
              </w:rPr>
            </w:pPr>
            <w:r>
              <w:rPr>
                <w:rFonts w:ascii="Arial" w:cs="Arial" w:eastAsia="Arial" w:hAnsi="Arial"/>
                <w:sz w:val="10"/>
                <w:szCs w:val="10"/>
                <w:color w:val="auto"/>
              </w:rPr>
              <w:t>(10,714)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(1,989)</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-81.4%</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0"/>
                <w:szCs w:val="10"/>
                <w:color w:val="auto"/>
              </w:rPr>
              <w:t>n.a.</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9,431</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(5,455)</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n.a.</w:t>
            </w:r>
          </w:p>
        </w:tc>
      </w:tr>
      <w:tr>
        <w:trPr>
          <w:trHeight w:val="118"/>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Others</w:t>
            </w:r>
          </w:p>
        </w:tc>
        <w:tc>
          <w:tcPr>
            <w:tcW w:w="900" w:type="dxa"/>
            <w:vAlign w:val="bottom"/>
          </w:tcPr>
          <w:p>
            <w:pPr>
              <w:jc w:val="center"/>
              <w:spacing w:after="0"/>
              <w:rPr>
                <w:sz w:val="20"/>
                <w:szCs w:val="20"/>
                <w:color w:val="auto"/>
              </w:rPr>
            </w:pPr>
            <w:r>
              <w:rPr>
                <w:rFonts w:ascii="Arial" w:cs="Arial" w:eastAsia="Arial" w:hAnsi="Arial"/>
                <w:sz w:val="10"/>
                <w:szCs w:val="10"/>
                <w:color w:val="auto"/>
              </w:rPr>
              <w:t>101,244</w:t>
            </w:r>
          </w:p>
        </w:tc>
        <w:tc>
          <w:tcPr>
            <w:tcW w:w="920" w:type="dxa"/>
            <w:vAlign w:val="bottom"/>
          </w:tcPr>
          <w:p>
            <w:pPr>
              <w:jc w:val="center"/>
              <w:spacing w:after="0"/>
              <w:rPr>
                <w:sz w:val="20"/>
                <w:szCs w:val="20"/>
                <w:color w:val="auto"/>
              </w:rPr>
            </w:pPr>
            <w:r>
              <w:rPr>
                <w:rFonts w:ascii="Arial" w:cs="Arial" w:eastAsia="Arial" w:hAnsi="Arial"/>
                <w:sz w:val="10"/>
                <w:szCs w:val="10"/>
                <w:color w:val="auto"/>
              </w:rPr>
              <w:t>19,336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95,118</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391.9%</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w w:val="99"/>
              </w:rPr>
              <w:t>-6.1%</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345,103</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246,098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-28.7%</w:t>
            </w:r>
          </w:p>
        </w:tc>
      </w:tr>
      <w:tr>
        <w:trPr>
          <w:trHeight w:val="143"/>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other income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1,184,424</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1,244,566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1,324,550</w:t>
            </w:r>
          </w:p>
        </w:tc>
        <w:tc>
          <w:tcPr>
            <w:tcW w:w="1140" w:type="dxa"/>
            <w:vAlign w:val="bottom"/>
          </w:tcPr>
          <w:p>
            <w:pPr>
              <w:jc w:val="center"/>
              <w:ind w:right="248"/>
              <w:spacing w:after="0"/>
              <w:rPr>
                <w:sz w:val="20"/>
                <w:szCs w:val="20"/>
                <w:color w:val="auto"/>
              </w:rPr>
            </w:pPr>
            <w:r>
              <w:rPr>
                <w:rFonts w:ascii="Arial" w:cs="Arial" w:eastAsia="Arial" w:hAnsi="Arial"/>
                <w:sz w:val="10"/>
                <w:szCs w:val="10"/>
                <w:b w:val="1"/>
                <w:bCs w:val="1"/>
                <w:color w:val="auto"/>
              </w:rPr>
              <w:t>6.4%</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rPr>
              <w:t>11.8%</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4,468,201</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4,955,234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10.9%</w:t>
            </w:r>
          </w:p>
        </w:tc>
      </w:tr>
      <w:tr>
        <w:trPr>
          <w:trHeight w:val="211"/>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Total expenses</w:t>
            </w: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118"/>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Salaries and employee benefits</w:t>
            </w:r>
          </w:p>
        </w:tc>
        <w:tc>
          <w:tcPr>
            <w:tcW w:w="900" w:type="dxa"/>
            <w:vAlign w:val="bottom"/>
          </w:tcPr>
          <w:p>
            <w:pPr>
              <w:jc w:val="center"/>
              <w:spacing w:after="0"/>
              <w:rPr>
                <w:sz w:val="20"/>
                <w:szCs w:val="20"/>
                <w:color w:val="auto"/>
              </w:rPr>
            </w:pPr>
            <w:r>
              <w:rPr>
                <w:rFonts w:ascii="Arial" w:cs="Arial" w:eastAsia="Arial" w:hAnsi="Arial"/>
                <w:sz w:val="10"/>
                <w:szCs w:val="10"/>
                <w:color w:val="auto"/>
              </w:rPr>
              <w:t>(788,885)</w:t>
            </w:r>
          </w:p>
        </w:tc>
        <w:tc>
          <w:tcPr>
            <w:tcW w:w="920" w:type="dxa"/>
            <w:vAlign w:val="bottom"/>
          </w:tcPr>
          <w:p>
            <w:pPr>
              <w:jc w:val="center"/>
              <w:spacing w:after="0"/>
              <w:rPr>
                <w:sz w:val="20"/>
                <w:szCs w:val="20"/>
                <w:color w:val="auto"/>
              </w:rPr>
            </w:pPr>
            <w:r>
              <w:rPr>
                <w:rFonts w:ascii="Arial" w:cs="Arial" w:eastAsia="Arial" w:hAnsi="Arial"/>
                <w:sz w:val="10"/>
                <w:szCs w:val="10"/>
                <w:color w:val="auto"/>
              </w:rPr>
              <w:t>(850,918)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(973,566)</w:t>
            </w:r>
          </w:p>
        </w:tc>
        <w:tc>
          <w:tcPr>
            <w:tcW w:w="1140" w:type="dxa"/>
            <w:vAlign w:val="bottom"/>
          </w:tcPr>
          <w:p>
            <w:pPr>
              <w:jc w:val="center"/>
              <w:ind w:right="228"/>
              <w:spacing w:after="0"/>
              <w:rPr>
                <w:sz w:val="20"/>
                <w:szCs w:val="20"/>
                <w:color w:val="auto"/>
              </w:rPr>
            </w:pPr>
            <w:r>
              <w:rPr>
                <w:rFonts w:ascii="Arial" w:cs="Arial" w:eastAsia="Arial" w:hAnsi="Arial"/>
                <w:sz w:val="10"/>
                <w:szCs w:val="10"/>
                <w:color w:val="auto"/>
              </w:rPr>
              <w:t>14.4%</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23.4%</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(3,071,184)</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(3,441,259)</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12.0%</w:t>
            </w:r>
          </w:p>
        </w:tc>
      </w:tr>
      <w:tr>
        <w:trPr>
          <w:trHeight w:val="110"/>
        </w:trPr>
        <w:tc>
          <w:tcPr>
            <w:tcW w:w="4080" w:type="dxa"/>
            <w:vAlign w:val="bottom"/>
            <w:tcBorders>
              <w:left w:val="single" w:sz="8" w:color="auto"/>
              <w:right w:val="single" w:sz="8" w:color="auto"/>
            </w:tcBorders>
          </w:tcPr>
          <w:p>
            <w:pPr>
              <w:ind w:left="180"/>
              <w:spacing w:after="0" w:line="110" w:lineRule="exact"/>
              <w:rPr>
                <w:sz w:val="20"/>
                <w:szCs w:val="20"/>
                <w:color w:val="auto"/>
              </w:rPr>
            </w:pPr>
            <w:r>
              <w:rPr>
                <w:rFonts w:ascii="Arial" w:cs="Arial" w:eastAsia="Arial" w:hAnsi="Arial"/>
                <w:sz w:val="10"/>
                <w:szCs w:val="10"/>
                <w:color w:val="auto"/>
              </w:rPr>
              <w:t>Administrative expenses</w:t>
            </w:r>
          </w:p>
        </w:tc>
        <w:tc>
          <w:tcPr>
            <w:tcW w:w="900" w:type="dxa"/>
            <w:vAlign w:val="bottom"/>
          </w:tcPr>
          <w:p>
            <w:pPr>
              <w:jc w:val="center"/>
              <w:spacing w:after="0" w:line="110" w:lineRule="exact"/>
              <w:rPr>
                <w:sz w:val="20"/>
                <w:szCs w:val="20"/>
                <w:color w:val="auto"/>
              </w:rPr>
            </w:pPr>
            <w:r>
              <w:rPr>
                <w:rFonts w:ascii="Arial" w:cs="Arial" w:eastAsia="Arial" w:hAnsi="Arial"/>
                <w:sz w:val="10"/>
                <w:szCs w:val="10"/>
                <w:color w:val="auto"/>
              </w:rPr>
              <w:t>(874,101)</w:t>
            </w:r>
          </w:p>
        </w:tc>
        <w:tc>
          <w:tcPr>
            <w:tcW w:w="920" w:type="dxa"/>
            <w:vAlign w:val="bottom"/>
          </w:tcPr>
          <w:p>
            <w:pPr>
              <w:jc w:val="center"/>
              <w:spacing w:after="0" w:line="110" w:lineRule="exact"/>
              <w:rPr>
                <w:sz w:val="20"/>
                <w:szCs w:val="20"/>
                <w:color w:val="auto"/>
              </w:rPr>
            </w:pPr>
            <w:r>
              <w:rPr>
                <w:rFonts w:ascii="Arial" w:cs="Arial" w:eastAsia="Arial" w:hAnsi="Arial"/>
                <w:sz w:val="10"/>
                <w:szCs w:val="10"/>
                <w:color w:val="auto"/>
              </w:rPr>
              <w:t>(802,127)</w:t>
            </w:r>
          </w:p>
        </w:tc>
        <w:tc>
          <w:tcPr>
            <w:tcW w:w="98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(978,885)</w:t>
            </w:r>
          </w:p>
        </w:tc>
        <w:tc>
          <w:tcPr>
            <w:tcW w:w="1140" w:type="dxa"/>
            <w:vAlign w:val="bottom"/>
          </w:tcPr>
          <w:p>
            <w:pPr>
              <w:jc w:val="center"/>
              <w:ind w:right="228"/>
              <w:spacing w:after="0" w:line="110" w:lineRule="exact"/>
              <w:rPr>
                <w:sz w:val="20"/>
                <w:szCs w:val="20"/>
                <w:color w:val="auto"/>
              </w:rPr>
            </w:pPr>
            <w:r>
              <w:rPr>
                <w:rFonts w:ascii="Arial" w:cs="Arial" w:eastAsia="Arial" w:hAnsi="Arial"/>
                <w:sz w:val="10"/>
                <w:szCs w:val="10"/>
                <w:color w:val="auto"/>
              </w:rPr>
              <w:t>22.0%</w:t>
            </w:r>
          </w:p>
        </w:tc>
        <w:tc>
          <w:tcPr>
            <w:tcW w:w="680" w:type="dxa"/>
            <w:vAlign w:val="bottom"/>
            <w:tcBorders>
              <w:right w:val="single" w:sz="8" w:color="auto"/>
            </w:tcBorders>
          </w:tcPr>
          <w:p>
            <w:pPr>
              <w:jc w:val="center"/>
              <w:ind w:right="248"/>
              <w:spacing w:after="0" w:line="110" w:lineRule="exact"/>
              <w:rPr>
                <w:sz w:val="20"/>
                <w:szCs w:val="20"/>
                <w:color w:val="auto"/>
              </w:rPr>
            </w:pPr>
            <w:r>
              <w:rPr>
                <w:rFonts w:ascii="Arial" w:cs="Arial" w:eastAsia="Arial" w:hAnsi="Arial"/>
                <w:sz w:val="10"/>
                <w:szCs w:val="10"/>
                <w:color w:val="auto"/>
              </w:rPr>
              <w:t>12.0%</w:t>
            </w:r>
          </w:p>
        </w:tc>
        <w:tc>
          <w:tcPr>
            <w:tcW w:w="720" w:type="dxa"/>
            <w:vAlign w:val="bottom"/>
          </w:tcPr>
          <w:p>
            <w:pPr>
              <w:jc w:val="center"/>
              <w:ind w:left="88"/>
              <w:spacing w:after="0" w:line="110" w:lineRule="exact"/>
              <w:rPr>
                <w:sz w:val="20"/>
                <w:szCs w:val="20"/>
                <w:color w:val="auto"/>
              </w:rPr>
            </w:pPr>
            <w:r>
              <w:rPr>
                <w:rFonts w:ascii="Arial" w:cs="Arial" w:eastAsia="Arial" w:hAnsi="Arial"/>
                <w:sz w:val="10"/>
                <w:szCs w:val="10"/>
                <w:color w:val="auto"/>
              </w:rPr>
              <w:t>(2,954,789)</w:t>
            </w:r>
          </w:p>
        </w:tc>
        <w:tc>
          <w:tcPr>
            <w:tcW w:w="1100" w:type="dxa"/>
            <w:vAlign w:val="bottom"/>
            <w:tcBorders>
              <w:right w:val="single" w:sz="8" w:color="auto"/>
            </w:tcBorders>
          </w:tcPr>
          <w:p>
            <w:pPr>
              <w:jc w:val="center"/>
              <w:ind w:left="68"/>
              <w:spacing w:after="0" w:line="110" w:lineRule="exact"/>
              <w:rPr>
                <w:sz w:val="20"/>
                <w:szCs w:val="20"/>
                <w:color w:val="auto"/>
              </w:rPr>
            </w:pPr>
            <w:r>
              <w:rPr>
                <w:rFonts w:ascii="Arial" w:cs="Arial" w:eastAsia="Arial" w:hAnsi="Arial"/>
                <w:sz w:val="10"/>
                <w:szCs w:val="10"/>
                <w:color w:val="auto"/>
              </w:rPr>
              <w:t>(3,260,696)</w:t>
            </w:r>
          </w:p>
        </w:tc>
        <w:tc>
          <w:tcPr>
            <w:tcW w:w="72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0"/>
                <w:szCs w:val="10"/>
                <w:color w:val="auto"/>
              </w:rPr>
              <w:t>10.4%</w:t>
            </w:r>
          </w:p>
        </w:tc>
      </w:tr>
      <w:tr>
        <w:trPr>
          <w:trHeight w:val="126"/>
        </w:trPr>
        <w:tc>
          <w:tcPr>
            <w:tcW w:w="4080" w:type="dxa"/>
            <w:vAlign w:val="bottom"/>
            <w:tcBorders>
              <w:left w:val="single" w:sz="8" w:color="auto"/>
              <w:right w:val="single" w:sz="8" w:color="auto"/>
            </w:tcBorders>
          </w:tcPr>
          <w:p>
            <w:pPr>
              <w:ind w:left="180"/>
              <w:spacing w:after="0" w:line="127" w:lineRule="exact"/>
              <w:rPr>
                <w:sz w:val="20"/>
                <w:szCs w:val="20"/>
                <w:color w:val="auto"/>
              </w:rPr>
            </w:pPr>
            <w:r>
              <w:rPr>
                <w:rFonts w:ascii="Arial" w:cs="Arial" w:eastAsia="Arial" w:hAnsi="Arial"/>
                <w:sz w:val="9"/>
                <w:szCs w:val="9"/>
                <w:color w:val="auto"/>
              </w:rPr>
              <w:t xml:space="preserve">Depreciation and amortization </w:t>
            </w:r>
            <w:r>
              <w:rPr>
                <w:rFonts w:ascii="Arial" w:cs="Arial" w:eastAsia="Arial" w:hAnsi="Arial"/>
                <w:sz w:val="14"/>
                <w:szCs w:val="14"/>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0"/>
                <w:szCs w:val="10"/>
                <w:color w:val="auto"/>
              </w:rPr>
              <w:t>(146,657)</w:t>
            </w:r>
          </w:p>
        </w:tc>
        <w:tc>
          <w:tcPr>
            <w:tcW w:w="920" w:type="dxa"/>
            <w:vAlign w:val="bottom"/>
          </w:tcPr>
          <w:p>
            <w:pPr>
              <w:jc w:val="center"/>
              <w:spacing w:after="0"/>
              <w:rPr>
                <w:sz w:val="20"/>
                <w:szCs w:val="20"/>
                <w:color w:val="auto"/>
              </w:rPr>
            </w:pPr>
            <w:r>
              <w:rPr>
                <w:rFonts w:ascii="Arial" w:cs="Arial" w:eastAsia="Arial" w:hAnsi="Arial"/>
                <w:sz w:val="10"/>
                <w:szCs w:val="10"/>
                <w:color w:val="auto"/>
              </w:rPr>
              <w:t>(146,719)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(154,731)</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5.5%</w:t>
            </w:r>
          </w:p>
        </w:tc>
        <w:tc>
          <w:tcPr>
            <w:tcW w:w="680" w:type="dxa"/>
            <w:vAlign w:val="bottom"/>
            <w:tcBorders>
              <w:right w:val="single" w:sz="8" w:color="auto"/>
            </w:tcBorders>
          </w:tcPr>
          <w:p>
            <w:pPr>
              <w:jc w:val="center"/>
              <w:ind w:right="268"/>
              <w:spacing w:after="0"/>
              <w:rPr>
                <w:sz w:val="20"/>
                <w:szCs w:val="20"/>
                <w:color w:val="auto"/>
              </w:rPr>
            </w:pPr>
            <w:r>
              <w:rPr>
                <w:rFonts w:ascii="Arial" w:cs="Arial" w:eastAsia="Arial" w:hAnsi="Arial"/>
                <w:sz w:val="10"/>
                <w:szCs w:val="10"/>
                <w:color w:val="auto"/>
              </w:rPr>
              <w:t>5.5%</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(547,006)</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(583,990)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6.8%</w:t>
            </w:r>
          </w:p>
        </w:tc>
      </w:tr>
      <w:tr>
        <w:trPr>
          <w:trHeight w:val="118"/>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color w:val="auto"/>
              </w:rPr>
              <w:t>Other expenses</w:t>
            </w:r>
          </w:p>
        </w:tc>
        <w:tc>
          <w:tcPr>
            <w:tcW w:w="900" w:type="dxa"/>
            <w:vAlign w:val="bottom"/>
          </w:tcPr>
          <w:p>
            <w:pPr>
              <w:jc w:val="center"/>
              <w:spacing w:after="0"/>
              <w:rPr>
                <w:sz w:val="20"/>
                <w:szCs w:val="20"/>
                <w:color w:val="auto"/>
              </w:rPr>
            </w:pPr>
            <w:r>
              <w:rPr>
                <w:rFonts w:ascii="Arial" w:cs="Arial" w:eastAsia="Arial" w:hAnsi="Arial"/>
                <w:sz w:val="10"/>
                <w:szCs w:val="10"/>
                <w:color w:val="auto"/>
              </w:rPr>
              <w:t>(124,472)</w:t>
            </w:r>
          </w:p>
        </w:tc>
        <w:tc>
          <w:tcPr>
            <w:tcW w:w="920" w:type="dxa"/>
            <w:vAlign w:val="bottom"/>
          </w:tcPr>
          <w:p>
            <w:pPr>
              <w:jc w:val="center"/>
              <w:spacing w:after="0"/>
              <w:rPr>
                <w:sz w:val="20"/>
                <w:szCs w:val="20"/>
                <w:color w:val="auto"/>
              </w:rPr>
            </w:pPr>
            <w:r>
              <w:rPr>
                <w:rFonts w:ascii="Arial" w:cs="Arial" w:eastAsia="Arial" w:hAnsi="Arial"/>
                <w:sz w:val="10"/>
                <w:szCs w:val="10"/>
                <w:color w:val="auto"/>
              </w:rPr>
              <w:t>(62,292)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(104,374)</w:t>
            </w:r>
          </w:p>
        </w:tc>
        <w:tc>
          <w:tcPr>
            <w:tcW w:w="1140" w:type="dxa"/>
            <w:vAlign w:val="bottom"/>
          </w:tcPr>
          <w:p>
            <w:pPr>
              <w:jc w:val="center"/>
              <w:ind w:right="228"/>
              <w:spacing w:after="0"/>
              <w:rPr>
                <w:sz w:val="20"/>
                <w:szCs w:val="20"/>
                <w:color w:val="auto"/>
              </w:rPr>
            </w:pPr>
            <w:r>
              <w:rPr>
                <w:rFonts w:ascii="Arial" w:cs="Arial" w:eastAsia="Arial" w:hAnsi="Arial"/>
                <w:sz w:val="10"/>
                <w:szCs w:val="10"/>
                <w:color w:val="auto"/>
              </w:rPr>
              <w:t>67.6%</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-16.1%</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(296,430)</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(283,169)</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9"/>
              </w:rPr>
              <w:t>-4.5%</w:t>
            </w:r>
          </w:p>
        </w:tc>
      </w:tr>
      <w:tr>
        <w:trPr>
          <w:trHeight w:val="143"/>
        </w:trPr>
        <w:tc>
          <w:tcPr>
            <w:tcW w:w="4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0"/>
                <w:szCs w:val="10"/>
                <w:b w:val="1"/>
                <w:bCs w:val="1"/>
                <w:color w:val="auto"/>
              </w:rPr>
              <w:t>Total expenses</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(1,934,115)</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(1,862,056)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(2,211,556)</w:t>
            </w:r>
          </w:p>
        </w:tc>
        <w:tc>
          <w:tcPr>
            <w:tcW w:w="1140" w:type="dxa"/>
            <w:vAlign w:val="bottom"/>
          </w:tcPr>
          <w:p>
            <w:pPr>
              <w:jc w:val="center"/>
              <w:ind w:right="228"/>
              <w:spacing w:after="0"/>
              <w:rPr>
                <w:sz w:val="20"/>
                <w:szCs w:val="20"/>
                <w:color w:val="auto"/>
              </w:rPr>
            </w:pPr>
            <w:r>
              <w:rPr>
                <w:rFonts w:ascii="Arial" w:cs="Arial" w:eastAsia="Arial" w:hAnsi="Arial"/>
                <w:sz w:val="10"/>
                <w:szCs w:val="10"/>
                <w:b w:val="1"/>
                <w:bCs w:val="1"/>
                <w:color w:val="auto"/>
              </w:rPr>
              <w:t>18.8%</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rPr>
              <w:t>14.3%</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(6,869,409)</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(7,569,114)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10.2%</w:t>
            </w:r>
          </w:p>
        </w:tc>
      </w:tr>
      <w:tr>
        <w:trPr>
          <w:trHeight w:val="236"/>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Profit before income tax</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1,283,369</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1,878,364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1,792,252</w:t>
            </w:r>
          </w:p>
        </w:tc>
        <w:tc>
          <w:tcPr>
            <w:tcW w:w="1140" w:type="dxa"/>
            <w:vAlign w:val="bottom"/>
          </w:tcPr>
          <w:p>
            <w:pPr>
              <w:jc w:val="center"/>
              <w:ind w:right="248"/>
              <w:spacing w:after="0"/>
              <w:rPr>
                <w:sz w:val="20"/>
                <w:szCs w:val="20"/>
                <w:color w:val="auto"/>
              </w:rPr>
            </w:pPr>
            <w:r>
              <w:rPr>
                <w:rFonts w:ascii="Arial" w:cs="Arial" w:eastAsia="Arial" w:hAnsi="Arial"/>
                <w:sz w:val="10"/>
                <w:szCs w:val="10"/>
                <w:b w:val="1"/>
                <w:bCs w:val="1"/>
                <w:color w:val="auto"/>
              </w:rPr>
              <w:t>-4.6%</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rPr>
              <w:t>39.7%</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6,128,668</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7,164,822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16.9%</w:t>
            </w:r>
          </w:p>
        </w:tc>
      </w:tr>
      <w:tr>
        <w:trPr>
          <w:trHeight w:val="230"/>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Income tax</w:t>
            </w:r>
          </w:p>
        </w:tc>
        <w:tc>
          <w:tcPr>
            <w:tcW w:w="900" w:type="dxa"/>
            <w:vAlign w:val="bottom"/>
          </w:tcPr>
          <w:p>
            <w:pPr>
              <w:jc w:val="center"/>
              <w:spacing w:after="0"/>
              <w:rPr>
                <w:sz w:val="20"/>
                <w:szCs w:val="20"/>
                <w:color w:val="auto"/>
              </w:rPr>
            </w:pPr>
            <w:r>
              <w:rPr>
                <w:rFonts w:ascii="Arial" w:cs="Arial" w:eastAsia="Arial" w:hAnsi="Arial"/>
                <w:sz w:val="10"/>
                <w:szCs w:val="10"/>
                <w:color w:val="auto"/>
              </w:rPr>
              <w:t>(327,708)</w:t>
            </w:r>
          </w:p>
        </w:tc>
        <w:tc>
          <w:tcPr>
            <w:tcW w:w="920" w:type="dxa"/>
            <w:vAlign w:val="bottom"/>
          </w:tcPr>
          <w:p>
            <w:pPr>
              <w:jc w:val="center"/>
              <w:spacing w:after="0"/>
              <w:rPr>
                <w:sz w:val="20"/>
                <w:szCs w:val="20"/>
                <w:color w:val="auto"/>
              </w:rPr>
            </w:pPr>
            <w:r>
              <w:rPr>
                <w:rFonts w:ascii="Arial" w:cs="Arial" w:eastAsia="Arial" w:hAnsi="Arial"/>
                <w:sz w:val="10"/>
                <w:szCs w:val="10"/>
                <w:color w:val="auto"/>
              </w:rPr>
              <w:t>(472,791)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(517,677)</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9.5%</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58.0%</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(1,545,006)</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(1,853,018)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19.9%</w:t>
            </w:r>
          </w:p>
        </w:tc>
      </w:tr>
      <w:tr>
        <w:trPr>
          <w:trHeight w:val="217"/>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profit</w:t>
            </w:r>
          </w:p>
        </w:tc>
        <w:tc>
          <w:tcPr>
            <w:tcW w:w="900" w:type="dxa"/>
            <w:vAlign w:val="bottom"/>
          </w:tcPr>
          <w:p>
            <w:pPr>
              <w:jc w:val="center"/>
              <w:spacing w:after="0"/>
              <w:rPr>
                <w:sz w:val="20"/>
                <w:szCs w:val="20"/>
                <w:color w:val="auto"/>
              </w:rPr>
            </w:pPr>
            <w:r>
              <w:rPr>
                <w:rFonts w:ascii="Arial" w:cs="Arial" w:eastAsia="Arial" w:hAnsi="Arial"/>
                <w:sz w:val="10"/>
                <w:szCs w:val="10"/>
                <w:color w:val="auto"/>
              </w:rPr>
              <w:t>955,661</w:t>
            </w:r>
          </w:p>
        </w:tc>
        <w:tc>
          <w:tcPr>
            <w:tcW w:w="920" w:type="dxa"/>
            <w:vAlign w:val="bottom"/>
          </w:tcPr>
          <w:p>
            <w:pPr>
              <w:jc w:val="center"/>
              <w:spacing w:after="0"/>
              <w:rPr>
                <w:sz w:val="20"/>
                <w:szCs w:val="20"/>
                <w:color w:val="auto"/>
              </w:rPr>
            </w:pPr>
            <w:r>
              <w:rPr>
                <w:rFonts w:ascii="Arial" w:cs="Arial" w:eastAsia="Arial" w:hAnsi="Arial"/>
                <w:sz w:val="10"/>
                <w:szCs w:val="10"/>
                <w:color w:val="auto"/>
              </w:rPr>
              <w:t>1,405,573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1,274,575</w:t>
            </w:r>
          </w:p>
        </w:tc>
        <w:tc>
          <w:tcPr>
            <w:tcW w:w="1140" w:type="dxa"/>
            <w:vAlign w:val="bottom"/>
          </w:tcPr>
          <w:p>
            <w:pPr>
              <w:jc w:val="center"/>
              <w:ind w:right="248"/>
              <w:spacing w:after="0"/>
              <w:rPr>
                <w:sz w:val="20"/>
                <w:szCs w:val="20"/>
                <w:color w:val="auto"/>
              </w:rPr>
            </w:pPr>
            <w:r>
              <w:rPr>
                <w:rFonts w:ascii="Arial" w:cs="Arial" w:eastAsia="Arial" w:hAnsi="Arial"/>
                <w:sz w:val="10"/>
                <w:szCs w:val="10"/>
                <w:color w:val="auto"/>
              </w:rPr>
              <w:t>-9.3%</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33.4%</w:t>
            </w:r>
          </w:p>
        </w:tc>
        <w:tc>
          <w:tcPr>
            <w:tcW w:w="720" w:type="dxa"/>
            <w:vAlign w:val="bottom"/>
          </w:tcPr>
          <w:p>
            <w:pPr>
              <w:jc w:val="center"/>
              <w:ind w:left="88"/>
              <w:spacing w:after="0"/>
              <w:rPr>
                <w:sz w:val="20"/>
                <w:szCs w:val="20"/>
                <w:color w:val="auto"/>
              </w:rPr>
            </w:pPr>
            <w:r>
              <w:rPr>
                <w:rFonts w:ascii="Arial" w:cs="Arial" w:eastAsia="Arial" w:hAnsi="Arial"/>
                <w:sz w:val="10"/>
                <w:szCs w:val="10"/>
                <w:color w:val="auto"/>
              </w:rPr>
              <w:t>4,583,662</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5,311,804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15.9%</w:t>
            </w:r>
          </w:p>
        </w:tc>
      </w:tr>
      <w:tr>
        <w:trPr>
          <w:trHeight w:val="118"/>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Non-controlling interest</w:t>
            </w:r>
          </w:p>
        </w:tc>
        <w:tc>
          <w:tcPr>
            <w:tcW w:w="900" w:type="dxa"/>
            <w:vAlign w:val="bottom"/>
          </w:tcPr>
          <w:p>
            <w:pPr>
              <w:jc w:val="center"/>
              <w:spacing w:after="0"/>
              <w:rPr>
                <w:sz w:val="20"/>
                <w:szCs w:val="20"/>
                <w:color w:val="auto"/>
              </w:rPr>
            </w:pPr>
            <w:r>
              <w:rPr>
                <w:rFonts w:ascii="Arial" w:cs="Arial" w:eastAsia="Arial" w:hAnsi="Arial"/>
                <w:sz w:val="10"/>
                <w:szCs w:val="10"/>
                <w:color w:val="auto"/>
              </w:rPr>
              <w:t>(2,670)</w:t>
            </w:r>
          </w:p>
        </w:tc>
        <w:tc>
          <w:tcPr>
            <w:tcW w:w="920" w:type="dxa"/>
            <w:vAlign w:val="bottom"/>
          </w:tcPr>
          <w:p>
            <w:pPr>
              <w:jc w:val="center"/>
              <w:spacing w:after="0"/>
              <w:rPr>
                <w:sz w:val="20"/>
                <w:szCs w:val="20"/>
                <w:color w:val="auto"/>
              </w:rPr>
            </w:pPr>
            <w:r>
              <w:rPr>
                <w:rFonts w:ascii="Arial" w:cs="Arial" w:eastAsia="Arial" w:hAnsi="Arial"/>
                <w:sz w:val="10"/>
                <w:szCs w:val="10"/>
                <w:color w:val="auto"/>
              </w:rPr>
              <w:t>(3,172)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(5,867)</w:t>
            </w:r>
          </w:p>
        </w:tc>
        <w:tc>
          <w:tcPr>
            <w:tcW w:w="1140" w:type="dxa"/>
            <w:vAlign w:val="bottom"/>
          </w:tcPr>
          <w:p>
            <w:pPr>
              <w:jc w:val="center"/>
              <w:ind w:right="228"/>
              <w:spacing w:after="0"/>
              <w:rPr>
                <w:sz w:val="20"/>
                <w:szCs w:val="20"/>
                <w:color w:val="auto"/>
              </w:rPr>
            </w:pPr>
            <w:r>
              <w:rPr>
                <w:rFonts w:ascii="Arial" w:cs="Arial" w:eastAsia="Arial" w:hAnsi="Arial"/>
                <w:sz w:val="10"/>
                <w:szCs w:val="10"/>
                <w:color w:val="auto"/>
              </w:rPr>
              <w:t>85.0%</w:t>
            </w:r>
          </w:p>
        </w:tc>
        <w:tc>
          <w:tcPr>
            <w:tcW w:w="680" w:type="dxa"/>
            <w:vAlign w:val="bottom"/>
            <w:tcBorders>
              <w:right w:val="single" w:sz="8" w:color="auto"/>
            </w:tcBorders>
          </w:tcPr>
          <w:p>
            <w:pPr>
              <w:jc w:val="center"/>
              <w:ind w:right="248"/>
              <w:spacing w:after="0"/>
              <w:rPr>
                <w:sz w:val="20"/>
                <w:szCs w:val="20"/>
                <w:color w:val="auto"/>
              </w:rPr>
            </w:pPr>
            <w:r>
              <w:rPr>
                <w:rFonts w:ascii="Arial" w:cs="Arial" w:eastAsia="Arial" w:hAnsi="Arial"/>
                <w:sz w:val="10"/>
                <w:szCs w:val="10"/>
                <w:color w:val="auto"/>
              </w:rPr>
              <w:t>119.7%</w:t>
            </w:r>
          </w:p>
        </w:tc>
        <w:tc>
          <w:tcPr>
            <w:tcW w:w="720" w:type="dxa"/>
            <w:vAlign w:val="bottom"/>
          </w:tcPr>
          <w:p>
            <w:pPr>
              <w:jc w:val="center"/>
              <w:ind w:left="68"/>
              <w:spacing w:after="0"/>
              <w:rPr>
                <w:sz w:val="20"/>
                <w:szCs w:val="20"/>
                <w:color w:val="auto"/>
              </w:rPr>
            </w:pPr>
            <w:r>
              <w:rPr>
                <w:rFonts w:ascii="Arial" w:cs="Arial" w:eastAsia="Arial" w:hAnsi="Arial"/>
                <w:sz w:val="10"/>
                <w:szCs w:val="10"/>
                <w:color w:val="auto"/>
              </w:rPr>
              <w:t>(10,081)</w:t>
            </w:r>
          </w:p>
        </w:tc>
        <w:tc>
          <w:tcPr>
            <w:tcW w:w="1100" w:type="dxa"/>
            <w:vAlign w:val="bottom"/>
            <w:tcBorders>
              <w:right w:val="single" w:sz="8" w:color="auto"/>
            </w:tcBorders>
          </w:tcPr>
          <w:p>
            <w:pPr>
              <w:jc w:val="center"/>
              <w:ind w:left="68"/>
              <w:spacing w:after="0"/>
              <w:rPr>
                <w:sz w:val="20"/>
                <w:szCs w:val="20"/>
                <w:color w:val="auto"/>
              </w:rPr>
            </w:pPr>
            <w:r>
              <w:rPr>
                <w:rFonts w:ascii="Arial" w:cs="Arial" w:eastAsia="Arial" w:hAnsi="Arial"/>
                <w:sz w:val="10"/>
                <w:szCs w:val="10"/>
                <w:color w:val="auto"/>
              </w:rPr>
              <w:t>(15,418)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rPr>
              <w:t>52.9%</w:t>
            </w:r>
          </w:p>
        </w:tc>
      </w:tr>
      <w:tr>
        <w:trPr>
          <w:trHeight w:val="131"/>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profit attributable to BCP Consolidated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952,991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1,402,401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1,268,708</w:t>
            </w:r>
          </w:p>
        </w:tc>
        <w:tc>
          <w:tcPr>
            <w:tcW w:w="1140" w:type="dxa"/>
            <w:vAlign w:val="bottom"/>
            <w:tcBorders>
              <w:bottom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rPr>
              <w:t>-9.5%</w:t>
            </w:r>
          </w:p>
        </w:tc>
        <w:tc>
          <w:tcPr>
            <w:tcW w:w="680" w:type="dxa"/>
            <w:vAlign w:val="bottom"/>
            <w:tcBorders>
              <w:bottom w:val="single" w:sz="8" w:color="auto"/>
              <w:right w:val="single" w:sz="8" w:color="auto"/>
            </w:tcBorders>
          </w:tcPr>
          <w:p>
            <w:pPr>
              <w:jc w:val="center"/>
              <w:ind w:right="248"/>
              <w:spacing w:after="0"/>
              <w:rPr>
                <w:sz w:val="20"/>
                <w:szCs w:val="20"/>
                <w:color w:val="auto"/>
              </w:rPr>
            </w:pPr>
            <w:r>
              <w:rPr>
                <w:rFonts w:ascii="Arial" w:cs="Arial" w:eastAsia="Arial" w:hAnsi="Arial"/>
                <w:sz w:val="10"/>
                <w:szCs w:val="10"/>
                <w:b w:val="1"/>
                <w:bCs w:val="1"/>
                <w:color w:val="auto"/>
              </w:rPr>
              <w:t>33.1%</w:t>
            </w:r>
          </w:p>
        </w:tc>
        <w:tc>
          <w:tcPr>
            <w:tcW w:w="720" w:type="dxa"/>
            <w:vAlign w:val="bottom"/>
            <w:tcBorders>
              <w:bottom w:val="single" w:sz="8" w:color="auto"/>
            </w:tcBorders>
          </w:tcPr>
          <w:p>
            <w:pPr>
              <w:jc w:val="center"/>
              <w:ind w:left="88"/>
              <w:spacing w:after="0"/>
              <w:rPr>
                <w:sz w:val="20"/>
                <w:szCs w:val="20"/>
                <w:color w:val="auto"/>
              </w:rPr>
            </w:pPr>
            <w:r>
              <w:rPr>
                <w:rFonts w:ascii="Arial" w:cs="Arial" w:eastAsia="Arial" w:hAnsi="Arial"/>
                <w:sz w:val="10"/>
                <w:szCs w:val="10"/>
                <w:b w:val="1"/>
                <w:bCs w:val="1"/>
                <w:color w:val="auto"/>
              </w:rPr>
              <w:t>4,573,581</w:t>
            </w:r>
          </w:p>
        </w:tc>
        <w:tc>
          <w:tcPr>
            <w:tcW w:w="110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0"/>
                <w:szCs w:val="10"/>
                <w:b w:val="1"/>
                <w:bCs w:val="1"/>
                <w:color w:val="auto"/>
              </w:rPr>
              <w:t>5,296,386</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15.8%</w:t>
            </w:r>
          </w:p>
        </w:tc>
      </w:tr>
    </w:tbl>
    <w:p>
      <w:pPr>
        <w:spacing w:after="0" w:line="174" w:lineRule="exact"/>
        <w:rPr>
          <w:sz w:val="20"/>
          <w:szCs w:val="20"/>
          <w:color w:val="auto"/>
        </w:rPr>
      </w:pPr>
    </w:p>
    <w:p>
      <w:pPr>
        <w:ind w:left="220" w:hanging="215"/>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Financing expenses related to lease agreements are included according to the application of IFRS 16.</w:t>
      </w:r>
    </w:p>
    <w:p>
      <w:pPr>
        <w:spacing w:after="0" w:line="10" w:lineRule="exact"/>
        <w:rPr>
          <w:rFonts w:ascii="Arial" w:cs="Arial" w:eastAsia="Arial" w:hAnsi="Arial"/>
          <w:sz w:val="14"/>
          <w:szCs w:val="14"/>
          <w:color w:val="auto"/>
        </w:rPr>
      </w:pPr>
    </w:p>
    <w:p>
      <w:pPr>
        <w:ind w:left="220" w:hanging="215"/>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effect of the application of IFRS 16 is included, which corresponds to a greater depreciation for the asset for right-of-use".</w:t>
      </w:r>
    </w:p>
    <w:p>
      <w:pPr>
        <w:spacing w:after="0" w:line="161"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Selected Financial Indicators</w:t>
      </w:r>
    </w:p>
    <w:p>
      <w:pPr>
        <w:spacing w:after="0" w:line="177" w:lineRule="exact"/>
        <w:rPr>
          <w:sz w:val="20"/>
          <w:szCs w:val="20"/>
          <w:color w:val="auto"/>
        </w:rPr>
      </w:pPr>
    </w:p>
    <w:tbl>
      <w:tblPr>
        <w:tblLayout w:type="fixed"/>
        <w:tblInd w:w="1710" w:type="dxa"/>
        <w:tblCellMar>
          <w:top w:w="0" w:type="dxa"/>
          <w:left w:w="0" w:type="dxa"/>
          <w:bottom w:w="0" w:type="dxa"/>
          <w:right w:w="0" w:type="dxa"/>
        </w:tblCellMar>
      </w:tblPr>
      <w:tr>
        <w:trPr>
          <w:trHeight w:val="126"/>
        </w:trPr>
        <w:tc>
          <w:tcPr>
            <w:tcW w:w="2820" w:type="dxa"/>
            <w:vAlign w:val="bottom"/>
            <w:tcBorders>
              <w:top w:val="single" w:sz="8" w:color="auto"/>
              <w:left w:val="single" w:sz="8" w:color="auto"/>
              <w:right w:val="single" w:sz="8" w:color="auto"/>
            </w:tcBorders>
            <w:shd w:val="clear" w:color="auto" w:fill="33CCCC"/>
          </w:tcPr>
          <w:p>
            <w:pPr>
              <w:spacing w:after="0"/>
              <w:rPr>
                <w:sz w:val="10"/>
                <w:szCs w:val="10"/>
                <w:color w:val="auto"/>
              </w:rPr>
            </w:pPr>
          </w:p>
        </w:tc>
        <w:tc>
          <w:tcPr>
            <w:tcW w:w="980" w:type="dxa"/>
            <w:vAlign w:val="bottom"/>
            <w:tcBorders>
              <w:top w:val="single" w:sz="8" w:color="auto"/>
            </w:tcBorders>
            <w:shd w:val="clear" w:color="auto" w:fill="33CCCC"/>
          </w:tcPr>
          <w:p>
            <w:pPr>
              <w:spacing w:after="0"/>
              <w:rPr>
                <w:sz w:val="10"/>
                <w:szCs w:val="10"/>
                <w:color w:val="auto"/>
              </w:rPr>
            </w:pPr>
          </w:p>
        </w:tc>
        <w:tc>
          <w:tcPr>
            <w:tcW w:w="1020" w:type="dxa"/>
            <w:vAlign w:val="bottom"/>
            <w:tcBorders>
              <w:top w:val="single" w:sz="8" w:color="auto"/>
            </w:tcBorders>
            <w:shd w:val="clear" w:color="auto" w:fill="33CCCC"/>
          </w:tcPr>
          <w:p>
            <w:pPr>
              <w:ind w:left="300"/>
              <w:spacing w:after="0" w:line="126" w:lineRule="exact"/>
              <w:rPr>
                <w:sz w:val="20"/>
                <w:szCs w:val="20"/>
                <w:color w:val="auto"/>
              </w:rPr>
            </w:pPr>
            <w:r>
              <w:rPr>
                <w:rFonts w:ascii="Arial" w:cs="Arial" w:eastAsia="Arial" w:hAnsi="Arial"/>
                <w:sz w:val="12"/>
                <w:szCs w:val="12"/>
                <w:b w:val="1"/>
                <w:bCs w:val="1"/>
                <w:color w:val="FFFFFF"/>
              </w:rPr>
              <w:t>Quarter</w:t>
            </w:r>
          </w:p>
        </w:tc>
        <w:tc>
          <w:tcPr>
            <w:tcW w:w="1020" w:type="dxa"/>
            <w:vAlign w:val="bottom"/>
            <w:tcBorders>
              <w:top w:val="single" w:sz="8" w:color="auto"/>
              <w:right w:val="single" w:sz="8" w:color="auto"/>
            </w:tcBorders>
            <w:shd w:val="clear" w:color="auto" w:fill="33CCCC"/>
          </w:tcPr>
          <w:p>
            <w:pPr>
              <w:spacing w:after="0"/>
              <w:rPr>
                <w:sz w:val="10"/>
                <w:szCs w:val="10"/>
                <w:color w:val="auto"/>
              </w:rPr>
            </w:pPr>
          </w:p>
        </w:tc>
        <w:tc>
          <w:tcPr>
            <w:tcW w:w="780" w:type="dxa"/>
            <w:vAlign w:val="bottom"/>
            <w:tcBorders>
              <w:top w:val="single" w:sz="8" w:color="auto"/>
            </w:tcBorders>
            <w:shd w:val="clear" w:color="auto" w:fill="33CCCC"/>
          </w:tcPr>
          <w:p>
            <w:pPr>
              <w:spacing w:after="0"/>
              <w:rPr>
                <w:sz w:val="10"/>
                <w:szCs w:val="10"/>
                <w:color w:val="auto"/>
              </w:rPr>
            </w:pPr>
          </w:p>
        </w:tc>
        <w:tc>
          <w:tcPr>
            <w:tcW w:w="1240" w:type="dxa"/>
            <w:vAlign w:val="bottom"/>
            <w:tcBorders>
              <w:top w:val="single" w:sz="8" w:color="auto"/>
              <w:right w:val="single" w:sz="8" w:color="auto"/>
            </w:tcBorders>
            <w:shd w:val="clear" w:color="auto" w:fill="33CCCC"/>
          </w:tcPr>
          <w:p>
            <w:pPr>
              <w:ind w:left="60"/>
              <w:spacing w:after="0" w:line="126" w:lineRule="exact"/>
              <w:rPr>
                <w:sz w:val="20"/>
                <w:szCs w:val="20"/>
                <w:color w:val="auto"/>
              </w:rPr>
            </w:pPr>
            <w:r>
              <w:rPr>
                <w:rFonts w:ascii="Arial" w:cs="Arial" w:eastAsia="Arial" w:hAnsi="Arial"/>
                <w:sz w:val="12"/>
                <w:szCs w:val="12"/>
                <w:b w:val="1"/>
                <w:bCs w:val="1"/>
                <w:color w:val="FFFFFF"/>
              </w:rPr>
              <w:t>As of</w:t>
            </w:r>
          </w:p>
        </w:tc>
      </w:tr>
      <w:tr>
        <w:trPr>
          <w:trHeight w:val="149"/>
        </w:trPr>
        <w:tc>
          <w:tcPr>
            <w:tcW w:w="2820" w:type="dxa"/>
            <w:vAlign w:val="bottom"/>
            <w:tcBorders>
              <w:left w:val="single" w:sz="8" w:color="auto"/>
              <w:bottom w:val="single" w:sz="8" w:color="auto"/>
              <w:right w:val="single" w:sz="8" w:color="auto"/>
            </w:tcBorders>
            <w:shd w:val="clear" w:color="auto" w:fill="33CCCC"/>
          </w:tcPr>
          <w:p>
            <w:pPr>
              <w:spacing w:after="0"/>
              <w:rPr>
                <w:sz w:val="12"/>
                <w:szCs w:val="12"/>
                <w:color w:val="auto"/>
              </w:rPr>
            </w:pPr>
          </w:p>
        </w:tc>
        <w:tc>
          <w:tcPr>
            <w:tcW w:w="9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4Q23</w:t>
            </w:r>
          </w:p>
        </w:tc>
        <w:tc>
          <w:tcPr>
            <w:tcW w:w="10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3Q24</w:t>
            </w:r>
          </w:p>
        </w:tc>
        <w:tc>
          <w:tcPr>
            <w:tcW w:w="10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rPr>
              <w:t>4Q24</w:t>
            </w:r>
          </w:p>
        </w:tc>
        <w:tc>
          <w:tcPr>
            <w:tcW w:w="780" w:type="dxa"/>
            <w:vAlign w:val="bottom"/>
            <w:tcBorders>
              <w:bottom w:val="single" w:sz="8" w:color="auto"/>
            </w:tcBorders>
            <w:shd w:val="clear" w:color="auto" w:fill="33CCCC"/>
          </w:tcPr>
          <w:p>
            <w:pPr>
              <w:ind w:left="300"/>
              <w:spacing w:after="0"/>
              <w:rPr>
                <w:sz w:val="20"/>
                <w:szCs w:val="20"/>
                <w:color w:val="auto"/>
              </w:rPr>
            </w:pPr>
            <w:r>
              <w:rPr>
                <w:rFonts w:ascii="Arial" w:cs="Arial" w:eastAsia="Arial" w:hAnsi="Arial"/>
                <w:sz w:val="12"/>
                <w:szCs w:val="12"/>
                <w:b w:val="1"/>
                <w:bCs w:val="1"/>
                <w:color w:val="FFFFFF"/>
              </w:rPr>
              <w:t>Dec 23</w:t>
            </w:r>
          </w:p>
        </w:tc>
        <w:tc>
          <w:tcPr>
            <w:tcW w:w="1240" w:type="dxa"/>
            <w:vAlign w:val="bottom"/>
            <w:tcBorders>
              <w:bottom w:val="single" w:sz="8" w:color="auto"/>
              <w:right w:val="single" w:sz="8" w:color="auto"/>
            </w:tcBorders>
            <w:shd w:val="clear" w:color="auto" w:fill="33CCCC"/>
          </w:tcPr>
          <w:p>
            <w:pPr>
              <w:ind w:left="520"/>
              <w:spacing w:after="0"/>
              <w:rPr>
                <w:sz w:val="20"/>
                <w:szCs w:val="20"/>
                <w:color w:val="auto"/>
              </w:rPr>
            </w:pPr>
            <w:r>
              <w:rPr>
                <w:rFonts w:ascii="Arial" w:cs="Arial" w:eastAsia="Arial" w:hAnsi="Arial"/>
                <w:sz w:val="12"/>
                <w:szCs w:val="12"/>
                <w:b w:val="1"/>
                <w:bCs w:val="1"/>
                <w:color w:val="FFFFFF"/>
              </w:rPr>
              <w:t>Dec 24</w:t>
            </w:r>
          </w:p>
        </w:tc>
      </w:tr>
      <w:tr>
        <w:trPr>
          <w:trHeight w:val="101"/>
        </w:trPr>
        <w:tc>
          <w:tcPr>
            <w:tcW w:w="2820" w:type="dxa"/>
            <w:vAlign w:val="bottom"/>
            <w:tcBorders>
              <w:left w:val="single" w:sz="8" w:color="auto"/>
              <w:right w:val="single" w:sz="8" w:color="auto"/>
            </w:tcBorders>
          </w:tcPr>
          <w:p>
            <w:pPr>
              <w:spacing w:after="0" w:line="101" w:lineRule="exact"/>
              <w:rPr>
                <w:sz w:val="20"/>
                <w:szCs w:val="20"/>
                <w:color w:val="auto"/>
              </w:rPr>
            </w:pPr>
            <w:r>
              <w:rPr>
                <w:rFonts w:ascii="Arial" w:cs="Arial" w:eastAsia="Arial" w:hAnsi="Arial"/>
                <w:sz w:val="11"/>
                <w:szCs w:val="11"/>
                <w:b w:val="1"/>
                <w:bCs w:val="1"/>
                <w:color w:val="auto"/>
              </w:rPr>
              <w:t>Profitability</w:t>
            </w: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r>
      <w:tr>
        <w:trPr>
          <w:trHeight w:val="131"/>
        </w:trPr>
        <w:tc>
          <w:tcPr>
            <w:tcW w:w="282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5"/>
                <w:szCs w:val="15"/>
                <w:color w:val="auto"/>
                <w:vertAlign w:val="subscript"/>
              </w:rPr>
              <w:t>ROAA</w:t>
            </w:r>
            <w:r>
              <w:rPr>
                <w:rFonts w:ascii="Arial" w:cs="Arial" w:eastAsia="Arial" w:hAnsi="Arial"/>
                <w:sz w:val="8"/>
                <w:szCs w:val="8"/>
                <w:color w:val="auto"/>
              </w:rPr>
              <w:t xml:space="preserve"> (1)(2)</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rPr>
              <w:t>2.0%</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rPr>
              <w:t>2.8%</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2.4%</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w w:val="94"/>
              </w:rPr>
              <w:t>2.4%</w:t>
            </w:r>
          </w:p>
        </w:tc>
        <w:tc>
          <w:tcPr>
            <w:tcW w:w="1240" w:type="dxa"/>
            <w:vAlign w:val="bottom"/>
            <w:tcBorders>
              <w:right w:val="single" w:sz="8" w:color="auto"/>
            </w:tcBorders>
          </w:tcPr>
          <w:p>
            <w:pPr>
              <w:jc w:val="center"/>
              <w:ind w:left="139"/>
              <w:spacing w:after="0" w:line="132" w:lineRule="exact"/>
              <w:rPr>
                <w:sz w:val="20"/>
                <w:szCs w:val="20"/>
                <w:color w:val="auto"/>
              </w:rPr>
            </w:pPr>
            <w:r>
              <w:rPr>
                <w:rFonts w:ascii="Arial" w:cs="Arial" w:eastAsia="Arial" w:hAnsi="Arial"/>
                <w:sz w:val="12"/>
                <w:szCs w:val="12"/>
                <w:color w:val="auto"/>
              </w:rPr>
              <w:t>2.6%</w:t>
            </w:r>
          </w:p>
        </w:tc>
      </w:tr>
      <w:tr>
        <w:trPr>
          <w:trHeight w:val="131"/>
        </w:trPr>
        <w:tc>
          <w:tcPr>
            <w:tcW w:w="282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5"/>
                <w:szCs w:val="15"/>
                <w:color w:val="auto"/>
                <w:vertAlign w:val="subscript"/>
              </w:rPr>
              <w:t>ROAE</w:t>
            </w:r>
            <w:r>
              <w:rPr>
                <w:rFonts w:ascii="Arial" w:cs="Arial" w:eastAsia="Arial" w:hAnsi="Arial"/>
                <w:sz w:val="8"/>
                <w:szCs w:val="8"/>
                <w:color w:val="auto"/>
              </w:rPr>
              <w:t xml:space="preserve"> (1)(2)</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w w:val="99"/>
              </w:rPr>
              <w:t>15.5%</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w w:val="99"/>
              </w:rPr>
              <w:t>22.9%</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w w:val="99"/>
              </w:rPr>
              <w:t>19.8%</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w w:val="99"/>
              </w:rPr>
              <w:t>19.0%</w:t>
            </w:r>
          </w:p>
        </w:tc>
        <w:tc>
          <w:tcPr>
            <w:tcW w:w="1240" w:type="dxa"/>
            <w:vAlign w:val="bottom"/>
            <w:tcBorders>
              <w:right w:val="single" w:sz="8" w:color="auto"/>
            </w:tcBorders>
          </w:tcPr>
          <w:p>
            <w:pPr>
              <w:jc w:val="center"/>
              <w:ind w:left="119"/>
              <w:spacing w:after="0" w:line="132" w:lineRule="exact"/>
              <w:rPr>
                <w:sz w:val="20"/>
                <w:szCs w:val="20"/>
                <w:color w:val="auto"/>
              </w:rPr>
            </w:pPr>
            <w:r>
              <w:rPr>
                <w:rFonts w:ascii="Arial" w:cs="Arial" w:eastAsia="Arial" w:hAnsi="Arial"/>
                <w:sz w:val="12"/>
                <w:szCs w:val="12"/>
                <w:color w:val="auto"/>
                <w:w w:val="99"/>
              </w:rPr>
              <w:t>20.8%</w:t>
            </w:r>
          </w:p>
        </w:tc>
      </w:tr>
      <w:tr>
        <w:trPr>
          <w:trHeight w:val="131"/>
        </w:trPr>
        <w:tc>
          <w:tcPr>
            <w:tcW w:w="282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0"/>
                <w:szCs w:val="10"/>
                <w:color w:val="auto"/>
              </w:rPr>
              <w:t xml:space="preserve">Net interest margin </w:t>
            </w:r>
            <w:r>
              <w:rPr>
                <w:rFonts w:ascii="Arial" w:cs="Arial" w:eastAsia="Arial" w:hAnsi="Arial"/>
                <w:sz w:val="15"/>
                <w:szCs w:val="15"/>
                <w:color w:val="auto"/>
                <w:vertAlign w:val="superscript"/>
              </w:rPr>
              <w:t>(1)(2)</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w w:val="99"/>
              </w:rPr>
              <w:t>6.67%</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w w:val="99"/>
              </w:rPr>
              <w:t>6.84%</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w w:val="99"/>
              </w:rPr>
              <w:t>6.70%</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w w:val="99"/>
              </w:rPr>
              <w:t>6.41%</w:t>
            </w:r>
          </w:p>
        </w:tc>
        <w:tc>
          <w:tcPr>
            <w:tcW w:w="1240" w:type="dxa"/>
            <w:vAlign w:val="bottom"/>
            <w:tcBorders>
              <w:right w:val="single" w:sz="8" w:color="auto"/>
            </w:tcBorders>
          </w:tcPr>
          <w:p>
            <w:pPr>
              <w:jc w:val="center"/>
              <w:ind w:left="119"/>
              <w:spacing w:after="0" w:line="132" w:lineRule="exact"/>
              <w:rPr>
                <w:sz w:val="20"/>
                <w:szCs w:val="20"/>
                <w:color w:val="auto"/>
              </w:rPr>
            </w:pPr>
            <w:r>
              <w:rPr>
                <w:rFonts w:ascii="Arial" w:cs="Arial" w:eastAsia="Arial" w:hAnsi="Arial"/>
                <w:sz w:val="12"/>
                <w:szCs w:val="12"/>
                <w:color w:val="auto"/>
                <w:w w:val="99"/>
              </w:rPr>
              <w:t>6.69%</w:t>
            </w:r>
          </w:p>
        </w:tc>
      </w:tr>
      <w:tr>
        <w:trPr>
          <w:trHeight w:val="131"/>
        </w:trPr>
        <w:tc>
          <w:tcPr>
            <w:tcW w:w="282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0"/>
                <w:szCs w:val="10"/>
                <w:color w:val="auto"/>
              </w:rPr>
              <w:t xml:space="preserve">Risk-adjusted Net interest margin </w:t>
            </w:r>
            <w:r>
              <w:rPr>
                <w:rFonts w:ascii="Arial" w:cs="Arial" w:eastAsia="Arial" w:hAnsi="Arial"/>
                <w:sz w:val="15"/>
                <w:szCs w:val="15"/>
                <w:color w:val="auto"/>
                <w:vertAlign w:val="superscript"/>
              </w:rPr>
              <w:t>(1)(2)</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w w:val="99"/>
              </w:rPr>
              <w:t>4.36%</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w w:val="99"/>
              </w:rPr>
              <w:t>5.13%</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w w:val="99"/>
              </w:rPr>
              <w:t>5.35%</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w w:val="99"/>
              </w:rPr>
              <w:t>4.56%</w:t>
            </w:r>
          </w:p>
        </w:tc>
        <w:tc>
          <w:tcPr>
            <w:tcW w:w="1240" w:type="dxa"/>
            <w:vAlign w:val="bottom"/>
            <w:tcBorders>
              <w:right w:val="single" w:sz="8" w:color="auto"/>
            </w:tcBorders>
          </w:tcPr>
          <w:p>
            <w:pPr>
              <w:jc w:val="center"/>
              <w:ind w:left="119"/>
              <w:spacing w:after="0" w:line="132" w:lineRule="exact"/>
              <w:rPr>
                <w:sz w:val="20"/>
                <w:szCs w:val="20"/>
                <w:color w:val="auto"/>
              </w:rPr>
            </w:pPr>
            <w:r>
              <w:rPr>
                <w:rFonts w:ascii="Arial" w:cs="Arial" w:eastAsia="Arial" w:hAnsi="Arial"/>
                <w:sz w:val="12"/>
                <w:szCs w:val="12"/>
                <w:color w:val="auto"/>
                <w:w w:val="99"/>
              </w:rPr>
              <w:t>5.01%</w:t>
            </w:r>
          </w:p>
        </w:tc>
      </w:tr>
      <w:tr>
        <w:trPr>
          <w:trHeight w:val="268"/>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xml:space="preserve">Funding cost </w:t>
            </w:r>
            <w:r>
              <w:rPr>
                <w:rFonts w:ascii="Arial" w:cs="Arial" w:eastAsia="Arial" w:hAnsi="Arial"/>
                <w:sz w:val="20"/>
                <w:szCs w:val="20"/>
                <w:color w:val="auto"/>
                <w:vertAlign w:val="superscript"/>
              </w:rPr>
              <w:t>(1)(2)(3)</w:t>
            </w:r>
          </w:p>
        </w:tc>
        <w:tc>
          <w:tcPr>
            <w:tcW w:w="980" w:type="dxa"/>
            <w:vAlign w:val="bottom"/>
          </w:tcPr>
          <w:p>
            <w:pPr>
              <w:jc w:val="center"/>
              <w:spacing w:after="0"/>
              <w:rPr>
                <w:sz w:val="20"/>
                <w:szCs w:val="20"/>
                <w:color w:val="auto"/>
              </w:rPr>
            </w:pPr>
            <w:r>
              <w:rPr>
                <w:rFonts w:ascii="Arial" w:cs="Arial" w:eastAsia="Arial" w:hAnsi="Arial"/>
                <w:sz w:val="12"/>
                <w:szCs w:val="12"/>
                <w:color w:val="auto"/>
                <w:w w:val="99"/>
              </w:rPr>
              <w:t>2.82%</w:t>
            </w:r>
          </w:p>
        </w:tc>
        <w:tc>
          <w:tcPr>
            <w:tcW w:w="1020" w:type="dxa"/>
            <w:vAlign w:val="bottom"/>
          </w:tcPr>
          <w:p>
            <w:pPr>
              <w:jc w:val="center"/>
              <w:spacing w:after="0"/>
              <w:rPr>
                <w:sz w:val="20"/>
                <w:szCs w:val="20"/>
                <w:color w:val="auto"/>
              </w:rPr>
            </w:pPr>
            <w:r>
              <w:rPr>
                <w:rFonts w:ascii="Arial" w:cs="Arial" w:eastAsia="Arial" w:hAnsi="Arial"/>
                <w:sz w:val="12"/>
                <w:szCs w:val="12"/>
                <w:color w:val="auto"/>
                <w:w w:val="99"/>
              </w:rPr>
              <w:t>2.43%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2.29%</w:t>
            </w:r>
          </w:p>
        </w:tc>
        <w:tc>
          <w:tcPr>
            <w:tcW w:w="780" w:type="dxa"/>
            <w:vAlign w:val="bottom"/>
          </w:tcPr>
          <w:p>
            <w:pPr>
              <w:jc w:val="center"/>
              <w:ind w:left="139"/>
              <w:spacing w:after="0"/>
              <w:rPr>
                <w:sz w:val="20"/>
                <w:szCs w:val="20"/>
                <w:color w:val="auto"/>
              </w:rPr>
            </w:pPr>
            <w:r>
              <w:rPr>
                <w:rFonts w:ascii="Arial" w:cs="Arial" w:eastAsia="Arial" w:hAnsi="Arial"/>
                <w:sz w:val="12"/>
                <w:szCs w:val="12"/>
                <w:color w:val="auto"/>
                <w:w w:val="99"/>
              </w:rPr>
              <w:t>2.74%</w:t>
            </w:r>
          </w:p>
        </w:tc>
        <w:tc>
          <w:tcPr>
            <w:tcW w:w="1240" w:type="dxa"/>
            <w:vAlign w:val="bottom"/>
            <w:tcBorders>
              <w:right w:val="single" w:sz="8" w:color="auto"/>
            </w:tcBorders>
          </w:tcPr>
          <w:p>
            <w:pPr>
              <w:jc w:val="center"/>
              <w:ind w:left="119"/>
              <w:spacing w:after="0"/>
              <w:rPr>
                <w:sz w:val="20"/>
                <w:szCs w:val="20"/>
                <w:color w:val="auto"/>
              </w:rPr>
            </w:pPr>
            <w:r>
              <w:rPr>
                <w:rFonts w:ascii="Arial" w:cs="Arial" w:eastAsia="Arial" w:hAnsi="Arial"/>
                <w:sz w:val="12"/>
                <w:szCs w:val="12"/>
                <w:color w:val="auto"/>
                <w:w w:val="99"/>
              </w:rPr>
              <w:t>2.51%</w:t>
            </w:r>
          </w:p>
        </w:tc>
      </w:tr>
      <w:tr>
        <w:trPr>
          <w:trHeight w:val="131"/>
        </w:trPr>
        <w:tc>
          <w:tcPr>
            <w:tcW w:w="2820" w:type="dxa"/>
            <w:vAlign w:val="bottom"/>
            <w:tcBorders>
              <w:left w:val="single" w:sz="8" w:color="auto"/>
              <w:right w:val="single" w:sz="8" w:color="auto"/>
            </w:tcBorders>
          </w:tcPr>
          <w:p>
            <w:pPr>
              <w:spacing w:after="0" w:line="132" w:lineRule="exact"/>
              <w:rPr>
                <w:sz w:val="20"/>
                <w:szCs w:val="20"/>
                <w:color w:val="auto"/>
              </w:rPr>
            </w:pPr>
            <w:r>
              <w:rPr>
                <w:rFonts w:ascii="Arial" w:cs="Arial" w:eastAsia="Arial" w:hAnsi="Arial"/>
                <w:sz w:val="12"/>
                <w:szCs w:val="12"/>
                <w:b w:val="1"/>
                <w:bCs w:val="1"/>
                <w:color w:val="auto"/>
              </w:rPr>
              <w:t>Quality of loan portfolio</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r>
      <w:tr>
        <w:trPr>
          <w:trHeight w:val="131"/>
        </w:trPr>
        <w:tc>
          <w:tcPr>
            <w:tcW w:w="2820" w:type="dxa"/>
            <w:vAlign w:val="bottom"/>
            <w:tcBorders>
              <w:left w:val="single" w:sz="8" w:color="auto"/>
              <w:right w:val="single" w:sz="8" w:color="auto"/>
            </w:tcBorders>
          </w:tcPr>
          <w:p>
            <w:pPr>
              <w:ind w:left="160"/>
              <w:spacing w:after="0" w:line="132" w:lineRule="exact"/>
              <w:rPr>
                <w:sz w:val="20"/>
                <w:szCs w:val="20"/>
                <w:color w:val="auto"/>
              </w:rPr>
            </w:pPr>
            <w:r>
              <w:rPr>
                <w:rFonts w:ascii="Arial" w:cs="Arial" w:eastAsia="Arial" w:hAnsi="Arial"/>
                <w:sz w:val="12"/>
                <w:szCs w:val="12"/>
                <w:color w:val="auto"/>
              </w:rPr>
              <w:t>Internal overdue ratio</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rPr>
              <w:t>4.4%</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rPr>
              <w:t>4.4%</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3.8%</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w w:val="94"/>
              </w:rPr>
              <w:t>4.4%</w:t>
            </w:r>
          </w:p>
        </w:tc>
        <w:tc>
          <w:tcPr>
            <w:tcW w:w="1240" w:type="dxa"/>
            <w:vAlign w:val="bottom"/>
            <w:tcBorders>
              <w:right w:val="single" w:sz="8" w:color="auto"/>
            </w:tcBorders>
          </w:tcPr>
          <w:p>
            <w:pPr>
              <w:jc w:val="center"/>
              <w:ind w:left="139"/>
              <w:spacing w:after="0" w:line="132" w:lineRule="exact"/>
              <w:rPr>
                <w:sz w:val="20"/>
                <w:szCs w:val="20"/>
                <w:color w:val="auto"/>
              </w:rPr>
            </w:pPr>
            <w:r>
              <w:rPr>
                <w:rFonts w:ascii="Arial" w:cs="Arial" w:eastAsia="Arial" w:hAnsi="Arial"/>
                <w:sz w:val="12"/>
                <w:szCs w:val="12"/>
                <w:color w:val="auto"/>
              </w:rPr>
              <w:t>3.8%</w:t>
            </w:r>
          </w:p>
        </w:tc>
      </w:tr>
      <w:tr>
        <w:trPr>
          <w:trHeight w:val="131"/>
        </w:trPr>
        <w:tc>
          <w:tcPr>
            <w:tcW w:w="2820" w:type="dxa"/>
            <w:vAlign w:val="bottom"/>
            <w:tcBorders>
              <w:left w:val="single" w:sz="8" w:color="auto"/>
              <w:right w:val="single" w:sz="8" w:color="auto"/>
            </w:tcBorders>
          </w:tcPr>
          <w:p>
            <w:pPr>
              <w:ind w:left="160"/>
              <w:spacing w:after="0" w:line="132" w:lineRule="exact"/>
              <w:rPr>
                <w:sz w:val="20"/>
                <w:szCs w:val="20"/>
                <w:color w:val="auto"/>
              </w:rPr>
            </w:pPr>
            <w:r>
              <w:rPr>
                <w:rFonts w:ascii="Arial" w:cs="Arial" w:eastAsia="Arial" w:hAnsi="Arial"/>
                <w:sz w:val="12"/>
                <w:szCs w:val="12"/>
                <w:color w:val="auto"/>
              </w:rPr>
              <w:t>NPL ratio</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rPr>
              <w:t>6.2%</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rPr>
              <w:t>6.1%</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5.5%</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w w:val="94"/>
              </w:rPr>
              <w:t>6.2%</w:t>
            </w:r>
          </w:p>
        </w:tc>
        <w:tc>
          <w:tcPr>
            <w:tcW w:w="1240" w:type="dxa"/>
            <w:vAlign w:val="bottom"/>
            <w:tcBorders>
              <w:right w:val="single" w:sz="8" w:color="auto"/>
            </w:tcBorders>
          </w:tcPr>
          <w:p>
            <w:pPr>
              <w:jc w:val="center"/>
              <w:ind w:left="139"/>
              <w:spacing w:after="0" w:line="132" w:lineRule="exact"/>
              <w:rPr>
                <w:sz w:val="20"/>
                <w:szCs w:val="20"/>
                <w:color w:val="auto"/>
              </w:rPr>
            </w:pPr>
            <w:r>
              <w:rPr>
                <w:rFonts w:ascii="Arial" w:cs="Arial" w:eastAsia="Arial" w:hAnsi="Arial"/>
                <w:sz w:val="12"/>
                <w:szCs w:val="12"/>
                <w:color w:val="auto"/>
              </w:rPr>
              <w:t>5.5%</w:t>
            </w:r>
          </w:p>
        </w:tc>
      </w:tr>
      <w:tr>
        <w:trPr>
          <w:trHeight w:val="131"/>
        </w:trPr>
        <w:tc>
          <w:tcPr>
            <w:tcW w:w="2820" w:type="dxa"/>
            <w:vAlign w:val="bottom"/>
            <w:tcBorders>
              <w:left w:val="single" w:sz="8" w:color="auto"/>
              <w:right w:val="single" w:sz="8" w:color="auto"/>
            </w:tcBorders>
          </w:tcPr>
          <w:p>
            <w:pPr>
              <w:ind w:left="160"/>
              <w:spacing w:after="0" w:line="132" w:lineRule="exact"/>
              <w:rPr>
                <w:sz w:val="20"/>
                <w:szCs w:val="20"/>
                <w:color w:val="auto"/>
              </w:rPr>
            </w:pPr>
            <w:r>
              <w:rPr>
                <w:rFonts w:ascii="Arial" w:cs="Arial" w:eastAsia="Arial" w:hAnsi="Arial"/>
                <w:sz w:val="12"/>
                <w:szCs w:val="12"/>
                <w:color w:val="auto"/>
              </w:rPr>
              <w:t>Coverage ratio of IOLs</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rPr>
              <w:t>133.6%</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rPr>
              <w:t>136.2%</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147.0%</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rPr>
              <w:t>133.6%</w:t>
            </w:r>
          </w:p>
        </w:tc>
        <w:tc>
          <w:tcPr>
            <w:tcW w:w="1240" w:type="dxa"/>
            <w:vAlign w:val="bottom"/>
            <w:tcBorders>
              <w:right w:val="single" w:sz="8" w:color="auto"/>
            </w:tcBorders>
          </w:tcPr>
          <w:p>
            <w:pPr>
              <w:jc w:val="center"/>
              <w:ind w:left="119"/>
              <w:spacing w:after="0" w:line="132" w:lineRule="exact"/>
              <w:rPr>
                <w:sz w:val="20"/>
                <w:szCs w:val="20"/>
                <w:color w:val="auto"/>
              </w:rPr>
            </w:pPr>
            <w:r>
              <w:rPr>
                <w:rFonts w:ascii="Arial" w:cs="Arial" w:eastAsia="Arial" w:hAnsi="Arial"/>
                <w:sz w:val="12"/>
                <w:szCs w:val="12"/>
                <w:color w:val="auto"/>
              </w:rPr>
              <w:t>147.0%</w:t>
            </w:r>
          </w:p>
        </w:tc>
      </w:tr>
      <w:tr>
        <w:trPr>
          <w:trHeight w:val="125"/>
        </w:trPr>
        <w:tc>
          <w:tcPr>
            <w:tcW w:w="2820" w:type="dxa"/>
            <w:vAlign w:val="bottom"/>
            <w:tcBorders>
              <w:left w:val="single" w:sz="8" w:color="auto"/>
              <w:right w:val="single" w:sz="8" w:color="auto"/>
            </w:tcBorders>
          </w:tcPr>
          <w:p>
            <w:pPr>
              <w:ind w:left="160"/>
              <w:spacing w:after="0" w:line="126" w:lineRule="exact"/>
              <w:rPr>
                <w:sz w:val="20"/>
                <w:szCs w:val="20"/>
                <w:color w:val="auto"/>
              </w:rPr>
            </w:pPr>
            <w:r>
              <w:rPr>
                <w:rFonts w:ascii="Arial" w:cs="Arial" w:eastAsia="Arial" w:hAnsi="Arial"/>
                <w:sz w:val="12"/>
                <w:szCs w:val="12"/>
                <w:color w:val="auto"/>
              </w:rPr>
              <w:t>Coverage ratio of NPLs</w:t>
            </w:r>
          </w:p>
        </w:tc>
        <w:tc>
          <w:tcPr>
            <w:tcW w:w="980" w:type="dxa"/>
            <w:vAlign w:val="bottom"/>
          </w:tcPr>
          <w:p>
            <w:pPr>
              <w:jc w:val="center"/>
              <w:spacing w:after="0" w:line="126" w:lineRule="exact"/>
              <w:rPr>
                <w:sz w:val="20"/>
                <w:szCs w:val="20"/>
                <w:color w:val="auto"/>
              </w:rPr>
            </w:pPr>
            <w:r>
              <w:rPr>
                <w:rFonts w:ascii="Arial" w:cs="Arial" w:eastAsia="Arial" w:hAnsi="Arial"/>
                <w:sz w:val="12"/>
                <w:szCs w:val="12"/>
                <w:color w:val="auto"/>
                <w:w w:val="99"/>
              </w:rPr>
              <w:t>95.3%</w:t>
            </w:r>
          </w:p>
        </w:tc>
        <w:tc>
          <w:tcPr>
            <w:tcW w:w="1020" w:type="dxa"/>
            <w:vAlign w:val="bottom"/>
          </w:tcPr>
          <w:p>
            <w:pPr>
              <w:jc w:val="center"/>
              <w:spacing w:after="0" w:line="126" w:lineRule="exact"/>
              <w:rPr>
                <w:sz w:val="20"/>
                <w:szCs w:val="20"/>
                <w:color w:val="auto"/>
              </w:rPr>
            </w:pPr>
            <w:r>
              <w:rPr>
                <w:rFonts w:ascii="Arial" w:cs="Arial" w:eastAsia="Arial" w:hAnsi="Arial"/>
                <w:sz w:val="12"/>
                <w:szCs w:val="12"/>
                <w:color w:val="auto"/>
                <w:w w:val="99"/>
              </w:rPr>
              <w:t>97.4%</w:t>
            </w:r>
          </w:p>
        </w:tc>
        <w:tc>
          <w:tcPr>
            <w:tcW w:w="10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rPr>
              <w:t>103.2%</w:t>
            </w:r>
          </w:p>
        </w:tc>
        <w:tc>
          <w:tcPr>
            <w:tcW w:w="780" w:type="dxa"/>
            <w:vAlign w:val="bottom"/>
          </w:tcPr>
          <w:p>
            <w:pPr>
              <w:jc w:val="center"/>
              <w:ind w:left="139"/>
              <w:spacing w:after="0" w:line="126" w:lineRule="exact"/>
              <w:rPr>
                <w:sz w:val="20"/>
                <w:szCs w:val="20"/>
                <w:color w:val="auto"/>
              </w:rPr>
            </w:pPr>
            <w:r>
              <w:rPr>
                <w:rFonts w:ascii="Arial" w:cs="Arial" w:eastAsia="Arial" w:hAnsi="Arial"/>
                <w:sz w:val="12"/>
                <w:szCs w:val="12"/>
                <w:color w:val="auto"/>
                <w:w w:val="99"/>
              </w:rPr>
              <w:t>95.3%</w:t>
            </w:r>
          </w:p>
        </w:tc>
        <w:tc>
          <w:tcPr>
            <w:tcW w:w="1240" w:type="dxa"/>
            <w:vAlign w:val="bottom"/>
            <w:tcBorders>
              <w:right w:val="single" w:sz="8" w:color="auto"/>
            </w:tcBorders>
          </w:tcPr>
          <w:p>
            <w:pPr>
              <w:jc w:val="center"/>
              <w:ind w:left="119"/>
              <w:spacing w:after="0" w:line="126" w:lineRule="exact"/>
              <w:rPr>
                <w:sz w:val="20"/>
                <w:szCs w:val="20"/>
                <w:color w:val="auto"/>
              </w:rPr>
            </w:pPr>
            <w:r>
              <w:rPr>
                <w:rFonts w:ascii="Arial" w:cs="Arial" w:eastAsia="Arial" w:hAnsi="Arial"/>
                <w:sz w:val="12"/>
                <w:szCs w:val="12"/>
                <w:color w:val="auto"/>
              </w:rPr>
              <w:t>103.2%</w:t>
            </w:r>
          </w:p>
        </w:tc>
      </w:tr>
      <w:tr>
        <w:trPr>
          <w:trHeight w:val="268"/>
        </w:trPr>
        <w:tc>
          <w:tcPr>
            <w:tcW w:w="28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xml:space="preserve">Cost of risk </w:t>
            </w:r>
            <w:r>
              <w:rPr>
                <w:rFonts w:ascii="Arial" w:cs="Arial" w:eastAsia="Arial" w:hAnsi="Arial"/>
                <w:sz w:val="20"/>
                <w:szCs w:val="20"/>
                <w:color w:val="auto"/>
                <w:vertAlign w:val="superscript"/>
              </w:rPr>
              <w:t>(4)</w:t>
            </w:r>
          </w:p>
        </w:tc>
        <w:tc>
          <w:tcPr>
            <w:tcW w:w="980" w:type="dxa"/>
            <w:vAlign w:val="bottom"/>
          </w:tcPr>
          <w:p>
            <w:pPr>
              <w:jc w:val="center"/>
              <w:spacing w:after="0"/>
              <w:rPr>
                <w:sz w:val="20"/>
                <w:szCs w:val="20"/>
                <w:color w:val="auto"/>
              </w:rPr>
            </w:pPr>
            <w:r>
              <w:rPr>
                <w:rFonts w:ascii="Arial" w:cs="Arial" w:eastAsia="Arial" w:hAnsi="Arial"/>
                <w:sz w:val="12"/>
                <w:szCs w:val="12"/>
                <w:color w:val="auto"/>
              </w:rPr>
              <w:t>3.3%</w:t>
            </w:r>
          </w:p>
        </w:tc>
        <w:tc>
          <w:tcPr>
            <w:tcW w:w="1020" w:type="dxa"/>
            <w:vAlign w:val="bottom"/>
          </w:tcPr>
          <w:p>
            <w:pPr>
              <w:jc w:val="center"/>
              <w:spacing w:after="0"/>
              <w:rPr>
                <w:sz w:val="20"/>
                <w:szCs w:val="20"/>
                <w:color w:val="auto"/>
              </w:rPr>
            </w:pPr>
            <w:r>
              <w:rPr>
                <w:rFonts w:ascii="Arial" w:cs="Arial" w:eastAsia="Arial" w:hAnsi="Arial"/>
                <w:sz w:val="12"/>
                <w:szCs w:val="12"/>
                <w:color w:val="auto"/>
              </w:rPr>
              <w:t>2.5%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2.1%</w:t>
            </w:r>
          </w:p>
        </w:tc>
        <w:tc>
          <w:tcPr>
            <w:tcW w:w="780" w:type="dxa"/>
            <w:vAlign w:val="bottom"/>
          </w:tcPr>
          <w:p>
            <w:pPr>
              <w:jc w:val="center"/>
              <w:ind w:left="139"/>
              <w:spacing w:after="0"/>
              <w:rPr>
                <w:sz w:val="20"/>
                <w:szCs w:val="20"/>
                <w:color w:val="auto"/>
              </w:rPr>
            </w:pPr>
            <w:r>
              <w:rPr>
                <w:rFonts w:ascii="Arial" w:cs="Arial" w:eastAsia="Arial" w:hAnsi="Arial"/>
                <w:sz w:val="12"/>
                <w:szCs w:val="12"/>
                <w:color w:val="auto"/>
                <w:w w:val="94"/>
              </w:rPr>
              <w:t>2.6%</w:t>
            </w:r>
          </w:p>
        </w:tc>
        <w:tc>
          <w:tcPr>
            <w:tcW w:w="1240" w:type="dxa"/>
            <w:vAlign w:val="bottom"/>
            <w:tcBorders>
              <w:right w:val="single" w:sz="8" w:color="auto"/>
            </w:tcBorders>
          </w:tcPr>
          <w:p>
            <w:pPr>
              <w:jc w:val="center"/>
              <w:ind w:left="139"/>
              <w:spacing w:after="0"/>
              <w:rPr>
                <w:sz w:val="20"/>
                <w:szCs w:val="20"/>
                <w:color w:val="auto"/>
              </w:rPr>
            </w:pPr>
            <w:r>
              <w:rPr>
                <w:rFonts w:ascii="Arial" w:cs="Arial" w:eastAsia="Arial" w:hAnsi="Arial"/>
                <w:sz w:val="12"/>
                <w:szCs w:val="12"/>
                <w:color w:val="auto"/>
              </w:rPr>
              <w:t>2.5%</w:t>
            </w:r>
          </w:p>
        </w:tc>
      </w:tr>
      <w:tr>
        <w:trPr>
          <w:trHeight w:val="125"/>
        </w:trPr>
        <w:tc>
          <w:tcPr>
            <w:tcW w:w="2820" w:type="dxa"/>
            <w:vAlign w:val="bottom"/>
            <w:tcBorders>
              <w:left w:val="single" w:sz="8" w:color="auto"/>
              <w:right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Operating efficiency</w:t>
            </w:r>
          </w:p>
        </w:tc>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r>
      <w:tr>
        <w:trPr>
          <w:trHeight w:val="131"/>
        </w:trPr>
        <w:tc>
          <w:tcPr>
            <w:tcW w:w="282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0"/>
                <w:szCs w:val="10"/>
                <w:color w:val="auto"/>
              </w:rPr>
              <w:t xml:space="preserve">Operating expenses / Total income </w:t>
            </w:r>
            <w:r>
              <w:rPr>
                <w:rFonts w:ascii="Arial" w:cs="Arial" w:eastAsia="Arial" w:hAnsi="Arial"/>
                <w:sz w:val="15"/>
                <w:szCs w:val="15"/>
                <w:color w:val="auto"/>
                <w:vertAlign w:val="superscript"/>
              </w:rPr>
              <w:t>(5)</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w w:val="99"/>
              </w:rPr>
              <w:t>43.2%</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w w:val="99"/>
              </w:rPr>
              <w:t>39.8%</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w w:val="99"/>
              </w:rPr>
              <w:t>45.7%</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w w:val="99"/>
              </w:rPr>
              <w:t>40.7%</w:t>
            </w:r>
          </w:p>
        </w:tc>
        <w:tc>
          <w:tcPr>
            <w:tcW w:w="1240" w:type="dxa"/>
            <w:vAlign w:val="bottom"/>
            <w:tcBorders>
              <w:right w:val="single" w:sz="8" w:color="auto"/>
            </w:tcBorders>
          </w:tcPr>
          <w:p>
            <w:pPr>
              <w:jc w:val="center"/>
              <w:ind w:left="119"/>
              <w:spacing w:after="0" w:line="132" w:lineRule="exact"/>
              <w:rPr>
                <w:sz w:val="20"/>
                <w:szCs w:val="20"/>
                <w:color w:val="auto"/>
              </w:rPr>
            </w:pPr>
            <w:r>
              <w:rPr>
                <w:rFonts w:ascii="Arial" w:cs="Arial" w:eastAsia="Arial" w:hAnsi="Arial"/>
                <w:sz w:val="12"/>
                <w:szCs w:val="12"/>
                <w:color w:val="auto"/>
                <w:w w:val="99"/>
              </w:rPr>
              <w:t>41.1%</w:t>
            </w:r>
          </w:p>
        </w:tc>
      </w:tr>
      <w:tr>
        <w:trPr>
          <w:trHeight w:val="131"/>
        </w:trPr>
        <w:tc>
          <w:tcPr>
            <w:tcW w:w="282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0"/>
                <w:szCs w:val="10"/>
                <w:color w:val="auto"/>
              </w:rPr>
              <w:t xml:space="preserve">Operating expenses / Total average assets </w:t>
            </w:r>
            <w:r>
              <w:rPr>
                <w:rFonts w:ascii="Arial" w:cs="Arial" w:eastAsia="Arial" w:hAnsi="Arial"/>
                <w:sz w:val="15"/>
                <w:szCs w:val="15"/>
                <w:color w:val="auto"/>
                <w:vertAlign w:val="superscript"/>
              </w:rPr>
              <w:t>(1)(2)</w:t>
            </w:r>
          </w:p>
        </w:tc>
        <w:tc>
          <w:tcPr>
            <w:tcW w:w="980" w:type="dxa"/>
            <w:vAlign w:val="bottom"/>
          </w:tcPr>
          <w:p>
            <w:pPr>
              <w:jc w:val="center"/>
              <w:spacing w:after="0" w:line="132" w:lineRule="exact"/>
              <w:rPr>
                <w:sz w:val="20"/>
                <w:szCs w:val="20"/>
                <w:color w:val="auto"/>
              </w:rPr>
            </w:pPr>
            <w:r>
              <w:rPr>
                <w:rFonts w:ascii="Arial" w:cs="Arial" w:eastAsia="Arial" w:hAnsi="Arial"/>
                <w:sz w:val="12"/>
                <w:szCs w:val="12"/>
                <w:color w:val="auto"/>
              </w:rPr>
              <w:t>3.7%</w:t>
            </w:r>
          </w:p>
        </w:tc>
        <w:tc>
          <w:tcPr>
            <w:tcW w:w="1020" w:type="dxa"/>
            <w:vAlign w:val="bottom"/>
          </w:tcPr>
          <w:p>
            <w:pPr>
              <w:jc w:val="center"/>
              <w:spacing w:after="0" w:line="132" w:lineRule="exact"/>
              <w:rPr>
                <w:sz w:val="20"/>
                <w:szCs w:val="20"/>
                <w:color w:val="auto"/>
              </w:rPr>
            </w:pPr>
            <w:r>
              <w:rPr>
                <w:rFonts w:ascii="Arial" w:cs="Arial" w:eastAsia="Arial" w:hAnsi="Arial"/>
                <w:sz w:val="12"/>
                <w:szCs w:val="12"/>
                <w:color w:val="auto"/>
              </w:rPr>
              <w:t>3.5%</w:t>
            </w:r>
          </w:p>
        </w:tc>
        <w:tc>
          <w:tcPr>
            <w:tcW w:w="10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2"/>
                <w:szCs w:val="12"/>
                <w:color w:val="auto"/>
              </w:rPr>
              <w:t>4.1%</w:t>
            </w:r>
          </w:p>
        </w:tc>
        <w:tc>
          <w:tcPr>
            <w:tcW w:w="780" w:type="dxa"/>
            <w:vAlign w:val="bottom"/>
          </w:tcPr>
          <w:p>
            <w:pPr>
              <w:jc w:val="center"/>
              <w:ind w:left="139"/>
              <w:spacing w:after="0" w:line="132" w:lineRule="exact"/>
              <w:rPr>
                <w:sz w:val="20"/>
                <w:szCs w:val="20"/>
                <w:color w:val="auto"/>
              </w:rPr>
            </w:pPr>
            <w:r>
              <w:rPr>
                <w:rFonts w:ascii="Arial" w:cs="Arial" w:eastAsia="Arial" w:hAnsi="Arial"/>
                <w:sz w:val="12"/>
                <w:szCs w:val="12"/>
                <w:color w:val="auto"/>
                <w:w w:val="94"/>
              </w:rPr>
              <w:t>3.4%</w:t>
            </w:r>
          </w:p>
        </w:tc>
        <w:tc>
          <w:tcPr>
            <w:tcW w:w="1240" w:type="dxa"/>
            <w:vAlign w:val="bottom"/>
            <w:tcBorders>
              <w:right w:val="single" w:sz="8" w:color="auto"/>
            </w:tcBorders>
          </w:tcPr>
          <w:p>
            <w:pPr>
              <w:jc w:val="center"/>
              <w:ind w:left="139"/>
              <w:spacing w:after="0" w:line="132" w:lineRule="exact"/>
              <w:rPr>
                <w:sz w:val="20"/>
                <w:szCs w:val="20"/>
                <w:color w:val="auto"/>
              </w:rPr>
            </w:pPr>
            <w:r>
              <w:rPr>
                <w:rFonts w:ascii="Arial" w:cs="Arial" w:eastAsia="Arial" w:hAnsi="Arial"/>
                <w:sz w:val="12"/>
                <w:szCs w:val="12"/>
                <w:color w:val="auto"/>
              </w:rPr>
              <w:t>3.6%</w:t>
            </w:r>
          </w:p>
        </w:tc>
      </w:tr>
      <w:tr>
        <w:trPr>
          <w:trHeight w:val="128"/>
        </w:trPr>
        <w:tc>
          <w:tcPr>
            <w:tcW w:w="28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(5)</w:t>
            </w:r>
          </w:p>
        </w:tc>
        <w:tc>
          <w:tcPr>
            <w:tcW w:w="9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r>
    </w:tbl>
    <w:p>
      <w:pPr>
        <w:spacing w:after="0" w:line="174" w:lineRule="exact"/>
        <w:rPr>
          <w:sz w:val="20"/>
          <w:szCs w:val="20"/>
          <w:color w:val="auto"/>
        </w:rPr>
      </w:pPr>
    </w:p>
    <w:p>
      <w:pPr>
        <w:ind w:left="220" w:hanging="215"/>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Ratios are annualized.</w:t>
      </w:r>
    </w:p>
    <w:p>
      <w:pPr>
        <w:spacing w:after="0" w:line="10" w:lineRule="exact"/>
        <w:rPr>
          <w:rFonts w:ascii="Arial" w:cs="Arial" w:eastAsia="Arial" w:hAnsi="Arial"/>
          <w:sz w:val="14"/>
          <w:szCs w:val="14"/>
          <w:color w:val="auto"/>
        </w:rPr>
      </w:pPr>
    </w:p>
    <w:p>
      <w:pPr>
        <w:ind w:left="220" w:hanging="215"/>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Averages are determined as the average of period-beginning and period-ending balances.</w:t>
      </w:r>
    </w:p>
    <w:p>
      <w:pPr>
        <w:spacing w:after="0" w:line="9" w:lineRule="exact"/>
        <w:rPr>
          <w:rFonts w:ascii="Arial" w:cs="Arial" w:eastAsia="Arial" w:hAnsi="Arial"/>
          <w:sz w:val="14"/>
          <w:szCs w:val="14"/>
          <w:color w:val="auto"/>
        </w:rPr>
      </w:pPr>
    </w:p>
    <w:p>
      <w:pPr>
        <w:ind w:right="200" w:firstLine="5"/>
        <w:spacing w:after="0" w:line="244" w:lineRule="auto"/>
        <w:tabs>
          <w:tab w:leader="none" w:pos="214"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220" w:hanging="215"/>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Cost of risk: Annualized provision for loan losses / Total loans.</w:t>
      </w:r>
    </w:p>
    <w:p>
      <w:pPr>
        <w:spacing w:after="0" w:line="9" w:lineRule="exact"/>
        <w:rPr>
          <w:rFonts w:ascii="Arial" w:cs="Arial" w:eastAsia="Arial" w:hAnsi="Arial"/>
          <w:sz w:val="14"/>
          <w:szCs w:val="14"/>
          <w:color w:val="auto"/>
        </w:rPr>
      </w:pPr>
    </w:p>
    <w:p>
      <w:pPr>
        <w:ind w:right="80" w:firstLine="5"/>
        <w:spacing w:after="0" w:line="268" w:lineRule="auto"/>
        <w:tabs>
          <w:tab w:leader="none" w:pos="214" w:val="left"/>
        </w:tabs>
        <w:numPr>
          <w:ilvl w:val="0"/>
          <w:numId w:val="55"/>
        </w:numPr>
        <w:rPr>
          <w:rFonts w:ascii="Arial" w:cs="Arial" w:eastAsia="Arial" w:hAnsi="Arial"/>
          <w:sz w:val="14"/>
          <w:szCs w:val="14"/>
          <w:color w:val="auto"/>
        </w:rPr>
      </w:pPr>
      <w:r>
        <w:rPr>
          <w:rFonts w:ascii="Arial" w:cs="Arial" w:eastAsia="Arial" w:hAnsi="Arial"/>
          <w:sz w:val="14"/>
          <w:szCs w:val="14"/>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415"/>
        </w:trPr>
        <w:tc>
          <w:tcPr>
            <w:tcW w:w="2900" w:type="dxa"/>
            <w:vAlign w:val="bottom"/>
            <w:gridSpan w:val="2"/>
            <w:shd w:val="clear" w:color="auto" w:fill="000000"/>
          </w:tcPr>
          <w:p>
            <w:pPr>
              <w:jc w:val="right"/>
              <w:ind w:right="63"/>
              <w:spacing w:after="0"/>
              <w:rPr>
                <w:sz w:val="20"/>
                <w:szCs w:val="20"/>
                <w:color w:val="auto"/>
              </w:rPr>
            </w:pPr>
            <w:r>
              <w:rPr>
                <w:rFonts w:ascii="Calibri" w:cs="Calibri" w:eastAsia="Calibri" w:hAnsi="Calibri"/>
                <w:sz w:val="19"/>
                <w:szCs w:val="19"/>
                <w:color w:val="A6A6A6"/>
              </w:rPr>
              <w:t>|</w:t>
            </w:r>
          </w:p>
        </w:tc>
        <w:tc>
          <w:tcPr>
            <w:tcW w:w="3900" w:type="dxa"/>
            <w:vAlign w:val="bottom"/>
            <w:gridSpan w:val="3"/>
            <w:shd w:val="clear" w:color="auto" w:fill="000000"/>
          </w:tcPr>
          <w:p>
            <w:pPr>
              <w:ind w:left="80"/>
              <w:spacing w:after="0"/>
              <w:rPr>
                <w:sz w:val="20"/>
                <w:szCs w:val="20"/>
                <w:color w:val="auto"/>
              </w:rPr>
            </w:pPr>
            <w:r>
              <w:rPr>
                <w:rFonts w:ascii="Calibri" w:cs="Calibri" w:eastAsia="Calibri" w:hAnsi="Calibri"/>
                <w:sz w:val="16"/>
                <w:szCs w:val="16"/>
                <w:color w:val="FFFFFF"/>
              </w:rPr>
              <w:t>Earnings Release 4Q / 2024</w:t>
            </w:r>
          </w:p>
        </w:tc>
        <w:tc>
          <w:tcPr>
            <w:tcW w:w="800" w:type="dxa"/>
            <w:vAlign w:val="bottom"/>
            <w:shd w:val="clear" w:color="auto" w:fill="000000"/>
          </w:tcPr>
          <w:p>
            <w:pPr>
              <w:spacing w:after="0"/>
              <w:rPr>
                <w:sz w:val="24"/>
                <w:szCs w:val="24"/>
                <w:color w:val="auto"/>
              </w:rPr>
            </w:pPr>
          </w:p>
        </w:tc>
        <w:tc>
          <w:tcPr>
            <w:tcW w:w="2540" w:type="dxa"/>
            <w:vAlign w:val="bottom"/>
            <w:gridSpan w:val="2"/>
            <w:shd w:val="clear" w:color="auto" w:fill="000000"/>
          </w:tcPr>
          <w:p>
            <w:pPr>
              <w:ind w:left="60"/>
              <w:spacing w:after="0"/>
              <w:rPr>
                <w:sz w:val="20"/>
                <w:szCs w:val="20"/>
                <w:color w:val="auto"/>
              </w:rPr>
            </w:pPr>
            <w:r>
              <w:rPr>
                <w:rFonts w:ascii="Calibri" w:cs="Calibri" w:eastAsia="Calibri" w:hAnsi="Calibri"/>
                <w:sz w:val="16"/>
                <w:szCs w:val="16"/>
                <w:color w:val="ED3FA8"/>
                <w:w w:val="99"/>
              </w:rPr>
              <w:t>Analysis of 4Q24 Consolidated Results</w:t>
            </w:r>
          </w:p>
        </w:tc>
        <w:tc>
          <w:tcPr>
            <w:tcW w:w="540" w:type="dxa"/>
            <w:vAlign w:val="bottom"/>
            <w:tcBorders>
              <w:right w:val="single" w:sz="8" w:color="auto"/>
            </w:tcBorders>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0" w:type="dxa"/>
            <w:vAlign w:val="bottom"/>
            <w:tcBorders>
              <w:right w:val="single" w:sz="8" w:color="auto"/>
            </w:tcBorders>
            <w:shd w:val="clear" w:color="auto" w:fill="000000"/>
          </w:tcPr>
          <w:p>
            <w:pPr>
              <w:spacing w:after="0"/>
              <w:rPr>
                <w:sz w:val="20"/>
                <w:szCs w:val="20"/>
                <w:color w:val="auto"/>
              </w:rPr>
            </w:pPr>
          </w:p>
        </w:tc>
        <w:tc>
          <w:tcPr>
            <w:tcW w:w="2320" w:type="dxa"/>
            <w:vAlign w:val="bottom"/>
            <w:shd w:val="clear" w:color="auto" w:fill="000000"/>
          </w:tcPr>
          <w:p>
            <w:pPr>
              <w:spacing w:after="0"/>
              <w:rPr>
                <w:sz w:val="20"/>
                <w:szCs w:val="20"/>
                <w:color w:val="auto"/>
              </w:rPr>
            </w:pPr>
          </w:p>
        </w:tc>
        <w:tc>
          <w:tcPr>
            <w:tcW w:w="1400" w:type="dxa"/>
            <w:vAlign w:val="bottom"/>
            <w:shd w:val="clear" w:color="auto" w:fill="000000"/>
          </w:tcPr>
          <w:p>
            <w:pPr>
              <w:spacing w:after="0"/>
              <w:rPr>
                <w:sz w:val="20"/>
                <w:szCs w:val="20"/>
                <w:color w:val="auto"/>
              </w:rPr>
            </w:pPr>
          </w:p>
        </w:tc>
        <w:tc>
          <w:tcPr>
            <w:tcW w:w="1060" w:type="dxa"/>
            <w:vAlign w:val="bottom"/>
            <w:tcBorders>
              <w:right w:val="single" w:sz="8" w:color="auto"/>
            </w:tcBorders>
            <w:shd w:val="clear" w:color="auto" w:fill="000000"/>
          </w:tcPr>
          <w:p>
            <w:pPr>
              <w:spacing w:after="0"/>
              <w:rPr>
                <w:sz w:val="20"/>
                <w:szCs w:val="20"/>
                <w:color w:val="auto"/>
              </w:rPr>
            </w:pPr>
          </w:p>
        </w:tc>
        <w:tc>
          <w:tcPr>
            <w:tcW w:w="1440" w:type="dxa"/>
            <w:vAlign w:val="bottom"/>
            <w:shd w:val="clear" w:color="auto" w:fill="000000"/>
          </w:tcPr>
          <w:p>
            <w:pPr>
              <w:spacing w:after="0"/>
              <w:rPr>
                <w:sz w:val="20"/>
                <w:szCs w:val="20"/>
                <w:color w:val="auto"/>
              </w:rPr>
            </w:pPr>
          </w:p>
        </w:tc>
        <w:tc>
          <w:tcPr>
            <w:tcW w:w="800" w:type="dxa"/>
            <w:vAlign w:val="bottom"/>
            <w:shd w:val="clear" w:color="auto" w:fill="000000"/>
          </w:tcPr>
          <w:p>
            <w:pPr>
              <w:spacing w:after="0"/>
              <w:rPr>
                <w:sz w:val="20"/>
                <w:szCs w:val="20"/>
                <w:color w:val="auto"/>
              </w:rPr>
            </w:pPr>
          </w:p>
        </w:tc>
        <w:tc>
          <w:tcPr>
            <w:tcW w:w="1540" w:type="dxa"/>
            <w:vAlign w:val="bottom"/>
            <w:tcBorders>
              <w:right w:val="single" w:sz="8" w:color="auto"/>
            </w:tcBorders>
            <w:shd w:val="clear" w:color="auto" w:fill="000000"/>
          </w:tcPr>
          <w:p>
            <w:pPr>
              <w:spacing w:after="0"/>
              <w:rPr>
                <w:sz w:val="20"/>
                <w:szCs w:val="20"/>
                <w:color w:val="auto"/>
              </w:rPr>
            </w:pPr>
          </w:p>
        </w:tc>
        <w:tc>
          <w:tcPr>
            <w:tcW w:w="1000" w:type="dxa"/>
            <w:vAlign w:val="bottom"/>
            <w:shd w:val="clear" w:color="auto" w:fill="000000"/>
          </w:tcPr>
          <w:p>
            <w:pPr>
              <w:spacing w:after="0"/>
              <w:rPr>
                <w:sz w:val="20"/>
                <w:szCs w:val="20"/>
                <w:color w:val="auto"/>
              </w:rPr>
            </w:pPr>
          </w:p>
        </w:tc>
        <w:tc>
          <w:tcPr>
            <w:tcW w:w="540" w:type="dxa"/>
            <w:vAlign w:val="bottom"/>
            <w:tcBorders>
              <w:right w:val="single" w:sz="8" w:color="auto"/>
            </w:tcBorders>
            <w:shd w:val="clear" w:color="auto" w:fill="000000"/>
          </w:tcPr>
          <w:p>
            <w:pPr>
              <w:spacing w:after="0"/>
              <w:rPr>
                <w:sz w:val="20"/>
                <w:szCs w:val="20"/>
                <w:color w:val="auto"/>
              </w:rPr>
            </w:pPr>
          </w:p>
        </w:tc>
        <w:tc>
          <w:tcPr>
            <w:tcW w:w="56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900" w:type="dxa"/>
            <w:vAlign w:val="bottom"/>
            <w:gridSpan w:val="2"/>
            <w:shd w:val="clear" w:color="auto" w:fill="E93BAC"/>
          </w:tcPr>
          <w:p>
            <w:pPr>
              <w:jc w:val="right"/>
              <w:ind w:right="1703"/>
              <w:spacing w:after="0"/>
              <w:rPr>
                <w:sz w:val="20"/>
                <w:szCs w:val="20"/>
                <w:color w:val="auto"/>
              </w:rPr>
            </w:pPr>
            <w:r>
              <w:rPr>
                <w:rFonts w:ascii="Calibri" w:cs="Calibri" w:eastAsia="Calibri" w:hAnsi="Calibri"/>
                <w:sz w:val="19"/>
                <w:szCs w:val="19"/>
                <w:b w:val="1"/>
                <w:bCs w:val="1"/>
                <w:color w:val="FFFFFF"/>
              </w:rPr>
              <w:t>12. Appendix</w:t>
            </w:r>
          </w:p>
        </w:tc>
        <w:tc>
          <w:tcPr>
            <w:tcW w:w="1400" w:type="dxa"/>
            <w:vAlign w:val="bottom"/>
            <w:shd w:val="clear" w:color="auto" w:fill="E93BAC"/>
          </w:tcPr>
          <w:p>
            <w:pPr>
              <w:spacing w:after="0"/>
              <w:rPr>
                <w:sz w:val="22"/>
                <w:szCs w:val="22"/>
                <w:color w:val="auto"/>
              </w:rPr>
            </w:pPr>
          </w:p>
        </w:tc>
        <w:tc>
          <w:tcPr>
            <w:tcW w:w="1060" w:type="dxa"/>
            <w:vAlign w:val="bottom"/>
            <w:tcBorders>
              <w:right w:val="single" w:sz="8" w:color="E93BAC"/>
            </w:tcBorders>
            <w:shd w:val="clear" w:color="auto" w:fill="E93BAC"/>
          </w:tcPr>
          <w:p>
            <w:pPr>
              <w:spacing w:after="0"/>
              <w:rPr>
                <w:sz w:val="22"/>
                <w:szCs w:val="22"/>
                <w:color w:val="auto"/>
              </w:rPr>
            </w:pPr>
          </w:p>
        </w:tc>
        <w:tc>
          <w:tcPr>
            <w:tcW w:w="1440" w:type="dxa"/>
            <w:vAlign w:val="bottom"/>
            <w:shd w:val="clear" w:color="auto" w:fill="E93BAC"/>
          </w:tcPr>
          <w:p>
            <w:pPr>
              <w:spacing w:after="0"/>
              <w:rPr>
                <w:sz w:val="22"/>
                <w:szCs w:val="22"/>
                <w:color w:val="auto"/>
              </w:rPr>
            </w:pPr>
          </w:p>
        </w:tc>
        <w:tc>
          <w:tcPr>
            <w:tcW w:w="800" w:type="dxa"/>
            <w:vAlign w:val="bottom"/>
            <w:shd w:val="clear" w:color="auto" w:fill="E93BAC"/>
          </w:tcPr>
          <w:p>
            <w:pPr>
              <w:spacing w:after="0"/>
              <w:rPr>
                <w:sz w:val="22"/>
                <w:szCs w:val="22"/>
                <w:color w:val="auto"/>
              </w:rPr>
            </w:pPr>
          </w:p>
        </w:tc>
        <w:tc>
          <w:tcPr>
            <w:tcW w:w="1540" w:type="dxa"/>
            <w:vAlign w:val="bottom"/>
            <w:tcBorders>
              <w:right w:val="single" w:sz="8" w:color="E93BAC"/>
            </w:tcBorders>
            <w:shd w:val="clear" w:color="auto" w:fill="E93BAC"/>
          </w:tcPr>
          <w:p>
            <w:pPr>
              <w:spacing w:after="0"/>
              <w:rPr>
                <w:sz w:val="22"/>
                <w:szCs w:val="22"/>
                <w:color w:val="auto"/>
              </w:rPr>
            </w:pPr>
          </w:p>
        </w:tc>
        <w:tc>
          <w:tcPr>
            <w:tcW w:w="1000" w:type="dxa"/>
            <w:vAlign w:val="bottom"/>
            <w:shd w:val="clear" w:color="auto" w:fill="E93BAC"/>
          </w:tcPr>
          <w:p>
            <w:pPr>
              <w:spacing w:after="0"/>
              <w:rPr>
                <w:sz w:val="22"/>
                <w:szCs w:val="22"/>
                <w:color w:val="auto"/>
              </w:rPr>
            </w:pPr>
          </w:p>
        </w:tc>
        <w:tc>
          <w:tcPr>
            <w:tcW w:w="540" w:type="dxa"/>
            <w:vAlign w:val="bottom"/>
            <w:tcBorders>
              <w:right w:val="single" w:sz="8" w:color="E93BAC"/>
            </w:tcBorders>
            <w:shd w:val="clear" w:color="auto" w:fill="E93BAC"/>
          </w:tcPr>
          <w:p>
            <w:pPr>
              <w:spacing w:after="0"/>
              <w:rPr>
                <w:sz w:val="22"/>
                <w:szCs w:val="22"/>
                <w:color w:val="auto"/>
              </w:rPr>
            </w:pPr>
          </w:p>
        </w:tc>
        <w:tc>
          <w:tcPr>
            <w:tcW w:w="560" w:type="dxa"/>
            <w:vAlign w:val="bottom"/>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580" w:type="dxa"/>
            <w:vAlign w:val="bottom"/>
            <w:tcBorders>
              <w:right w:val="single" w:sz="8" w:color="E93BAC"/>
            </w:tcBorders>
            <w:shd w:val="clear" w:color="auto" w:fill="E93BAC"/>
          </w:tcPr>
          <w:p>
            <w:pPr>
              <w:spacing w:after="0"/>
              <w:rPr>
                <w:sz w:val="7"/>
                <w:szCs w:val="7"/>
                <w:color w:val="auto"/>
              </w:rPr>
            </w:pPr>
          </w:p>
        </w:tc>
        <w:tc>
          <w:tcPr>
            <w:tcW w:w="2320" w:type="dxa"/>
            <w:vAlign w:val="bottom"/>
            <w:shd w:val="clear" w:color="auto" w:fill="E93BAC"/>
          </w:tcPr>
          <w:p>
            <w:pPr>
              <w:spacing w:after="0"/>
              <w:rPr>
                <w:sz w:val="7"/>
                <w:szCs w:val="7"/>
                <w:color w:val="auto"/>
              </w:rPr>
            </w:pPr>
          </w:p>
        </w:tc>
        <w:tc>
          <w:tcPr>
            <w:tcW w:w="1400" w:type="dxa"/>
            <w:vAlign w:val="bottom"/>
            <w:shd w:val="clear" w:color="auto" w:fill="E93BAC"/>
          </w:tcPr>
          <w:p>
            <w:pPr>
              <w:spacing w:after="0"/>
              <w:rPr>
                <w:sz w:val="7"/>
                <w:szCs w:val="7"/>
                <w:color w:val="auto"/>
              </w:rPr>
            </w:pPr>
          </w:p>
        </w:tc>
        <w:tc>
          <w:tcPr>
            <w:tcW w:w="1060" w:type="dxa"/>
            <w:vAlign w:val="bottom"/>
            <w:tcBorders>
              <w:right w:val="single" w:sz="8" w:color="E93BAC"/>
            </w:tcBorders>
            <w:shd w:val="clear" w:color="auto" w:fill="E93BAC"/>
          </w:tcPr>
          <w:p>
            <w:pPr>
              <w:spacing w:after="0"/>
              <w:rPr>
                <w:sz w:val="7"/>
                <w:szCs w:val="7"/>
                <w:color w:val="auto"/>
              </w:rPr>
            </w:pPr>
          </w:p>
        </w:tc>
        <w:tc>
          <w:tcPr>
            <w:tcW w:w="1440" w:type="dxa"/>
            <w:vAlign w:val="bottom"/>
            <w:shd w:val="clear" w:color="auto" w:fill="E93BAC"/>
          </w:tcPr>
          <w:p>
            <w:pPr>
              <w:spacing w:after="0"/>
              <w:rPr>
                <w:sz w:val="7"/>
                <w:szCs w:val="7"/>
                <w:color w:val="auto"/>
              </w:rPr>
            </w:pPr>
          </w:p>
        </w:tc>
        <w:tc>
          <w:tcPr>
            <w:tcW w:w="800" w:type="dxa"/>
            <w:vAlign w:val="bottom"/>
            <w:shd w:val="clear" w:color="auto" w:fill="E93BAC"/>
          </w:tcPr>
          <w:p>
            <w:pPr>
              <w:spacing w:after="0"/>
              <w:rPr>
                <w:sz w:val="7"/>
                <w:szCs w:val="7"/>
                <w:color w:val="auto"/>
              </w:rPr>
            </w:pPr>
          </w:p>
        </w:tc>
        <w:tc>
          <w:tcPr>
            <w:tcW w:w="1540" w:type="dxa"/>
            <w:vAlign w:val="bottom"/>
            <w:tcBorders>
              <w:right w:val="single" w:sz="8" w:color="E93BAC"/>
            </w:tcBorders>
            <w:shd w:val="clear" w:color="auto" w:fill="E93BAC"/>
          </w:tcPr>
          <w:p>
            <w:pPr>
              <w:spacing w:after="0"/>
              <w:rPr>
                <w:sz w:val="7"/>
                <w:szCs w:val="7"/>
                <w:color w:val="auto"/>
              </w:rPr>
            </w:pPr>
          </w:p>
        </w:tc>
        <w:tc>
          <w:tcPr>
            <w:tcW w:w="1000" w:type="dxa"/>
            <w:vAlign w:val="bottom"/>
            <w:shd w:val="clear" w:color="auto" w:fill="E93BAC"/>
          </w:tcPr>
          <w:p>
            <w:pPr>
              <w:spacing w:after="0"/>
              <w:rPr>
                <w:sz w:val="7"/>
                <w:szCs w:val="7"/>
                <w:color w:val="auto"/>
              </w:rPr>
            </w:pPr>
          </w:p>
        </w:tc>
        <w:tc>
          <w:tcPr>
            <w:tcW w:w="540" w:type="dxa"/>
            <w:vAlign w:val="bottom"/>
            <w:tcBorders>
              <w:right w:val="single" w:sz="8" w:color="E93BAC"/>
            </w:tcBorders>
            <w:shd w:val="clear" w:color="auto" w:fill="E93BAC"/>
          </w:tcPr>
          <w:p>
            <w:pPr>
              <w:spacing w:after="0"/>
              <w:rPr>
                <w:sz w:val="7"/>
                <w:szCs w:val="7"/>
                <w:color w:val="auto"/>
              </w:rPr>
            </w:pPr>
          </w:p>
        </w:tc>
        <w:tc>
          <w:tcPr>
            <w:tcW w:w="560" w:type="dxa"/>
            <w:vAlign w:val="bottom"/>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2900" w:type="dxa"/>
            <w:vAlign w:val="bottom"/>
            <w:gridSpan w:val="2"/>
          </w:tcPr>
          <w:p>
            <w:pPr>
              <w:jc w:val="right"/>
              <w:ind w:right="843"/>
              <w:spacing w:after="0"/>
              <w:rPr>
                <w:sz w:val="20"/>
                <w:szCs w:val="20"/>
                <w:color w:val="auto"/>
              </w:rPr>
            </w:pPr>
            <w:r>
              <w:rPr>
                <w:rFonts w:ascii="Calibri" w:cs="Calibri" w:eastAsia="Calibri" w:hAnsi="Calibri"/>
                <w:sz w:val="17"/>
                <w:szCs w:val="17"/>
                <w:b w:val="1"/>
                <w:bCs w:val="1"/>
                <w:color w:val="auto"/>
              </w:rPr>
              <w:t>12.6.4. BCP Stand-alone</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500" w:type="dxa"/>
            <w:vAlign w:val="bottom"/>
            <w:gridSpan w:val="2"/>
          </w:tcPr>
          <w:p>
            <w:pPr>
              <w:ind w:left="320"/>
              <w:spacing w:after="0" w:line="193" w:lineRule="exact"/>
              <w:rPr>
                <w:sz w:val="20"/>
                <w:szCs w:val="20"/>
                <w:color w:val="auto"/>
              </w:rPr>
            </w:pPr>
            <w:r>
              <w:rPr>
                <w:rFonts w:ascii="Calibri" w:cs="Calibri" w:eastAsia="Calibri" w:hAnsi="Calibri"/>
                <w:sz w:val="16"/>
                <w:szCs w:val="16"/>
                <w:b w:val="1"/>
                <w:bCs w:val="1"/>
                <w:color w:val="auto"/>
              </w:rPr>
              <w:t>Statement of Financial Positon</w:t>
            </w: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500" w:type="dxa"/>
            <w:vAlign w:val="bottom"/>
            <w:gridSpan w:val="2"/>
          </w:tcPr>
          <w:p>
            <w:pPr>
              <w:ind w:left="680"/>
              <w:spacing w:after="0"/>
              <w:rPr>
                <w:sz w:val="20"/>
                <w:szCs w:val="20"/>
                <w:color w:val="auto"/>
              </w:rPr>
            </w:pPr>
            <w:r>
              <w:rPr>
                <w:rFonts w:ascii="Calibri" w:cs="Calibri" w:eastAsia="Calibri" w:hAnsi="Calibri"/>
                <w:sz w:val="16"/>
                <w:szCs w:val="16"/>
                <w:b w:val="1"/>
                <w:bCs w:val="1"/>
                <w:color w:val="auto"/>
              </w:rPr>
              <w:t>(S/ Thousands, IFRS)</w:t>
            </w: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580" w:type="dxa"/>
            <w:vAlign w:val="bottom"/>
            <w:tcBorders>
              <w:right w:val="single" w:sz="8" w:color="auto"/>
            </w:tcBorders>
          </w:tcPr>
          <w:p>
            <w:pPr>
              <w:spacing w:after="0"/>
              <w:rPr>
                <w:sz w:val="12"/>
                <w:szCs w:val="12"/>
                <w:color w:val="auto"/>
              </w:rPr>
            </w:pPr>
          </w:p>
        </w:tc>
        <w:tc>
          <w:tcPr>
            <w:tcW w:w="2320" w:type="dxa"/>
            <w:vAlign w:val="bottom"/>
            <w:shd w:val="clear" w:color="auto" w:fill="2AD2C8"/>
          </w:tcPr>
          <w:p>
            <w:pPr>
              <w:spacing w:after="0"/>
              <w:rPr>
                <w:sz w:val="12"/>
                <w:szCs w:val="12"/>
                <w:color w:val="auto"/>
              </w:rPr>
            </w:pPr>
          </w:p>
        </w:tc>
        <w:tc>
          <w:tcPr>
            <w:tcW w:w="1400" w:type="dxa"/>
            <w:vAlign w:val="bottom"/>
            <w:shd w:val="clear" w:color="auto" w:fill="2AD2C8"/>
          </w:tcPr>
          <w:p>
            <w:pPr>
              <w:spacing w:after="0"/>
              <w:rPr>
                <w:sz w:val="12"/>
                <w:szCs w:val="12"/>
                <w:color w:val="auto"/>
              </w:rPr>
            </w:pPr>
          </w:p>
        </w:tc>
        <w:tc>
          <w:tcPr>
            <w:tcW w:w="1060" w:type="dxa"/>
            <w:vAlign w:val="bottom"/>
            <w:tcBorders>
              <w:right w:val="single" w:sz="8" w:color="auto"/>
            </w:tcBorders>
            <w:shd w:val="clear" w:color="auto" w:fill="2AD2C8"/>
          </w:tcPr>
          <w:p>
            <w:pPr>
              <w:spacing w:after="0"/>
              <w:rPr>
                <w:sz w:val="12"/>
                <w:szCs w:val="12"/>
                <w:color w:val="auto"/>
              </w:rPr>
            </w:pPr>
          </w:p>
        </w:tc>
        <w:tc>
          <w:tcPr>
            <w:tcW w:w="1440" w:type="dxa"/>
            <w:vAlign w:val="bottom"/>
            <w:shd w:val="clear" w:color="auto" w:fill="2AD2C8"/>
          </w:tcPr>
          <w:p>
            <w:pPr>
              <w:spacing w:after="0"/>
              <w:rPr>
                <w:sz w:val="12"/>
                <w:szCs w:val="12"/>
                <w:color w:val="auto"/>
              </w:rPr>
            </w:pPr>
          </w:p>
        </w:tc>
        <w:tc>
          <w:tcPr>
            <w:tcW w:w="800" w:type="dxa"/>
            <w:vAlign w:val="bottom"/>
            <w:shd w:val="clear" w:color="auto" w:fill="2AD2C8"/>
          </w:tcPr>
          <w:p>
            <w:pPr>
              <w:jc w:val="center"/>
              <w:ind w:left="23"/>
              <w:spacing w:after="0"/>
              <w:rPr>
                <w:sz w:val="20"/>
                <w:szCs w:val="20"/>
                <w:color w:val="auto"/>
              </w:rPr>
            </w:pPr>
            <w:r>
              <w:rPr>
                <w:rFonts w:ascii="Calibri" w:cs="Calibri" w:eastAsia="Calibri" w:hAnsi="Calibri"/>
                <w:sz w:val="11"/>
                <w:szCs w:val="11"/>
                <w:b w:val="1"/>
                <w:bCs w:val="1"/>
                <w:color w:val="FFFFFF"/>
              </w:rPr>
              <w:t>As of</w:t>
            </w:r>
          </w:p>
        </w:tc>
        <w:tc>
          <w:tcPr>
            <w:tcW w:w="1540" w:type="dxa"/>
            <w:vAlign w:val="bottom"/>
            <w:tcBorders>
              <w:right w:val="single" w:sz="8" w:color="auto"/>
            </w:tcBorders>
            <w:shd w:val="clear" w:color="auto" w:fill="2AD2C8"/>
          </w:tcPr>
          <w:p>
            <w:pPr>
              <w:spacing w:after="0"/>
              <w:rPr>
                <w:sz w:val="12"/>
                <w:szCs w:val="12"/>
                <w:color w:val="auto"/>
              </w:rPr>
            </w:pPr>
          </w:p>
        </w:tc>
        <w:tc>
          <w:tcPr>
            <w:tcW w:w="1000" w:type="dxa"/>
            <w:vAlign w:val="bottom"/>
            <w:shd w:val="clear" w:color="auto" w:fill="2AD2C8"/>
          </w:tcPr>
          <w:p>
            <w:pPr>
              <w:ind w:left="560"/>
              <w:spacing w:after="0"/>
              <w:rPr>
                <w:sz w:val="20"/>
                <w:szCs w:val="20"/>
                <w:color w:val="auto"/>
              </w:rPr>
            </w:pPr>
            <w:r>
              <w:rPr>
                <w:rFonts w:ascii="Calibri" w:cs="Calibri" w:eastAsia="Calibri" w:hAnsi="Calibri"/>
                <w:sz w:val="11"/>
                <w:szCs w:val="11"/>
                <w:b w:val="1"/>
                <w:bCs w:val="1"/>
                <w:color w:val="FFFFFF"/>
                <w:w w:val="97"/>
              </w:rPr>
              <w:t>% change</w:t>
            </w:r>
          </w:p>
        </w:tc>
        <w:tc>
          <w:tcPr>
            <w:tcW w:w="540" w:type="dxa"/>
            <w:vAlign w:val="bottom"/>
            <w:tcBorders>
              <w:right w:val="single" w:sz="8" w:color="auto"/>
            </w:tcBorders>
            <w:shd w:val="clear" w:color="auto" w:fill="2AD2C8"/>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580" w:type="dxa"/>
            <w:vAlign w:val="bottom"/>
            <w:tcBorders>
              <w:right w:val="single" w:sz="8" w:color="auto"/>
            </w:tcBorders>
          </w:tcPr>
          <w:p>
            <w:pPr>
              <w:spacing w:after="0"/>
              <w:rPr>
                <w:sz w:val="20"/>
                <w:szCs w:val="20"/>
                <w:color w:val="auto"/>
              </w:rPr>
            </w:pPr>
          </w:p>
        </w:tc>
        <w:tc>
          <w:tcPr>
            <w:tcW w:w="2320" w:type="dxa"/>
            <w:vAlign w:val="bottom"/>
            <w:tcBorders>
              <w:bottom w:val="single" w:sz="8" w:color="2AD2C8"/>
            </w:tcBorders>
            <w:shd w:val="clear" w:color="auto" w:fill="2AD2C8"/>
          </w:tcPr>
          <w:p>
            <w:pPr>
              <w:spacing w:after="0"/>
              <w:rPr>
                <w:sz w:val="20"/>
                <w:szCs w:val="20"/>
                <w:color w:val="auto"/>
              </w:rPr>
            </w:pPr>
          </w:p>
        </w:tc>
        <w:tc>
          <w:tcPr>
            <w:tcW w:w="1400" w:type="dxa"/>
            <w:vAlign w:val="bottom"/>
            <w:tcBorders>
              <w:bottom w:val="single" w:sz="8" w:color="2AD2C8"/>
            </w:tcBorders>
            <w:shd w:val="clear" w:color="auto" w:fill="2AD2C8"/>
          </w:tcPr>
          <w:p>
            <w:pPr>
              <w:spacing w:after="0"/>
              <w:rPr>
                <w:sz w:val="20"/>
                <w:szCs w:val="20"/>
                <w:color w:val="auto"/>
              </w:rPr>
            </w:pPr>
          </w:p>
        </w:tc>
        <w:tc>
          <w:tcPr>
            <w:tcW w:w="1060" w:type="dxa"/>
            <w:vAlign w:val="bottom"/>
            <w:tcBorders>
              <w:bottom w:val="single" w:sz="8" w:color="2AD2C8"/>
              <w:right w:val="single" w:sz="8" w:color="auto"/>
            </w:tcBorders>
            <w:shd w:val="clear" w:color="auto" w:fill="2AD2C8"/>
          </w:tcPr>
          <w:p>
            <w:pPr>
              <w:spacing w:after="0"/>
              <w:rPr>
                <w:sz w:val="20"/>
                <w:szCs w:val="20"/>
                <w:color w:val="auto"/>
              </w:rPr>
            </w:pPr>
          </w:p>
        </w:tc>
        <w:tc>
          <w:tcPr>
            <w:tcW w:w="1440" w:type="dxa"/>
            <w:vAlign w:val="bottom"/>
            <w:tcBorders>
              <w:bottom w:val="single" w:sz="8" w:color="2AD2C8"/>
            </w:tcBorders>
            <w:shd w:val="clear" w:color="auto" w:fill="2AD2C8"/>
          </w:tcPr>
          <w:p>
            <w:pPr>
              <w:ind w:left="440"/>
              <w:spacing w:after="0"/>
              <w:rPr>
                <w:sz w:val="20"/>
                <w:szCs w:val="20"/>
                <w:color w:val="auto"/>
              </w:rPr>
            </w:pPr>
            <w:r>
              <w:rPr>
                <w:rFonts w:ascii="Calibri" w:cs="Calibri" w:eastAsia="Calibri" w:hAnsi="Calibri"/>
                <w:sz w:val="13"/>
                <w:szCs w:val="13"/>
                <w:b w:val="1"/>
                <w:bCs w:val="1"/>
                <w:color w:val="FFFFFF"/>
              </w:rPr>
              <w:t>Dec 23</w:t>
            </w:r>
          </w:p>
        </w:tc>
        <w:tc>
          <w:tcPr>
            <w:tcW w:w="800" w:type="dxa"/>
            <w:vAlign w:val="bottom"/>
            <w:tcBorders>
              <w:bottom w:val="single" w:sz="8" w:color="2AD2C8"/>
            </w:tcBorders>
            <w:shd w:val="clear" w:color="auto" w:fill="2AD2C8"/>
          </w:tcPr>
          <w:p>
            <w:pPr>
              <w:jc w:val="center"/>
              <w:ind w:left="23"/>
              <w:spacing w:after="0"/>
              <w:rPr>
                <w:sz w:val="20"/>
                <w:szCs w:val="20"/>
                <w:color w:val="auto"/>
              </w:rPr>
            </w:pPr>
            <w:r>
              <w:rPr>
                <w:rFonts w:ascii="Calibri" w:cs="Calibri" w:eastAsia="Calibri" w:hAnsi="Calibri"/>
                <w:sz w:val="13"/>
                <w:szCs w:val="13"/>
                <w:b w:val="1"/>
                <w:bCs w:val="1"/>
                <w:color w:val="FFFFFF"/>
              </w:rPr>
              <w:t>Sep 24</w:t>
            </w:r>
          </w:p>
        </w:tc>
        <w:tc>
          <w:tcPr>
            <w:tcW w:w="1540" w:type="dxa"/>
            <w:vAlign w:val="bottom"/>
            <w:tcBorders>
              <w:bottom w:val="single" w:sz="8" w:color="2AD2C8"/>
              <w:right w:val="single" w:sz="8" w:color="auto"/>
            </w:tcBorders>
            <w:shd w:val="clear" w:color="auto" w:fill="2AD2C8"/>
          </w:tcPr>
          <w:p>
            <w:pPr>
              <w:ind w:left="720"/>
              <w:spacing w:after="0"/>
              <w:rPr>
                <w:sz w:val="20"/>
                <w:szCs w:val="20"/>
                <w:color w:val="auto"/>
              </w:rPr>
            </w:pPr>
            <w:r>
              <w:rPr>
                <w:rFonts w:ascii="Calibri" w:cs="Calibri" w:eastAsia="Calibri" w:hAnsi="Calibri"/>
                <w:sz w:val="13"/>
                <w:szCs w:val="13"/>
                <w:b w:val="1"/>
                <w:bCs w:val="1"/>
                <w:color w:val="FFFFFF"/>
              </w:rPr>
              <w:t>Dec 24</w:t>
            </w:r>
          </w:p>
        </w:tc>
        <w:tc>
          <w:tcPr>
            <w:tcW w:w="1000" w:type="dxa"/>
            <w:vAlign w:val="bottom"/>
            <w:tcBorders>
              <w:bottom w:val="single" w:sz="8" w:color="2AD2C8"/>
            </w:tcBorders>
            <w:shd w:val="clear" w:color="auto" w:fill="2AD2C8"/>
          </w:tcPr>
          <w:p>
            <w:pPr>
              <w:ind w:left="260"/>
              <w:spacing w:after="0"/>
              <w:rPr>
                <w:sz w:val="20"/>
                <w:szCs w:val="20"/>
                <w:color w:val="auto"/>
              </w:rPr>
            </w:pPr>
            <w:r>
              <w:rPr>
                <w:rFonts w:ascii="Calibri" w:cs="Calibri" w:eastAsia="Calibri" w:hAnsi="Calibri"/>
                <w:sz w:val="11"/>
                <w:szCs w:val="11"/>
                <w:b w:val="1"/>
                <w:bCs w:val="1"/>
                <w:color w:val="FFFFFF"/>
              </w:rPr>
              <w:t>QoQ</w:t>
            </w:r>
          </w:p>
        </w:tc>
        <w:tc>
          <w:tcPr>
            <w:tcW w:w="540" w:type="dxa"/>
            <w:vAlign w:val="bottom"/>
            <w:tcBorders>
              <w:bottom w:val="single" w:sz="8" w:color="2AD2C8"/>
              <w:right w:val="single" w:sz="8" w:color="auto"/>
            </w:tcBorders>
            <w:shd w:val="clear" w:color="auto" w:fill="2AD2C8"/>
          </w:tcPr>
          <w:p>
            <w:pPr>
              <w:ind w:left="60"/>
              <w:spacing w:after="0"/>
              <w:rPr>
                <w:sz w:val="20"/>
                <w:szCs w:val="20"/>
                <w:color w:val="auto"/>
              </w:rPr>
            </w:pPr>
            <w:r>
              <w:rPr>
                <w:rFonts w:ascii="Calibri" w:cs="Calibri" w:eastAsia="Calibri" w:hAnsi="Calibri"/>
                <w:sz w:val="11"/>
                <w:szCs w:val="11"/>
                <w:b w:val="1"/>
                <w:bCs w:val="1"/>
                <w:color w:val="FFFFFF"/>
              </w:rPr>
              <w:t>YoY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80" w:type="dxa"/>
            <w:vAlign w:val="bottom"/>
            <w:tcBorders>
              <w:right w:val="single" w:sz="8" w:color="auto"/>
            </w:tcBorders>
          </w:tcPr>
          <w:p>
            <w:pPr>
              <w:spacing w:after="0"/>
              <w:rPr>
                <w:sz w:val="11"/>
                <w:szCs w:val="11"/>
                <w:color w:val="auto"/>
              </w:rPr>
            </w:pPr>
          </w:p>
        </w:tc>
        <w:tc>
          <w:tcPr>
            <w:tcW w:w="2320" w:type="dxa"/>
            <w:vAlign w:val="bottom"/>
            <w:tcBorders>
              <w:top w:val="single" w:sz="8" w:color="auto"/>
            </w:tcBorders>
          </w:tcPr>
          <w:p>
            <w:pPr>
              <w:spacing w:after="0" w:line="129" w:lineRule="exact"/>
              <w:rPr>
                <w:sz w:val="20"/>
                <w:szCs w:val="20"/>
                <w:color w:val="auto"/>
              </w:rPr>
            </w:pPr>
            <w:r>
              <w:rPr>
                <w:rFonts w:ascii="Calibri" w:cs="Calibri" w:eastAsia="Calibri" w:hAnsi="Calibri"/>
                <w:sz w:val="11"/>
                <w:szCs w:val="11"/>
                <w:b w:val="1"/>
                <w:bCs w:val="1"/>
                <w:color w:val="auto"/>
              </w:rPr>
              <w:t>ASSETS</w:t>
            </w:r>
          </w:p>
        </w:tc>
        <w:tc>
          <w:tcPr>
            <w:tcW w:w="1400" w:type="dxa"/>
            <w:vAlign w:val="bottom"/>
            <w:tcBorders>
              <w:top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54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80" w:type="dxa"/>
            <w:vAlign w:val="bottom"/>
            <w:tcBorders>
              <w:right w:val="single" w:sz="8" w:color="auto"/>
            </w:tcBorders>
          </w:tcPr>
          <w:p>
            <w:pPr>
              <w:spacing w:after="0"/>
              <w:rPr>
                <w:sz w:val="14"/>
                <w:szCs w:val="14"/>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Cash and due from banks</w:t>
            </w:r>
          </w:p>
        </w:tc>
        <w:tc>
          <w:tcPr>
            <w:tcW w:w="140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80" w:type="dxa"/>
            <w:vAlign w:val="bottom"/>
            <w:tcBorders>
              <w:right w:val="single" w:sz="8" w:color="auto"/>
            </w:tcBorders>
          </w:tcPr>
          <w:p>
            <w:pPr>
              <w:spacing w:after="0"/>
              <w:rPr>
                <w:sz w:val="17"/>
                <w:szCs w:val="17"/>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Non-interest bearing</w:t>
            </w:r>
          </w:p>
        </w:tc>
        <w:tc>
          <w:tcPr>
            <w:tcW w:w="14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rPr>
              <w:t>5,236,016</w:t>
            </w:r>
          </w:p>
        </w:tc>
        <w:tc>
          <w:tcPr>
            <w:tcW w:w="800" w:type="dxa"/>
            <w:vAlign w:val="bottom"/>
          </w:tcPr>
          <w:p>
            <w:pPr>
              <w:jc w:val="center"/>
              <w:ind w:left="43"/>
              <w:spacing w:after="0"/>
              <w:rPr>
                <w:sz w:val="20"/>
                <w:szCs w:val="20"/>
                <w:color w:val="auto"/>
              </w:rPr>
            </w:pPr>
            <w:r>
              <w:rPr>
                <w:rFonts w:ascii="Calibri" w:cs="Calibri" w:eastAsia="Calibri" w:hAnsi="Calibri"/>
                <w:sz w:val="11"/>
                <w:szCs w:val="11"/>
                <w:color w:val="auto"/>
              </w:rPr>
              <w:t>4,561,696</w:t>
            </w:r>
          </w:p>
        </w:tc>
        <w:tc>
          <w:tcPr>
            <w:tcW w:w="1540" w:type="dxa"/>
            <w:vAlign w:val="bottom"/>
            <w:tcBorders>
              <w:right w:val="single" w:sz="8" w:color="auto"/>
            </w:tcBorders>
          </w:tcPr>
          <w:p>
            <w:pPr>
              <w:jc w:val="center"/>
              <w:ind w:left="222"/>
              <w:spacing w:after="0"/>
              <w:rPr>
                <w:sz w:val="20"/>
                <w:szCs w:val="20"/>
                <w:color w:val="auto"/>
              </w:rPr>
            </w:pPr>
            <w:r>
              <w:rPr>
                <w:rFonts w:ascii="Calibri" w:cs="Calibri" w:eastAsia="Calibri" w:hAnsi="Calibri"/>
                <w:sz w:val="11"/>
                <w:szCs w:val="11"/>
                <w:color w:val="auto"/>
              </w:rPr>
              <w:t>4,792,810</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5.1%</w:t>
            </w:r>
          </w:p>
        </w:tc>
        <w:tc>
          <w:tcPr>
            <w:tcW w:w="54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8.5%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Interest bearing</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w w:val="99"/>
              </w:rPr>
              <w:t>24,554,369</w:t>
            </w:r>
          </w:p>
        </w:tc>
        <w:tc>
          <w:tcPr>
            <w:tcW w:w="800" w:type="dxa"/>
            <w:vAlign w:val="bottom"/>
          </w:tcPr>
          <w:p>
            <w:pPr>
              <w:jc w:val="center"/>
              <w:ind w:left="23"/>
              <w:spacing w:after="0"/>
              <w:rPr>
                <w:sz w:val="20"/>
                <w:szCs w:val="20"/>
                <w:color w:val="auto"/>
              </w:rPr>
            </w:pPr>
            <w:r>
              <w:rPr>
                <w:rFonts w:ascii="Calibri" w:cs="Calibri" w:eastAsia="Calibri" w:hAnsi="Calibri"/>
                <w:sz w:val="11"/>
                <w:szCs w:val="11"/>
                <w:color w:val="auto"/>
              </w:rPr>
              <w:t>35,307,925</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38,063,318</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7.8%</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55.0%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Borders>
              <w:right w:val="single" w:sz="8" w:color="auto"/>
            </w:tcBorders>
          </w:tcPr>
          <w:p>
            <w:pPr>
              <w:spacing w:after="0"/>
              <w:rPr>
                <w:sz w:val="12"/>
                <w:szCs w:val="12"/>
                <w:color w:val="auto"/>
              </w:rPr>
            </w:pPr>
          </w:p>
        </w:tc>
        <w:tc>
          <w:tcPr>
            <w:tcW w:w="2320" w:type="dxa"/>
            <w:vAlign w:val="bottom"/>
          </w:tcPr>
          <w:p>
            <w:pPr>
              <w:ind w:left="160"/>
              <w:spacing w:after="0"/>
              <w:rPr>
                <w:sz w:val="20"/>
                <w:szCs w:val="20"/>
                <w:color w:val="auto"/>
              </w:rPr>
            </w:pPr>
            <w:r>
              <w:rPr>
                <w:rFonts w:ascii="Calibri" w:cs="Calibri" w:eastAsia="Calibri" w:hAnsi="Calibri"/>
                <w:sz w:val="11"/>
                <w:szCs w:val="11"/>
                <w:b w:val="1"/>
                <w:bCs w:val="1"/>
                <w:color w:val="auto"/>
              </w:rPr>
              <w:t>Total cash and due from banks</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43"/>
              <w:spacing w:after="0"/>
              <w:rPr>
                <w:sz w:val="20"/>
                <w:szCs w:val="20"/>
                <w:color w:val="auto"/>
              </w:rPr>
            </w:pPr>
            <w:r>
              <w:rPr>
                <w:rFonts w:ascii="Calibri" w:cs="Calibri" w:eastAsia="Calibri" w:hAnsi="Calibri"/>
                <w:sz w:val="11"/>
                <w:szCs w:val="11"/>
                <w:b w:val="1"/>
                <w:bCs w:val="1"/>
                <w:color w:val="auto"/>
              </w:rPr>
              <w:t>29,790,385</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rPr>
              <w:t>39,869,621</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42,856,128</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7.5%</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43.9%</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80" w:type="dxa"/>
            <w:vAlign w:val="bottom"/>
            <w:tcBorders>
              <w:right w:val="single" w:sz="8" w:color="auto"/>
            </w:tcBorders>
          </w:tcPr>
          <w:p>
            <w:pPr>
              <w:spacing w:after="0"/>
              <w:rPr>
                <w:sz w:val="15"/>
                <w:szCs w:val="15"/>
                <w:color w:val="auto"/>
              </w:rPr>
            </w:pPr>
          </w:p>
        </w:tc>
        <w:tc>
          <w:tcPr>
            <w:tcW w:w="3720" w:type="dxa"/>
            <w:vAlign w:val="bottom"/>
            <w:gridSpan w:val="2"/>
          </w:tcPr>
          <w:p>
            <w:pPr>
              <w:spacing w:after="0"/>
              <w:rPr>
                <w:sz w:val="20"/>
                <w:szCs w:val="20"/>
                <w:color w:val="auto"/>
              </w:rPr>
            </w:pPr>
            <w:r>
              <w:rPr>
                <w:rFonts w:ascii="Calibri" w:cs="Calibri" w:eastAsia="Calibri" w:hAnsi="Calibri"/>
                <w:sz w:val="11"/>
                <w:szCs w:val="11"/>
                <w:b w:val="1"/>
                <w:bCs w:val="1"/>
                <w:color w:val="auto"/>
              </w:rPr>
              <w:t>Cash collateral, reverse repurchase agreements and securites borrowing</w:t>
            </w:r>
          </w:p>
        </w:tc>
        <w:tc>
          <w:tcPr>
            <w:tcW w:w="1060" w:type="dxa"/>
            <w:vAlign w:val="bottom"/>
            <w:tcBorders>
              <w:right w:val="single" w:sz="8" w:color="auto"/>
            </w:tcBorders>
          </w:tcPr>
          <w:p>
            <w:pPr>
              <w:spacing w:after="0"/>
              <w:rPr>
                <w:sz w:val="15"/>
                <w:szCs w:val="15"/>
                <w:color w:val="auto"/>
              </w:rPr>
            </w:pPr>
          </w:p>
        </w:tc>
        <w:tc>
          <w:tcPr>
            <w:tcW w:w="1440" w:type="dxa"/>
            <w:vAlign w:val="bottom"/>
            <w:vMerge w:val="restart"/>
          </w:tcPr>
          <w:p>
            <w:pPr>
              <w:jc w:val="center"/>
              <w:ind w:right="123"/>
              <w:spacing w:after="0"/>
              <w:rPr>
                <w:sz w:val="20"/>
                <w:szCs w:val="20"/>
                <w:color w:val="auto"/>
              </w:rPr>
            </w:pPr>
            <w:r>
              <w:rPr>
                <w:rFonts w:ascii="Calibri" w:cs="Calibri" w:eastAsia="Calibri" w:hAnsi="Calibri"/>
                <w:sz w:val="11"/>
                <w:szCs w:val="11"/>
                <w:b w:val="1"/>
                <w:bCs w:val="1"/>
                <w:color w:val="auto"/>
              </w:rPr>
              <w:t>100,211</w:t>
            </w:r>
          </w:p>
        </w:tc>
        <w:tc>
          <w:tcPr>
            <w:tcW w:w="800" w:type="dxa"/>
            <w:vAlign w:val="bottom"/>
            <w:vMerge w:val="restart"/>
          </w:tcPr>
          <w:p>
            <w:pPr>
              <w:jc w:val="center"/>
              <w:ind w:left="23"/>
              <w:spacing w:after="0"/>
              <w:rPr>
                <w:sz w:val="20"/>
                <w:szCs w:val="20"/>
                <w:color w:val="auto"/>
              </w:rPr>
            </w:pPr>
            <w:r>
              <w:rPr>
                <w:rFonts w:ascii="Calibri" w:cs="Calibri" w:eastAsia="Calibri" w:hAnsi="Calibri"/>
                <w:sz w:val="11"/>
                <w:szCs w:val="11"/>
                <w:b w:val="1"/>
                <w:bCs w:val="1"/>
                <w:color w:val="auto"/>
                <w:w w:val="99"/>
              </w:rPr>
              <w:t>622,399</w:t>
            </w:r>
          </w:p>
        </w:tc>
        <w:tc>
          <w:tcPr>
            <w:tcW w:w="1540" w:type="dxa"/>
            <w:vAlign w:val="bottom"/>
            <w:tcBorders>
              <w:right w:val="single" w:sz="8" w:color="auto"/>
            </w:tcBorders>
            <w:vMerge w:val="restart"/>
          </w:tcPr>
          <w:p>
            <w:pPr>
              <w:jc w:val="center"/>
              <w:ind w:left="202"/>
              <w:spacing w:after="0"/>
              <w:rPr>
                <w:sz w:val="20"/>
                <w:szCs w:val="20"/>
                <w:color w:val="auto"/>
              </w:rPr>
            </w:pPr>
            <w:r>
              <w:rPr>
                <w:rFonts w:ascii="Calibri" w:cs="Calibri" w:eastAsia="Calibri" w:hAnsi="Calibri"/>
                <w:sz w:val="11"/>
                <w:szCs w:val="11"/>
                <w:b w:val="1"/>
                <w:bCs w:val="1"/>
                <w:color w:val="auto"/>
              </w:rPr>
              <w:t>19,151</w:t>
            </w:r>
          </w:p>
        </w:tc>
        <w:tc>
          <w:tcPr>
            <w:tcW w:w="1000" w:type="dxa"/>
            <w:vAlign w:val="bottom"/>
            <w:vMerge w:val="restart"/>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96.9%</w:t>
            </w:r>
          </w:p>
        </w:tc>
        <w:tc>
          <w:tcPr>
            <w:tcW w:w="540" w:type="dxa"/>
            <w:vAlign w:val="bottom"/>
            <w:tcBorders>
              <w:right w:val="single" w:sz="8" w:color="auto"/>
            </w:tcBorders>
            <w:vMerge w:val="restart"/>
          </w:tcPr>
          <w:p>
            <w:pPr>
              <w:jc w:val="center"/>
              <w:ind w:right="16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80.9%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580" w:type="dxa"/>
            <w:vAlign w:val="bottom"/>
            <w:tcBorders>
              <w:right w:val="single" w:sz="8" w:color="auto"/>
            </w:tcBorders>
          </w:tcPr>
          <w:p>
            <w:pPr>
              <w:spacing w:after="0"/>
              <w:rPr>
                <w:sz w:val="5"/>
                <w:szCs w:val="5"/>
                <w:color w:val="auto"/>
              </w:rPr>
            </w:pPr>
          </w:p>
        </w:tc>
        <w:tc>
          <w:tcPr>
            <w:tcW w:w="2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14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580" w:type="dxa"/>
            <w:vAlign w:val="bottom"/>
            <w:tcBorders>
              <w:right w:val="single" w:sz="8" w:color="auto"/>
            </w:tcBorders>
          </w:tcPr>
          <w:p>
            <w:pPr>
              <w:spacing w:after="0"/>
              <w:rPr>
                <w:sz w:val="19"/>
                <w:szCs w:val="19"/>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Fair value through proft or loss investments</w:t>
            </w:r>
          </w:p>
        </w:tc>
        <w:tc>
          <w:tcPr>
            <w:tcW w:w="1400" w:type="dxa"/>
            <w:vAlign w:val="bottom"/>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362,360</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w w:val="99"/>
              </w:rPr>
              <w:t>704,968</w:t>
            </w:r>
          </w:p>
        </w:tc>
        <w:tc>
          <w:tcPr>
            <w:tcW w:w="1540" w:type="dxa"/>
            <w:vAlign w:val="bottom"/>
            <w:tcBorders>
              <w:right w:val="single" w:sz="8" w:color="auto"/>
            </w:tcBorders>
          </w:tcPr>
          <w:p>
            <w:pPr>
              <w:jc w:val="center"/>
              <w:ind w:left="182"/>
              <w:spacing w:after="0"/>
              <w:rPr>
                <w:sz w:val="20"/>
                <w:szCs w:val="20"/>
                <w:color w:val="auto"/>
              </w:rPr>
            </w:pPr>
            <w:r>
              <w:rPr>
                <w:rFonts w:ascii="Calibri" w:cs="Calibri" w:eastAsia="Calibri" w:hAnsi="Calibri"/>
                <w:sz w:val="11"/>
                <w:szCs w:val="11"/>
                <w:b w:val="1"/>
                <w:bCs w:val="1"/>
                <w:color w:val="auto"/>
              </w:rPr>
              <w:t>603,635</w:t>
            </w:r>
          </w:p>
        </w:tc>
        <w:tc>
          <w:tcPr>
            <w:tcW w:w="1000" w:type="dxa"/>
            <w:vAlign w:val="bottom"/>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14.4%</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66.6%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3720" w:type="dxa"/>
            <w:vAlign w:val="bottom"/>
            <w:gridSpan w:val="2"/>
          </w:tcPr>
          <w:p>
            <w:pPr>
              <w:spacing w:after="0"/>
              <w:rPr>
                <w:sz w:val="20"/>
                <w:szCs w:val="20"/>
                <w:color w:val="auto"/>
              </w:rPr>
            </w:pPr>
            <w:r>
              <w:rPr>
                <w:rFonts w:ascii="Calibri" w:cs="Calibri" w:eastAsia="Calibri" w:hAnsi="Calibri"/>
                <w:sz w:val="11"/>
                <w:szCs w:val="11"/>
                <w:b w:val="1"/>
                <w:bCs w:val="1"/>
                <w:color w:val="auto"/>
              </w:rPr>
              <w:t>Fair value through other comprehensive income investments</w:t>
            </w: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43"/>
              <w:spacing w:after="0"/>
              <w:rPr>
                <w:sz w:val="20"/>
                <w:szCs w:val="20"/>
                <w:color w:val="auto"/>
              </w:rPr>
            </w:pPr>
            <w:r>
              <w:rPr>
                <w:rFonts w:ascii="Calibri" w:cs="Calibri" w:eastAsia="Calibri" w:hAnsi="Calibri"/>
                <w:sz w:val="11"/>
                <w:szCs w:val="11"/>
                <w:b w:val="1"/>
                <w:bCs w:val="1"/>
                <w:color w:val="auto"/>
              </w:rPr>
              <w:t>18,178,514</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rPr>
              <w:t>19,855,738</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20,521,337</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3.4%</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12.9%</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Amortzed cost investments</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9,415,232</w:t>
            </w:r>
          </w:p>
        </w:tc>
        <w:tc>
          <w:tcPr>
            <w:tcW w:w="80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8,116,588</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8,214,476</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1.2%</w:t>
            </w:r>
          </w:p>
        </w:tc>
        <w:tc>
          <w:tcPr>
            <w:tcW w:w="540" w:type="dxa"/>
            <w:vAlign w:val="bottom"/>
            <w:tcBorders>
              <w:right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12.8%</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80" w:type="dxa"/>
            <w:vAlign w:val="bottom"/>
            <w:tcBorders>
              <w:right w:val="single" w:sz="8" w:color="auto"/>
            </w:tcBorders>
          </w:tcPr>
          <w:p>
            <w:pPr>
              <w:spacing w:after="0"/>
              <w:rPr>
                <w:sz w:val="11"/>
                <w:szCs w:val="11"/>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Loans</w:t>
            </w:r>
          </w:p>
        </w:tc>
        <w:tc>
          <w:tcPr>
            <w:tcW w:w="14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40" w:type="dxa"/>
            <w:vAlign w:val="bottom"/>
            <w:vMerge w:val="restart"/>
          </w:tcPr>
          <w:p>
            <w:pPr>
              <w:jc w:val="center"/>
              <w:ind w:right="123"/>
              <w:spacing w:after="0"/>
              <w:rPr>
                <w:sz w:val="20"/>
                <w:szCs w:val="20"/>
                <w:color w:val="auto"/>
              </w:rPr>
            </w:pPr>
            <w:r>
              <w:rPr>
                <w:rFonts w:ascii="Calibri" w:cs="Calibri" w:eastAsia="Calibri" w:hAnsi="Calibri"/>
                <w:sz w:val="11"/>
                <w:szCs w:val="11"/>
                <w:b w:val="1"/>
                <w:bCs w:val="1"/>
                <w:color w:val="auto"/>
              </w:rPr>
              <w:t>119,425,134</w:t>
            </w:r>
          </w:p>
        </w:tc>
        <w:tc>
          <w:tcPr>
            <w:tcW w:w="800" w:type="dxa"/>
            <w:vAlign w:val="bottom"/>
            <w:vMerge w:val="restart"/>
          </w:tcPr>
          <w:p>
            <w:pPr>
              <w:jc w:val="center"/>
              <w:ind w:left="43"/>
              <w:spacing w:after="0"/>
              <w:rPr>
                <w:sz w:val="20"/>
                <w:szCs w:val="20"/>
                <w:color w:val="auto"/>
              </w:rPr>
            </w:pPr>
            <w:r>
              <w:rPr>
                <w:rFonts w:ascii="Calibri" w:cs="Calibri" w:eastAsia="Calibri" w:hAnsi="Calibri"/>
                <w:sz w:val="11"/>
                <w:szCs w:val="11"/>
                <w:b w:val="1"/>
                <w:bCs w:val="1"/>
                <w:color w:val="auto"/>
              </w:rPr>
              <w:t>117,687,023</w:t>
            </w:r>
          </w:p>
        </w:tc>
        <w:tc>
          <w:tcPr>
            <w:tcW w:w="1540" w:type="dxa"/>
            <w:vAlign w:val="bottom"/>
            <w:tcBorders>
              <w:right w:val="single" w:sz="8" w:color="auto"/>
            </w:tcBorders>
            <w:vMerge w:val="restart"/>
          </w:tcPr>
          <w:p>
            <w:pPr>
              <w:jc w:val="center"/>
              <w:ind w:left="202"/>
              <w:spacing w:after="0"/>
              <w:rPr>
                <w:sz w:val="20"/>
                <w:szCs w:val="20"/>
                <w:color w:val="auto"/>
              </w:rPr>
            </w:pPr>
            <w:r>
              <w:rPr>
                <w:rFonts w:ascii="Calibri" w:cs="Calibri" w:eastAsia="Calibri" w:hAnsi="Calibri"/>
                <w:sz w:val="11"/>
                <w:szCs w:val="11"/>
                <w:b w:val="1"/>
                <w:bCs w:val="1"/>
                <w:color w:val="auto"/>
              </w:rPr>
              <w:t>120,571,109</w:t>
            </w:r>
          </w:p>
        </w:tc>
        <w:tc>
          <w:tcPr>
            <w:tcW w:w="1000" w:type="dxa"/>
            <w:vAlign w:val="bottom"/>
            <w:vMerge w:val="restart"/>
          </w:tcPr>
          <w:p>
            <w:pPr>
              <w:jc w:val="center"/>
              <w:ind w:right="203"/>
              <w:spacing w:after="0"/>
              <w:rPr>
                <w:sz w:val="20"/>
                <w:szCs w:val="20"/>
                <w:color w:val="auto"/>
              </w:rPr>
            </w:pPr>
            <w:r>
              <w:rPr>
                <w:rFonts w:ascii="Calibri" w:cs="Calibri" w:eastAsia="Calibri" w:hAnsi="Calibri"/>
                <w:sz w:val="11"/>
                <w:szCs w:val="11"/>
                <w:color w:val="auto"/>
              </w:rPr>
              <w:t>2.5%</w:t>
            </w:r>
          </w:p>
        </w:tc>
        <w:tc>
          <w:tcPr>
            <w:tcW w:w="540" w:type="dxa"/>
            <w:vAlign w:val="bottom"/>
            <w:tcBorders>
              <w:right w:val="single" w:sz="8" w:color="auto"/>
            </w:tcBorders>
            <w:vMerge w:val="restart"/>
          </w:tcPr>
          <w:p>
            <w:pPr>
              <w:jc w:val="center"/>
              <w:ind w:right="183"/>
              <w:spacing w:after="0"/>
              <w:rPr>
                <w:sz w:val="20"/>
                <w:szCs w:val="20"/>
                <w:color w:val="auto"/>
              </w:rPr>
            </w:pPr>
            <w:r>
              <w:rPr>
                <w:rFonts w:ascii="Calibri" w:cs="Calibri" w:eastAsia="Calibri" w:hAnsi="Calibri"/>
                <w:sz w:val="11"/>
                <w:szCs w:val="11"/>
                <w:color w:val="auto"/>
              </w:rPr>
              <w:t>1.0%</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80" w:type="dxa"/>
            <w:vAlign w:val="bottom"/>
            <w:tcBorders>
              <w:right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4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Current</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rPr>
              <w:t>114,445,408</w:t>
            </w:r>
          </w:p>
        </w:tc>
        <w:tc>
          <w:tcPr>
            <w:tcW w:w="800" w:type="dxa"/>
            <w:vAlign w:val="bottom"/>
          </w:tcPr>
          <w:p>
            <w:pPr>
              <w:jc w:val="center"/>
              <w:ind w:left="43"/>
              <w:spacing w:after="0"/>
              <w:rPr>
                <w:sz w:val="20"/>
                <w:szCs w:val="20"/>
                <w:color w:val="auto"/>
              </w:rPr>
            </w:pPr>
            <w:r>
              <w:rPr>
                <w:rFonts w:ascii="Calibri" w:cs="Calibri" w:eastAsia="Calibri" w:hAnsi="Calibri"/>
                <w:sz w:val="11"/>
                <w:szCs w:val="11"/>
                <w:color w:val="auto"/>
              </w:rPr>
              <w:t>112,874,488</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116,314,563</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3.0%</w:t>
            </w:r>
          </w:p>
        </w:tc>
        <w:tc>
          <w:tcPr>
            <w:tcW w:w="540" w:type="dxa"/>
            <w:vAlign w:val="bottom"/>
            <w:tcBorders>
              <w:right w:val="single" w:sz="8" w:color="auto"/>
            </w:tcBorders>
          </w:tcPr>
          <w:p>
            <w:pPr>
              <w:jc w:val="center"/>
              <w:ind w:right="183"/>
              <w:spacing w:after="0"/>
              <w:rPr>
                <w:sz w:val="20"/>
                <w:szCs w:val="20"/>
                <w:color w:val="auto"/>
              </w:rPr>
            </w:pPr>
            <w:r>
              <w:rPr>
                <w:rFonts w:ascii="Calibri" w:cs="Calibri" w:eastAsia="Calibri" w:hAnsi="Calibri"/>
                <w:sz w:val="11"/>
                <w:szCs w:val="11"/>
                <w:color w:val="auto"/>
              </w:rPr>
              <w:t>1.6%</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Internal overdue loans</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rPr>
              <w:t>4,979,726</w:t>
            </w:r>
          </w:p>
        </w:tc>
        <w:tc>
          <w:tcPr>
            <w:tcW w:w="800" w:type="dxa"/>
            <w:vAlign w:val="bottom"/>
          </w:tcPr>
          <w:p>
            <w:pPr>
              <w:jc w:val="center"/>
              <w:ind w:left="43"/>
              <w:spacing w:after="0"/>
              <w:rPr>
                <w:sz w:val="20"/>
                <w:szCs w:val="20"/>
                <w:color w:val="auto"/>
              </w:rPr>
            </w:pPr>
            <w:r>
              <w:rPr>
                <w:rFonts w:ascii="Calibri" w:cs="Calibri" w:eastAsia="Calibri" w:hAnsi="Calibri"/>
                <w:sz w:val="11"/>
                <w:szCs w:val="11"/>
                <w:color w:val="auto"/>
              </w:rPr>
              <w:t>4,812,535</w:t>
            </w:r>
          </w:p>
        </w:tc>
        <w:tc>
          <w:tcPr>
            <w:tcW w:w="1540" w:type="dxa"/>
            <w:vAlign w:val="bottom"/>
            <w:tcBorders>
              <w:right w:val="single" w:sz="8" w:color="auto"/>
            </w:tcBorders>
          </w:tcPr>
          <w:p>
            <w:pPr>
              <w:jc w:val="center"/>
              <w:ind w:left="222"/>
              <w:spacing w:after="0"/>
              <w:rPr>
                <w:sz w:val="20"/>
                <w:szCs w:val="20"/>
                <w:color w:val="auto"/>
              </w:rPr>
            </w:pPr>
            <w:r>
              <w:rPr>
                <w:rFonts w:ascii="Calibri" w:cs="Calibri" w:eastAsia="Calibri" w:hAnsi="Calibri"/>
                <w:sz w:val="11"/>
                <w:szCs w:val="11"/>
                <w:color w:val="auto"/>
              </w:rPr>
              <w:t>4,256,546</w:t>
            </w:r>
          </w:p>
        </w:tc>
        <w:tc>
          <w:tcPr>
            <w:tcW w:w="1000" w:type="dxa"/>
            <w:vAlign w:val="bottom"/>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11.6%</w:t>
            </w:r>
          </w:p>
        </w:tc>
        <w:tc>
          <w:tcPr>
            <w:tcW w:w="540" w:type="dxa"/>
            <w:vAlign w:val="bottom"/>
            <w:tcBorders>
              <w:right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14.5%</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 xml:space="preserve">Less </w:t>
            </w:r>
            <w:r>
              <w:rPr>
                <w:rFonts w:ascii="Times New Roman" w:cs="Times New Roman" w:eastAsia="Times New Roman" w:hAnsi="Times New Roman"/>
                <w:sz w:val="11"/>
                <w:szCs w:val="11"/>
                <w:color w:val="auto"/>
              </w:rPr>
              <w:t>-</w:t>
            </w:r>
            <w:r>
              <w:rPr>
                <w:rFonts w:ascii="Calibri" w:cs="Calibri" w:eastAsia="Calibri" w:hAnsi="Calibri"/>
                <w:sz w:val="11"/>
                <w:szCs w:val="11"/>
                <w:color w:val="auto"/>
              </w:rPr>
              <w:t xml:space="preserve"> allowance for loan losses</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rPr>
              <w:t>(6,764,601)</w:t>
            </w:r>
          </w:p>
        </w:tc>
        <w:tc>
          <w:tcPr>
            <w:tcW w:w="800" w:type="dxa"/>
            <w:vAlign w:val="bottom"/>
          </w:tcPr>
          <w:p>
            <w:pPr>
              <w:jc w:val="center"/>
              <w:ind w:left="23"/>
              <w:spacing w:after="0"/>
              <w:rPr>
                <w:sz w:val="20"/>
                <w:szCs w:val="20"/>
                <w:color w:val="auto"/>
              </w:rPr>
            </w:pPr>
            <w:r>
              <w:rPr>
                <w:rFonts w:ascii="Calibri" w:cs="Calibri" w:eastAsia="Calibri" w:hAnsi="Calibri"/>
                <w:sz w:val="11"/>
                <w:szCs w:val="11"/>
                <w:color w:val="auto"/>
              </w:rPr>
              <w:t>(6,768,497)</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(6,513,398)</w:t>
            </w:r>
          </w:p>
        </w:tc>
        <w:tc>
          <w:tcPr>
            <w:tcW w:w="100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3.8%</w:t>
            </w:r>
          </w:p>
        </w:tc>
        <w:tc>
          <w:tcPr>
            <w:tcW w:w="54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3.7%</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Loans, net</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112,660,533</w:t>
            </w:r>
          </w:p>
        </w:tc>
        <w:tc>
          <w:tcPr>
            <w:tcW w:w="80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110,918,526</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114,057,711</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2.8%</w:t>
            </w:r>
          </w:p>
        </w:tc>
        <w:tc>
          <w:tcPr>
            <w:tcW w:w="540" w:type="dxa"/>
            <w:vAlign w:val="bottom"/>
            <w:tcBorders>
              <w:right w:val="single" w:sz="8" w:color="auto"/>
            </w:tcBorders>
          </w:tcPr>
          <w:p>
            <w:pPr>
              <w:jc w:val="center"/>
              <w:ind w:right="183"/>
              <w:spacing w:after="0"/>
              <w:rPr>
                <w:sz w:val="20"/>
                <w:szCs w:val="20"/>
                <w:color w:val="auto"/>
              </w:rPr>
            </w:pPr>
            <w:r>
              <w:rPr>
                <w:rFonts w:ascii="Calibri" w:cs="Calibri" w:eastAsia="Calibri" w:hAnsi="Calibri"/>
                <w:sz w:val="11"/>
                <w:szCs w:val="11"/>
                <w:color w:val="auto"/>
              </w:rPr>
              <w:t>1.2%</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0" w:type="dxa"/>
            <w:vAlign w:val="bottom"/>
            <w:tcBorders>
              <w:right w:val="single" w:sz="8" w:color="auto"/>
            </w:tcBorders>
          </w:tcPr>
          <w:p>
            <w:pPr>
              <w:spacing w:after="0"/>
              <w:rPr>
                <w:sz w:val="11"/>
                <w:szCs w:val="11"/>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 xml:space="preserve">Property, furniture and equipment, net </w:t>
            </w:r>
            <w:r>
              <w:rPr>
                <w:rFonts w:ascii="Calibri" w:cs="Calibri" w:eastAsia="Calibri" w:hAnsi="Calibri"/>
                <w:sz w:val="9"/>
                <w:szCs w:val="9"/>
                <w:b w:val="1"/>
                <w:bCs w:val="1"/>
                <w:color w:val="auto"/>
              </w:rPr>
              <w:t>(1)</w:t>
            </w:r>
          </w:p>
        </w:tc>
        <w:tc>
          <w:tcPr>
            <w:tcW w:w="14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40" w:type="dxa"/>
            <w:vAlign w:val="bottom"/>
            <w:vMerge w:val="restart"/>
          </w:tcPr>
          <w:p>
            <w:pPr>
              <w:jc w:val="center"/>
              <w:ind w:right="123"/>
              <w:spacing w:after="0"/>
              <w:rPr>
                <w:sz w:val="20"/>
                <w:szCs w:val="20"/>
                <w:color w:val="auto"/>
              </w:rPr>
            </w:pPr>
            <w:r>
              <w:rPr>
                <w:rFonts w:ascii="Calibri" w:cs="Calibri" w:eastAsia="Calibri" w:hAnsi="Calibri"/>
                <w:sz w:val="11"/>
                <w:szCs w:val="11"/>
                <w:b w:val="1"/>
                <w:bCs w:val="1"/>
                <w:color w:val="auto"/>
              </w:rPr>
              <w:t>1,300,690</w:t>
            </w:r>
          </w:p>
        </w:tc>
        <w:tc>
          <w:tcPr>
            <w:tcW w:w="800" w:type="dxa"/>
            <w:vAlign w:val="bottom"/>
            <w:vMerge w:val="restart"/>
          </w:tcPr>
          <w:p>
            <w:pPr>
              <w:jc w:val="center"/>
              <w:ind w:left="43"/>
              <w:spacing w:after="0"/>
              <w:rPr>
                <w:sz w:val="20"/>
                <w:szCs w:val="20"/>
                <w:color w:val="auto"/>
              </w:rPr>
            </w:pPr>
            <w:r>
              <w:rPr>
                <w:rFonts w:ascii="Calibri" w:cs="Calibri" w:eastAsia="Calibri" w:hAnsi="Calibri"/>
                <w:sz w:val="11"/>
                <w:szCs w:val="11"/>
                <w:b w:val="1"/>
                <w:bCs w:val="1"/>
                <w:color w:val="auto"/>
              </w:rPr>
              <w:t>1,246,350</w:t>
            </w:r>
          </w:p>
        </w:tc>
        <w:tc>
          <w:tcPr>
            <w:tcW w:w="1540" w:type="dxa"/>
            <w:vAlign w:val="bottom"/>
            <w:tcBorders>
              <w:right w:val="single" w:sz="8" w:color="auto"/>
            </w:tcBorders>
            <w:vMerge w:val="restart"/>
          </w:tcPr>
          <w:p>
            <w:pPr>
              <w:jc w:val="center"/>
              <w:ind w:left="202"/>
              <w:spacing w:after="0"/>
              <w:rPr>
                <w:sz w:val="20"/>
                <w:szCs w:val="20"/>
                <w:color w:val="auto"/>
              </w:rPr>
            </w:pPr>
            <w:r>
              <w:rPr>
                <w:rFonts w:ascii="Calibri" w:cs="Calibri" w:eastAsia="Calibri" w:hAnsi="Calibri"/>
                <w:sz w:val="11"/>
                <w:szCs w:val="11"/>
                <w:b w:val="1"/>
                <w:bCs w:val="1"/>
                <w:color w:val="auto"/>
              </w:rPr>
              <w:t>1,271,219</w:t>
            </w:r>
          </w:p>
        </w:tc>
        <w:tc>
          <w:tcPr>
            <w:tcW w:w="1000" w:type="dxa"/>
            <w:vAlign w:val="bottom"/>
            <w:vMerge w:val="restart"/>
          </w:tcPr>
          <w:p>
            <w:pPr>
              <w:jc w:val="center"/>
              <w:ind w:right="203"/>
              <w:spacing w:after="0"/>
              <w:rPr>
                <w:sz w:val="20"/>
                <w:szCs w:val="20"/>
                <w:color w:val="auto"/>
              </w:rPr>
            </w:pPr>
            <w:r>
              <w:rPr>
                <w:rFonts w:ascii="Calibri" w:cs="Calibri" w:eastAsia="Calibri" w:hAnsi="Calibri"/>
                <w:sz w:val="11"/>
                <w:szCs w:val="11"/>
                <w:color w:val="auto"/>
              </w:rPr>
              <w:t>2.0%</w:t>
            </w:r>
          </w:p>
        </w:tc>
        <w:tc>
          <w:tcPr>
            <w:tcW w:w="540" w:type="dxa"/>
            <w:vAlign w:val="bottom"/>
            <w:tcBorders>
              <w:right w:val="single" w:sz="8" w:color="auto"/>
            </w:tcBorders>
            <w:vMerge w:val="restart"/>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2.3%</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80" w:type="dxa"/>
            <w:vAlign w:val="bottom"/>
            <w:tcBorders>
              <w:right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4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Due from customers on acceptances</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412,401</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w w:val="99"/>
              </w:rPr>
              <w:t>466,957</w:t>
            </w:r>
          </w:p>
        </w:tc>
        <w:tc>
          <w:tcPr>
            <w:tcW w:w="1540" w:type="dxa"/>
            <w:vAlign w:val="bottom"/>
            <w:tcBorders>
              <w:right w:val="single" w:sz="8" w:color="auto"/>
            </w:tcBorders>
          </w:tcPr>
          <w:p>
            <w:pPr>
              <w:jc w:val="center"/>
              <w:ind w:left="182"/>
              <w:spacing w:after="0"/>
              <w:rPr>
                <w:sz w:val="20"/>
                <w:szCs w:val="20"/>
                <w:color w:val="auto"/>
              </w:rPr>
            </w:pPr>
            <w:r>
              <w:rPr>
                <w:rFonts w:ascii="Calibri" w:cs="Calibri" w:eastAsia="Calibri" w:hAnsi="Calibri"/>
                <w:sz w:val="11"/>
                <w:szCs w:val="11"/>
                <w:b w:val="1"/>
                <w:bCs w:val="1"/>
                <w:color w:val="auto"/>
              </w:rPr>
              <w:t>528,184</w:t>
            </w:r>
          </w:p>
        </w:tc>
        <w:tc>
          <w:tcPr>
            <w:tcW w:w="1000" w:type="dxa"/>
            <w:vAlign w:val="bottom"/>
          </w:tcPr>
          <w:p>
            <w:pPr>
              <w:jc w:val="center"/>
              <w:ind w:right="183"/>
              <w:spacing w:after="0"/>
              <w:rPr>
                <w:sz w:val="20"/>
                <w:szCs w:val="20"/>
                <w:color w:val="auto"/>
              </w:rPr>
            </w:pPr>
            <w:r>
              <w:rPr>
                <w:rFonts w:ascii="Calibri" w:cs="Calibri" w:eastAsia="Calibri" w:hAnsi="Calibri"/>
                <w:sz w:val="11"/>
                <w:szCs w:val="11"/>
                <w:color w:val="auto"/>
              </w:rPr>
              <w:t>13.1%</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28.1%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Investments in associates</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2,917,670</w:t>
            </w:r>
          </w:p>
        </w:tc>
        <w:tc>
          <w:tcPr>
            <w:tcW w:w="80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2,682,807</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2,612,080</w:t>
            </w:r>
          </w:p>
        </w:tc>
        <w:tc>
          <w:tcPr>
            <w:tcW w:w="100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2.6%</w:t>
            </w:r>
          </w:p>
        </w:tc>
        <w:tc>
          <w:tcPr>
            <w:tcW w:w="540" w:type="dxa"/>
            <w:vAlign w:val="bottom"/>
            <w:tcBorders>
              <w:right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10.5%</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80" w:type="dxa"/>
            <w:vAlign w:val="bottom"/>
            <w:tcBorders>
              <w:right w:val="single" w:sz="8" w:color="auto"/>
            </w:tcBorders>
          </w:tcPr>
          <w:p>
            <w:pPr>
              <w:spacing w:after="0"/>
              <w:rPr>
                <w:sz w:val="14"/>
                <w:szCs w:val="14"/>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 xml:space="preserve">Other assets </w:t>
            </w:r>
            <w:r>
              <w:rPr>
                <w:rFonts w:ascii="Calibri" w:cs="Calibri" w:eastAsia="Calibri" w:hAnsi="Calibri"/>
                <w:sz w:val="9"/>
                <w:szCs w:val="9"/>
                <w:b w:val="1"/>
                <w:bCs w:val="1"/>
                <w:color w:val="auto"/>
              </w:rPr>
              <w:t>(2)</w:t>
            </w:r>
          </w:p>
        </w:tc>
        <w:tc>
          <w:tcPr>
            <w:tcW w:w="140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5,776,165</w:t>
            </w:r>
          </w:p>
        </w:tc>
        <w:tc>
          <w:tcPr>
            <w:tcW w:w="80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7,227,029</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6,897,204</w:t>
            </w:r>
          </w:p>
        </w:tc>
        <w:tc>
          <w:tcPr>
            <w:tcW w:w="100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4.6%</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19.4%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580" w:type="dxa"/>
            <w:vAlign w:val="bottom"/>
            <w:tcBorders>
              <w:right w:val="single" w:sz="8" w:color="auto"/>
            </w:tcBorders>
          </w:tcPr>
          <w:p>
            <w:pPr>
              <w:spacing w:after="0"/>
              <w:rPr>
                <w:sz w:val="24"/>
                <w:szCs w:val="24"/>
                <w:color w:val="auto"/>
              </w:rPr>
            </w:pPr>
          </w:p>
        </w:tc>
        <w:tc>
          <w:tcPr>
            <w:tcW w:w="3720" w:type="dxa"/>
            <w:vAlign w:val="bottom"/>
            <w:gridSpan w:val="2"/>
          </w:tcPr>
          <w:p>
            <w:pPr>
              <w:jc w:val="center"/>
              <w:ind w:left="983"/>
              <w:spacing w:after="0"/>
              <w:rPr>
                <w:sz w:val="20"/>
                <w:szCs w:val="20"/>
                <w:color w:val="auto"/>
              </w:rPr>
            </w:pPr>
            <w:r>
              <w:rPr>
                <w:rFonts w:ascii="Calibri" w:cs="Calibri" w:eastAsia="Calibri" w:hAnsi="Calibri"/>
                <w:sz w:val="11"/>
                <w:szCs w:val="11"/>
                <w:b w:val="1"/>
                <w:bCs w:val="1"/>
                <w:color w:val="auto"/>
              </w:rPr>
              <w:t>Total Assets</w:t>
            </w:r>
          </w:p>
        </w:tc>
        <w:tc>
          <w:tcPr>
            <w:tcW w:w="1060" w:type="dxa"/>
            <w:vAlign w:val="bottom"/>
            <w:tcBorders>
              <w:right w:val="single" w:sz="8" w:color="auto"/>
            </w:tcBorders>
          </w:tcPr>
          <w:p>
            <w:pPr>
              <w:spacing w:after="0"/>
              <w:rPr>
                <w:sz w:val="24"/>
                <w:szCs w:val="24"/>
                <w:color w:val="auto"/>
              </w:rPr>
            </w:pPr>
          </w:p>
        </w:tc>
        <w:tc>
          <w:tcPr>
            <w:tcW w:w="1440" w:type="dxa"/>
            <w:vAlign w:val="bottom"/>
            <w:vMerge w:val="restart"/>
          </w:tcPr>
          <w:p>
            <w:pPr>
              <w:jc w:val="center"/>
              <w:ind w:right="123"/>
              <w:spacing w:after="0"/>
              <w:rPr>
                <w:sz w:val="20"/>
                <w:szCs w:val="20"/>
                <w:color w:val="auto"/>
              </w:rPr>
            </w:pPr>
            <w:r>
              <w:rPr>
                <w:rFonts w:ascii="Calibri" w:cs="Calibri" w:eastAsia="Calibri" w:hAnsi="Calibri"/>
                <w:sz w:val="11"/>
                <w:szCs w:val="11"/>
                <w:b w:val="1"/>
                <w:bCs w:val="1"/>
                <w:color w:val="auto"/>
              </w:rPr>
              <w:t>180,914,161</w:t>
            </w:r>
          </w:p>
        </w:tc>
        <w:tc>
          <w:tcPr>
            <w:tcW w:w="800" w:type="dxa"/>
            <w:vAlign w:val="bottom"/>
            <w:vMerge w:val="restart"/>
          </w:tcPr>
          <w:p>
            <w:pPr>
              <w:jc w:val="center"/>
              <w:ind w:left="43"/>
              <w:spacing w:after="0"/>
              <w:rPr>
                <w:sz w:val="20"/>
                <w:szCs w:val="20"/>
                <w:color w:val="auto"/>
              </w:rPr>
            </w:pPr>
            <w:r>
              <w:rPr>
                <w:rFonts w:ascii="Calibri" w:cs="Calibri" w:eastAsia="Calibri" w:hAnsi="Calibri"/>
                <w:sz w:val="11"/>
                <w:szCs w:val="11"/>
                <w:b w:val="1"/>
                <w:bCs w:val="1"/>
                <w:color w:val="auto"/>
              </w:rPr>
              <w:t>191,710,983</w:t>
            </w:r>
          </w:p>
        </w:tc>
        <w:tc>
          <w:tcPr>
            <w:tcW w:w="1540" w:type="dxa"/>
            <w:vAlign w:val="bottom"/>
            <w:tcBorders>
              <w:right w:val="single" w:sz="8" w:color="auto"/>
            </w:tcBorders>
            <w:vMerge w:val="restart"/>
          </w:tcPr>
          <w:p>
            <w:pPr>
              <w:jc w:val="center"/>
              <w:ind w:left="202"/>
              <w:spacing w:after="0"/>
              <w:rPr>
                <w:sz w:val="20"/>
                <w:szCs w:val="20"/>
                <w:color w:val="auto"/>
              </w:rPr>
            </w:pPr>
            <w:r>
              <w:rPr>
                <w:rFonts w:ascii="Calibri" w:cs="Calibri" w:eastAsia="Calibri" w:hAnsi="Calibri"/>
                <w:sz w:val="11"/>
                <w:szCs w:val="11"/>
                <w:b w:val="1"/>
                <w:bCs w:val="1"/>
                <w:color w:val="auto"/>
              </w:rPr>
              <w:t>197,581,125</w:t>
            </w:r>
          </w:p>
        </w:tc>
        <w:tc>
          <w:tcPr>
            <w:tcW w:w="1000" w:type="dxa"/>
            <w:vAlign w:val="bottom"/>
            <w:vMerge w:val="restart"/>
          </w:tcPr>
          <w:p>
            <w:pPr>
              <w:jc w:val="center"/>
              <w:ind w:right="203"/>
              <w:spacing w:after="0"/>
              <w:rPr>
                <w:sz w:val="20"/>
                <w:szCs w:val="20"/>
                <w:color w:val="auto"/>
              </w:rPr>
            </w:pPr>
            <w:r>
              <w:rPr>
                <w:rFonts w:ascii="Calibri" w:cs="Calibri" w:eastAsia="Calibri" w:hAnsi="Calibri"/>
                <w:sz w:val="11"/>
                <w:szCs w:val="11"/>
                <w:color w:val="auto"/>
              </w:rPr>
              <w:t>3.1%</w:t>
            </w:r>
          </w:p>
        </w:tc>
        <w:tc>
          <w:tcPr>
            <w:tcW w:w="540" w:type="dxa"/>
            <w:vAlign w:val="bottom"/>
            <w:tcBorders>
              <w:right w:val="single" w:sz="8" w:color="auto"/>
            </w:tcBorders>
            <w:vMerge w:val="restart"/>
          </w:tcPr>
          <w:p>
            <w:pPr>
              <w:jc w:val="center"/>
              <w:ind w:right="183"/>
              <w:spacing w:after="0"/>
              <w:rPr>
                <w:sz w:val="20"/>
                <w:szCs w:val="20"/>
                <w:color w:val="auto"/>
              </w:rPr>
            </w:pPr>
            <w:r>
              <w:rPr>
                <w:rFonts w:ascii="Calibri" w:cs="Calibri" w:eastAsia="Calibri" w:hAnsi="Calibri"/>
                <w:sz w:val="11"/>
                <w:szCs w:val="11"/>
                <w:color w:val="auto"/>
              </w:rPr>
              <w:t>9.2%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580" w:type="dxa"/>
            <w:vAlign w:val="bottom"/>
            <w:tcBorders>
              <w:right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4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540" w:type="dxa"/>
            <w:vAlign w:val="bottom"/>
            <w:tcBorders>
              <w:right w:val="single" w:sz="8" w:color="auto"/>
            </w:tcBorders>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580" w:type="dxa"/>
            <w:vAlign w:val="bottom"/>
            <w:tcBorders>
              <w:right w:val="single" w:sz="8" w:color="auto"/>
            </w:tcBorders>
          </w:tcPr>
          <w:p>
            <w:pPr>
              <w:spacing w:after="0"/>
              <w:rPr>
                <w:sz w:val="24"/>
                <w:szCs w:val="24"/>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Liabilites and Equity</w:t>
            </w:r>
          </w:p>
        </w:tc>
        <w:tc>
          <w:tcPr>
            <w:tcW w:w="14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 w:type="dxa"/>
            <w:vAlign w:val="bottom"/>
            <w:tcBorders>
              <w:right w:val="single" w:sz="8" w:color="auto"/>
            </w:tcBorders>
          </w:tcPr>
          <w:p>
            <w:pPr>
              <w:spacing w:after="0"/>
              <w:rPr>
                <w:sz w:val="15"/>
                <w:szCs w:val="15"/>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Deposits and obligatons</w:t>
            </w:r>
          </w:p>
        </w:tc>
        <w:tc>
          <w:tcPr>
            <w:tcW w:w="140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0" w:type="dxa"/>
            <w:vAlign w:val="bottom"/>
            <w:tcBorders>
              <w:right w:val="single" w:sz="8" w:color="auto"/>
            </w:tcBorders>
          </w:tcPr>
          <w:p>
            <w:pPr>
              <w:spacing w:after="0"/>
              <w:rPr>
                <w:sz w:val="17"/>
                <w:szCs w:val="17"/>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 xml:space="preserve">Non-interest bearing </w:t>
            </w:r>
            <w:r>
              <w:rPr>
                <w:rFonts w:ascii="Calibri" w:cs="Calibri" w:eastAsia="Calibri" w:hAnsi="Calibri"/>
                <w:sz w:val="9"/>
                <w:szCs w:val="9"/>
                <w:color w:val="auto"/>
              </w:rPr>
              <w:t>(1)</w:t>
            </w:r>
          </w:p>
        </w:tc>
        <w:tc>
          <w:tcPr>
            <w:tcW w:w="140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w w:val="99"/>
              </w:rPr>
              <w:t>39,385,047</w:t>
            </w:r>
          </w:p>
        </w:tc>
        <w:tc>
          <w:tcPr>
            <w:tcW w:w="800" w:type="dxa"/>
            <w:vAlign w:val="bottom"/>
          </w:tcPr>
          <w:p>
            <w:pPr>
              <w:jc w:val="center"/>
              <w:ind w:left="23"/>
              <w:spacing w:after="0"/>
              <w:rPr>
                <w:sz w:val="20"/>
                <w:szCs w:val="20"/>
                <w:color w:val="auto"/>
              </w:rPr>
            </w:pPr>
            <w:r>
              <w:rPr>
                <w:rFonts w:ascii="Calibri" w:cs="Calibri" w:eastAsia="Calibri" w:hAnsi="Calibri"/>
                <w:sz w:val="11"/>
                <w:szCs w:val="11"/>
                <w:color w:val="auto"/>
              </w:rPr>
              <w:t>45,296,819</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44,267,223</w:t>
            </w:r>
          </w:p>
        </w:tc>
        <w:tc>
          <w:tcPr>
            <w:tcW w:w="100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2.3%</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12.4%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 xml:space="preserve">Interest bearing </w:t>
            </w:r>
            <w:r>
              <w:rPr>
                <w:rFonts w:ascii="Calibri" w:cs="Calibri" w:eastAsia="Calibri" w:hAnsi="Calibri"/>
                <w:sz w:val="9"/>
                <w:szCs w:val="9"/>
                <w:color w:val="auto"/>
              </w:rPr>
              <w:t>(1)</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w w:val="99"/>
              </w:rPr>
              <w:t>83,047,645</w:t>
            </w:r>
          </w:p>
        </w:tc>
        <w:tc>
          <w:tcPr>
            <w:tcW w:w="800" w:type="dxa"/>
            <w:vAlign w:val="bottom"/>
          </w:tcPr>
          <w:p>
            <w:pPr>
              <w:jc w:val="center"/>
              <w:ind w:left="23"/>
              <w:spacing w:after="0"/>
              <w:rPr>
                <w:sz w:val="20"/>
                <w:szCs w:val="20"/>
                <w:color w:val="auto"/>
              </w:rPr>
            </w:pPr>
            <w:r>
              <w:rPr>
                <w:rFonts w:ascii="Calibri" w:cs="Calibri" w:eastAsia="Calibri" w:hAnsi="Calibri"/>
                <w:sz w:val="11"/>
                <w:szCs w:val="11"/>
                <w:color w:val="auto"/>
              </w:rPr>
              <w:t>85,282,102</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92,516,659</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8.5%</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11.4%</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b w:val="1"/>
                <w:bCs w:val="1"/>
                <w:color w:val="auto"/>
              </w:rPr>
              <w:t>Total deposits and obligatons</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122,432,692</w:t>
            </w:r>
          </w:p>
        </w:tc>
        <w:tc>
          <w:tcPr>
            <w:tcW w:w="80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130,578,921</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136,783,882</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4.8%</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11.7%</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0" w:type="dxa"/>
            <w:vAlign w:val="bottom"/>
            <w:tcBorders>
              <w:right w:val="single" w:sz="8" w:color="auto"/>
            </w:tcBorders>
          </w:tcPr>
          <w:p>
            <w:pPr>
              <w:spacing w:after="0"/>
              <w:rPr>
                <w:sz w:val="11"/>
                <w:szCs w:val="11"/>
                <w:color w:val="auto"/>
              </w:rPr>
            </w:pPr>
          </w:p>
        </w:tc>
        <w:tc>
          <w:tcPr>
            <w:tcW w:w="3720" w:type="dxa"/>
            <w:vAlign w:val="bottom"/>
            <w:gridSpan w:val="2"/>
          </w:tcPr>
          <w:p>
            <w:pPr>
              <w:spacing w:after="0"/>
              <w:rPr>
                <w:sz w:val="20"/>
                <w:szCs w:val="20"/>
                <w:color w:val="auto"/>
              </w:rPr>
            </w:pPr>
            <w:r>
              <w:rPr>
                <w:rFonts w:ascii="Calibri" w:cs="Calibri" w:eastAsia="Calibri" w:hAnsi="Calibri"/>
                <w:sz w:val="11"/>
                <w:szCs w:val="11"/>
                <w:b w:val="1"/>
                <w:bCs w:val="1"/>
                <w:color w:val="auto"/>
              </w:rPr>
              <w:t>Payables from repurchase agreements and securites lending</w:t>
            </w:r>
          </w:p>
        </w:tc>
        <w:tc>
          <w:tcPr>
            <w:tcW w:w="1060" w:type="dxa"/>
            <w:vAlign w:val="bottom"/>
            <w:tcBorders>
              <w:right w:val="single" w:sz="8" w:color="auto"/>
            </w:tcBorders>
          </w:tcPr>
          <w:p>
            <w:pPr>
              <w:spacing w:after="0"/>
              <w:rPr>
                <w:sz w:val="11"/>
                <w:szCs w:val="11"/>
                <w:color w:val="auto"/>
              </w:rPr>
            </w:pPr>
          </w:p>
        </w:tc>
        <w:tc>
          <w:tcPr>
            <w:tcW w:w="1440" w:type="dxa"/>
            <w:vAlign w:val="bottom"/>
            <w:vMerge w:val="restart"/>
          </w:tcPr>
          <w:p>
            <w:pPr>
              <w:jc w:val="center"/>
              <w:ind w:right="123"/>
              <w:spacing w:after="0"/>
              <w:rPr>
                <w:sz w:val="20"/>
                <w:szCs w:val="20"/>
                <w:color w:val="auto"/>
              </w:rPr>
            </w:pPr>
            <w:r>
              <w:rPr>
                <w:rFonts w:ascii="Calibri" w:cs="Calibri" w:eastAsia="Calibri" w:hAnsi="Calibri"/>
                <w:sz w:val="11"/>
                <w:szCs w:val="11"/>
                <w:b w:val="1"/>
                <w:bCs w:val="1"/>
                <w:color w:val="auto"/>
              </w:rPr>
              <w:t>7,583,520</w:t>
            </w:r>
          </w:p>
        </w:tc>
        <w:tc>
          <w:tcPr>
            <w:tcW w:w="800" w:type="dxa"/>
            <w:vAlign w:val="bottom"/>
            <w:vMerge w:val="restart"/>
          </w:tcPr>
          <w:p>
            <w:pPr>
              <w:jc w:val="center"/>
              <w:ind w:left="43"/>
              <w:spacing w:after="0"/>
              <w:rPr>
                <w:sz w:val="20"/>
                <w:szCs w:val="20"/>
                <w:color w:val="auto"/>
              </w:rPr>
            </w:pPr>
            <w:r>
              <w:rPr>
                <w:rFonts w:ascii="Calibri" w:cs="Calibri" w:eastAsia="Calibri" w:hAnsi="Calibri"/>
                <w:sz w:val="11"/>
                <w:szCs w:val="11"/>
                <w:b w:val="1"/>
                <w:bCs w:val="1"/>
                <w:color w:val="auto"/>
              </w:rPr>
              <w:t>5,122,666</w:t>
            </w:r>
          </w:p>
        </w:tc>
        <w:tc>
          <w:tcPr>
            <w:tcW w:w="1540" w:type="dxa"/>
            <w:vAlign w:val="bottom"/>
            <w:tcBorders>
              <w:right w:val="single" w:sz="8" w:color="auto"/>
            </w:tcBorders>
            <w:vMerge w:val="restart"/>
          </w:tcPr>
          <w:p>
            <w:pPr>
              <w:jc w:val="center"/>
              <w:ind w:left="202"/>
              <w:spacing w:after="0"/>
              <w:rPr>
                <w:sz w:val="20"/>
                <w:szCs w:val="20"/>
                <w:color w:val="auto"/>
              </w:rPr>
            </w:pPr>
            <w:r>
              <w:rPr>
                <w:rFonts w:ascii="Calibri" w:cs="Calibri" w:eastAsia="Calibri" w:hAnsi="Calibri"/>
                <w:sz w:val="11"/>
                <w:szCs w:val="11"/>
                <w:b w:val="1"/>
                <w:bCs w:val="1"/>
                <w:color w:val="auto"/>
              </w:rPr>
              <w:t>6,711,406</w:t>
            </w:r>
          </w:p>
        </w:tc>
        <w:tc>
          <w:tcPr>
            <w:tcW w:w="1000" w:type="dxa"/>
            <w:vAlign w:val="bottom"/>
            <w:vMerge w:val="restart"/>
          </w:tcPr>
          <w:p>
            <w:pPr>
              <w:jc w:val="center"/>
              <w:ind w:right="183"/>
              <w:spacing w:after="0"/>
              <w:rPr>
                <w:sz w:val="20"/>
                <w:szCs w:val="20"/>
                <w:color w:val="auto"/>
              </w:rPr>
            </w:pPr>
            <w:r>
              <w:rPr>
                <w:rFonts w:ascii="Calibri" w:cs="Calibri" w:eastAsia="Calibri" w:hAnsi="Calibri"/>
                <w:sz w:val="11"/>
                <w:szCs w:val="11"/>
                <w:color w:val="auto"/>
              </w:rPr>
              <w:t>31.0%</w:t>
            </w:r>
          </w:p>
        </w:tc>
        <w:tc>
          <w:tcPr>
            <w:tcW w:w="540" w:type="dxa"/>
            <w:vAlign w:val="bottom"/>
            <w:tcBorders>
              <w:right w:val="single" w:sz="8" w:color="auto"/>
            </w:tcBorders>
            <w:vMerge w:val="restart"/>
          </w:tcPr>
          <w:p>
            <w:pPr>
              <w:jc w:val="center"/>
              <w:ind w:right="16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11.5%</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80" w:type="dxa"/>
            <w:vAlign w:val="bottom"/>
            <w:tcBorders>
              <w:right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4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BCRP instruments</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rPr>
              <w:t>7,039,350</w:t>
            </w:r>
          </w:p>
        </w:tc>
        <w:tc>
          <w:tcPr>
            <w:tcW w:w="800" w:type="dxa"/>
            <w:vAlign w:val="bottom"/>
          </w:tcPr>
          <w:p>
            <w:pPr>
              <w:jc w:val="center"/>
              <w:ind w:left="43"/>
              <w:spacing w:after="0"/>
              <w:rPr>
                <w:sz w:val="20"/>
                <w:szCs w:val="20"/>
                <w:color w:val="auto"/>
              </w:rPr>
            </w:pPr>
            <w:r>
              <w:rPr>
                <w:rFonts w:ascii="Calibri" w:cs="Calibri" w:eastAsia="Calibri" w:hAnsi="Calibri"/>
                <w:sz w:val="11"/>
                <w:szCs w:val="11"/>
                <w:color w:val="auto"/>
              </w:rPr>
              <w:t>4,289,860</w:t>
            </w:r>
          </w:p>
        </w:tc>
        <w:tc>
          <w:tcPr>
            <w:tcW w:w="1540" w:type="dxa"/>
            <w:vAlign w:val="bottom"/>
            <w:tcBorders>
              <w:right w:val="single" w:sz="8" w:color="auto"/>
            </w:tcBorders>
          </w:tcPr>
          <w:p>
            <w:pPr>
              <w:jc w:val="center"/>
              <w:ind w:left="222"/>
              <w:spacing w:after="0"/>
              <w:rPr>
                <w:sz w:val="20"/>
                <w:szCs w:val="20"/>
                <w:color w:val="auto"/>
              </w:rPr>
            </w:pPr>
            <w:r>
              <w:rPr>
                <w:rFonts w:ascii="Calibri" w:cs="Calibri" w:eastAsia="Calibri" w:hAnsi="Calibri"/>
                <w:sz w:val="11"/>
                <w:szCs w:val="11"/>
                <w:color w:val="auto"/>
              </w:rPr>
              <w:t>6,154,351</w:t>
            </w:r>
          </w:p>
        </w:tc>
        <w:tc>
          <w:tcPr>
            <w:tcW w:w="1000" w:type="dxa"/>
            <w:vAlign w:val="bottom"/>
          </w:tcPr>
          <w:p>
            <w:pPr>
              <w:jc w:val="center"/>
              <w:ind w:right="183"/>
              <w:spacing w:after="0"/>
              <w:rPr>
                <w:sz w:val="20"/>
                <w:szCs w:val="20"/>
                <w:color w:val="auto"/>
              </w:rPr>
            </w:pPr>
            <w:r>
              <w:rPr>
                <w:rFonts w:ascii="Calibri" w:cs="Calibri" w:eastAsia="Calibri" w:hAnsi="Calibri"/>
                <w:sz w:val="11"/>
                <w:szCs w:val="11"/>
                <w:color w:val="auto"/>
              </w:rPr>
              <w:t>43.5%</w:t>
            </w:r>
          </w:p>
        </w:tc>
        <w:tc>
          <w:tcPr>
            <w:tcW w:w="540" w:type="dxa"/>
            <w:vAlign w:val="bottom"/>
            <w:tcBorders>
              <w:right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12.6%</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ind w:left="320"/>
              <w:spacing w:after="0"/>
              <w:rPr>
                <w:sz w:val="20"/>
                <w:szCs w:val="20"/>
                <w:color w:val="auto"/>
              </w:rPr>
            </w:pPr>
            <w:r>
              <w:rPr>
                <w:rFonts w:ascii="Calibri" w:cs="Calibri" w:eastAsia="Calibri" w:hAnsi="Calibri"/>
                <w:sz w:val="11"/>
                <w:szCs w:val="11"/>
                <w:color w:val="auto"/>
              </w:rPr>
              <w:t>Repurchase agreements with third partes</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rPr>
              <w:t>544,170</w:t>
            </w:r>
          </w:p>
        </w:tc>
        <w:tc>
          <w:tcPr>
            <w:tcW w:w="800" w:type="dxa"/>
            <w:vAlign w:val="bottom"/>
          </w:tcPr>
          <w:p>
            <w:pPr>
              <w:jc w:val="center"/>
              <w:ind w:left="23"/>
              <w:spacing w:after="0"/>
              <w:rPr>
                <w:sz w:val="20"/>
                <w:szCs w:val="20"/>
                <w:color w:val="auto"/>
              </w:rPr>
            </w:pPr>
            <w:r>
              <w:rPr>
                <w:rFonts w:ascii="Calibri" w:cs="Calibri" w:eastAsia="Calibri" w:hAnsi="Calibri"/>
                <w:sz w:val="11"/>
                <w:szCs w:val="11"/>
                <w:color w:val="auto"/>
                <w:w w:val="99"/>
              </w:rPr>
              <w:t>832,806</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w w:val="99"/>
              </w:rPr>
              <w:t>557,055</w:t>
            </w:r>
          </w:p>
        </w:tc>
        <w:tc>
          <w:tcPr>
            <w:tcW w:w="1000" w:type="dxa"/>
            <w:vAlign w:val="bottom"/>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33.1%</w:t>
            </w:r>
          </w:p>
        </w:tc>
        <w:tc>
          <w:tcPr>
            <w:tcW w:w="540" w:type="dxa"/>
            <w:vAlign w:val="bottom"/>
            <w:tcBorders>
              <w:right w:val="single" w:sz="8" w:color="auto"/>
            </w:tcBorders>
          </w:tcPr>
          <w:p>
            <w:pPr>
              <w:jc w:val="center"/>
              <w:ind w:right="183"/>
              <w:spacing w:after="0"/>
              <w:rPr>
                <w:sz w:val="20"/>
                <w:szCs w:val="20"/>
                <w:color w:val="auto"/>
              </w:rPr>
            </w:pPr>
            <w:r>
              <w:rPr>
                <w:rFonts w:ascii="Calibri" w:cs="Calibri" w:eastAsia="Calibri" w:hAnsi="Calibri"/>
                <w:sz w:val="11"/>
                <w:szCs w:val="11"/>
                <w:color w:val="auto"/>
              </w:rPr>
              <w:t>2.4%</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80" w:type="dxa"/>
            <w:vAlign w:val="bottom"/>
            <w:tcBorders>
              <w:right w:val="single" w:sz="8" w:color="auto"/>
            </w:tcBorders>
          </w:tcPr>
          <w:p>
            <w:pPr>
              <w:spacing w:after="0"/>
              <w:rPr>
                <w:sz w:val="11"/>
                <w:szCs w:val="11"/>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Due to banks and correspondents</w:t>
            </w:r>
          </w:p>
        </w:tc>
        <w:tc>
          <w:tcPr>
            <w:tcW w:w="14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40" w:type="dxa"/>
            <w:vAlign w:val="bottom"/>
            <w:vMerge w:val="restart"/>
          </w:tcPr>
          <w:p>
            <w:pPr>
              <w:jc w:val="center"/>
              <w:ind w:right="143"/>
              <w:spacing w:after="0"/>
              <w:rPr>
                <w:sz w:val="20"/>
                <w:szCs w:val="20"/>
                <w:color w:val="auto"/>
              </w:rPr>
            </w:pPr>
            <w:r>
              <w:rPr>
                <w:rFonts w:ascii="Calibri" w:cs="Calibri" w:eastAsia="Calibri" w:hAnsi="Calibri"/>
                <w:sz w:val="11"/>
                <w:szCs w:val="11"/>
                <w:b w:val="1"/>
                <w:bCs w:val="1"/>
                <w:color w:val="auto"/>
              </w:rPr>
              <w:t>10,497,414</w:t>
            </w:r>
          </w:p>
        </w:tc>
        <w:tc>
          <w:tcPr>
            <w:tcW w:w="800" w:type="dxa"/>
            <w:vAlign w:val="bottom"/>
            <w:vMerge w:val="restart"/>
          </w:tcPr>
          <w:p>
            <w:pPr>
              <w:jc w:val="center"/>
              <w:ind w:left="23"/>
              <w:spacing w:after="0"/>
              <w:rPr>
                <w:sz w:val="20"/>
                <w:szCs w:val="20"/>
                <w:color w:val="auto"/>
              </w:rPr>
            </w:pPr>
            <w:r>
              <w:rPr>
                <w:rFonts w:ascii="Calibri" w:cs="Calibri" w:eastAsia="Calibri" w:hAnsi="Calibri"/>
                <w:sz w:val="11"/>
                <w:szCs w:val="11"/>
                <w:b w:val="1"/>
                <w:bCs w:val="1"/>
                <w:color w:val="auto"/>
              </w:rPr>
              <w:t>11,160,491</w:t>
            </w:r>
          </w:p>
        </w:tc>
        <w:tc>
          <w:tcPr>
            <w:tcW w:w="1540" w:type="dxa"/>
            <w:vAlign w:val="bottom"/>
            <w:tcBorders>
              <w:right w:val="single" w:sz="8" w:color="auto"/>
            </w:tcBorders>
            <w:vMerge w:val="restart"/>
          </w:tcPr>
          <w:p>
            <w:pPr>
              <w:jc w:val="center"/>
              <w:ind w:left="202"/>
              <w:spacing w:after="0"/>
              <w:rPr>
                <w:sz w:val="20"/>
                <w:szCs w:val="20"/>
                <w:color w:val="auto"/>
              </w:rPr>
            </w:pPr>
            <w:r>
              <w:rPr>
                <w:rFonts w:ascii="Calibri" w:cs="Calibri" w:eastAsia="Calibri" w:hAnsi="Calibri"/>
                <w:sz w:val="11"/>
                <w:szCs w:val="11"/>
                <w:b w:val="1"/>
                <w:bCs w:val="1"/>
                <w:color w:val="auto"/>
              </w:rPr>
              <w:t>8,962,379</w:t>
            </w:r>
          </w:p>
        </w:tc>
        <w:tc>
          <w:tcPr>
            <w:tcW w:w="1000" w:type="dxa"/>
            <w:vAlign w:val="bottom"/>
            <w:vMerge w:val="restart"/>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19.7%</w:t>
            </w:r>
          </w:p>
        </w:tc>
        <w:tc>
          <w:tcPr>
            <w:tcW w:w="540" w:type="dxa"/>
            <w:vAlign w:val="bottom"/>
            <w:tcBorders>
              <w:right w:val="single" w:sz="8" w:color="auto"/>
            </w:tcBorders>
            <w:vMerge w:val="restart"/>
          </w:tcPr>
          <w:p>
            <w:pPr>
              <w:jc w:val="center"/>
              <w:ind w:right="16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14.6%</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80" w:type="dxa"/>
            <w:vAlign w:val="bottom"/>
            <w:tcBorders>
              <w:right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14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Bonds and notes issued</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43"/>
              <w:spacing w:after="0"/>
              <w:rPr>
                <w:sz w:val="20"/>
                <w:szCs w:val="20"/>
                <w:color w:val="auto"/>
              </w:rPr>
            </w:pPr>
            <w:r>
              <w:rPr>
                <w:rFonts w:ascii="Calibri" w:cs="Calibri" w:eastAsia="Calibri" w:hAnsi="Calibri"/>
                <w:sz w:val="11"/>
                <w:szCs w:val="11"/>
                <w:b w:val="1"/>
                <w:bCs w:val="1"/>
                <w:color w:val="auto"/>
              </w:rPr>
              <w:t>10,350,260</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rPr>
              <w:t>13,045,879</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13,317,657</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2.1%</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28.7%</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Due from customers on acceptances</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412,401</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w w:val="99"/>
              </w:rPr>
              <w:t>466,957</w:t>
            </w:r>
          </w:p>
        </w:tc>
        <w:tc>
          <w:tcPr>
            <w:tcW w:w="1540" w:type="dxa"/>
            <w:vAlign w:val="bottom"/>
            <w:tcBorders>
              <w:right w:val="single" w:sz="8" w:color="auto"/>
            </w:tcBorders>
          </w:tcPr>
          <w:p>
            <w:pPr>
              <w:jc w:val="center"/>
              <w:ind w:left="182"/>
              <w:spacing w:after="0"/>
              <w:rPr>
                <w:sz w:val="20"/>
                <w:szCs w:val="20"/>
                <w:color w:val="auto"/>
              </w:rPr>
            </w:pPr>
            <w:r>
              <w:rPr>
                <w:rFonts w:ascii="Calibri" w:cs="Calibri" w:eastAsia="Calibri" w:hAnsi="Calibri"/>
                <w:sz w:val="11"/>
                <w:szCs w:val="11"/>
                <w:b w:val="1"/>
                <w:bCs w:val="1"/>
                <w:color w:val="auto"/>
              </w:rPr>
              <w:t>528,184</w:t>
            </w:r>
          </w:p>
        </w:tc>
        <w:tc>
          <w:tcPr>
            <w:tcW w:w="1000" w:type="dxa"/>
            <w:vAlign w:val="bottom"/>
          </w:tcPr>
          <w:p>
            <w:pPr>
              <w:jc w:val="center"/>
              <w:ind w:right="183"/>
              <w:spacing w:after="0"/>
              <w:rPr>
                <w:sz w:val="20"/>
                <w:szCs w:val="20"/>
                <w:color w:val="auto"/>
              </w:rPr>
            </w:pPr>
            <w:r>
              <w:rPr>
                <w:rFonts w:ascii="Calibri" w:cs="Calibri" w:eastAsia="Calibri" w:hAnsi="Calibri"/>
                <w:sz w:val="11"/>
                <w:szCs w:val="11"/>
                <w:color w:val="auto"/>
              </w:rPr>
              <w:t>13.1%</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28.1%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3720" w:type="dxa"/>
            <w:vAlign w:val="bottom"/>
            <w:gridSpan w:val="2"/>
          </w:tcPr>
          <w:p>
            <w:pPr>
              <w:spacing w:after="0"/>
              <w:rPr>
                <w:sz w:val="20"/>
                <w:szCs w:val="20"/>
                <w:color w:val="auto"/>
              </w:rPr>
            </w:pPr>
            <w:r>
              <w:rPr>
                <w:rFonts w:ascii="Calibri" w:cs="Calibri" w:eastAsia="Calibri" w:hAnsi="Calibri"/>
                <w:sz w:val="11"/>
                <w:szCs w:val="11"/>
                <w:b w:val="1"/>
                <w:bCs w:val="1"/>
                <w:color w:val="auto"/>
              </w:rPr>
              <w:t>Financial liabilites at fair value through proft or loss</w:t>
            </w: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43"/>
              <w:spacing w:after="0"/>
              <w:rPr>
                <w:sz w:val="20"/>
                <w:szCs w:val="20"/>
                <w:color w:val="auto"/>
              </w:rPr>
            </w:pPr>
            <w:r>
              <w:rPr>
                <w:rFonts w:ascii="Calibri" w:cs="Calibri" w:eastAsia="Calibri" w:hAnsi="Calibri"/>
                <w:sz w:val="11"/>
                <w:szCs w:val="11"/>
                <w:b w:val="1"/>
                <w:bCs w:val="1"/>
                <w:color w:val="auto"/>
              </w:rPr>
              <w:t>91,966</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w w:val="99"/>
              </w:rPr>
              <w:t>354,562</w:t>
            </w:r>
          </w:p>
        </w:tc>
        <w:tc>
          <w:tcPr>
            <w:tcW w:w="1540" w:type="dxa"/>
            <w:vAlign w:val="bottom"/>
            <w:tcBorders>
              <w:right w:val="single" w:sz="8" w:color="auto"/>
            </w:tcBorders>
          </w:tcPr>
          <w:p>
            <w:pPr>
              <w:jc w:val="center"/>
              <w:ind w:left="202"/>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ind w:left="400"/>
              <w:spacing w:after="0"/>
              <w:rPr>
                <w:sz w:val="20"/>
                <w:szCs w:val="20"/>
                <w:color w:val="auto"/>
              </w:rPr>
            </w:pPr>
            <w:r>
              <w:rPr>
                <w:rFonts w:ascii="Calibri" w:cs="Calibri" w:eastAsia="Calibri" w:hAnsi="Calibri"/>
                <w:sz w:val="11"/>
                <w:szCs w:val="11"/>
                <w:color w:val="auto"/>
              </w:rPr>
              <w:t>n.a.</w:t>
            </w:r>
          </w:p>
        </w:tc>
        <w:tc>
          <w:tcPr>
            <w:tcW w:w="540" w:type="dxa"/>
            <w:vAlign w:val="bottom"/>
            <w:tcBorders>
              <w:right w:val="single" w:sz="8" w:color="auto"/>
            </w:tcBorders>
          </w:tcPr>
          <w:p>
            <w:pPr>
              <w:ind w:left="60"/>
              <w:spacing w:after="0"/>
              <w:rPr>
                <w:sz w:val="20"/>
                <w:szCs w:val="20"/>
                <w:color w:val="auto"/>
              </w:rPr>
            </w:pPr>
            <w:r>
              <w:rPr>
                <w:rFonts w:ascii="Calibri" w:cs="Calibri" w:eastAsia="Calibri" w:hAnsi="Calibri"/>
                <w:sz w:val="11"/>
                <w:szCs w:val="11"/>
                <w:color w:val="auto"/>
              </w:rPr>
              <w:t>n.a.</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 xml:space="preserve">Other liabilites </w:t>
            </w:r>
            <w:r>
              <w:rPr>
                <w:rFonts w:ascii="Calibri" w:cs="Calibri" w:eastAsia="Calibri" w:hAnsi="Calibri"/>
                <w:sz w:val="9"/>
                <w:szCs w:val="9"/>
                <w:b w:val="1"/>
                <w:bCs w:val="1"/>
                <w:color w:val="auto"/>
              </w:rPr>
              <w:t>(3)</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4,544,335</w:t>
            </w:r>
          </w:p>
        </w:tc>
        <w:tc>
          <w:tcPr>
            <w:tcW w:w="80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5,629,964</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5,265,739</w:t>
            </w:r>
          </w:p>
        </w:tc>
        <w:tc>
          <w:tcPr>
            <w:tcW w:w="100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6.5%</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15.9%</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Borders>
              <w:right w:val="single" w:sz="8" w:color="auto"/>
            </w:tcBorders>
          </w:tcPr>
          <w:p>
            <w:pPr>
              <w:spacing w:after="0"/>
              <w:rPr>
                <w:sz w:val="12"/>
                <w:szCs w:val="12"/>
                <w:color w:val="auto"/>
              </w:rPr>
            </w:pPr>
          </w:p>
        </w:tc>
        <w:tc>
          <w:tcPr>
            <w:tcW w:w="3720" w:type="dxa"/>
            <w:vAlign w:val="bottom"/>
            <w:gridSpan w:val="2"/>
          </w:tcPr>
          <w:p>
            <w:pPr>
              <w:jc w:val="center"/>
              <w:ind w:left="1003"/>
              <w:spacing w:after="0"/>
              <w:rPr>
                <w:sz w:val="20"/>
                <w:szCs w:val="20"/>
                <w:color w:val="auto"/>
              </w:rPr>
            </w:pPr>
            <w:r>
              <w:rPr>
                <w:rFonts w:ascii="Calibri" w:cs="Calibri" w:eastAsia="Calibri" w:hAnsi="Calibri"/>
                <w:sz w:val="11"/>
                <w:szCs w:val="11"/>
                <w:b w:val="1"/>
                <w:bCs w:val="1"/>
                <w:color w:val="auto"/>
              </w:rPr>
              <w:t>Total Liabilites</w:t>
            </w: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155,912,588</w:t>
            </w:r>
          </w:p>
        </w:tc>
        <w:tc>
          <w:tcPr>
            <w:tcW w:w="80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166,359,440</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171,569,247</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3.1%</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10.0%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580" w:type="dxa"/>
            <w:vAlign w:val="bottom"/>
            <w:tcBorders>
              <w:right w:val="single" w:sz="8" w:color="auto"/>
            </w:tcBorders>
          </w:tcPr>
          <w:p>
            <w:pPr>
              <w:spacing w:after="0"/>
              <w:rPr>
                <w:sz w:val="24"/>
                <w:szCs w:val="24"/>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Net equity</w:t>
            </w:r>
          </w:p>
        </w:tc>
        <w:tc>
          <w:tcPr>
            <w:tcW w:w="14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Pr>
          <w:p>
            <w:pPr>
              <w:jc w:val="center"/>
              <w:ind w:right="143"/>
              <w:spacing w:after="0"/>
              <w:rPr>
                <w:sz w:val="20"/>
                <w:szCs w:val="20"/>
                <w:color w:val="auto"/>
              </w:rPr>
            </w:pPr>
            <w:r>
              <w:rPr>
                <w:rFonts w:ascii="Calibri" w:cs="Calibri" w:eastAsia="Calibri" w:hAnsi="Calibri"/>
                <w:sz w:val="11"/>
                <w:szCs w:val="11"/>
                <w:b w:val="1"/>
                <w:bCs w:val="1"/>
                <w:color w:val="auto"/>
              </w:rPr>
              <w:t>25,001,573</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rPr>
              <w:t>25,351,543</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26,011,878</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2.6%</w:t>
            </w:r>
          </w:p>
        </w:tc>
        <w:tc>
          <w:tcPr>
            <w:tcW w:w="540" w:type="dxa"/>
            <w:vAlign w:val="bottom"/>
            <w:tcBorders>
              <w:right w:val="single" w:sz="8" w:color="auto"/>
            </w:tcBorders>
          </w:tcPr>
          <w:p>
            <w:pPr>
              <w:jc w:val="center"/>
              <w:ind w:right="183"/>
              <w:spacing w:after="0"/>
              <w:rPr>
                <w:sz w:val="20"/>
                <w:szCs w:val="20"/>
                <w:color w:val="auto"/>
              </w:rPr>
            </w:pPr>
            <w:r>
              <w:rPr>
                <w:rFonts w:ascii="Calibri" w:cs="Calibri" w:eastAsia="Calibri" w:hAnsi="Calibri"/>
                <w:sz w:val="11"/>
                <w:szCs w:val="11"/>
                <w:color w:val="auto"/>
              </w:rPr>
              <w:t>4.0%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ind w:left="160"/>
              <w:spacing w:after="0"/>
              <w:rPr>
                <w:sz w:val="20"/>
                <w:szCs w:val="20"/>
                <w:color w:val="auto"/>
              </w:rPr>
            </w:pPr>
            <w:r>
              <w:rPr>
                <w:rFonts w:ascii="Calibri" w:cs="Calibri" w:eastAsia="Calibri" w:hAnsi="Calibri"/>
                <w:sz w:val="11"/>
                <w:szCs w:val="11"/>
                <w:color w:val="auto"/>
              </w:rPr>
              <w:t>Capital stock</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w w:val="99"/>
              </w:rPr>
              <w:t>12,679,794</w:t>
            </w:r>
          </w:p>
        </w:tc>
        <w:tc>
          <w:tcPr>
            <w:tcW w:w="800" w:type="dxa"/>
            <w:vAlign w:val="bottom"/>
          </w:tcPr>
          <w:p>
            <w:pPr>
              <w:jc w:val="center"/>
              <w:ind w:left="23"/>
              <w:spacing w:after="0"/>
              <w:rPr>
                <w:sz w:val="20"/>
                <w:szCs w:val="20"/>
                <w:color w:val="auto"/>
              </w:rPr>
            </w:pPr>
            <w:r>
              <w:rPr>
                <w:rFonts w:ascii="Calibri" w:cs="Calibri" w:eastAsia="Calibri" w:hAnsi="Calibri"/>
                <w:sz w:val="11"/>
                <w:szCs w:val="11"/>
                <w:color w:val="auto"/>
              </w:rPr>
              <w:t>12,679,794</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12,679,794</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0.0%</w:t>
            </w:r>
          </w:p>
        </w:tc>
        <w:tc>
          <w:tcPr>
            <w:tcW w:w="540" w:type="dxa"/>
            <w:vAlign w:val="bottom"/>
            <w:tcBorders>
              <w:right w:val="single" w:sz="8" w:color="auto"/>
            </w:tcBorders>
          </w:tcPr>
          <w:p>
            <w:pPr>
              <w:jc w:val="center"/>
              <w:ind w:right="183"/>
              <w:spacing w:after="0"/>
              <w:rPr>
                <w:sz w:val="20"/>
                <w:szCs w:val="20"/>
                <w:color w:val="auto"/>
              </w:rPr>
            </w:pPr>
            <w:r>
              <w:rPr>
                <w:rFonts w:ascii="Calibri" w:cs="Calibri" w:eastAsia="Calibri" w:hAnsi="Calibri"/>
                <w:sz w:val="11"/>
                <w:szCs w:val="11"/>
                <w:color w:val="auto"/>
              </w:rPr>
              <w:t>0.0%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ind w:left="160"/>
              <w:spacing w:after="0"/>
              <w:rPr>
                <w:sz w:val="20"/>
                <w:szCs w:val="20"/>
                <w:color w:val="auto"/>
              </w:rPr>
            </w:pPr>
            <w:r>
              <w:rPr>
                <w:rFonts w:ascii="Calibri" w:cs="Calibri" w:eastAsia="Calibri" w:hAnsi="Calibri"/>
                <w:sz w:val="11"/>
                <w:szCs w:val="11"/>
                <w:color w:val="auto"/>
              </w:rPr>
              <w:t>Reserves</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rPr>
              <w:t>6,372,059</w:t>
            </w:r>
          </w:p>
        </w:tc>
        <w:tc>
          <w:tcPr>
            <w:tcW w:w="800" w:type="dxa"/>
            <w:vAlign w:val="bottom"/>
          </w:tcPr>
          <w:p>
            <w:pPr>
              <w:jc w:val="center"/>
              <w:ind w:left="43"/>
              <w:spacing w:after="0"/>
              <w:rPr>
                <w:sz w:val="20"/>
                <w:szCs w:val="20"/>
                <w:color w:val="auto"/>
              </w:rPr>
            </w:pPr>
            <w:r>
              <w:rPr>
                <w:rFonts w:ascii="Calibri" w:cs="Calibri" w:eastAsia="Calibri" w:hAnsi="Calibri"/>
                <w:sz w:val="11"/>
                <w:szCs w:val="11"/>
                <w:color w:val="auto"/>
              </w:rPr>
              <w:t>6,372,468</w:t>
            </w:r>
          </w:p>
        </w:tc>
        <w:tc>
          <w:tcPr>
            <w:tcW w:w="1540" w:type="dxa"/>
            <w:vAlign w:val="bottom"/>
            <w:tcBorders>
              <w:right w:val="single" w:sz="8" w:color="auto"/>
            </w:tcBorders>
          </w:tcPr>
          <w:p>
            <w:pPr>
              <w:jc w:val="center"/>
              <w:ind w:left="222"/>
              <w:spacing w:after="0"/>
              <w:rPr>
                <w:sz w:val="20"/>
                <w:szCs w:val="20"/>
                <w:color w:val="auto"/>
              </w:rPr>
            </w:pPr>
            <w:r>
              <w:rPr>
                <w:rFonts w:ascii="Calibri" w:cs="Calibri" w:eastAsia="Calibri" w:hAnsi="Calibri"/>
                <w:sz w:val="11"/>
                <w:szCs w:val="11"/>
                <w:color w:val="auto"/>
              </w:rPr>
              <w:t>5,905,440</w:t>
            </w:r>
          </w:p>
        </w:tc>
        <w:tc>
          <w:tcPr>
            <w:tcW w:w="100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7.3%</w:t>
            </w:r>
          </w:p>
        </w:tc>
        <w:tc>
          <w:tcPr>
            <w:tcW w:w="54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7.3%</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ind w:left="160"/>
              <w:spacing w:after="0"/>
              <w:rPr>
                <w:sz w:val="20"/>
                <w:szCs w:val="20"/>
                <w:color w:val="auto"/>
              </w:rPr>
            </w:pPr>
            <w:r>
              <w:rPr>
                <w:rFonts w:ascii="Calibri" w:cs="Calibri" w:eastAsia="Calibri" w:hAnsi="Calibri"/>
                <w:sz w:val="11"/>
                <w:szCs w:val="11"/>
                <w:color w:val="auto"/>
              </w:rPr>
              <w:t>Unrealized gains and losses</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43"/>
              <w:spacing w:after="0"/>
              <w:rPr>
                <w:sz w:val="20"/>
                <w:szCs w:val="20"/>
                <w:color w:val="auto"/>
              </w:rPr>
            </w:pPr>
            <w:r>
              <w:rPr>
                <w:rFonts w:ascii="Calibri" w:cs="Calibri" w:eastAsia="Calibri" w:hAnsi="Calibri"/>
                <w:sz w:val="11"/>
                <w:szCs w:val="11"/>
                <w:color w:val="auto"/>
              </w:rPr>
              <w:t>(109,202)</w:t>
            </w:r>
          </w:p>
        </w:tc>
        <w:tc>
          <w:tcPr>
            <w:tcW w:w="800" w:type="dxa"/>
            <w:vAlign w:val="bottom"/>
          </w:tcPr>
          <w:p>
            <w:pPr>
              <w:jc w:val="center"/>
              <w:ind w:left="23"/>
              <w:spacing w:after="0"/>
              <w:rPr>
                <w:sz w:val="20"/>
                <w:szCs w:val="20"/>
                <w:color w:val="auto"/>
              </w:rPr>
            </w:pPr>
            <w:r>
              <w:rPr>
                <w:rFonts w:ascii="Calibri" w:cs="Calibri" w:eastAsia="Calibri" w:hAnsi="Calibri"/>
                <w:sz w:val="11"/>
                <w:szCs w:val="11"/>
                <w:color w:val="auto"/>
                <w:w w:val="99"/>
              </w:rPr>
              <w:t>222,730</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81,399</w:t>
            </w:r>
          </w:p>
        </w:tc>
        <w:tc>
          <w:tcPr>
            <w:tcW w:w="1000" w:type="dxa"/>
            <w:vAlign w:val="bottom"/>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63.5%</w:t>
            </w:r>
          </w:p>
        </w:tc>
        <w:tc>
          <w:tcPr>
            <w:tcW w:w="540" w:type="dxa"/>
            <w:vAlign w:val="bottom"/>
            <w:tcBorders>
              <w:right w:val="single" w:sz="8" w:color="auto"/>
            </w:tcBorders>
          </w:tcPr>
          <w:p>
            <w:pPr>
              <w:ind w:left="60"/>
              <w:spacing w:after="0"/>
              <w:rPr>
                <w:sz w:val="20"/>
                <w:szCs w:val="20"/>
                <w:color w:val="auto"/>
              </w:rPr>
            </w:pPr>
            <w:r>
              <w:rPr>
                <w:rFonts w:ascii="Calibri" w:cs="Calibri" w:eastAsia="Calibri" w:hAnsi="Calibri"/>
                <w:sz w:val="11"/>
                <w:szCs w:val="11"/>
                <w:color w:val="auto"/>
              </w:rPr>
              <w:t>n.a.</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Borders>
              <w:right w:val="single" w:sz="8" w:color="auto"/>
            </w:tcBorders>
          </w:tcPr>
          <w:p>
            <w:pPr>
              <w:spacing w:after="0"/>
              <w:rPr>
                <w:sz w:val="12"/>
                <w:szCs w:val="12"/>
                <w:color w:val="auto"/>
              </w:rPr>
            </w:pPr>
          </w:p>
        </w:tc>
        <w:tc>
          <w:tcPr>
            <w:tcW w:w="2320" w:type="dxa"/>
            <w:vAlign w:val="bottom"/>
          </w:tcPr>
          <w:p>
            <w:pPr>
              <w:ind w:left="160"/>
              <w:spacing w:after="0"/>
              <w:rPr>
                <w:sz w:val="20"/>
                <w:szCs w:val="20"/>
                <w:color w:val="auto"/>
              </w:rPr>
            </w:pPr>
            <w:r>
              <w:rPr>
                <w:rFonts w:ascii="Calibri" w:cs="Calibri" w:eastAsia="Calibri" w:hAnsi="Calibri"/>
                <w:sz w:val="11"/>
                <w:szCs w:val="11"/>
                <w:color w:val="auto"/>
              </w:rPr>
              <w:t>Retained earnings</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rPr>
              <w:t>6,058,922</w:t>
            </w:r>
          </w:p>
        </w:tc>
        <w:tc>
          <w:tcPr>
            <w:tcW w:w="800" w:type="dxa"/>
            <w:vAlign w:val="bottom"/>
          </w:tcPr>
          <w:p>
            <w:pPr>
              <w:jc w:val="center"/>
              <w:ind w:left="43"/>
              <w:spacing w:after="0"/>
              <w:rPr>
                <w:sz w:val="20"/>
                <w:szCs w:val="20"/>
                <w:color w:val="auto"/>
              </w:rPr>
            </w:pPr>
            <w:r>
              <w:rPr>
                <w:rFonts w:ascii="Calibri" w:cs="Calibri" w:eastAsia="Calibri" w:hAnsi="Calibri"/>
                <w:sz w:val="11"/>
                <w:szCs w:val="11"/>
                <w:color w:val="auto"/>
              </w:rPr>
              <w:t>6,076,551</w:t>
            </w:r>
          </w:p>
        </w:tc>
        <w:tc>
          <w:tcPr>
            <w:tcW w:w="1540" w:type="dxa"/>
            <w:vAlign w:val="bottom"/>
            <w:tcBorders>
              <w:right w:val="single" w:sz="8" w:color="auto"/>
            </w:tcBorders>
          </w:tcPr>
          <w:p>
            <w:pPr>
              <w:jc w:val="center"/>
              <w:ind w:left="222"/>
              <w:spacing w:after="0"/>
              <w:rPr>
                <w:sz w:val="20"/>
                <w:szCs w:val="20"/>
                <w:color w:val="auto"/>
              </w:rPr>
            </w:pPr>
            <w:r>
              <w:rPr>
                <w:rFonts w:ascii="Calibri" w:cs="Calibri" w:eastAsia="Calibri" w:hAnsi="Calibri"/>
                <w:sz w:val="11"/>
                <w:szCs w:val="11"/>
                <w:color w:val="auto"/>
              </w:rPr>
              <w:t>7,345,245</w:t>
            </w:r>
          </w:p>
        </w:tc>
        <w:tc>
          <w:tcPr>
            <w:tcW w:w="1000" w:type="dxa"/>
            <w:vAlign w:val="bottom"/>
          </w:tcPr>
          <w:p>
            <w:pPr>
              <w:jc w:val="center"/>
              <w:ind w:right="183"/>
              <w:spacing w:after="0"/>
              <w:rPr>
                <w:sz w:val="20"/>
                <w:szCs w:val="20"/>
                <w:color w:val="auto"/>
              </w:rPr>
            </w:pPr>
            <w:r>
              <w:rPr>
                <w:rFonts w:ascii="Calibri" w:cs="Calibri" w:eastAsia="Calibri" w:hAnsi="Calibri"/>
                <w:sz w:val="11"/>
                <w:szCs w:val="11"/>
                <w:color w:val="auto"/>
              </w:rPr>
              <w:t>20.9%</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21.2%</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580" w:type="dxa"/>
            <w:vAlign w:val="bottom"/>
            <w:tcBorders>
              <w:right w:val="single" w:sz="8" w:color="auto"/>
            </w:tcBorders>
          </w:tcPr>
          <w:p>
            <w:pPr>
              <w:spacing w:after="0"/>
              <w:rPr>
                <w:sz w:val="24"/>
                <w:szCs w:val="24"/>
                <w:color w:val="auto"/>
              </w:rPr>
            </w:pPr>
          </w:p>
        </w:tc>
        <w:tc>
          <w:tcPr>
            <w:tcW w:w="3720" w:type="dxa"/>
            <w:vAlign w:val="bottom"/>
            <w:gridSpan w:val="2"/>
          </w:tcPr>
          <w:p>
            <w:pPr>
              <w:jc w:val="center"/>
              <w:ind w:left="983"/>
              <w:spacing w:after="0"/>
              <w:rPr>
                <w:sz w:val="20"/>
                <w:szCs w:val="20"/>
                <w:color w:val="auto"/>
              </w:rPr>
            </w:pPr>
            <w:r>
              <w:rPr>
                <w:rFonts w:ascii="Calibri" w:cs="Calibri" w:eastAsia="Calibri" w:hAnsi="Calibri"/>
                <w:sz w:val="11"/>
                <w:szCs w:val="11"/>
                <w:b w:val="1"/>
                <w:bCs w:val="1"/>
                <w:color w:val="auto"/>
              </w:rPr>
              <w:t>Total Net Equity</w:t>
            </w:r>
          </w:p>
        </w:tc>
        <w:tc>
          <w:tcPr>
            <w:tcW w:w="1060" w:type="dxa"/>
            <w:vAlign w:val="bottom"/>
            <w:tcBorders>
              <w:right w:val="single" w:sz="8" w:color="auto"/>
            </w:tcBorders>
          </w:tcPr>
          <w:p>
            <w:pPr>
              <w:spacing w:after="0"/>
              <w:rPr>
                <w:sz w:val="24"/>
                <w:szCs w:val="24"/>
                <w:color w:val="auto"/>
              </w:rPr>
            </w:pPr>
          </w:p>
        </w:tc>
        <w:tc>
          <w:tcPr>
            <w:tcW w:w="1440" w:type="dxa"/>
            <w:vAlign w:val="bottom"/>
          </w:tcPr>
          <w:p>
            <w:pPr>
              <w:jc w:val="center"/>
              <w:ind w:right="143"/>
              <w:spacing w:after="0"/>
              <w:rPr>
                <w:sz w:val="20"/>
                <w:szCs w:val="20"/>
                <w:color w:val="auto"/>
              </w:rPr>
            </w:pPr>
            <w:r>
              <w:rPr>
                <w:rFonts w:ascii="Calibri" w:cs="Calibri" w:eastAsia="Calibri" w:hAnsi="Calibri"/>
                <w:sz w:val="11"/>
                <w:szCs w:val="11"/>
                <w:b w:val="1"/>
                <w:bCs w:val="1"/>
                <w:color w:val="auto"/>
              </w:rPr>
              <w:t>25,001,573</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rPr>
              <w:t>25,351,543</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26,011,878</w:t>
            </w:r>
          </w:p>
        </w:tc>
        <w:tc>
          <w:tcPr>
            <w:tcW w:w="1000" w:type="dxa"/>
            <w:vAlign w:val="bottom"/>
          </w:tcPr>
          <w:p>
            <w:pPr>
              <w:jc w:val="center"/>
              <w:ind w:right="203"/>
              <w:spacing w:after="0"/>
              <w:rPr>
                <w:sz w:val="20"/>
                <w:szCs w:val="20"/>
                <w:color w:val="auto"/>
              </w:rPr>
            </w:pPr>
            <w:r>
              <w:rPr>
                <w:rFonts w:ascii="Calibri" w:cs="Calibri" w:eastAsia="Calibri" w:hAnsi="Calibri"/>
                <w:sz w:val="11"/>
                <w:szCs w:val="11"/>
                <w:color w:val="auto"/>
              </w:rPr>
              <w:t>2.6%</w:t>
            </w:r>
          </w:p>
        </w:tc>
        <w:tc>
          <w:tcPr>
            <w:tcW w:w="540" w:type="dxa"/>
            <w:vAlign w:val="bottom"/>
            <w:tcBorders>
              <w:right w:val="single" w:sz="8" w:color="auto"/>
            </w:tcBorders>
          </w:tcPr>
          <w:p>
            <w:pPr>
              <w:jc w:val="center"/>
              <w:ind w:right="183"/>
              <w:spacing w:after="0"/>
              <w:rPr>
                <w:sz w:val="20"/>
                <w:szCs w:val="20"/>
                <w:color w:val="auto"/>
              </w:rPr>
            </w:pPr>
            <w:r>
              <w:rPr>
                <w:rFonts w:ascii="Calibri" w:cs="Calibri" w:eastAsia="Calibri" w:hAnsi="Calibri"/>
                <w:sz w:val="11"/>
                <w:szCs w:val="11"/>
                <w:color w:val="auto"/>
              </w:rPr>
              <w:t>4.0%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80" w:type="dxa"/>
            <w:vAlign w:val="bottom"/>
            <w:tcBorders>
              <w:right w:val="single" w:sz="8" w:color="auto"/>
            </w:tcBorders>
          </w:tcPr>
          <w:p>
            <w:pPr>
              <w:spacing w:after="0"/>
              <w:rPr>
                <w:sz w:val="24"/>
                <w:szCs w:val="24"/>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Total liabilites and equity</w:t>
            </w:r>
          </w:p>
        </w:tc>
        <w:tc>
          <w:tcPr>
            <w:tcW w:w="14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vMerge w:val="restart"/>
          </w:tcPr>
          <w:p>
            <w:pPr>
              <w:jc w:val="center"/>
              <w:ind w:right="123"/>
              <w:spacing w:after="0"/>
              <w:rPr>
                <w:sz w:val="20"/>
                <w:szCs w:val="20"/>
                <w:color w:val="auto"/>
              </w:rPr>
            </w:pPr>
            <w:r>
              <w:rPr>
                <w:rFonts w:ascii="Calibri" w:cs="Calibri" w:eastAsia="Calibri" w:hAnsi="Calibri"/>
                <w:sz w:val="11"/>
                <w:szCs w:val="11"/>
                <w:b w:val="1"/>
                <w:bCs w:val="1"/>
                <w:color w:val="auto"/>
              </w:rPr>
              <w:t>180,914,161</w:t>
            </w:r>
          </w:p>
        </w:tc>
        <w:tc>
          <w:tcPr>
            <w:tcW w:w="800" w:type="dxa"/>
            <w:vAlign w:val="bottom"/>
            <w:vMerge w:val="restart"/>
          </w:tcPr>
          <w:p>
            <w:pPr>
              <w:jc w:val="center"/>
              <w:ind w:left="43"/>
              <w:spacing w:after="0"/>
              <w:rPr>
                <w:sz w:val="20"/>
                <w:szCs w:val="20"/>
                <w:color w:val="auto"/>
              </w:rPr>
            </w:pPr>
            <w:r>
              <w:rPr>
                <w:rFonts w:ascii="Calibri" w:cs="Calibri" w:eastAsia="Calibri" w:hAnsi="Calibri"/>
                <w:sz w:val="11"/>
                <w:szCs w:val="11"/>
                <w:b w:val="1"/>
                <w:bCs w:val="1"/>
                <w:color w:val="auto"/>
              </w:rPr>
              <w:t>191,710,983</w:t>
            </w:r>
          </w:p>
        </w:tc>
        <w:tc>
          <w:tcPr>
            <w:tcW w:w="1540" w:type="dxa"/>
            <w:vAlign w:val="bottom"/>
            <w:tcBorders>
              <w:right w:val="single" w:sz="8" w:color="auto"/>
            </w:tcBorders>
            <w:vMerge w:val="restart"/>
          </w:tcPr>
          <w:p>
            <w:pPr>
              <w:jc w:val="center"/>
              <w:ind w:left="202"/>
              <w:spacing w:after="0"/>
              <w:rPr>
                <w:sz w:val="20"/>
                <w:szCs w:val="20"/>
                <w:color w:val="auto"/>
              </w:rPr>
            </w:pPr>
            <w:r>
              <w:rPr>
                <w:rFonts w:ascii="Calibri" w:cs="Calibri" w:eastAsia="Calibri" w:hAnsi="Calibri"/>
                <w:sz w:val="11"/>
                <w:szCs w:val="11"/>
                <w:b w:val="1"/>
                <w:bCs w:val="1"/>
                <w:color w:val="auto"/>
              </w:rPr>
              <w:t>197,581,125</w:t>
            </w:r>
          </w:p>
        </w:tc>
        <w:tc>
          <w:tcPr>
            <w:tcW w:w="1000" w:type="dxa"/>
            <w:vAlign w:val="bottom"/>
            <w:vMerge w:val="restart"/>
          </w:tcPr>
          <w:p>
            <w:pPr>
              <w:jc w:val="center"/>
              <w:ind w:right="203"/>
              <w:spacing w:after="0"/>
              <w:rPr>
                <w:sz w:val="20"/>
                <w:szCs w:val="20"/>
                <w:color w:val="auto"/>
              </w:rPr>
            </w:pPr>
            <w:r>
              <w:rPr>
                <w:rFonts w:ascii="Calibri" w:cs="Calibri" w:eastAsia="Calibri" w:hAnsi="Calibri"/>
                <w:sz w:val="11"/>
                <w:szCs w:val="11"/>
                <w:color w:val="auto"/>
              </w:rPr>
              <w:t>3.1%</w:t>
            </w:r>
          </w:p>
        </w:tc>
        <w:tc>
          <w:tcPr>
            <w:tcW w:w="540" w:type="dxa"/>
            <w:vAlign w:val="bottom"/>
            <w:tcBorders>
              <w:right w:val="single" w:sz="8" w:color="auto"/>
            </w:tcBorders>
            <w:vMerge w:val="restart"/>
          </w:tcPr>
          <w:p>
            <w:pPr>
              <w:jc w:val="center"/>
              <w:ind w:right="183"/>
              <w:spacing w:after="0"/>
              <w:rPr>
                <w:sz w:val="20"/>
                <w:szCs w:val="20"/>
                <w:color w:val="auto"/>
              </w:rPr>
            </w:pPr>
            <w:r>
              <w:rPr>
                <w:rFonts w:ascii="Calibri" w:cs="Calibri" w:eastAsia="Calibri" w:hAnsi="Calibri"/>
                <w:sz w:val="11"/>
                <w:szCs w:val="11"/>
                <w:color w:val="auto"/>
              </w:rPr>
              <w:t>9.2%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580" w:type="dxa"/>
            <w:vAlign w:val="bottom"/>
            <w:tcBorders>
              <w:right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14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540" w:type="dxa"/>
            <w:vAlign w:val="bottom"/>
            <w:tcBorders>
              <w:right w:val="single" w:sz="8" w:color="auto"/>
            </w:tcBorders>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580" w:type="dxa"/>
            <w:vAlign w:val="bottom"/>
            <w:tcBorders>
              <w:right w:val="single" w:sz="8" w:color="auto"/>
            </w:tcBorders>
          </w:tcPr>
          <w:p>
            <w:pPr>
              <w:spacing w:after="0"/>
              <w:rPr>
                <w:sz w:val="20"/>
                <w:szCs w:val="20"/>
                <w:color w:val="auto"/>
              </w:rPr>
            </w:pPr>
          </w:p>
        </w:tc>
        <w:tc>
          <w:tcPr>
            <w:tcW w:w="2320" w:type="dxa"/>
            <w:vAlign w:val="bottom"/>
          </w:tcPr>
          <w:p>
            <w:pPr>
              <w:spacing w:after="0"/>
              <w:rPr>
                <w:sz w:val="20"/>
                <w:szCs w:val="20"/>
                <w:color w:val="auto"/>
              </w:rPr>
            </w:pPr>
            <w:r>
              <w:rPr>
                <w:rFonts w:ascii="Calibri" w:cs="Calibri" w:eastAsia="Calibri" w:hAnsi="Calibri"/>
                <w:sz w:val="11"/>
                <w:szCs w:val="11"/>
                <w:b w:val="1"/>
                <w:bCs w:val="1"/>
                <w:color w:val="auto"/>
              </w:rPr>
              <w:t>Of-balance sheet</w:t>
            </w:r>
          </w:p>
        </w:tc>
        <w:tc>
          <w:tcPr>
            <w:tcW w:w="140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b w:val="1"/>
                <w:bCs w:val="1"/>
                <w:color w:val="auto"/>
              </w:rPr>
              <w:t>134,844,989</w:t>
            </w:r>
          </w:p>
        </w:tc>
        <w:tc>
          <w:tcPr>
            <w:tcW w:w="800" w:type="dxa"/>
            <w:vAlign w:val="bottom"/>
          </w:tcPr>
          <w:p>
            <w:pPr>
              <w:jc w:val="center"/>
              <w:ind w:left="43"/>
              <w:spacing w:after="0"/>
              <w:rPr>
                <w:sz w:val="20"/>
                <w:szCs w:val="20"/>
                <w:color w:val="auto"/>
              </w:rPr>
            </w:pPr>
            <w:r>
              <w:rPr>
                <w:rFonts w:ascii="Calibri" w:cs="Calibri" w:eastAsia="Calibri" w:hAnsi="Calibri"/>
                <w:sz w:val="11"/>
                <w:szCs w:val="11"/>
                <w:b w:val="1"/>
                <w:bCs w:val="1"/>
                <w:color w:val="auto"/>
              </w:rPr>
              <w:t>140,242,082</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135,041,209</w:t>
            </w:r>
          </w:p>
        </w:tc>
        <w:tc>
          <w:tcPr>
            <w:tcW w:w="100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3.7%</w:t>
            </w:r>
          </w:p>
        </w:tc>
        <w:tc>
          <w:tcPr>
            <w:tcW w:w="540" w:type="dxa"/>
            <w:vAlign w:val="bottom"/>
            <w:tcBorders>
              <w:right w:val="single" w:sz="8" w:color="auto"/>
            </w:tcBorders>
          </w:tcPr>
          <w:p>
            <w:pPr>
              <w:jc w:val="center"/>
              <w:ind w:right="183"/>
              <w:spacing w:after="0"/>
              <w:rPr>
                <w:sz w:val="20"/>
                <w:szCs w:val="20"/>
                <w:color w:val="auto"/>
              </w:rPr>
            </w:pPr>
            <w:r>
              <w:rPr>
                <w:rFonts w:ascii="Calibri" w:cs="Calibri" w:eastAsia="Calibri" w:hAnsi="Calibri"/>
                <w:sz w:val="11"/>
                <w:szCs w:val="11"/>
                <w:color w:val="auto"/>
              </w:rPr>
              <w:t>0.1%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580" w:type="dxa"/>
            <w:vAlign w:val="bottom"/>
            <w:tcBorders>
              <w:right w:val="single" w:sz="8" w:color="auto"/>
            </w:tcBorders>
          </w:tcPr>
          <w:p>
            <w:pPr>
              <w:spacing w:after="0"/>
              <w:rPr>
                <w:sz w:val="12"/>
                <w:szCs w:val="12"/>
                <w:color w:val="auto"/>
              </w:rPr>
            </w:pPr>
          </w:p>
        </w:tc>
        <w:tc>
          <w:tcPr>
            <w:tcW w:w="2320" w:type="dxa"/>
            <w:vAlign w:val="bottom"/>
          </w:tcPr>
          <w:p>
            <w:pPr>
              <w:spacing w:after="0"/>
              <w:rPr>
                <w:sz w:val="20"/>
                <w:szCs w:val="20"/>
                <w:color w:val="auto"/>
              </w:rPr>
            </w:pPr>
            <w:r>
              <w:rPr>
                <w:rFonts w:ascii="Calibri" w:cs="Calibri" w:eastAsia="Calibri" w:hAnsi="Calibri"/>
                <w:sz w:val="11"/>
                <w:szCs w:val="11"/>
                <w:color w:val="auto"/>
              </w:rPr>
              <w:t>Total performance bonds, stand-by and L/Cs.</w:t>
            </w:r>
          </w:p>
        </w:tc>
        <w:tc>
          <w:tcPr>
            <w:tcW w:w="14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w w:val="99"/>
              </w:rPr>
              <w:t>19,328,506</w:t>
            </w:r>
          </w:p>
        </w:tc>
        <w:tc>
          <w:tcPr>
            <w:tcW w:w="800" w:type="dxa"/>
            <w:vAlign w:val="bottom"/>
          </w:tcPr>
          <w:p>
            <w:pPr>
              <w:jc w:val="center"/>
              <w:ind w:left="23"/>
              <w:spacing w:after="0"/>
              <w:rPr>
                <w:sz w:val="20"/>
                <w:szCs w:val="20"/>
                <w:color w:val="auto"/>
              </w:rPr>
            </w:pPr>
            <w:r>
              <w:rPr>
                <w:rFonts w:ascii="Calibri" w:cs="Calibri" w:eastAsia="Calibri" w:hAnsi="Calibri"/>
                <w:sz w:val="11"/>
                <w:szCs w:val="11"/>
                <w:b w:val="1"/>
                <w:bCs w:val="1"/>
                <w:color w:val="auto"/>
              </w:rPr>
              <w:t>19,593,247</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b w:val="1"/>
                <w:bCs w:val="1"/>
                <w:color w:val="auto"/>
              </w:rPr>
              <w:t>21,683,478</w:t>
            </w:r>
          </w:p>
        </w:tc>
        <w:tc>
          <w:tcPr>
            <w:tcW w:w="1000" w:type="dxa"/>
            <w:vAlign w:val="bottom"/>
          </w:tcPr>
          <w:p>
            <w:pPr>
              <w:jc w:val="center"/>
              <w:ind w:right="183"/>
              <w:spacing w:after="0"/>
              <w:rPr>
                <w:sz w:val="20"/>
                <w:szCs w:val="20"/>
                <w:color w:val="auto"/>
              </w:rPr>
            </w:pPr>
            <w:r>
              <w:rPr>
                <w:rFonts w:ascii="Calibri" w:cs="Calibri" w:eastAsia="Calibri" w:hAnsi="Calibri"/>
                <w:sz w:val="11"/>
                <w:szCs w:val="11"/>
                <w:color w:val="auto"/>
              </w:rPr>
              <w:t>10.7%</w:t>
            </w:r>
          </w:p>
        </w:tc>
        <w:tc>
          <w:tcPr>
            <w:tcW w:w="540" w:type="dxa"/>
            <w:vAlign w:val="bottom"/>
            <w:tcBorders>
              <w:right w:val="single" w:sz="8" w:color="auto"/>
            </w:tcBorders>
          </w:tcPr>
          <w:p>
            <w:pPr>
              <w:jc w:val="center"/>
              <w:ind w:right="163"/>
              <w:spacing w:after="0"/>
              <w:rPr>
                <w:sz w:val="20"/>
                <w:szCs w:val="20"/>
                <w:color w:val="auto"/>
              </w:rPr>
            </w:pPr>
            <w:r>
              <w:rPr>
                <w:rFonts w:ascii="Calibri" w:cs="Calibri" w:eastAsia="Calibri" w:hAnsi="Calibri"/>
                <w:sz w:val="11"/>
                <w:szCs w:val="11"/>
                <w:color w:val="auto"/>
              </w:rPr>
              <w:t>12.2%</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80" w:type="dxa"/>
            <w:vAlign w:val="bottom"/>
            <w:tcBorders>
              <w:right w:val="single" w:sz="8" w:color="auto"/>
            </w:tcBorders>
          </w:tcPr>
          <w:p>
            <w:pPr>
              <w:spacing w:after="0"/>
              <w:rPr>
                <w:sz w:val="13"/>
                <w:szCs w:val="13"/>
                <w:color w:val="auto"/>
              </w:rPr>
            </w:pPr>
          </w:p>
        </w:tc>
        <w:tc>
          <w:tcPr>
            <w:tcW w:w="2320" w:type="dxa"/>
            <w:vAlign w:val="bottom"/>
          </w:tcPr>
          <w:p>
            <w:pPr>
              <w:spacing w:after="0"/>
              <w:rPr>
                <w:sz w:val="20"/>
                <w:szCs w:val="20"/>
                <w:color w:val="auto"/>
              </w:rPr>
            </w:pPr>
            <w:r>
              <w:rPr>
                <w:rFonts w:ascii="Calibri" w:cs="Calibri" w:eastAsia="Calibri" w:hAnsi="Calibri"/>
                <w:sz w:val="11"/>
                <w:szCs w:val="11"/>
                <w:color w:val="auto"/>
              </w:rPr>
              <w:t>Undrawn credit lines, advised but not commited</w:t>
            </w:r>
          </w:p>
        </w:tc>
        <w:tc>
          <w:tcPr>
            <w:tcW w:w="14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40" w:type="dxa"/>
            <w:vAlign w:val="bottom"/>
          </w:tcPr>
          <w:p>
            <w:pPr>
              <w:jc w:val="center"/>
              <w:ind w:right="123"/>
              <w:spacing w:after="0"/>
              <w:rPr>
                <w:sz w:val="20"/>
                <w:szCs w:val="20"/>
                <w:color w:val="auto"/>
              </w:rPr>
            </w:pPr>
            <w:r>
              <w:rPr>
                <w:rFonts w:ascii="Calibri" w:cs="Calibri" w:eastAsia="Calibri" w:hAnsi="Calibri"/>
                <w:sz w:val="11"/>
                <w:szCs w:val="11"/>
                <w:color w:val="auto"/>
                <w:w w:val="99"/>
              </w:rPr>
              <w:t>74,091,027</w:t>
            </w:r>
          </w:p>
        </w:tc>
        <w:tc>
          <w:tcPr>
            <w:tcW w:w="800" w:type="dxa"/>
            <w:vAlign w:val="bottom"/>
          </w:tcPr>
          <w:p>
            <w:pPr>
              <w:jc w:val="center"/>
              <w:ind w:left="23"/>
              <w:spacing w:after="0"/>
              <w:rPr>
                <w:sz w:val="20"/>
                <w:szCs w:val="20"/>
                <w:color w:val="auto"/>
              </w:rPr>
            </w:pPr>
            <w:r>
              <w:rPr>
                <w:rFonts w:ascii="Calibri" w:cs="Calibri" w:eastAsia="Calibri" w:hAnsi="Calibri"/>
                <w:sz w:val="11"/>
                <w:szCs w:val="11"/>
                <w:color w:val="auto"/>
              </w:rPr>
              <w:t>75,257,883</w:t>
            </w:r>
          </w:p>
        </w:tc>
        <w:tc>
          <w:tcPr>
            <w:tcW w:w="1540" w:type="dxa"/>
            <w:vAlign w:val="bottom"/>
            <w:tcBorders>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71,516,643</w:t>
            </w:r>
          </w:p>
        </w:tc>
        <w:tc>
          <w:tcPr>
            <w:tcW w:w="1000" w:type="dxa"/>
            <w:vAlign w:val="bottom"/>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5.0%</w:t>
            </w:r>
          </w:p>
        </w:tc>
        <w:tc>
          <w:tcPr>
            <w:tcW w:w="540" w:type="dxa"/>
            <w:vAlign w:val="bottom"/>
            <w:tcBorders>
              <w:right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3.5%</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0" w:type="dxa"/>
            <w:vAlign w:val="bottom"/>
            <w:tcBorders>
              <w:right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20"/>
                <w:szCs w:val="20"/>
                <w:color w:val="auto"/>
              </w:rPr>
            </w:pPr>
            <w:r>
              <w:rPr>
                <w:rFonts w:ascii="Calibri" w:cs="Calibri" w:eastAsia="Calibri" w:hAnsi="Calibri"/>
                <w:sz w:val="11"/>
                <w:szCs w:val="11"/>
                <w:color w:val="auto"/>
              </w:rPr>
              <w:t>Total derivatves (notonal) and others</w:t>
            </w:r>
          </w:p>
        </w:tc>
        <w:tc>
          <w:tcPr>
            <w:tcW w:w="14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23"/>
              <w:spacing w:after="0"/>
              <w:rPr>
                <w:sz w:val="20"/>
                <w:szCs w:val="20"/>
                <w:color w:val="auto"/>
              </w:rPr>
            </w:pPr>
            <w:r>
              <w:rPr>
                <w:rFonts w:ascii="Calibri" w:cs="Calibri" w:eastAsia="Calibri" w:hAnsi="Calibri"/>
                <w:sz w:val="11"/>
                <w:szCs w:val="11"/>
                <w:color w:val="auto"/>
                <w:w w:val="99"/>
              </w:rPr>
              <w:t>41,425,456</w:t>
            </w:r>
          </w:p>
        </w:tc>
        <w:tc>
          <w:tcPr>
            <w:tcW w:w="800" w:type="dxa"/>
            <w:vAlign w:val="bottom"/>
            <w:tcBorders>
              <w:bottom w:val="single" w:sz="8" w:color="auto"/>
            </w:tcBorders>
          </w:tcPr>
          <w:p>
            <w:pPr>
              <w:jc w:val="center"/>
              <w:ind w:left="23"/>
              <w:spacing w:after="0"/>
              <w:rPr>
                <w:sz w:val="20"/>
                <w:szCs w:val="20"/>
                <w:color w:val="auto"/>
              </w:rPr>
            </w:pPr>
            <w:r>
              <w:rPr>
                <w:rFonts w:ascii="Calibri" w:cs="Calibri" w:eastAsia="Calibri" w:hAnsi="Calibri"/>
                <w:sz w:val="11"/>
                <w:szCs w:val="11"/>
                <w:color w:val="auto"/>
              </w:rPr>
              <w:t>45,390,952</w:t>
            </w:r>
          </w:p>
        </w:tc>
        <w:tc>
          <w:tcPr>
            <w:tcW w:w="1540" w:type="dxa"/>
            <w:vAlign w:val="bottom"/>
            <w:tcBorders>
              <w:bottom w:val="single" w:sz="8" w:color="auto"/>
              <w:right w:val="single" w:sz="8" w:color="auto"/>
            </w:tcBorders>
          </w:tcPr>
          <w:p>
            <w:pPr>
              <w:jc w:val="center"/>
              <w:ind w:left="202"/>
              <w:spacing w:after="0"/>
              <w:rPr>
                <w:sz w:val="20"/>
                <w:szCs w:val="20"/>
                <w:color w:val="auto"/>
              </w:rPr>
            </w:pPr>
            <w:r>
              <w:rPr>
                <w:rFonts w:ascii="Calibri" w:cs="Calibri" w:eastAsia="Calibri" w:hAnsi="Calibri"/>
                <w:sz w:val="11"/>
                <w:szCs w:val="11"/>
                <w:color w:val="auto"/>
              </w:rPr>
              <w:t>41,841,088</w:t>
            </w:r>
          </w:p>
        </w:tc>
        <w:tc>
          <w:tcPr>
            <w:tcW w:w="10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color w:val="auto"/>
              </w:rPr>
              <w:t>-</w:t>
            </w:r>
            <w:r>
              <w:rPr>
                <w:rFonts w:ascii="Calibri" w:cs="Calibri" w:eastAsia="Calibri" w:hAnsi="Calibri"/>
                <w:sz w:val="11"/>
                <w:szCs w:val="11"/>
                <w:color w:val="auto"/>
              </w:rPr>
              <w:t>7.8%</w:t>
            </w:r>
          </w:p>
        </w:tc>
        <w:tc>
          <w:tcPr>
            <w:tcW w:w="540" w:type="dxa"/>
            <w:vAlign w:val="bottom"/>
            <w:tcBorders>
              <w:bottom w:val="single" w:sz="8" w:color="auto"/>
              <w:right w:val="single" w:sz="8" w:color="auto"/>
            </w:tcBorders>
          </w:tcPr>
          <w:p>
            <w:pPr>
              <w:jc w:val="center"/>
              <w:ind w:right="183"/>
              <w:spacing w:after="0"/>
              <w:rPr>
                <w:sz w:val="20"/>
                <w:szCs w:val="20"/>
                <w:color w:val="auto"/>
              </w:rPr>
            </w:pPr>
            <w:r>
              <w:rPr>
                <w:rFonts w:ascii="Calibri" w:cs="Calibri" w:eastAsia="Calibri" w:hAnsi="Calibri"/>
                <w:sz w:val="11"/>
                <w:szCs w:val="11"/>
                <w:color w:val="auto"/>
              </w:rPr>
              <w:t>1.0%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-6694170</wp:posOffset>
            </wp:positionV>
            <wp:extent cx="1016000" cy="141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227" w:lineRule="exact"/>
        <w:rPr>
          <w:sz w:val="20"/>
          <w:szCs w:val="20"/>
          <w:color w:val="auto"/>
        </w:rPr>
      </w:pPr>
    </w:p>
    <w:p>
      <w:pPr>
        <w:ind w:left="1440" w:hanging="176"/>
        <w:spacing w:after="0"/>
        <w:tabs>
          <w:tab w:leader="none" w:pos="144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Right of use asset of lease contracts is included by applicaton of IFRS 16.</w:t>
      </w:r>
    </w:p>
    <w:p>
      <w:pPr>
        <w:spacing w:after="0" w:line="49" w:lineRule="exact"/>
        <w:rPr>
          <w:rFonts w:ascii="Calibri" w:cs="Calibri" w:eastAsia="Calibri" w:hAnsi="Calibri"/>
          <w:sz w:val="11"/>
          <w:szCs w:val="11"/>
          <w:color w:val="auto"/>
        </w:rPr>
      </w:pPr>
    </w:p>
    <w:p>
      <w:pPr>
        <w:ind w:left="1440" w:hanging="176"/>
        <w:spacing w:after="0"/>
        <w:tabs>
          <w:tab w:leader="none" w:pos="144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Mainly includes intangible assets, other receivable accounts, trading derivatves receivable accounts and tax credit</w:t>
      </w:r>
    </w:p>
    <w:p>
      <w:pPr>
        <w:spacing w:after="0" w:line="62" w:lineRule="exact"/>
        <w:rPr>
          <w:rFonts w:ascii="Calibri" w:cs="Calibri" w:eastAsia="Calibri" w:hAnsi="Calibri"/>
          <w:sz w:val="11"/>
          <w:szCs w:val="11"/>
          <w:color w:val="auto"/>
        </w:rPr>
      </w:pPr>
    </w:p>
    <w:p>
      <w:pPr>
        <w:ind w:left="1440" w:hanging="176"/>
        <w:spacing w:after="0"/>
        <w:tabs>
          <w:tab w:leader="none" w:pos="1440" w:val="left"/>
        </w:tabs>
        <w:numPr>
          <w:ilvl w:val="0"/>
          <w:numId w:val="56"/>
        </w:numPr>
        <w:rPr>
          <w:rFonts w:ascii="Calibri" w:cs="Calibri" w:eastAsia="Calibri" w:hAnsi="Calibri"/>
          <w:sz w:val="11"/>
          <w:szCs w:val="11"/>
          <w:color w:val="auto"/>
        </w:rPr>
      </w:pPr>
      <w:r>
        <w:rPr>
          <w:rFonts w:ascii="Calibri" w:cs="Calibri" w:eastAsia="Calibri" w:hAnsi="Calibri"/>
          <w:sz w:val="11"/>
          <w:szCs w:val="11"/>
          <w:color w:val="auto"/>
        </w:rPr>
        <w:t>Mainly includes other payable accounts, trading derivatves payable accounts and taxes for payable.</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415"/>
        </w:trPr>
        <w:tc>
          <w:tcPr>
            <w:tcW w:w="2960" w:type="dxa"/>
            <w:vAlign w:val="bottom"/>
            <w:gridSpan w:val="2"/>
            <w:shd w:val="clear" w:color="auto" w:fill="000000"/>
          </w:tcPr>
          <w:p>
            <w:pPr>
              <w:jc w:val="right"/>
              <w:ind w:right="128"/>
              <w:spacing w:after="0"/>
              <w:rPr>
                <w:sz w:val="20"/>
                <w:szCs w:val="20"/>
                <w:color w:val="auto"/>
              </w:rPr>
            </w:pPr>
            <w:r>
              <w:rPr>
                <w:rFonts w:ascii="Calibri" w:cs="Calibri" w:eastAsia="Calibri" w:hAnsi="Calibri"/>
                <w:sz w:val="19"/>
                <w:szCs w:val="19"/>
                <w:color w:val="A6A6A6"/>
              </w:rPr>
              <w:t>|</w:t>
            </w:r>
          </w:p>
        </w:tc>
        <w:tc>
          <w:tcPr>
            <w:tcW w:w="2300" w:type="dxa"/>
            <w:vAlign w:val="bottom"/>
            <w:gridSpan w:val="2"/>
            <w:shd w:val="clear" w:color="auto" w:fill="000000"/>
          </w:tcPr>
          <w:p>
            <w:pPr>
              <w:ind w:left="20"/>
              <w:spacing w:after="0"/>
              <w:rPr>
                <w:sz w:val="20"/>
                <w:szCs w:val="20"/>
                <w:color w:val="auto"/>
              </w:rPr>
            </w:pPr>
            <w:r>
              <w:rPr>
                <w:rFonts w:ascii="Calibri" w:cs="Calibri" w:eastAsia="Calibri" w:hAnsi="Calibri"/>
                <w:sz w:val="16"/>
                <w:szCs w:val="16"/>
                <w:color w:val="FFFFFF"/>
              </w:rPr>
              <w:t>Earnings Release 4Q / 2024</w:t>
            </w:r>
          </w:p>
        </w:tc>
        <w:tc>
          <w:tcPr>
            <w:tcW w:w="1000" w:type="dxa"/>
            <w:vAlign w:val="bottom"/>
            <w:shd w:val="clear" w:color="auto" w:fill="000000"/>
          </w:tcPr>
          <w:p>
            <w:pPr>
              <w:spacing w:after="0"/>
              <w:rPr>
                <w:sz w:val="24"/>
                <w:szCs w:val="24"/>
                <w:color w:val="auto"/>
              </w:rPr>
            </w:pPr>
          </w:p>
        </w:tc>
        <w:tc>
          <w:tcPr>
            <w:tcW w:w="780" w:type="dxa"/>
            <w:vAlign w:val="bottom"/>
            <w:tcBorders>
              <w:right w:val="single" w:sz="8" w:color="auto"/>
            </w:tcBorders>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3640" w:type="dxa"/>
            <w:vAlign w:val="bottom"/>
            <w:gridSpan w:val="5"/>
            <w:shd w:val="clear" w:color="auto" w:fill="000000"/>
          </w:tcPr>
          <w:p>
            <w:pPr>
              <w:ind w:left="60"/>
              <w:spacing w:after="0"/>
              <w:rPr>
                <w:sz w:val="20"/>
                <w:szCs w:val="20"/>
                <w:color w:val="auto"/>
              </w:rPr>
            </w:pPr>
            <w:r>
              <w:rPr>
                <w:rFonts w:ascii="Calibri" w:cs="Calibri" w:eastAsia="Calibri" w:hAnsi="Calibri"/>
                <w:sz w:val="16"/>
                <w:szCs w:val="16"/>
                <w:color w:val="ED3FA8"/>
              </w:rPr>
              <w:t>Analysis of 4Q24 Consolidated Results</w:t>
            </w:r>
          </w:p>
        </w:tc>
        <w:tc>
          <w:tcPr>
            <w:tcW w:w="0" w:type="dxa"/>
            <w:vAlign w:val="bottom"/>
          </w:tcPr>
          <w:p>
            <w:pPr>
              <w:spacing w:after="0"/>
              <w:rPr>
                <w:sz w:val="1"/>
                <w:szCs w:val="1"/>
                <w:color w:val="auto"/>
              </w:rPr>
            </w:pPr>
          </w:p>
        </w:tc>
      </w:tr>
      <w:tr>
        <w:trPr>
          <w:trHeight w:val="240"/>
        </w:trPr>
        <w:tc>
          <w:tcPr>
            <w:tcW w:w="320" w:type="dxa"/>
            <w:vAlign w:val="bottom"/>
            <w:tcBorders>
              <w:right w:val="single" w:sz="8" w:color="auto"/>
            </w:tcBorders>
            <w:shd w:val="clear" w:color="auto" w:fill="000000"/>
          </w:tcPr>
          <w:p>
            <w:pPr>
              <w:spacing w:after="0"/>
              <w:rPr>
                <w:sz w:val="20"/>
                <w:szCs w:val="20"/>
                <w:color w:val="auto"/>
              </w:rPr>
            </w:pPr>
          </w:p>
        </w:tc>
        <w:tc>
          <w:tcPr>
            <w:tcW w:w="2640" w:type="dxa"/>
            <w:vAlign w:val="bottom"/>
            <w:shd w:val="clear" w:color="auto" w:fill="000000"/>
          </w:tcPr>
          <w:p>
            <w:pPr>
              <w:spacing w:after="0"/>
              <w:rPr>
                <w:sz w:val="20"/>
                <w:szCs w:val="20"/>
                <w:color w:val="auto"/>
              </w:rPr>
            </w:pPr>
          </w:p>
        </w:tc>
        <w:tc>
          <w:tcPr>
            <w:tcW w:w="1440" w:type="dxa"/>
            <w:vAlign w:val="bottom"/>
            <w:tcBorders>
              <w:right w:val="single" w:sz="8" w:color="auto"/>
            </w:tcBorders>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1000" w:type="dxa"/>
            <w:vAlign w:val="bottom"/>
            <w:shd w:val="clear" w:color="auto" w:fill="000000"/>
          </w:tcPr>
          <w:p>
            <w:pPr>
              <w:spacing w:after="0"/>
              <w:rPr>
                <w:sz w:val="20"/>
                <w:szCs w:val="20"/>
                <w:color w:val="auto"/>
              </w:rPr>
            </w:pPr>
          </w:p>
        </w:tc>
        <w:tc>
          <w:tcPr>
            <w:tcW w:w="780" w:type="dxa"/>
            <w:vAlign w:val="bottom"/>
            <w:tcBorders>
              <w:right w:val="single" w:sz="8" w:color="auto"/>
            </w:tcBorders>
            <w:shd w:val="clear" w:color="auto" w:fill="000000"/>
          </w:tcPr>
          <w:p>
            <w:pPr>
              <w:spacing w:after="0"/>
              <w:rPr>
                <w:sz w:val="20"/>
                <w:szCs w:val="20"/>
                <w:color w:val="auto"/>
              </w:rPr>
            </w:pPr>
          </w:p>
        </w:tc>
        <w:tc>
          <w:tcPr>
            <w:tcW w:w="560" w:type="dxa"/>
            <w:vAlign w:val="bottom"/>
            <w:shd w:val="clear" w:color="auto" w:fill="000000"/>
          </w:tcPr>
          <w:p>
            <w:pPr>
              <w:spacing w:after="0"/>
              <w:rPr>
                <w:sz w:val="20"/>
                <w:szCs w:val="20"/>
                <w:color w:val="auto"/>
              </w:rPr>
            </w:pPr>
          </w:p>
        </w:tc>
        <w:tc>
          <w:tcPr>
            <w:tcW w:w="560" w:type="dxa"/>
            <w:vAlign w:val="bottom"/>
            <w:tcBorders>
              <w:right w:val="single" w:sz="8" w:color="auto"/>
            </w:tcBorders>
            <w:shd w:val="clear" w:color="auto" w:fill="000000"/>
          </w:tcPr>
          <w:p>
            <w:pPr>
              <w:spacing w:after="0"/>
              <w:rPr>
                <w:sz w:val="20"/>
                <w:szCs w:val="20"/>
                <w:color w:val="auto"/>
              </w:rPr>
            </w:pPr>
          </w:p>
        </w:tc>
        <w:tc>
          <w:tcPr>
            <w:tcW w:w="740" w:type="dxa"/>
            <w:vAlign w:val="bottom"/>
            <w:shd w:val="clear" w:color="auto" w:fill="000000"/>
          </w:tcPr>
          <w:p>
            <w:pPr>
              <w:spacing w:after="0"/>
              <w:rPr>
                <w:sz w:val="20"/>
                <w:szCs w:val="20"/>
                <w:color w:val="auto"/>
              </w:rPr>
            </w:pPr>
          </w:p>
        </w:tc>
        <w:tc>
          <w:tcPr>
            <w:tcW w:w="1020" w:type="dxa"/>
            <w:vAlign w:val="bottom"/>
            <w:tcBorders>
              <w:right w:val="single" w:sz="8" w:color="auto"/>
            </w:tcBorders>
            <w:shd w:val="clear" w:color="auto" w:fill="000000"/>
          </w:tcPr>
          <w:p>
            <w:pPr>
              <w:spacing w:after="0"/>
              <w:rPr>
                <w:sz w:val="20"/>
                <w:szCs w:val="20"/>
                <w:color w:val="auto"/>
              </w:rPr>
            </w:pPr>
          </w:p>
        </w:tc>
        <w:tc>
          <w:tcPr>
            <w:tcW w:w="1060" w:type="dxa"/>
            <w:vAlign w:val="bottom"/>
            <w:tcBorders>
              <w:right w:val="single" w:sz="8" w:color="auto"/>
            </w:tcBorders>
            <w:shd w:val="clear" w:color="auto" w:fill="000000"/>
          </w:tcPr>
          <w:p>
            <w:pPr>
              <w:spacing w:after="0"/>
              <w:rPr>
                <w:sz w:val="20"/>
                <w:szCs w:val="20"/>
                <w:color w:val="auto"/>
              </w:rPr>
            </w:pPr>
          </w:p>
        </w:tc>
        <w:tc>
          <w:tcPr>
            <w:tcW w:w="26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960" w:type="dxa"/>
            <w:vAlign w:val="bottom"/>
            <w:gridSpan w:val="2"/>
            <w:shd w:val="clear" w:color="auto" w:fill="E93BAC"/>
          </w:tcPr>
          <w:p>
            <w:pPr>
              <w:jc w:val="right"/>
              <w:ind w:right="1768"/>
              <w:spacing w:after="0"/>
              <w:rPr>
                <w:sz w:val="20"/>
                <w:szCs w:val="20"/>
                <w:color w:val="auto"/>
              </w:rPr>
            </w:pPr>
            <w:r>
              <w:rPr>
                <w:rFonts w:ascii="Calibri" w:cs="Calibri" w:eastAsia="Calibri" w:hAnsi="Calibri"/>
                <w:sz w:val="19"/>
                <w:szCs w:val="19"/>
                <w:b w:val="1"/>
                <w:bCs w:val="1"/>
                <w:color w:val="FFFFFF"/>
              </w:rPr>
              <w:t>12. Appendix</w:t>
            </w:r>
          </w:p>
        </w:tc>
        <w:tc>
          <w:tcPr>
            <w:tcW w:w="1440" w:type="dxa"/>
            <w:vAlign w:val="bottom"/>
            <w:tcBorders>
              <w:right w:val="single" w:sz="8" w:color="E93BAC"/>
            </w:tcBorders>
            <w:shd w:val="clear" w:color="auto" w:fill="E93BAC"/>
          </w:tcPr>
          <w:p>
            <w:pPr>
              <w:spacing w:after="0"/>
              <w:rPr>
                <w:sz w:val="22"/>
                <w:szCs w:val="22"/>
                <w:color w:val="auto"/>
              </w:rPr>
            </w:pPr>
          </w:p>
        </w:tc>
        <w:tc>
          <w:tcPr>
            <w:tcW w:w="860" w:type="dxa"/>
            <w:vAlign w:val="bottom"/>
            <w:shd w:val="clear" w:color="auto" w:fill="E93BAC"/>
          </w:tcPr>
          <w:p>
            <w:pPr>
              <w:spacing w:after="0"/>
              <w:rPr>
                <w:sz w:val="22"/>
                <w:szCs w:val="22"/>
                <w:color w:val="auto"/>
              </w:rPr>
            </w:pPr>
          </w:p>
        </w:tc>
        <w:tc>
          <w:tcPr>
            <w:tcW w:w="1000" w:type="dxa"/>
            <w:vAlign w:val="bottom"/>
            <w:shd w:val="clear" w:color="auto" w:fill="E93BAC"/>
          </w:tcPr>
          <w:p>
            <w:pPr>
              <w:spacing w:after="0"/>
              <w:rPr>
                <w:sz w:val="22"/>
                <w:szCs w:val="22"/>
                <w:color w:val="auto"/>
              </w:rPr>
            </w:pPr>
          </w:p>
        </w:tc>
        <w:tc>
          <w:tcPr>
            <w:tcW w:w="780" w:type="dxa"/>
            <w:vAlign w:val="bottom"/>
            <w:tcBorders>
              <w:right w:val="single" w:sz="8" w:color="E93BAC"/>
            </w:tcBorders>
            <w:shd w:val="clear" w:color="auto" w:fill="E93BAC"/>
          </w:tcPr>
          <w:p>
            <w:pPr>
              <w:spacing w:after="0"/>
              <w:rPr>
                <w:sz w:val="22"/>
                <w:szCs w:val="22"/>
                <w:color w:val="auto"/>
              </w:rPr>
            </w:pPr>
          </w:p>
        </w:tc>
        <w:tc>
          <w:tcPr>
            <w:tcW w:w="560" w:type="dxa"/>
            <w:vAlign w:val="bottom"/>
            <w:shd w:val="clear" w:color="auto" w:fill="E93BAC"/>
          </w:tcPr>
          <w:p>
            <w:pPr>
              <w:spacing w:after="0"/>
              <w:rPr>
                <w:sz w:val="22"/>
                <w:szCs w:val="22"/>
                <w:color w:val="auto"/>
              </w:rPr>
            </w:pPr>
          </w:p>
        </w:tc>
        <w:tc>
          <w:tcPr>
            <w:tcW w:w="560" w:type="dxa"/>
            <w:vAlign w:val="bottom"/>
            <w:tcBorders>
              <w:right w:val="single" w:sz="8" w:color="E93BAC"/>
            </w:tcBorders>
            <w:shd w:val="clear" w:color="auto" w:fill="E93BAC"/>
          </w:tcPr>
          <w:p>
            <w:pPr>
              <w:spacing w:after="0"/>
              <w:rPr>
                <w:sz w:val="22"/>
                <w:szCs w:val="22"/>
                <w:color w:val="auto"/>
              </w:rPr>
            </w:pPr>
          </w:p>
        </w:tc>
        <w:tc>
          <w:tcPr>
            <w:tcW w:w="740" w:type="dxa"/>
            <w:vAlign w:val="bottom"/>
            <w:shd w:val="clear" w:color="auto" w:fill="E93BAC"/>
          </w:tcPr>
          <w:p>
            <w:pPr>
              <w:spacing w:after="0"/>
              <w:rPr>
                <w:sz w:val="22"/>
                <w:szCs w:val="22"/>
                <w:color w:val="auto"/>
              </w:rPr>
            </w:pPr>
          </w:p>
        </w:tc>
        <w:tc>
          <w:tcPr>
            <w:tcW w:w="1020" w:type="dxa"/>
            <w:vAlign w:val="bottom"/>
            <w:tcBorders>
              <w:right w:val="single" w:sz="8" w:color="E93BAC"/>
            </w:tcBorders>
            <w:shd w:val="clear" w:color="auto" w:fill="E93BAC"/>
          </w:tcPr>
          <w:p>
            <w:pPr>
              <w:spacing w:after="0"/>
              <w:rPr>
                <w:sz w:val="22"/>
                <w:szCs w:val="22"/>
                <w:color w:val="auto"/>
              </w:rPr>
            </w:pPr>
          </w:p>
        </w:tc>
        <w:tc>
          <w:tcPr>
            <w:tcW w:w="1060" w:type="dxa"/>
            <w:vAlign w:val="bottom"/>
            <w:tcBorders>
              <w:right w:val="single" w:sz="8" w:color="E93BAC"/>
            </w:tcBorders>
            <w:shd w:val="clear" w:color="auto" w:fill="E93BAC"/>
          </w:tcPr>
          <w:p>
            <w:pPr>
              <w:spacing w:after="0"/>
              <w:rPr>
                <w:sz w:val="22"/>
                <w:szCs w:val="22"/>
                <w:color w:val="auto"/>
              </w:rPr>
            </w:pPr>
          </w:p>
        </w:tc>
        <w:tc>
          <w:tcPr>
            <w:tcW w:w="260" w:type="dxa"/>
            <w:vAlign w:val="bottom"/>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320" w:type="dxa"/>
            <w:vAlign w:val="bottom"/>
            <w:tcBorders>
              <w:right w:val="single" w:sz="8" w:color="E93BAC"/>
            </w:tcBorders>
            <w:shd w:val="clear" w:color="auto" w:fill="E93BAC"/>
          </w:tcPr>
          <w:p>
            <w:pPr>
              <w:spacing w:after="0"/>
              <w:rPr>
                <w:sz w:val="7"/>
                <w:szCs w:val="7"/>
                <w:color w:val="auto"/>
              </w:rPr>
            </w:pPr>
          </w:p>
        </w:tc>
        <w:tc>
          <w:tcPr>
            <w:tcW w:w="2640" w:type="dxa"/>
            <w:vAlign w:val="bottom"/>
            <w:shd w:val="clear" w:color="auto" w:fill="E93BAC"/>
          </w:tcPr>
          <w:p>
            <w:pPr>
              <w:spacing w:after="0"/>
              <w:rPr>
                <w:sz w:val="7"/>
                <w:szCs w:val="7"/>
                <w:color w:val="auto"/>
              </w:rPr>
            </w:pPr>
          </w:p>
        </w:tc>
        <w:tc>
          <w:tcPr>
            <w:tcW w:w="1440" w:type="dxa"/>
            <w:vAlign w:val="bottom"/>
            <w:tcBorders>
              <w:right w:val="single" w:sz="8" w:color="E93BAC"/>
            </w:tcBorders>
            <w:shd w:val="clear" w:color="auto" w:fill="E93BAC"/>
          </w:tcPr>
          <w:p>
            <w:pPr>
              <w:spacing w:after="0"/>
              <w:rPr>
                <w:sz w:val="7"/>
                <w:szCs w:val="7"/>
                <w:color w:val="auto"/>
              </w:rPr>
            </w:pPr>
          </w:p>
        </w:tc>
        <w:tc>
          <w:tcPr>
            <w:tcW w:w="1860" w:type="dxa"/>
            <w:vAlign w:val="bottom"/>
            <w:gridSpan w:val="2"/>
            <w:shd w:val="clear" w:color="auto" w:fill="E93BAC"/>
          </w:tcPr>
          <w:p>
            <w:pPr>
              <w:spacing w:after="0"/>
              <w:rPr>
                <w:sz w:val="7"/>
                <w:szCs w:val="7"/>
                <w:color w:val="auto"/>
              </w:rPr>
            </w:pPr>
          </w:p>
        </w:tc>
        <w:tc>
          <w:tcPr>
            <w:tcW w:w="780" w:type="dxa"/>
            <w:vAlign w:val="bottom"/>
            <w:tcBorders>
              <w:right w:val="single" w:sz="8" w:color="E93BAC"/>
            </w:tcBorders>
            <w:shd w:val="clear" w:color="auto" w:fill="E93BAC"/>
          </w:tcPr>
          <w:p>
            <w:pPr>
              <w:spacing w:after="0"/>
              <w:rPr>
                <w:sz w:val="7"/>
                <w:szCs w:val="7"/>
                <w:color w:val="auto"/>
              </w:rPr>
            </w:pPr>
          </w:p>
        </w:tc>
        <w:tc>
          <w:tcPr>
            <w:tcW w:w="560" w:type="dxa"/>
            <w:vAlign w:val="bottom"/>
            <w:shd w:val="clear" w:color="auto" w:fill="E93BAC"/>
          </w:tcPr>
          <w:p>
            <w:pPr>
              <w:spacing w:after="0"/>
              <w:rPr>
                <w:sz w:val="7"/>
                <w:szCs w:val="7"/>
                <w:color w:val="auto"/>
              </w:rPr>
            </w:pPr>
          </w:p>
        </w:tc>
        <w:tc>
          <w:tcPr>
            <w:tcW w:w="560" w:type="dxa"/>
            <w:vAlign w:val="bottom"/>
            <w:tcBorders>
              <w:right w:val="single" w:sz="8" w:color="E93BAC"/>
            </w:tcBorders>
            <w:shd w:val="clear" w:color="auto" w:fill="E93BAC"/>
          </w:tcPr>
          <w:p>
            <w:pPr>
              <w:spacing w:after="0"/>
              <w:rPr>
                <w:sz w:val="7"/>
                <w:szCs w:val="7"/>
                <w:color w:val="auto"/>
              </w:rPr>
            </w:pPr>
          </w:p>
        </w:tc>
        <w:tc>
          <w:tcPr>
            <w:tcW w:w="740" w:type="dxa"/>
            <w:vAlign w:val="bottom"/>
            <w:shd w:val="clear" w:color="auto" w:fill="E93BAC"/>
          </w:tcPr>
          <w:p>
            <w:pPr>
              <w:spacing w:after="0"/>
              <w:rPr>
                <w:sz w:val="7"/>
                <w:szCs w:val="7"/>
                <w:color w:val="auto"/>
              </w:rPr>
            </w:pPr>
          </w:p>
        </w:tc>
        <w:tc>
          <w:tcPr>
            <w:tcW w:w="1020" w:type="dxa"/>
            <w:vAlign w:val="bottom"/>
            <w:tcBorders>
              <w:right w:val="single" w:sz="8" w:color="E93BAC"/>
            </w:tcBorders>
            <w:shd w:val="clear" w:color="auto" w:fill="E93BAC"/>
          </w:tcPr>
          <w:p>
            <w:pPr>
              <w:spacing w:after="0"/>
              <w:rPr>
                <w:sz w:val="7"/>
                <w:szCs w:val="7"/>
                <w:color w:val="auto"/>
              </w:rPr>
            </w:pPr>
          </w:p>
        </w:tc>
        <w:tc>
          <w:tcPr>
            <w:tcW w:w="1060" w:type="dxa"/>
            <w:vAlign w:val="bottom"/>
            <w:tcBorders>
              <w:right w:val="single" w:sz="8" w:color="E93BAC"/>
            </w:tcBorders>
            <w:shd w:val="clear" w:color="auto" w:fill="E93BAC"/>
          </w:tcPr>
          <w:p>
            <w:pPr>
              <w:spacing w:after="0"/>
              <w:rPr>
                <w:sz w:val="7"/>
                <w:szCs w:val="7"/>
                <w:color w:val="auto"/>
              </w:rPr>
            </w:pPr>
          </w:p>
        </w:tc>
        <w:tc>
          <w:tcPr>
            <w:tcW w:w="260" w:type="dxa"/>
            <w:vAlign w:val="bottom"/>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26"/>
        </w:trPr>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60" w:type="dxa"/>
            <w:vAlign w:val="bottom"/>
            <w:gridSpan w:val="2"/>
          </w:tcPr>
          <w:p>
            <w:pPr>
              <w:jc w:val="center"/>
              <w:ind w:left="266"/>
              <w:spacing w:after="0"/>
              <w:rPr>
                <w:sz w:val="20"/>
                <w:szCs w:val="20"/>
                <w:color w:val="auto"/>
              </w:rPr>
            </w:pPr>
            <w:r>
              <w:rPr>
                <w:rFonts w:ascii="Calibri" w:cs="Calibri" w:eastAsia="Calibri" w:hAnsi="Calibri"/>
                <w:sz w:val="16"/>
                <w:szCs w:val="16"/>
                <w:b w:val="1"/>
                <w:bCs w:val="1"/>
                <w:color w:val="auto"/>
                <w:w w:val="98"/>
              </w:rPr>
              <w:t>Statement of Income</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60" w:type="dxa"/>
            <w:vAlign w:val="bottom"/>
            <w:gridSpan w:val="2"/>
          </w:tcPr>
          <w:p>
            <w:pPr>
              <w:jc w:val="center"/>
              <w:ind w:left="246"/>
              <w:spacing w:after="0"/>
              <w:rPr>
                <w:sz w:val="20"/>
                <w:szCs w:val="20"/>
                <w:color w:val="auto"/>
              </w:rPr>
            </w:pPr>
            <w:r>
              <w:rPr>
                <w:rFonts w:ascii="Calibri" w:cs="Calibri" w:eastAsia="Calibri" w:hAnsi="Calibri"/>
                <w:sz w:val="16"/>
                <w:szCs w:val="16"/>
                <w:b w:val="1"/>
                <w:bCs w:val="1"/>
                <w:color w:val="auto"/>
                <w:w w:val="97"/>
              </w:rPr>
              <w:t>(S/ Thousands, IFRS</w:t>
            </w: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320" w:type="dxa"/>
            <w:vAlign w:val="bottom"/>
            <w:tcBorders>
              <w:right w:val="single" w:sz="8" w:color="auto"/>
            </w:tcBorders>
          </w:tcPr>
          <w:p>
            <w:pPr>
              <w:spacing w:after="0"/>
              <w:rPr>
                <w:sz w:val="10"/>
                <w:szCs w:val="10"/>
                <w:color w:val="auto"/>
              </w:rPr>
            </w:pPr>
          </w:p>
        </w:tc>
        <w:tc>
          <w:tcPr>
            <w:tcW w:w="2640" w:type="dxa"/>
            <w:vAlign w:val="bottom"/>
            <w:shd w:val="clear" w:color="auto" w:fill="2AD2C8"/>
          </w:tcPr>
          <w:p>
            <w:pPr>
              <w:spacing w:after="0"/>
              <w:rPr>
                <w:sz w:val="10"/>
                <w:szCs w:val="10"/>
                <w:color w:val="auto"/>
              </w:rPr>
            </w:pPr>
          </w:p>
        </w:tc>
        <w:tc>
          <w:tcPr>
            <w:tcW w:w="1440" w:type="dxa"/>
            <w:vAlign w:val="bottom"/>
            <w:tcBorders>
              <w:right w:val="single" w:sz="8" w:color="auto"/>
            </w:tcBorders>
            <w:shd w:val="clear" w:color="auto" w:fill="2AD2C8"/>
          </w:tcPr>
          <w:p>
            <w:pPr>
              <w:spacing w:after="0"/>
              <w:rPr>
                <w:sz w:val="10"/>
                <w:szCs w:val="10"/>
                <w:color w:val="auto"/>
              </w:rPr>
            </w:pPr>
          </w:p>
        </w:tc>
        <w:tc>
          <w:tcPr>
            <w:tcW w:w="860" w:type="dxa"/>
            <w:vAlign w:val="bottom"/>
            <w:shd w:val="clear" w:color="auto" w:fill="2AD2C8"/>
          </w:tcPr>
          <w:p>
            <w:pPr>
              <w:spacing w:after="0"/>
              <w:rPr>
                <w:sz w:val="10"/>
                <w:szCs w:val="10"/>
                <w:color w:val="auto"/>
              </w:rPr>
            </w:pPr>
          </w:p>
        </w:tc>
        <w:tc>
          <w:tcPr>
            <w:tcW w:w="1000" w:type="dxa"/>
            <w:vAlign w:val="bottom"/>
            <w:shd w:val="clear" w:color="auto" w:fill="2AD2C8"/>
          </w:tcPr>
          <w:p>
            <w:pPr>
              <w:ind w:left="200"/>
              <w:spacing w:after="0" w:line="118" w:lineRule="exact"/>
              <w:rPr>
                <w:sz w:val="20"/>
                <w:szCs w:val="20"/>
                <w:color w:val="auto"/>
              </w:rPr>
            </w:pPr>
            <w:r>
              <w:rPr>
                <w:rFonts w:ascii="Calibri" w:cs="Calibri" w:eastAsia="Calibri" w:hAnsi="Calibri"/>
                <w:sz w:val="10"/>
                <w:szCs w:val="10"/>
                <w:b w:val="1"/>
                <w:bCs w:val="1"/>
                <w:color w:val="FFFFFF"/>
              </w:rPr>
              <w:t>Quarter</w:t>
            </w:r>
          </w:p>
        </w:tc>
        <w:tc>
          <w:tcPr>
            <w:tcW w:w="780" w:type="dxa"/>
            <w:vAlign w:val="bottom"/>
            <w:tcBorders>
              <w:right w:val="single" w:sz="8" w:color="auto"/>
            </w:tcBorders>
            <w:shd w:val="clear" w:color="auto" w:fill="2AD2C8"/>
          </w:tcPr>
          <w:p>
            <w:pPr>
              <w:spacing w:after="0"/>
              <w:rPr>
                <w:sz w:val="10"/>
                <w:szCs w:val="10"/>
                <w:color w:val="auto"/>
              </w:rPr>
            </w:pPr>
          </w:p>
        </w:tc>
        <w:tc>
          <w:tcPr>
            <w:tcW w:w="1120" w:type="dxa"/>
            <w:vAlign w:val="bottom"/>
            <w:tcBorders>
              <w:right w:val="single" w:sz="8" w:color="auto"/>
            </w:tcBorders>
            <w:gridSpan w:val="2"/>
            <w:shd w:val="clear" w:color="auto" w:fill="2AD2C8"/>
          </w:tcPr>
          <w:p>
            <w:pPr>
              <w:ind w:left="360"/>
              <w:spacing w:after="0" w:line="118" w:lineRule="exact"/>
              <w:rPr>
                <w:sz w:val="20"/>
                <w:szCs w:val="20"/>
                <w:color w:val="auto"/>
              </w:rPr>
            </w:pPr>
            <w:r>
              <w:rPr>
                <w:rFonts w:ascii="Calibri" w:cs="Calibri" w:eastAsia="Calibri" w:hAnsi="Calibri"/>
                <w:sz w:val="10"/>
                <w:szCs w:val="10"/>
                <w:b w:val="1"/>
                <w:bCs w:val="1"/>
                <w:color w:val="FFFFFF"/>
              </w:rPr>
              <w:t>% change</w:t>
            </w:r>
          </w:p>
        </w:tc>
        <w:tc>
          <w:tcPr>
            <w:tcW w:w="740" w:type="dxa"/>
            <w:vAlign w:val="bottom"/>
            <w:shd w:val="clear" w:color="auto" w:fill="2AD2C8"/>
          </w:tcPr>
          <w:p>
            <w:pPr>
              <w:spacing w:after="0"/>
              <w:rPr>
                <w:sz w:val="10"/>
                <w:szCs w:val="10"/>
                <w:color w:val="auto"/>
              </w:rPr>
            </w:pPr>
          </w:p>
        </w:tc>
        <w:tc>
          <w:tcPr>
            <w:tcW w:w="1020" w:type="dxa"/>
            <w:vAlign w:val="bottom"/>
            <w:tcBorders>
              <w:right w:val="single" w:sz="8" w:color="auto"/>
            </w:tcBorders>
            <w:shd w:val="clear" w:color="auto" w:fill="2AD2C8"/>
          </w:tcPr>
          <w:p>
            <w:pPr>
              <w:ind w:left="20"/>
              <w:spacing w:after="0" w:line="118" w:lineRule="exact"/>
              <w:rPr>
                <w:sz w:val="20"/>
                <w:szCs w:val="20"/>
                <w:color w:val="auto"/>
              </w:rPr>
            </w:pPr>
            <w:r>
              <w:rPr>
                <w:rFonts w:ascii="Calibri" w:cs="Calibri" w:eastAsia="Calibri" w:hAnsi="Calibri"/>
                <w:sz w:val="10"/>
                <w:szCs w:val="10"/>
                <w:b w:val="1"/>
                <w:bCs w:val="1"/>
                <w:color w:val="FFFFFF"/>
              </w:rPr>
              <w:t>As of</w:t>
            </w:r>
          </w:p>
        </w:tc>
        <w:tc>
          <w:tcPr>
            <w:tcW w:w="1060" w:type="dxa"/>
            <w:vAlign w:val="bottom"/>
            <w:tcBorders>
              <w:right w:val="single" w:sz="8" w:color="auto"/>
            </w:tcBorders>
            <w:shd w:val="clear" w:color="auto" w:fill="2AD2C8"/>
          </w:tcPr>
          <w:p>
            <w:pPr>
              <w:jc w:val="center"/>
              <w:spacing w:after="0" w:line="118" w:lineRule="exact"/>
              <w:rPr>
                <w:sz w:val="20"/>
                <w:szCs w:val="20"/>
                <w:color w:val="auto"/>
              </w:rPr>
            </w:pPr>
            <w:r>
              <w:rPr>
                <w:rFonts w:ascii="Calibri" w:cs="Calibri" w:eastAsia="Calibri" w:hAnsi="Calibri"/>
                <w:sz w:val="10"/>
                <w:szCs w:val="10"/>
                <w:b w:val="1"/>
                <w:bCs w:val="1"/>
                <w:color w:val="FFFFFF"/>
              </w:rPr>
              <w:t>% change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320" w:type="dxa"/>
            <w:vAlign w:val="bottom"/>
            <w:tcBorders>
              <w:right w:val="single" w:sz="8" w:color="auto"/>
            </w:tcBorders>
          </w:tcPr>
          <w:p>
            <w:pPr>
              <w:spacing w:after="0"/>
              <w:rPr>
                <w:sz w:val="21"/>
                <w:szCs w:val="21"/>
                <w:color w:val="auto"/>
              </w:rPr>
            </w:pPr>
          </w:p>
        </w:tc>
        <w:tc>
          <w:tcPr>
            <w:tcW w:w="2640" w:type="dxa"/>
            <w:vAlign w:val="bottom"/>
            <w:tcBorders>
              <w:bottom w:val="single" w:sz="8" w:color="2AD2C8"/>
            </w:tcBorders>
            <w:shd w:val="clear" w:color="auto" w:fill="2AD2C8"/>
          </w:tcPr>
          <w:p>
            <w:pPr>
              <w:spacing w:after="0"/>
              <w:rPr>
                <w:sz w:val="21"/>
                <w:szCs w:val="21"/>
                <w:color w:val="auto"/>
              </w:rPr>
            </w:pPr>
          </w:p>
        </w:tc>
        <w:tc>
          <w:tcPr>
            <w:tcW w:w="1440" w:type="dxa"/>
            <w:vAlign w:val="bottom"/>
            <w:tcBorders>
              <w:bottom w:val="single" w:sz="8" w:color="2AD2C8"/>
              <w:right w:val="single" w:sz="8" w:color="auto"/>
            </w:tcBorders>
            <w:shd w:val="clear" w:color="auto" w:fill="2AD2C8"/>
          </w:tcPr>
          <w:p>
            <w:pPr>
              <w:spacing w:after="0"/>
              <w:rPr>
                <w:sz w:val="21"/>
                <w:szCs w:val="21"/>
                <w:color w:val="auto"/>
              </w:rPr>
            </w:pPr>
          </w:p>
        </w:tc>
        <w:tc>
          <w:tcPr>
            <w:tcW w:w="860" w:type="dxa"/>
            <w:vAlign w:val="bottom"/>
            <w:tcBorders>
              <w:bottom w:val="single" w:sz="8" w:color="2AD2C8"/>
            </w:tcBorders>
            <w:shd w:val="clear" w:color="auto" w:fill="2AD2C8"/>
          </w:tcPr>
          <w:p>
            <w:pPr>
              <w:jc w:val="center"/>
              <w:spacing w:after="0"/>
              <w:rPr>
                <w:sz w:val="20"/>
                <w:szCs w:val="20"/>
                <w:color w:val="auto"/>
              </w:rPr>
            </w:pPr>
            <w:r>
              <w:rPr>
                <w:rFonts w:ascii="Calibri" w:cs="Calibri" w:eastAsia="Calibri" w:hAnsi="Calibri"/>
                <w:sz w:val="10"/>
                <w:szCs w:val="10"/>
                <w:b w:val="1"/>
                <w:bCs w:val="1"/>
                <w:color w:val="FFFFFF"/>
                <w:w w:val="99"/>
              </w:rPr>
              <w:t>4Q23</w:t>
            </w:r>
          </w:p>
        </w:tc>
        <w:tc>
          <w:tcPr>
            <w:tcW w:w="1000" w:type="dxa"/>
            <w:vAlign w:val="bottom"/>
            <w:tcBorders>
              <w:bottom w:val="single" w:sz="8" w:color="2AD2C8"/>
            </w:tcBorders>
            <w:shd w:val="clear" w:color="auto" w:fill="2AD2C8"/>
          </w:tcPr>
          <w:p>
            <w:pPr>
              <w:ind w:left="300"/>
              <w:spacing w:after="0"/>
              <w:rPr>
                <w:sz w:val="20"/>
                <w:szCs w:val="20"/>
                <w:color w:val="auto"/>
              </w:rPr>
            </w:pPr>
            <w:r>
              <w:rPr>
                <w:rFonts w:ascii="Arial" w:cs="Arial" w:eastAsia="Arial" w:hAnsi="Arial"/>
                <w:sz w:val="10"/>
                <w:szCs w:val="10"/>
                <w:color w:val="FFFFFF"/>
              </w:rPr>
              <w:t>3Q24</w:t>
            </w:r>
          </w:p>
        </w:tc>
        <w:tc>
          <w:tcPr>
            <w:tcW w:w="780" w:type="dxa"/>
            <w:vAlign w:val="bottom"/>
            <w:tcBorders>
              <w:bottom w:val="single" w:sz="8" w:color="2AD2C8"/>
              <w:right w:val="single" w:sz="8" w:color="auto"/>
            </w:tcBorders>
            <w:shd w:val="clear" w:color="auto" w:fill="2AD2C8"/>
          </w:tcPr>
          <w:p>
            <w:pPr>
              <w:jc w:val="center"/>
              <w:ind w:right="68"/>
              <w:spacing w:after="0"/>
              <w:rPr>
                <w:sz w:val="20"/>
                <w:szCs w:val="20"/>
                <w:color w:val="auto"/>
              </w:rPr>
            </w:pPr>
            <w:r>
              <w:rPr>
                <w:rFonts w:ascii="Calibri" w:cs="Calibri" w:eastAsia="Calibri" w:hAnsi="Calibri"/>
                <w:sz w:val="10"/>
                <w:szCs w:val="10"/>
                <w:b w:val="1"/>
                <w:bCs w:val="1"/>
                <w:color w:val="FFFFFF"/>
                <w:w w:val="99"/>
              </w:rPr>
              <w:t>4Q24</w:t>
            </w:r>
          </w:p>
        </w:tc>
        <w:tc>
          <w:tcPr>
            <w:tcW w:w="560" w:type="dxa"/>
            <w:vAlign w:val="bottom"/>
            <w:tcBorders>
              <w:bottom w:val="single" w:sz="8" w:color="2AD2C8"/>
            </w:tcBorders>
            <w:shd w:val="clear" w:color="auto" w:fill="2AD2C8"/>
          </w:tcPr>
          <w:p>
            <w:pPr>
              <w:ind w:left="160"/>
              <w:spacing w:after="0"/>
              <w:rPr>
                <w:sz w:val="20"/>
                <w:szCs w:val="20"/>
                <w:color w:val="auto"/>
              </w:rPr>
            </w:pPr>
            <w:r>
              <w:rPr>
                <w:rFonts w:ascii="Calibri" w:cs="Calibri" w:eastAsia="Calibri" w:hAnsi="Calibri"/>
                <w:sz w:val="10"/>
                <w:szCs w:val="10"/>
                <w:b w:val="1"/>
                <w:bCs w:val="1"/>
                <w:color w:val="FFFFFF"/>
              </w:rPr>
              <w:t>QoQ</w:t>
            </w:r>
          </w:p>
        </w:tc>
        <w:tc>
          <w:tcPr>
            <w:tcW w:w="560" w:type="dxa"/>
            <w:vAlign w:val="bottom"/>
            <w:tcBorders>
              <w:bottom w:val="single" w:sz="8" w:color="2AD2C8"/>
              <w:right w:val="single" w:sz="8" w:color="auto"/>
            </w:tcBorders>
            <w:shd w:val="clear" w:color="auto" w:fill="2AD2C8"/>
          </w:tcPr>
          <w:p>
            <w:pPr>
              <w:ind w:left="180"/>
              <w:spacing w:after="0"/>
              <w:rPr>
                <w:sz w:val="20"/>
                <w:szCs w:val="20"/>
                <w:color w:val="auto"/>
              </w:rPr>
            </w:pPr>
            <w:r>
              <w:rPr>
                <w:rFonts w:ascii="Calibri" w:cs="Calibri" w:eastAsia="Calibri" w:hAnsi="Calibri"/>
                <w:sz w:val="10"/>
                <w:szCs w:val="10"/>
                <w:b w:val="1"/>
                <w:bCs w:val="1"/>
                <w:color w:val="FFFFFF"/>
              </w:rPr>
              <w:t>YoY</w:t>
            </w:r>
          </w:p>
        </w:tc>
        <w:tc>
          <w:tcPr>
            <w:tcW w:w="740" w:type="dxa"/>
            <w:vAlign w:val="bottom"/>
            <w:tcBorders>
              <w:bottom w:val="single" w:sz="8" w:color="2AD2C8"/>
            </w:tcBorders>
            <w:shd w:val="clear" w:color="auto" w:fill="2AD2C8"/>
          </w:tcPr>
          <w:p>
            <w:pPr>
              <w:ind w:left="300"/>
              <w:spacing w:after="0"/>
              <w:rPr>
                <w:sz w:val="20"/>
                <w:szCs w:val="20"/>
                <w:color w:val="auto"/>
              </w:rPr>
            </w:pPr>
            <w:r>
              <w:rPr>
                <w:rFonts w:ascii="Calibri" w:cs="Calibri" w:eastAsia="Calibri" w:hAnsi="Calibri"/>
                <w:sz w:val="10"/>
                <w:szCs w:val="10"/>
                <w:b w:val="1"/>
                <w:bCs w:val="1"/>
                <w:color w:val="FFFFFF"/>
              </w:rPr>
              <w:t>Dec 23</w:t>
            </w:r>
          </w:p>
        </w:tc>
        <w:tc>
          <w:tcPr>
            <w:tcW w:w="1020" w:type="dxa"/>
            <w:vAlign w:val="bottom"/>
            <w:tcBorders>
              <w:bottom w:val="single" w:sz="8" w:color="2AD2C8"/>
              <w:right w:val="single" w:sz="8" w:color="auto"/>
            </w:tcBorders>
            <w:shd w:val="clear" w:color="auto" w:fill="2AD2C8"/>
          </w:tcPr>
          <w:p>
            <w:pPr>
              <w:ind w:left="420"/>
              <w:spacing w:after="0"/>
              <w:rPr>
                <w:sz w:val="20"/>
                <w:szCs w:val="20"/>
                <w:color w:val="auto"/>
              </w:rPr>
            </w:pPr>
            <w:r>
              <w:rPr>
                <w:rFonts w:ascii="Calibri" w:cs="Calibri" w:eastAsia="Calibri" w:hAnsi="Calibri"/>
                <w:sz w:val="10"/>
                <w:szCs w:val="10"/>
                <w:b w:val="1"/>
                <w:bCs w:val="1"/>
                <w:color w:val="FFFFFF"/>
              </w:rPr>
              <w:t>Dec 24</w:t>
            </w:r>
          </w:p>
        </w:tc>
        <w:tc>
          <w:tcPr>
            <w:tcW w:w="1060" w:type="dxa"/>
            <w:vAlign w:val="bottom"/>
            <w:tcBorders>
              <w:bottom w:val="single" w:sz="8" w:color="2AD2C8"/>
              <w:right w:val="single" w:sz="8" w:color="auto"/>
            </w:tcBorders>
            <w:shd w:val="clear" w:color="auto" w:fill="2AD2C8"/>
          </w:tcPr>
          <w:p>
            <w:pPr>
              <w:jc w:val="center"/>
              <w:spacing w:after="0"/>
              <w:rPr>
                <w:sz w:val="20"/>
                <w:szCs w:val="20"/>
                <w:color w:val="auto"/>
              </w:rPr>
            </w:pPr>
            <w:r>
              <w:rPr>
                <w:rFonts w:ascii="Arial" w:cs="Arial" w:eastAsia="Arial" w:hAnsi="Arial"/>
                <w:sz w:val="10"/>
                <w:szCs w:val="10"/>
                <w:b w:val="1"/>
                <w:bCs w:val="1"/>
                <w:color w:val="FFFFFF"/>
              </w:rPr>
              <w:t>Dec 24 / Dec 23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20" w:type="dxa"/>
            <w:vAlign w:val="bottom"/>
            <w:tcBorders>
              <w:right w:val="single" w:sz="8" w:color="auto"/>
            </w:tcBorders>
          </w:tcPr>
          <w:p>
            <w:pPr>
              <w:spacing w:after="0"/>
              <w:rPr>
                <w:sz w:val="10"/>
                <w:szCs w:val="10"/>
                <w:color w:val="auto"/>
              </w:rPr>
            </w:pPr>
          </w:p>
        </w:tc>
        <w:tc>
          <w:tcPr>
            <w:tcW w:w="2640" w:type="dxa"/>
            <w:vAlign w:val="bottom"/>
            <w:tcBorders>
              <w:top w:val="single" w:sz="8" w:color="auto"/>
            </w:tcBorders>
          </w:tcPr>
          <w:p>
            <w:pPr>
              <w:spacing w:after="0" w:line="118" w:lineRule="exact"/>
              <w:rPr>
                <w:sz w:val="20"/>
                <w:szCs w:val="20"/>
                <w:color w:val="auto"/>
              </w:rPr>
            </w:pPr>
            <w:r>
              <w:rPr>
                <w:rFonts w:ascii="Calibri" w:cs="Calibri" w:eastAsia="Calibri" w:hAnsi="Calibri"/>
                <w:sz w:val="10"/>
                <w:szCs w:val="10"/>
                <w:b w:val="1"/>
                <w:bCs w:val="1"/>
                <w:color w:val="auto"/>
              </w:rPr>
              <w:t>Interest income and expense</w:t>
            </w:r>
          </w:p>
        </w:tc>
        <w:tc>
          <w:tcPr>
            <w:tcW w:w="1440" w:type="dxa"/>
            <w:vAlign w:val="bottom"/>
            <w:tcBorders>
              <w:top w:val="single" w:sz="8" w:color="auto"/>
              <w:right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c>
          <w:tcPr>
            <w:tcW w:w="1060" w:type="dxa"/>
            <w:vAlign w:val="bottom"/>
            <w:tcBorders>
              <w:top w:val="single" w:sz="8" w:color="auto"/>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20" w:type="dxa"/>
            <w:vAlign w:val="bottom"/>
            <w:tcBorders>
              <w:right w:val="single" w:sz="8" w:color="auto"/>
            </w:tcBorders>
          </w:tcPr>
          <w:p>
            <w:pPr>
              <w:spacing w:after="0"/>
              <w:rPr>
                <w:sz w:val="15"/>
                <w:szCs w:val="15"/>
                <w:color w:val="auto"/>
              </w:rPr>
            </w:pPr>
          </w:p>
        </w:tc>
        <w:tc>
          <w:tcPr>
            <w:tcW w:w="2640" w:type="dxa"/>
            <w:vAlign w:val="bottom"/>
          </w:tcPr>
          <w:p>
            <w:pPr>
              <w:ind w:left="140"/>
              <w:spacing w:after="0"/>
              <w:rPr>
                <w:sz w:val="20"/>
                <w:szCs w:val="20"/>
                <w:color w:val="auto"/>
              </w:rPr>
            </w:pPr>
            <w:r>
              <w:rPr>
                <w:rFonts w:ascii="Calibri" w:cs="Calibri" w:eastAsia="Calibri" w:hAnsi="Calibri"/>
                <w:sz w:val="10"/>
                <w:szCs w:val="10"/>
                <w:color w:val="auto"/>
              </w:rPr>
              <w:t>Interest and similar income</w:t>
            </w:r>
          </w:p>
        </w:tc>
        <w:tc>
          <w:tcPr>
            <w:tcW w:w="1440" w:type="dxa"/>
            <w:vAlign w:val="bottom"/>
            <w:tcBorders>
              <w:right w:val="single" w:sz="8" w:color="auto"/>
            </w:tcBorders>
          </w:tcPr>
          <w:p>
            <w:pPr>
              <w:spacing w:after="0"/>
              <w:rPr>
                <w:sz w:val="15"/>
                <w:szCs w:val="15"/>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3,507,996</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3,616,878</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3,639,485</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0.6%</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3.7%</w:t>
            </w:r>
          </w:p>
        </w:tc>
        <w:tc>
          <w:tcPr>
            <w:tcW w:w="740" w:type="dxa"/>
            <w:vAlign w:val="bottom"/>
          </w:tcPr>
          <w:p>
            <w:pPr>
              <w:jc w:val="center"/>
              <w:ind w:left="88"/>
              <w:spacing w:after="0"/>
              <w:rPr>
                <w:sz w:val="20"/>
                <w:szCs w:val="20"/>
                <w:color w:val="auto"/>
              </w:rPr>
            </w:pPr>
            <w:r>
              <w:rPr>
                <w:rFonts w:ascii="Calibri" w:cs="Calibri" w:eastAsia="Calibri" w:hAnsi="Calibri"/>
                <w:sz w:val="10"/>
                <w:szCs w:val="10"/>
                <w:color w:val="auto"/>
              </w:rPr>
              <w:t>13,486,861</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14,345,027</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0" w:type="dxa"/>
            <w:vAlign w:val="bottom"/>
            <w:tcBorders>
              <w:right w:val="single" w:sz="8" w:color="auto"/>
            </w:tcBorders>
          </w:tcPr>
          <w:p>
            <w:pPr>
              <w:spacing w:after="0"/>
              <w:rPr>
                <w:sz w:val="12"/>
                <w:szCs w:val="12"/>
                <w:color w:val="auto"/>
              </w:rPr>
            </w:pPr>
          </w:p>
        </w:tc>
        <w:tc>
          <w:tcPr>
            <w:tcW w:w="2640" w:type="dxa"/>
            <w:vAlign w:val="bottom"/>
          </w:tcPr>
          <w:p>
            <w:pPr>
              <w:ind w:left="140"/>
              <w:spacing w:after="0" w:line="140" w:lineRule="exact"/>
              <w:rPr>
                <w:sz w:val="20"/>
                <w:szCs w:val="20"/>
                <w:color w:val="auto"/>
              </w:rPr>
            </w:pPr>
            <w:r>
              <w:rPr>
                <w:rFonts w:ascii="Calibri" w:cs="Calibri" w:eastAsia="Calibri" w:hAnsi="Calibri"/>
                <w:sz w:val="9"/>
                <w:szCs w:val="9"/>
                <w:color w:val="auto"/>
              </w:rPr>
              <w:t xml:space="preserve">Interest and similar expenses </w:t>
            </w:r>
            <w:r>
              <w:rPr>
                <w:rFonts w:ascii="Calibri" w:cs="Calibri" w:eastAsia="Calibri" w:hAnsi="Calibri"/>
                <w:sz w:val="15"/>
                <w:szCs w:val="15"/>
                <w:color w:val="auto"/>
                <w:vertAlign w:val="superscript"/>
              </w:rPr>
              <w:t>(1)</w:t>
            </w:r>
          </w:p>
        </w:tc>
        <w:tc>
          <w:tcPr>
            <w:tcW w:w="1440" w:type="dxa"/>
            <w:vAlign w:val="bottom"/>
            <w:tcBorders>
              <w:right w:val="single" w:sz="8" w:color="auto"/>
            </w:tcBorders>
          </w:tcPr>
          <w:p>
            <w:pPr>
              <w:spacing w:after="0"/>
              <w:rPr>
                <w:sz w:val="12"/>
                <w:szCs w:val="12"/>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(936,600)</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(856,286)</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(857,707)</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0.2%</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-8.4%</w:t>
            </w:r>
          </w:p>
        </w:tc>
        <w:tc>
          <w:tcPr>
            <w:tcW w:w="740" w:type="dxa"/>
            <w:vAlign w:val="bottom"/>
          </w:tcPr>
          <w:p>
            <w:pPr>
              <w:jc w:val="center"/>
              <w:ind w:left="88"/>
              <w:spacing w:after="0"/>
              <w:rPr>
                <w:sz w:val="20"/>
                <w:szCs w:val="20"/>
                <w:color w:val="auto"/>
              </w:rPr>
            </w:pPr>
            <w:r>
              <w:rPr>
                <w:rFonts w:ascii="Calibri" w:cs="Calibri" w:eastAsia="Calibri" w:hAnsi="Calibri"/>
                <w:sz w:val="10"/>
                <w:szCs w:val="10"/>
                <w:color w:val="auto"/>
              </w:rPr>
              <w:t>(3,668,766)</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(3,529,865)</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0" w:type="dxa"/>
            <w:vAlign w:val="bottom"/>
            <w:tcBorders>
              <w:right w:val="single" w:sz="8" w:color="auto"/>
            </w:tcBorders>
          </w:tcPr>
          <w:p>
            <w:pPr>
              <w:spacing w:after="0"/>
              <w:rPr>
                <w:sz w:val="10"/>
                <w:szCs w:val="10"/>
                <w:color w:val="auto"/>
              </w:rPr>
            </w:pPr>
          </w:p>
        </w:tc>
        <w:tc>
          <w:tcPr>
            <w:tcW w:w="2640" w:type="dxa"/>
            <w:vAlign w:val="bottom"/>
          </w:tcPr>
          <w:p>
            <w:pPr>
              <w:ind w:left="140"/>
              <w:spacing w:after="0"/>
              <w:rPr>
                <w:sz w:val="20"/>
                <w:szCs w:val="20"/>
                <w:color w:val="auto"/>
              </w:rPr>
            </w:pPr>
            <w:r>
              <w:rPr>
                <w:rFonts w:ascii="Calibri" w:cs="Calibri" w:eastAsia="Calibri" w:hAnsi="Calibri"/>
                <w:sz w:val="10"/>
                <w:szCs w:val="10"/>
                <w:b w:val="1"/>
                <w:bCs w:val="1"/>
                <w:color w:val="auto"/>
              </w:rPr>
              <w:t>Interest income and expense</w:t>
            </w:r>
          </w:p>
        </w:tc>
        <w:tc>
          <w:tcPr>
            <w:tcW w:w="1440" w:type="dxa"/>
            <w:vAlign w:val="bottom"/>
            <w:tcBorders>
              <w:right w:val="single" w:sz="8" w:color="auto"/>
            </w:tcBorders>
          </w:tcPr>
          <w:p>
            <w:pPr>
              <w:spacing w:after="0"/>
              <w:rPr>
                <w:sz w:val="10"/>
                <w:szCs w:val="10"/>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b w:val="1"/>
                <w:bCs w:val="1"/>
                <w:color w:val="auto"/>
              </w:rPr>
              <w:t>2,571,396</w:t>
            </w:r>
          </w:p>
        </w:tc>
        <w:tc>
          <w:tcPr>
            <w:tcW w:w="1000" w:type="dxa"/>
            <w:vAlign w:val="bottom"/>
          </w:tcPr>
          <w:p>
            <w:pPr>
              <w:jc w:val="center"/>
              <w:ind w:right="68"/>
              <w:spacing w:after="0"/>
              <w:rPr>
                <w:sz w:val="20"/>
                <w:szCs w:val="20"/>
                <w:color w:val="auto"/>
              </w:rPr>
            </w:pPr>
            <w:r>
              <w:rPr>
                <w:rFonts w:ascii="Calibri" w:cs="Calibri" w:eastAsia="Calibri" w:hAnsi="Calibri"/>
                <w:sz w:val="10"/>
                <w:szCs w:val="10"/>
                <w:b w:val="1"/>
                <w:bCs w:val="1"/>
                <w:color w:val="auto"/>
              </w:rPr>
              <w:t>2,760,592</w:t>
            </w:r>
          </w:p>
        </w:tc>
        <w:tc>
          <w:tcPr>
            <w:tcW w:w="78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0"/>
                <w:szCs w:val="10"/>
                <w:b w:val="1"/>
                <w:bCs w:val="1"/>
                <w:color w:val="auto"/>
              </w:rPr>
              <w:t>2,781,778</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rPr>
              <w:t>0.8%</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8.2%</w:t>
            </w:r>
          </w:p>
        </w:tc>
        <w:tc>
          <w:tcPr>
            <w:tcW w:w="7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9,818,095</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10,815,162</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10.2%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color w:val="auto"/>
              </w:rPr>
              <w:t>Provision for credit losses on loan portolio</w:t>
            </w:r>
          </w:p>
        </w:tc>
        <w:tc>
          <w:tcPr>
            <w:tcW w:w="1440" w:type="dxa"/>
            <w:vAlign w:val="bottom"/>
            <w:tcBorders>
              <w:right w:val="single" w:sz="8" w:color="auto"/>
            </w:tcBorders>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Calibri" w:cs="Calibri" w:eastAsia="Calibri" w:hAnsi="Calibri"/>
                <w:sz w:val="10"/>
                <w:szCs w:val="10"/>
                <w:color w:val="auto"/>
              </w:rPr>
              <w:t>(922,169)</w:t>
            </w:r>
          </w:p>
        </w:tc>
        <w:tc>
          <w:tcPr>
            <w:tcW w:w="1000" w:type="dxa"/>
            <w:vAlign w:val="bottom"/>
            <w:vMerge w:val="restart"/>
          </w:tcPr>
          <w:p>
            <w:pPr>
              <w:jc w:val="center"/>
              <w:ind w:right="68"/>
              <w:spacing w:after="0"/>
              <w:rPr>
                <w:sz w:val="20"/>
                <w:szCs w:val="20"/>
                <w:color w:val="auto"/>
              </w:rPr>
            </w:pPr>
            <w:r>
              <w:rPr>
                <w:rFonts w:ascii="Calibri" w:cs="Calibri" w:eastAsia="Calibri" w:hAnsi="Calibri"/>
                <w:sz w:val="10"/>
                <w:szCs w:val="10"/>
                <w:color w:val="auto"/>
              </w:rPr>
              <w:t>(714,464)</w:t>
            </w:r>
          </w:p>
        </w:tc>
        <w:tc>
          <w:tcPr>
            <w:tcW w:w="780" w:type="dxa"/>
            <w:vAlign w:val="bottom"/>
            <w:tcBorders>
              <w:right w:val="single" w:sz="8" w:color="auto"/>
            </w:tcBorders>
            <w:vMerge w:val="restart"/>
          </w:tcPr>
          <w:p>
            <w:pPr>
              <w:jc w:val="center"/>
              <w:ind w:right="68"/>
              <w:spacing w:after="0"/>
              <w:rPr>
                <w:sz w:val="20"/>
                <w:szCs w:val="20"/>
                <w:color w:val="auto"/>
              </w:rPr>
            </w:pPr>
            <w:r>
              <w:rPr>
                <w:rFonts w:ascii="Calibri" w:cs="Calibri" w:eastAsia="Calibri" w:hAnsi="Calibri"/>
                <w:sz w:val="10"/>
                <w:szCs w:val="10"/>
                <w:color w:val="auto"/>
              </w:rPr>
              <w:t>(616,654)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13.7%</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33.1%</w:t>
            </w:r>
          </w:p>
        </w:tc>
        <w:tc>
          <w:tcPr>
            <w:tcW w:w="740" w:type="dxa"/>
            <w:vAlign w:val="bottom"/>
            <w:vMerge w:val="restart"/>
          </w:tcPr>
          <w:p>
            <w:pPr>
              <w:jc w:val="center"/>
              <w:ind w:left="88"/>
              <w:spacing w:after="0"/>
              <w:rPr>
                <w:sz w:val="20"/>
                <w:szCs w:val="20"/>
                <w:color w:val="auto"/>
              </w:rPr>
            </w:pPr>
            <w:r>
              <w:rPr>
                <w:rFonts w:ascii="Calibri" w:cs="Calibri" w:eastAsia="Calibri" w:hAnsi="Calibri"/>
                <w:sz w:val="10"/>
                <w:szCs w:val="10"/>
                <w:color w:val="auto"/>
              </w:rPr>
              <w:t>(2,845,501)</w:t>
            </w:r>
          </w:p>
        </w:tc>
        <w:tc>
          <w:tcPr>
            <w:tcW w:w="1020" w:type="dxa"/>
            <w:vAlign w:val="bottom"/>
            <w:tcBorders>
              <w:right w:val="single" w:sz="8" w:color="auto"/>
            </w:tcBorders>
            <w:vMerge w:val="restart"/>
          </w:tcPr>
          <w:p>
            <w:pPr>
              <w:jc w:val="center"/>
              <w:ind w:left="88"/>
              <w:spacing w:after="0"/>
              <w:rPr>
                <w:sz w:val="20"/>
                <w:szCs w:val="20"/>
                <w:color w:val="auto"/>
              </w:rPr>
            </w:pPr>
            <w:r>
              <w:rPr>
                <w:rFonts w:ascii="Calibri" w:cs="Calibri" w:eastAsia="Calibri" w:hAnsi="Calibri"/>
                <w:sz w:val="10"/>
                <w:szCs w:val="10"/>
                <w:color w:val="auto"/>
              </w:rPr>
              <w:t>(2,832,738)</w:t>
            </w:r>
          </w:p>
        </w:tc>
        <w:tc>
          <w:tcPr>
            <w:tcW w:w="10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0"/>
                <w:szCs w:val="10"/>
                <w:color w:val="auto"/>
              </w:rPr>
              <w:t>-0.4%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20" w:type="dxa"/>
            <w:vAlign w:val="bottom"/>
            <w:tcBorders>
              <w:right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8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20" w:type="dxa"/>
            <w:vAlign w:val="bottom"/>
            <w:tcBorders>
              <w:right w:val="single" w:sz="8" w:color="auto"/>
            </w:tcBorders>
          </w:tcPr>
          <w:p>
            <w:pPr>
              <w:spacing w:after="0"/>
              <w:rPr>
                <w:sz w:val="10"/>
                <w:szCs w:val="10"/>
                <w:color w:val="auto"/>
              </w:rPr>
            </w:pPr>
          </w:p>
        </w:tc>
        <w:tc>
          <w:tcPr>
            <w:tcW w:w="2640" w:type="dxa"/>
            <w:vAlign w:val="bottom"/>
          </w:tcPr>
          <w:p>
            <w:pPr>
              <w:spacing w:after="0"/>
              <w:rPr>
                <w:sz w:val="20"/>
                <w:szCs w:val="20"/>
                <w:color w:val="auto"/>
              </w:rPr>
            </w:pPr>
            <w:r>
              <w:rPr>
                <w:rFonts w:ascii="Calibri" w:cs="Calibri" w:eastAsia="Calibri" w:hAnsi="Calibri"/>
                <w:sz w:val="10"/>
                <w:szCs w:val="10"/>
                <w:color w:val="auto"/>
              </w:rPr>
              <w:t>Recoveries of writen-of loans</w:t>
            </w:r>
          </w:p>
        </w:tc>
        <w:tc>
          <w:tcPr>
            <w:tcW w:w="1440" w:type="dxa"/>
            <w:vAlign w:val="bottom"/>
            <w:tcBorders>
              <w:right w:val="single" w:sz="8" w:color="auto"/>
            </w:tcBorders>
          </w:tcPr>
          <w:p>
            <w:pPr>
              <w:spacing w:after="0"/>
              <w:rPr>
                <w:sz w:val="10"/>
                <w:szCs w:val="10"/>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52,943</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79,057</w:t>
            </w:r>
          </w:p>
        </w:tc>
        <w:tc>
          <w:tcPr>
            <w:tcW w:w="78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0"/>
                <w:szCs w:val="10"/>
                <w:color w:val="auto"/>
              </w:rPr>
              <w:t>80,396</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1.7%</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51.9%</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213,583</w:t>
            </w:r>
          </w:p>
        </w:tc>
        <w:tc>
          <w:tcPr>
            <w:tcW w:w="102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279,687</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31.0%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20" w:type="dxa"/>
            <w:vAlign w:val="bottom"/>
            <w:tcBorders>
              <w:right w:val="single" w:sz="8" w:color="auto"/>
            </w:tcBorders>
          </w:tcPr>
          <w:p>
            <w:pPr>
              <w:spacing w:after="0"/>
              <w:rPr>
                <w:sz w:val="12"/>
                <w:szCs w:val="12"/>
                <w:color w:val="auto"/>
              </w:rPr>
            </w:pPr>
          </w:p>
        </w:tc>
        <w:tc>
          <w:tcPr>
            <w:tcW w:w="2640" w:type="dxa"/>
            <w:vAlign w:val="bottom"/>
          </w:tcPr>
          <w:p>
            <w:pPr>
              <w:spacing w:after="0"/>
              <w:rPr>
                <w:sz w:val="20"/>
                <w:szCs w:val="20"/>
                <w:color w:val="auto"/>
              </w:rPr>
            </w:pPr>
            <w:r>
              <w:rPr>
                <w:rFonts w:ascii="Calibri" w:cs="Calibri" w:eastAsia="Calibri" w:hAnsi="Calibri"/>
                <w:sz w:val="10"/>
                <w:szCs w:val="10"/>
                <w:b w:val="1"/>
                <w:bCs w:val="1"/>
                <w:color w:val="auto"/>
              </w:rPr>
              <w:t>Provision for credit losses on loan portolio, net of recoveries</w:t>
            </w:r>
          </w:p>
        </w:tc>
        <w:tc>
          <w:tcPr>
            <w:tcW w:w="1440" w:type="dxa"/>
            <w:vAlign w:val="bottom"/>
            <w:tcBorders>
              <w:right w:val="single" w:sz="8" w:color="auto"/>
            </w:tcBorders>
          </w:tcPr>
          <w:p>
            <w:pPr>
              <w:spacing w:after="0"/>
              <w:rPr>
                <w:sz w:val="12"/>
                <w:szCs w:val="12"/>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b w:val="1"/>
                <w:bCs w:val="1"/>
                <w:color w:val="auto"/>
              </w:rPr>
              <w:t>(869,226)</w:t>
            </w:r>
          </w:p>
        </w:tc>
        <w:tc>
          <w:tcPr>
            <w:tcW w:w="1000" w:type="dxa"/>
            <w:vAlign w:val="bottom"/>
          </w:tcPr>
          <w:p>
            <w:pPr>
              <w:jc w:val="center"/>
              <w:ind w:right="48"/>
              <w:spacing w:after="0"/>
              <w:rPr>
                <w:sz w:val="20"/>
                <w:szCs w:val="20"/>
                <w:color w:val="auto"/>
              </w:rPr>
            </w:pPr>
            <w:r>
              <w:rPr>
                <w:rFonts w:ascii="Calibri" w:cs="Calibri" w:eastAsia="Calibri" w:hAnsi="Calibri"/>
                <w:sz w:val="10"/>
                <w:szCs w:val="10"/>
                <w:b w:val="1"/>
                <w:bCs w:val="1"/>
                <w:color w:val="auto"/>
              </w:rPr>
              <w:t>(635,407)</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b w:val="1"/>
                <w:bCs w:val="1"/>
                <w:color w:val="auto"/>
              </w:rPr>
              <w:t>(536,258)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r>
              <w:rPr>
                <w:rFonts w:ascii="Calibri" w:cs="Calibri" w:eastAsia="Calibri" w:hAnsi="Calibri"/>
                <w:sz w:val="10"/>
                <w:szCs w:val="10"/>
                <w:b w:val="1"/>
                <w:bCs w:val="1"/>
                <w:color w:val="auto"/>
              </w:rPr>
              <w:t>15.6%</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r>
              <w:rPr>
                <w:rFonts w:ascii="Calibri" w:cs="Calibri" w:eastAsia="Calibri" w:hAnsi="Calibri"/>
                <w:sz w:val="10"/>
                <w:szCs w:val="10"/>
                <w:b w:val="1"/>
                <w:bCs w:val="1"/>
                <w:color w:val="auto"/>
              </w:rPr>
              <w:t>38.3%</w:t>
            </w:r>
          </w:p>
        </w:tc>
        <w:tc>
          <w:tcPr>
            <w:tcW w:w="740" w:type="dxa"/>
            <w:vAlign w:val="bottom"/>
          </w:tcPr>
          <w:p>
            <w:pPr>
              <w:jc w:val="center"/>
              <w:ind w:left="108"/>
              <w:spacing w:after="0"/>
              <w:rPr>
                <w:sz w:val="20"/>
                <w:szCs w:val="20"/>
                <w:color w:val="auto"/>
              </w:rPr>
            </w:pPr>
            <w:r>
              <w:rPr>
                <w:rFonts w:ascii="Calibri" w:cs="Calibri" w:eastAsia="Calibri" w:hAnsi="Calibri"/>
                <w:sz w:val="10"/>
                <w:szCs w:val="10"/>
                <w:b w:val="1"/>
                <w:bCs w:val="1"/>
                <w:color w:val="auto"/>
              </w:rPr>
              <w:t>(2,631,918)</w:t>
            </w:r>
          </w:p>
        </w:tc>
        <w:tc>
          <w:tcPr>
            <w:tcW w:w="102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b w:val="1"/>
                <w:bCs w:val="1"/>
                <w:color w:val="auto"/>
              </w:rPr>
              <w:t>(2,553,051)</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gridSpan w:val="2"/>
          </w:tcPr>
          <w:p>
            <w:pPr>
              <w:spacing w:after="0"/>
              <w:rPr>
                <w:sz w:val="20"/>
                <w:szCs w:val="20"/>
                <w:color w:val="auto"/>
              </w:rPr>
            </w:pPr>
            <w:r>
              <w:rPr>
                <w:rFonts w:ascii="Calibri" w:cs="Calibri" w:eastAsia="Calibri" w:hAnsi="Calibri"/>
                <w:sz w:val="10"/>
                <w:szCs w:val="10"/>
                <w:b w:val="1"/>
                <w:bCs w:val="1"/>
                <w:color w:val="auto"/>
              </w:rPr>
              <w:t>Net interest, similar income and expenses, afer provision for credit losses on loan portolio</w:t>
            </w:r>
          </w:p>
        </w:tc>
        <w:tc>
          <w:tcPr>
            <w:tcW w:w="860" w:type="dxa"/>
            <w:vAlign w:val="bottom"/>
          </w:tcPr>
          <w:p>
            <w:pPr>
              <w:jc w:val="center"/>
              <w:spacing w:after="0"/>
              <w:rPr>
                <w:sz w:val="20"/>
                <w:szCs w:val="20"/>
                <w:color w:val="auto"/>
              </w:rPr>
            </w:pPr>
            <w:r>
              <w:rPr>
                <w:rFonts w:ascii="Calibri" w:cs="Calibri" w:eastAsia="Calibri" w:hAnsi="Calibri"/>
                <w:sz w:val="10"/>
                <w:szCs w:val="10"/>
                <w:b w:val="1"/>
                <w:bCs w:val="1"/>
                <w:color w:val="auto"/>
              </w:rPr>
              <w:t>1,702,170</w:t>
            </w:r>
          </w:p>
        </w:tc>
        <w:tc>
          <w:tcPr>
            <w:tcW w:w="1000" w:type="dxa"/>
            <w:vAlign w:val="bottom"/>
          </w:tcPr>
          <w:p>
            <w:pPr>
              <w:jc w:val="center"/>
              <w:ind w:right="68"/>
              <w:spacing w:after="0"/>
              <w:rPr>
                <w:sz w:val="20"/>
                <w:szCs w:val="20"/>
                <w:color w:val="auto"/>
              </w:rPr>
            </w:pPr>
            <w:r>
              <w:rPr>
                <w:rFonts w:ascii="Calibri" w:cs="Calibri" w:eastAsia="Calibri" w:hAnsi="Calibri"/>
                <w:sz w:val="10"/>
                <w:szCs w:val="10"/>
                <w:b w:val="1"/>
                <w:bCs w:val="1"/>
                <w:color w:val="auto"/>
              </w:rPr>
              <w:t>2,125,185</w:t>
            </w:r>
          </w:p>
        </w:tc>
        <w:tc>
          <w:tcPr>
            <w:tcW w:w="78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0"/>
                <w:szCs w:val="10"/>
                <w:b w:val="1"/>
                <w:bCs w:val="1"/>
                <w:color w:val="auto"/>
              </w:rPr>
              <w:t>2,245,520</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rPr>
              <w:t>5.7%</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31.9%</w:t>
            </w:r>
          </w:p>
        </w:tc>
        <w:tc>
          <w:tcPr>
            <w:tcW w:w="7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7,186,177</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8,262,111</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15.0%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b w:val="1"/>
                <w:bCs w:val="1"/>
                <w:color w:val="auto"/>
              </w:rPr>
              <w:t>Other income</w:t>
            </w:r>
          </w:p>
        </w:tc>
        <w:tc>
          <w:tcPr>
            <w:tcW w:w="144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20" w:type="dxa"/>
            <w:vAlign w:val="bottom"/>
            <w:tcBorders>
              <w:right w:val="single" w:sz="8" w:color="auto"/>
            </w:tcBorders>
          </w:tcPr>
          <w:p>
            <w:pPr>
              <w:spacing w:after="0"/>
              <w:rPr>
                <w:sz w:val="15"/>
                <w:szCs w:val="15"/>
                <w:color w:val="auto"/>
              </w:rPr>
            </w:pPr>
          </w:p>
        </w:tc>
        <w:tc>
          <w:tcPr>
            <w:tcW w:w="2640" w:type="dxa"/>
            <w:vAlign w:val="bottom"/>
          </w:tcPr>
          <w:p>
            <w:pPr>
              <w:ind w:left="140"/>
              <w:spacing w:after="0"/>
              <w:rPr>
                <w:sz w:val="20"/>
                <w:szCs w:val="20"/>
                <w:color w:val="auto"/>
              </w:rPr>
            </w:pPr>
            <w:r>
              <w:rPr>
                <w:rFonts w:ascii="Calibri" w:cs="Calibri" w:eastAsia="Calibri" w:hAnsi="Calibri"/>
                <w:sz w:val="10"/>
                <w:szCs w:val="10"/>
                <w:color w:val="auto"/>
              </w:rPr>
              <w:t>Fee income</w:t>
            </w:r>
          </w:p>
        </w:tc>
        <w:tc>
          <w:tcPr>
            <w:tcW w:w="1440" w:type="dxa"/>
            <w:vAlign w:val="bottom"/>
            <w:tcBorders>
              <w:right w:val="single" w:sz="8" w:color="auto"/>
            </w:tcBorders>
          </w:tcPr>
          <w:p>
            <w:pPr>
              <w:spacing w:after="0"/>
              <w:rPr>
                <w:sz w:val="15"/>
                <w:szCs w:val="15"/>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748,269</w:t>
            </w:r>
          </w:p>
        </w:tc>
        <w:tc>
          <w:tcPr>
            <w:tcW w:w="1000" w:type="dxa"/>
            <w:vAlign w:val="bottom"/>
          </w:tcPr>
          <w:p>
            <w:pPr>
              <w:jc w:val="center"/>
              <w:ind w:right="48"/>
              <w:spacing w:after="0"/>
              <w:rPr>
                <w:sz w:val="20"/>
                <w:szCs w:val="20"/>
                <w:color w:val="auto"/>
              </w:rPr>
            </w:pPr>
            <w:r>
              <w:rPr>
                <w:rFonts w:ascii="Calibri" w:cs="Calibri" w:eastAsia="Calibri" w:hAnsi="Calibri"/>
                <w:sz w:val="10"/>
                <w:szCs w:val="10"/>
                <w:color w:val="auto"/>
              </w:rPr>
              <w:t>879,996</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888,292</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0.9%</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18.7%</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2,927,395</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3,352,254</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14.5%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color w:val="auto"/>
              </w:rPr>
              <w:t>Net gain on foreign exchange transactons</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266,027</w:t>
            </w:r>
          </w:p>
        </w:tc>
        <w:tc>
          <w:tcPr>
            <w:tcW w:w="1000" w:type="dxa"/>
            <w:vAlign w:val="bottom"/>
          </w:tcPr>
          <w:p>
            <w:pPr>
              <w:jc w:val="center"/>
              <w:ind w:right="48"/>
              <w:spacing w:after="0"/>
              <w:rPr>
                <w:sz w:val="20"/>
                <w:szCs w:val="20"/>
                <w:color w:val="auto"/>
              </w:rPr>
            </w:pPr>
            <w:r>
              <w:rPr>
                <w:rFonts w:ascii="Calibri" w:cs="Calibri" w:eastAsia="Calibri" w:hAnsi="Calibri"/>
                <w:sz w:val="10"/>
                <w:szCs w:val="10"/>
                <w:color w:val="auto"/>
              </w:rPr>
              <w:t>297,478</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311,657</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4.8%</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17.2%</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988,264</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1,157,575</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17.1%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color w:val="auto"/>
              </w:rPr>
              <w:t>Net gain on securites</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63,754</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73,084</w:t>
            </w:r>
          </w:p>
        </w:tc>
        <w:tc>
          <w:tcPr>
            <w:tcW w:w="78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0"/>
                <w:szCs w:val="10"/>
                <w:color w:val="auto"/>
              </w:rPr>
              <w:t>88,641</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21.3%</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39.0%</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181,511</w:t>
            </w:r>
          </w:p>
        </w:tc>
        <w:tc>
          <w:tcPr>
            <w:tcW w:w="102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305,786</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68.5%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color w:val="auto"/>
              </w:rPr>
              <w:t>Net gain (loss) from associates</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(1,373)</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3,078</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w w:val="98"/>
              </w:rPr>
              <w:t>88</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97.1%</w:t>
            </w:r>
          </w:p>
        </w:tc>
        <w:tc>
          <w:tcPr>
            <w:tcW w:w="560" w:type="dxa"/>
            <w:vAlign w:val="bottom"/>
            <w:tcBorders>
              <w:right w:val="single" w:sz="8" w:color="auto"/>
            </w:tcBorders>
          </w:tcPr>
          <w:p>
            <w:pPr>
              <w:ind w:left="200"/>
              <w:spacing w:after="0"/>
              <w:rPr>
                <w:sz w:val="20"/>
                <w:szCs w:val="20"/>
                <w:color w:val="auto"/>
              </w:rPr>
            </w:pPr>
            <w:r>
              <w:rPr>
                <w:rFonts w:ascii="Calibri" w:cs="Calibri" w:eastAsia="Calibri" w:hAnsi="Calibri"/>
                <w:sz w:val="10"/>
                <w:szCs w:val="10"/>
                <w:color w:val="auto"/>
              </w:rPr>
              <w:t>n.a.</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(9,180)</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5,278</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color w:val="auto"/>
              </w:rPr>
              <w:t>Net gain on derivatves held for trading</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29,594</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13,899</w:t>
            </w:r>
          </w:p>
        </w:tc>
        <w:tc>
          <w:tcPr>
            <w:tcW w:w="78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0"/>
                <w:szCs w:val="10"/>
                <w:color w:val="auto"/>
              </w:rPr>
              <w:t>23,551</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69.4%</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20.4%</w:t>
            </w:r>
          </w:p>
        </w:tc>
        <w:tc>
          <w:tcPr>
            <w:tcW w:w="740" w:type="dxa"/>
            <w:vAlign w:val="bottom"/>
          </w:tcPr>
          <w:p>
            <w:pPr>
              <w:jc w:val="center"/>
              <w:ind w:left="88"/>
              <w:spacing w:after="0"/>
              <w:rPr>
                <w:sz w:val="20"/>
                <w:szCs w:val="20"/>
                <w:color w:val="auto"/>
              </w:rPr>
            </w:pPr>
            <w:r>
              <w:rPr>
                <w:rFonts w:ascii="Calibri" w:cs="Calibri" w:eastAsia="Calibri" w:hAnsi="Calibri"/>
                <w:sz w:val="10"/>
                <w:szCs w:val="10"/>
                <w:color w:val="auto"/>
              </w:rPr>
              <w:t>89,706</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73,326</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r>
              <w:rPr>
                <w:rFonts w:ascii="Calibri" w:cs="Calibri" w:eastAsia="Calibri" w:hAnsi="Calibri"/>
                <w:sz w:val="10"/>
                <w:szCs w:val="10"/>
                <w:color w:val="auto"/>
                <w:w w:val="99"/>
              </w:rPr>
              <w:t>18.3%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color w:val="auto"/>
              </w:rPr>
              <w:t>Net loss (gain) from exchange diferences</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(13)</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(10,324)</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(1,525)</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85.2%</w:t>
            </w:r>
          </w:p>
        </w:tc>
        <w:tc>
          <w:tcPr>
            <w:tcW w:w="560" w:type="dxa"/>
            <w:vAlign w:val="bottom"/>
            <w:tcBorders>
              <w:right w:val="single" w:sz="8" w:color="auto"/>
            </w:tcBorders>
          </w:tcPr>
          <w:p>
            <w:pPr>
              <w:ind w:left="200"/>
              <w:spacing w:after="0"/>
              <w:rPr>
                <w:sz w:val="20"/>
                <w:szCs w:val="20"/>
                <w:color w:val="auto"/>
              </w:rPr>
            </w:pPr>
            <w:r>
              <w:rPr>
                <w:rFonts w:ascii="Calibri" w:cs="Calibri" w:eastAsia="Calibri" w:hAnsi="Calibri"/>
                <w:sz w:val="10"/>
                <w:szCs w:val="10"/>
                <w:color w:val="auto"/>
              </w:rPr>
              <w:t>n.a.</w:t>
            </w:r>
          </w:p>
        </w:tc>
        <w:tc>
          <w:tcPr>
            <w:tcW w:w="740" w:type="dxa"/>
            <w:vAlign w:val="bottom"/>
          </w:tcPr>
          <w:p>
            <w:pPr>
              <w:jc w:val="center"/>
              <w:ind w:left="88"/>
              <w:spacing w:after="0"/>
              <w:rPr>
                <w:sz w:val="20"/>
                <w:szCs w:val="20"/>
                <w:color w:val="auto"/>
              </w:rPr>
            </w:pPr>
            <w:r>
              <w:rPr>
                <w:rFonts w:ascii="Calibri" w:cs="Calibri" w:eastAsia="Calibri" w:hAnsi="Calibri"/>
                <w:sz w:val="10"/>
                <w:szCs w:val="10"/>
                <w:color w:val="auto"/>
              </w:rPr>
              <w:t>18,226</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3,248</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r>
              <w:rPr>
                <w:rFonts w:ascii="Calibri" w:cs="Calibri" w:eastAsia="Calibri" w:hAnsi="Calibri"/>
                <w:sz w:val="10"/>
                <w:szCs w:val="10"/>
                <w:color w:val="auto"/>
                <w:w w:val="99"/>
              </w:rPr>
              <w:t>82.2%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b w:val="1"/>
                <w:bCs w:val="1"/>
                <w:color w:val="auto"/>
              </w:rPr>
              <w:t>Others</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59,169</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18,406</w:t>
            </w:r>
          </w:p>
        </w:tc>
        <w:tc>
          <w:tcPr>
            <w:tcW w:w="78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0"/>
                <w:szCs w:val="10"/>
                <w:color w:val="auto"/>
              </w:rPr>
              <w:t>94,340</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412.6%</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59.4%</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292,352</w:t>
            </w:r>
          </w:p>
        </w:tc>
        <w:tc>
          <w:tcPr>
            <w:tcW w:w="102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229,387</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r>
              <w:rPr>
                <w:rFonts w:ascii="Calibri" w:cs="Calibri" w:eastAsia="Calibri" w:hAnsi="Calibri"/>
                <w:sz w:val="10"/>
                <w:szCs w:val="10"/>
                <w:color w:val="auto"/>
                <w:w w:val="99"/>
              </w:rPr>
              <w:t>21.5%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0" w:type="dxa"/>
            <w:vAlign w:val="bottom"/>
            <w:tcBorders>
              <w:right w:val="single" w:sz="8" w:color="auto"/>
            </w:tcBorders>
          </w:tcPr>
          <w:p>
            <w:pPr>
              <w:spacing w:after="0"/>
              <w:rPr>
                <w:sz w:val="10"/>
                <w:szCs w:val="10"/>
                <w:color w:val="auto"/>
              </w:rPr>
            </w:pPr>
          </w:p>
        </w:tc>
        <w:tc>
          <w:tcPr>
            <w:tcW w:w="2640" w:type="dxa"/>
            <w:vAlign w:val="bottom"/>
          </w:tcPr>
          <w:p>
            <w:pPr>
              <w:spacing w:after="0"/>
              <w:rPr>
                <w:sz w:val="20"/>
                <w:szCs w:val="20"/>
                <w:color w:val="auto"/>
              </w:rPr>
            </w:pPr>
            <w:r>
              <w:rPr>
                <w:rFonts w:ascii="Calibri" w:cs="Calibri" w:eastAsia="Calibri" w:hAnsi="Calibri"/>
                <w:sz w:val="10"/>
                <w:szCs w:val="10"/>
                <w:b w:val="1"/>
                <w:bCs w:val="1"/>
                <w:color w:val="auto"/>
              </w:rPr>
              <w:t>Total other income</w:t>
            </w:r>
          </w:p>
        </w:tc>
        <w:tc>
          <w:tcPr>
            <w:tcW w:w="1440" w:type="dxa"/>
            <w:vAlign w:val="bottom"/>
            <w:tcBorders>
              <w:right w:val="single" w:sz="8" w:color="auto"/>
            </w:tcBorders>
          </w:tcPr>
          <w:p>
            <w:pPr>
              <w:spacing w:after="0"/>
              <w:rPr>
                <w:sz w:val="10"/>
                <w:szCs w:val="10"/>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b w:val="1"/>
                <w:bCs w:val="1"/>
                <w:color w:val="auto"/>
              </w:rPr>
              <w:t>1,165,427</w:t>
            </w:r>
          </w:p>
        </w:tc>
        <w:tc>
          <w:tcPr>
            <w:tcW w:w="1000" w:type="dxa"/>
            <w:vAlign w:val="bottom"/>
          </w:tcPr>
          <w:p>
            <w:pPr>
              <w:jc w:val="center"/>
              <w:ind w:right="68"/>
              <w:spacing w:after="0"/>
              <w:rPr>
                <w:sz w:val="20"/>
                <w:szCs w:val="20"/>
                <w:color w:val="auto"/>
              </w:rPr>
            </w:pPr>
            <w:r>
              <w:rPr>
                <w:rFonts w:ascii="Calibri" w:cs="Calibri" w:eastAsia="Calibri" w:hAnsi="Calibri"/>
                <w:sz w:val="10"/>
                <w:szCs w:val="10"/>
                <w:b w:val="1"/>
                <w:bCs w:val="1"/>
                <w:color w:val="auto"/>
              </w:rPr>
              <w:t>1,275,617</w:t>
            </w:r>
          </w:p>
        </w:tc>
        <w:tc>
          <w:tcPr>
            <w:tcW w:w="780" w:type="dxa"/>
            <w:vAlign w:val="bottom"/>
            <w:tcBorders>
              <w:right w:val="single" w:sz="8" w:color="auto"/>
            </w:tcBorders>
          </w:tcPr>
          <w:p>
            <w:pPr>
              <w:jc w:val="center"/>
              <w:ind w:right="88"/>
              <w:spacing w:after="0"/>
              <w:rPr>
                <w:sz w:val="20"/>
                <w:szCs w:val="20"/>
                <w:color w:val="auto"/>
              </w:rPr>
            </w:pPr>
            <w:r>
              <w:rPr>
                <w:rFonts w:ascii="Calibri" w:cs="Calibri" w:eastAsia="Calibri" w:hAnsi="Calibri"/>
                <w:sz w:val="10"/>
                <w:szCs w:val="10"/>
                <w:b w:val="1"/>
                <w:bCs w:val="1"/>
                <w:color w:val="auto"/>
              </w:rPr>
              <w:t>1,405,044</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rPr>
              <w:t>10.1%</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20.6%</w:t>
            </w:r>
          </w:p>
        </w:tc>
        <w:tc>
          <w:tcPr>
            <w:tcW w:w="740" w:type="dxa"/>
            <w:vAlign w:val="bottom"/>
          </w:tcPr>
          <w:p>
            <w:pPr>
              <w:jc w:val="center"/>
              <w:ind w:left="88"/>
              <w:spacing w:after="0"/>
              <w:rPr>
                <w:sz w:val="20"/>
                <w:szCs w:val="20"/>
                <w:color w:val="auto"/>
              </w:rPr>
            </w:pPr>
            <w:r>
              <w:rPr>
                <w:rFonts w:ascii="Calibri" w:cs="Calibri" w:eastAsia="Calibri" w:hAnsi="Calibri"/>
                <w:sz w:val="10"/>
                <w:szCs w:val="10"/>
                <w:b w:val="1"/>
                <w:bCs w:val="1"/>
                <w:color w:val="auto"/>
              </w:rPr>
              <w:t>4,511,231</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5,126,854</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14.2%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b w:val="1"/>
                <w:bCs w:val="1"/>
                <w:color w:val="auto"/>
              </w:rPr>
              <w:t>Total expenses</w:t>
            </w:r>
          </w:p>
        </w:tc>
        <w:tc>
          <w:tcPr>
            <w:tcW w:w="144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20" w:type="dxa"/>
            <w:vAlign w:val="bottom"/>
            <w:tcBorders>
              <w:right w:val="single" w:sz="8" w:color="auto"/>
            </w:tcBorders>
          </w:tcPr>
          <w:p>
            <w:pPr>
              <w:spacing w:after="0"/>
              <w:rPr>
                <w:sz w:val="15"/>
                <w:szCs w:val="15"/>
                <w:color w:val="auto"/>
              </w:rPr>
            </w:pPr>
          </w:p>
        </w:tc>
        <w:tc>
          <w:tcPr>
            <w:tcW w:w="2640" w:type="dxa"/>
            <w:vAlign w:val="bottom"/>
          </w:tcPr>
          <w:p>
            <w:pPr>
              <w:ind w:left="140"/>
              <w:spacing w:after="0"/>
              <w:rPr>
                <w:sz w:val="20"/>
                <w:szCs w:val="20"/>
                <w:color w:val="auto"/>
              </w:rPr>
            </w:pPr>
            <w:r>
              <w:rPr>
                <w:rFonts w:ascii="Calibri" w:cs="Calibri" w:eastAsia="Calibri" w:hAnsi="Calibri"/>
                <w:sz w:val="10"/>
                <w:szCs w:val="10"/>
                <w:color w:val="auto"/>
              </w:rPr>
              <w:t>Salaries and employee benefts</w:t>
            </w:r>
          </w:p>
        </w:tc>
        <w:tc>
          <w:tcPr>
            <w:tcW w:w="1440" w:type="dxa"/>
            <w:vAlign w:val="bottom"/>
            <w:tcBorders>
              <w:right w:val="single" w:sz="8" w:color="auto"/>
            </w:tcBorders>
          </w:tcPr>
          <w:p>
            <w:pPr>
              <w:spacing w:after="0"/>
              <w:rPr>
                <w:sz w:val="15"/>
                <w:szCs w:val="15"/>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(592,595)</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(640,392)</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(762,850)</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19.1%</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28.7%</w:t>
            </w:r>
          </w:p>
        </w:tc>
        <w:tc>
          <w:tcPr>
            <w:tcW w:w="740" w:type="dxa"/>
            <w:vAlign w:val="bottom"/>
          </w:tcPr>
          <w:p>
            <w:pPr>
              <w:jc w:val="center"/>
              <w:ind w:left="88"/>
              <w:spacing w:after="0"/>
              <w:rPr>
                <w:sz w:val="20"/>
                <w:szCs w:val="20"/>
                <w:color w:val="auto"/>
              </w:rPr>
            </w:pPr>
            <w:r>
              <w:rPr>
                <w:rFonts w:ascii="Calibri" w:cs="Calibri" w:eastAsia="Calibri" w:hAnsi="Calibri"/>
                <w:sz w:val="10"/>
                <w:szCs w:val="10"/>
                <w:color w:val="auto"/>
              </w:rPr>
              <w:t>(2,254,885)</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(2,615,512)</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16.0%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0" w:type="dxa"/>
            <w:vAlign w:val="bottom"/>
            <w:tcBorders>
              <w:right w:val="single" w:sz="8" w:color="auto"/>
            </w:tcBorders>
          </w:tcPr>
          <w:p>
            <w:pPr>
              <w:spacing w:after="0"/>
              <w:rPr>
                <w:sz w:val="11"/>
                <w:szCs w:val="11"/>
                <w:color w:val="auto"/>
              </w:rPr>
            </w:pPr>
          </w:p>
        </w:tc>
        <w:tc>
          <w:tcPr>
            <w:tcW w:w="2640" w:type="dxa"/>
            <w:vAlign w:val="bottom"/>
          </w:tcPr>
          <w:p>
            <w:pPr>
              <w:ind w:left="140"/>
              <w:spacing w:after="0"/>
              <w:rPr>
                <w:sz w:val="20"/>
                <w:szCs w:val="20"/>
                <w:color w:val="auto"/>
              </w:rPr>
            </w:pPr>
            <w:r>
              <w:rPr>
                <w:rFonts w:ascii="Calibri" w:cs="Calibri" w:eastAsia="Calibri" w:hAnsi="Calibri"/>
                <w:sz w:val="10"/>
                <w:szCs w:val="10"/>
                <w:color w:val="auto"/>
              </w:rPr>
              <w:t>Administratve expenses</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(794,793)</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(720,329)</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(899,798)</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24.9%</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13.2%</w:t>
            </w:r>
          </w:p>
        </w:tc>
        <w:tc>
          <w:tcPr>
            <w:tcW w:w="740" w:type="dxa"/>
            <w:vAlign w:val="bottom"/>
          </w:tcPr>
          <w:p>
            <w:pPr>
              <w:jc w:val="center"/>
              <w:ind w:left="88"/>
              <w:spacing w:after="0"/>
              <w:rPr>
                <w:sz w:val="20"/>
                <w:szCs w:val="20"/>
                <w:color w:val="auto"/>
              </w:rPr>
            </w:pPr>
            <w:r>
              <w:rPr>
                <w:rFonts w:ascii="Calibri" w:cs="Calibri" w:eastAsia="Calibri" w:hAnsi="Calibri"/>
                <w:sz w:val="10"/>
                <w:szCs w:val="10"/>
                <w:color w:val="auto"/>
              </w:rPr>
              <w:t>(2,656,468)</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(2,950,178)</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11.1%</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0" w:type="dxa"/>
            <w:vAlign w:val="bottom"/>
            <w:tcBorders>
              <w:right w:val="single" w:sz="8" w:color="auto"/>
            </w:tcBorders>
          </w:tcPr>
          <w:p>
            <w:pPr>
              <w:spacing w:after="0"/>
              <w:rPr>
                <w:sz w:val="12"/>
                <w:szCs w:val="12"/>
                <w:color w:val="auto"/>
              </w:rPr>
            </w:pPr>
          </w:p>
        </w:tc>
        <w:tc>
          <w:tcPr>
            <w:tcW w:w="2640" w:type="dxa"/>
            <w:vAlign w:val="bottom"/>
          </w:tcPr>
          <w:p>
            <w:pPr>
              <w:ind w:left="140"/>
              <w:spacing w:after="0" w:line="140" w:lineRule="exact"/>
              <w:rPr>
                <w:sz w:val="20"/>
                <w:szCs w:val="20"/>
                <w:color w:val="auto"/>
              </w:rPr>
            </w:pPr>
            <w:r>
              <w:rPr>
                <w:rFonts w:ascii="Calibri" w:cs="Calibri" w:eastAsia="Calibri" w:hAnsi="Calibri"/>
                <w:sz w:val="9"/>
                <w:szCs w:val="9"/>
                <w:color w:val="auto"/>
              </w:rPr>
              <w:t xml:space="preserve">Depreciaton and amortzaton </w:t>
            </w:r>
            <w:r>
              <w:rPr>
                <w:rFonts w:ascii="Calibri" w:cs="Calibri" w:eastAsia="Calibri" w:hAnsi="Calibri"/>
                <w:sz w:val="15"/>
                <w:szCs w:val="15"/>
                <w:color w:val="auto"/>
                <w:vertAlign w:val="superscript"/>
              </w:rPr>
              <w:t>(2)</w:t>
            </w:r>
          </w:p>
        </w:tc>
        <w:tc>
          <w:tcPr>
            <w:tcW w:w="1440" w:type="dxa"/>
            <w:vAlign w:val="bottom"/>
            <w:tcBorders>
              <w:right w:val="single" w:sz="8" w:color="auto"/>
            </w:tcBorders>
          </w:tcPr>
          <w:p>
            <w:pPr>
              <w:spacing w:after="0"/>
              <w:rPr>
                <w:sz w:val="12"/>
                <w:szCs w:val="12"/>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(123,363)</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(123,740)</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(131,376)</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6.2%</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6.5%</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(460,043)</w:t>
            </w:r>
          </w:p>
        </w:tc>
        <w:tc>
          <w:tcPr>
            <w:tcW w:w="102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(491,360)</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20" w:type="dxa"/>
            <w:vAlign w:val="bottom"/>
            <w:tcBorders>
              <w:right w:val="single" w:sz="8" w:color="auto"/>
            </w:tcBorders>
          </w:tcPr>
          <w:p>
            <w:pPr>
              <w:spacing w:after="0"/>
              <w:rPr>
                <w:sz w:val="10"/>
                <w:szCs w:val="10"/>
                <w:color w:val="auto"/>
              </w:rPr>
            </w:pPr>
          </w:p>
        </w:tc>
        <w:tc>
          <w:tcPr>
            <w:tcW w:w="2640" w:type="dxa"/>
            <w:vAlign w:val="bottom"/>
          </w:tcPr>
          <w:p>
            <w:pPr>
              <w:ind w:left="140"/>
              <w:spacing w:after="0"/>
              <w:rPr>
                <w:sz w:val="20"/>
                <w:szCs w:val="20"/>
                <w:color w:val="auto"/>
              </w:rPr>
            </w:pPr>
            <w:r>
              <w:rPr>
                <w:rFonts w:ascii="Calibri" w:cs="Calibri" w:eastAsia="Calibri" w:hAnsi="Calibri"/>
                <w:sz w:val="10"/>
                <w:szCs w:val="10"/>
                <w:color w:val="auto"/>
              </w:rPr>
              <w:t>Other expenses</w:t>
            </w:r>
          </w:p>
        </w:tc>
        <w:tc>
          <w:tcPr>
            <w:tcW w:w="1440" w:type="dxa"/>
            <w:vAlign w:val="bottom"/>
            <w:tcBorders>
              <w:right w:val="single" w:sz="8" w:color="auto"/>
            </w:tcBorders>
          </w:tcPr>
          <w:p>
            <w:pPr>
              <w:spacing w:after="0"/>
              <w:rPr>
                <w:sz w:val="10"/>
                <w:szCs w:val="10"/>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(100,066)</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(57,047)</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(106,338)</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86.4%</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6.3%</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(252,114)</w:t>
            </w:r>
          </w:p>
        </w:tc>
        <w:tc>
          <w:tcPr>
            <w:tcW w:w="102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color w:val="auto"/>
              </w:rPr>
              <w:t>(266,982)</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b w:val="1"/>
                <w:bCs w:val="1"/>
                <w:color w:val="auto"/>
              </w:rPr>
              <w:t>Total expenses</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b w:val="1"/>
                <w:bCs w:val="1"/>
                <w:color w:val="auto"/>
              </w:rPr>
              <w:t>(1,610,817)</w:t>
            </w:r>
          </w:p>
        </w:tc>
        <w:tc>
          <w:tcPr>
            <w:tcW w:w="1000" w:type="dxa"/>
            <w:vAlign w:val="bottom"/>
          </w:tcPr>
          <w:p>
            <w:pPr>
              <w:jc w:val="center"/>
              <w:ind w:right="68"/>
              <w:spacing w:after="0"/>
              <w:rPr>
                <w:sz w:val="20"/>
                <w:szCs w:val="20"/>
                <w:color w:val="auto"/>
              </w:rPr>
            </w:pPr>
            <w:r>
              <w:rPr>
                <w:rFonts w:ascii="Calibri" w:cs="Calibri" w:eastAsia="Calibri" w:hAnsi="Calibri"/>
                <w:sz w:val="10"/>
                <w:szCs w:val="10"/>
                <w:b w:val="1"/>
                <w:bCs w:val="1"/>
                <w:color w:val="auto"/>
              </w:rPr>
              <w:t>(1,541,508)</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b w:val="1"/>
                <w:bCs w:val="1"/>
                <w:color w:val="auto"/>
              </w:rPr>
              <w:t>(1,900,362)</w:t>
            </w:r>
          </w:p>
        </w:tc>
        <w:tc>
          <w:tcPr>
            <w:tcW w:w="560" w:type="dxa"/>
            <w:vAlign w:val="bottom"/>
          </w:tcPr>
          <w:p>
            <w:pPr>
              <w:jc w:val="center"/>
              <w:spacing w:after="0"/>
              <w:rPr>
                <w:sz w:val="20"/>
                <w:szCs w:val="20"/>
                <w:color w:val="auto"/>
              </w:rPr>
            </w:pPr>
            <w:r>
              <w:rPr>
                <w:rFonts w:ascii="Calibri" w:cs="Calibri" w:eastAsia="Calibri" w:hAnsi="Calibri"/>
                <w:sz w:val="10"/>
                <w:szCs w:val="10"/>
                <w:b w:val="1"/>
                <w:bCs w:val="1"/>
                <w:color w:val="auto"/>
              </w:rPr>
              <w:t>23.3%</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19.3%</w:t>
            </w:r>
          </w:p>
        </w:tc>
        <w:tc>
          <w:tcPr>
            <w:tcW w:w="740" w:type="dxa"/>
            <w:vAlign w:val="bottom"/>
          </w:tcPr>
          <w:p>
            <w:pPr>
              <w:jc w:val="center"/>
              <w:ind w:left="108"/>
              <w:spacing w:after="0"/>
              <w:rPr>
                <w:sz w:val="20"/>
                <w:szCs w:val="20"/>
                <w:color w:val="auto"/>
              </w:rPr>
            </w:pPr>
            <w:r>
              <w:rPr>
                <w:rFonts w:ascii="Calibri" w:cs="Calibri" w:eastAsia="Calibri" w:hAnsi="Calibri"/>
                <w:sz w:val="10"/>
                <w:szCs w:val="10"/>
                <w:b w:val="1"/>
                <w:bCs w:val="1"/>
                <w:color w:val="auto"/>
              </w:rPr>
              <w:t>(5,623,510)</w:t>
            </w:r>
          </w:p>
        </w:tc>
        <w:tc>
          <w:tcPr>
            <w:tcW w:w="1020" w:type="dxa"/>
            <w:vAlign w:val="bottom"/>
            <w:tcBorders>
              <w:right w:val="single" w:sz="8" w:color="auto"/>
            </w:tcBorders>
          </w:tcPr>
          <w:p>
            <w:pPr>
              <w:jc w:val="center"/>
              <w:ind w:left="108"/>
              <w:spacing w:after="0"/>
              <w:rPr>
                <w:sz w:val="20"/>
                <w:szCs w:val="20"/>
                <w:color w:val="auto"/>
              </w:rPr>
            </w:pPr>
            <w:r>
              <w:rPr>
                <w:rFonts w:ascii="Calibri" w:cs="Calibri" w:eastAsia="Calibri" w:hAnsi="Calibri"/>
                <w:sz w:val="10"/>
                <w:szCs w:val="10"/>
                <w:b w:val="1"/>
                <w:bCs w:val="1"/>
                <w:color w:val="auto"/>
              </w:rPr>
              <w:t>(6,324,032)</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b w:val="1"/>
                <w:bCs w:val="1"/>
                <w:color w:val="auto"/>
              </w:rPr>
              <w:t>Proft before income tax</w:t>
            </w:r>
          </w:p>
        </w:tc>
        <w:tc>
          <w:tcPr>
            <w:tcW w:w="1440" w:type="dxa"/>
            <w:vAlign w:val="bottom"/>
            <w:tcBorders>
              <w:right w:val="single" w:sz="8" w:color="auto"/>
            </w:tcBorders>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Calibri" w:cs="Calibri" w:eastAsia="Calibri" w:hAnsi="Calibri"/>
                <w:sz w:val="10"/>
                <w:szCs w:val="10"/>
                <w:b w:val="1"/>
                <w:bCs w:val="1"/>
                <w:color w:val="auto"/>
              </w:rPr>
              <w:t>1,274,977</w:t>
            </w:r>
          </w:p>
        </w:tc>
        <w:tc>
          <w:tcPr>
            <w:tcW w:w="1000" w:type="dxa"/>
            <w:vAlign w:val="bottom"/>
            <w:vMerge w:val="restart"/>
          </w:tcPr>
          <w:p>
            <w:pPr>
              <w:jc w:val="center"/>
              <w:ind w:right="68"/>
              <w:spacing w:after="0"/>
              <w:rPr>
                <w:sz w:val="20"/>
                <w:szCs w:val="20"/>
                <w:color w:val="auto"/>
              </w:rPr>
            </w:pPr>
            <w:r>
              <w:rPr>
                <w:rFonts w:ascii="Calibri" w:cs="Calibri" w:eastAsia="Calibri" w:hAnsi="Calibri"/>
                <w:sz w:val="10"/>
                <w:szCs w:val="10"/>
                <w:b w:val="1"/>
                <w:bCs w:val="1"/>
                <w:color w:val="auto"/>
              </w:rPr>
              <w:t>1,859,294</w:t>
            </w:r>
          </w:p>
        </w:tc>
        <w:tc>
          <w:tcPr>
            <w:tcW w:w="780" w:type="dxa"/>
            <w:vAlign w:val="bottom"/>
            <w:tcBorders>
              <w:right w:val="single" w:sz="8" w:color="auto"/>
            </w:tcBorders>
            <w:vMerge w:val="restart"/>
          </w:tcPr>
          <w:p>
            <w:pPr>
              <w:jc w:val="center"/>
              <w:ind w:right="88"/>
              <w:spacing w:after="0"/>
              <w:rPr>
                <w:sz w:val="20"/>
                <w:szCs w:val="20"/>
                <w:color w:val="auto"/>
              </w:rPr>
            </w:pPr>
            <w:r>
              <w:rPr>
                <w:rFonts w:ascii="Calibri" w:cs="Calibri" w:eastAsia="Calibri" w:hAnsi="Calibri"/>
                <w:sz w:val="10"/>
                <w:szCs w:val="10"/>
                <w:b w:val="1"/>
                <w:bCs w:val="1"/>
                <w:color w:val="auto"/>
              </w:rPr>
              <w:t>1,750,202</w:t>
            </w:r>
          </w:p>
        </w:tc>
        <w:tc>
          <w:tcPr>
            <w:tcW w:w="560" w:type="dxa"/>
            <w:vAlign w:val="bottom"/>
            <w:vMerge w:val="restart"/>
          </w:tcPr>
          <w:p>
            <w:pPr>
              <w:jc w:val="center"/>
              <w:spacing w:after="0"/>
              <w:rPr>
                <w:sz w:val="20"/>
                <w:szCs w:val="20"/>
                <w:color w:val="auto"/>
              </w:rPr>
            </w:pPr>
            <w:r>
              <w:rPr>
                <w:rFonts w:ascii="Calibri" w:cs="Calibri" w:eastAsia="Calibri" w:hAnsi="Calibri"/>
                <w:sz w:val="10"/>
                <w:szCs w:val="10"/>
                <w:b w:val="1"/>
                <w:bCs w:val="1"/>
                <w:color w:val="auto"/>
              </w:rPr>
              <w:t>-5.9%</w:t>
            </w:r>
          </w:p>
        </w:tc>
        <w:tc>
          <w:tcPr>
            <w:tcW w:w="5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0"/>
                <w:szCs w:val="10"/>
                <w:b w:val="1"/>
                <w:bCs w:val="1"/>
                <w:color w:val="auto"/>
              </w:rPr>
              <w:t>37.3%</w:t>
            </w:r>
          </w:p>
        </w:tc>
        <w:tc>
          <w:tcPr>
            <w:tcW w:w="740" w:type="dxa"/>
            <w:vAlign w:val="bottom"/>
            <w:vMerge w:val="restart"/>
          </w:tcPr>
          <w:p>
            <w:pPr>
              <w:jc w:val="center"/>
              <w:ind w:left="88"/>
              <w:spacing w:after="0"/>
              <w:rPr>
                <w:sz w:val="20"/>
                <w:szCs w:val="20"/>
                <w:color w:val="auto"/>
              </w:rPr>
            </w:pPr>
            <w:r>
              <w:rPr>
                <w:rFonts w:ascii="Calibri" w:cs="Calibri" w:eastAsia="Calibri" w:hAnsi="Calibri"/>
                <w:sz w:val="10"/>
                <w:szCs w:val="10"/>
                <w:b w:val="1"/>
                <w:bCs w:val="1"/>
                <w:color w:val="auto"/>
              </w:rPr>
              <w:t>6,073,898</w:t>
            </w:r>
          </w:p>
        </w:tc>
        <w:tc>
          <w:tcPr>
            <w:tcW w:w="1020" w:type="dxa"/>
            <w:vAlign w:val="bottom"/>
            <w:tcBorders>
              <w:right w:val="single" w:sz="8" w:color="auto"/>
            </w:tcBorders>
            <w:vMerge w:val="restart"/>
          </w:tcPr>
          <w:p>
            <w:pPr>
              <w:jc w:val="center"/>
              <w:ind w:left="88"/>
              <w:spacing w:after="0"/>
              <w:rPr>
                <w:sz w:val="20"/>
                <w:szCs w:val="20"/>
                <w:color w:val="auto"/>
              </w:rPr>
            </w:pPr>
            <w:r>
              <w:rPr>
                <w:rFonts w:ascii="Calibri" w:cs="Calibri" w:eastAsia="Calibri" w:hAnsi="Calibri"/>
                <w:sz w:val="10"/>
                <w:szCs w:val="10"/>
                <w:b w:val="1"/>
                <w:bCs w:val="1"/>
                <w:color w:val="auto"/>
              </w:rPr>
              <w:t>7,064,933</w:t>
            </w:r>
          </w:p>
        </w:tc>
        <w:tc>
          <w:tcPr>
            <w:tcW w:w="10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0"/>
                <w:szCs w:val="10"/>
                <w:b w:val="1"/>
                <w:bCs w:val="1"/>
                <w:color w:val="auto"/>
              </w:rPr>
              <w:t>16.3%</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right w:val="single" w:sz="8" w:color="auto"/>
            </w:tcBorders>
          </w:tcPr>
          <w:p>
            <w:pPr>
              <w:spacing w:after="0"/>
              <w:rPr>
                <w:sz w:val="6"/>
                <w:szCs w:val="6"/>
                <w:color w:val="auto"/>
              </w:rPr>
            </w:pPr>
          </w:p>
        </w:tc>
        <w:tc>
          <w:tcPr>
            <w:tcW w:w="2640" w:type="dxa"/>
            <w:vAlign w:val="bottom"/>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8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60" w:type="dxa"/>
            <w:vAlign w:val="bottom"/>
            <w:tcBorders>
              <w:right w:val="single" w:sz="8" w:color="auto"/>
            </w:tcBorders>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color w:val="auto"/>
              </w:rPr>
              <w:t>Income tax</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(320,936)</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(456,956)</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(481,509)</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5.4%</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50.0%</w:t>
            </w:r>
          </w:p>
        </w:tc>
        <w:tc>
          <w:tcPr>
            <w:tcW w:w="740" w:type="dxa"/>
            <w:vAlign w:val="bottom"/>
          </w:tcPr>
          <w:p>
            <w:pPr>
              <w:jc w:val="center"/>
              <w:ind w:left="88"/>
              <w:spacing w:after="0"/>
              <w:rPr>
                <w:sz w:val="20"/>
                <w:szCs w:val="20"/>
                <w:color w:val="auto"/>
              </w:rPr>
            </w:pPr>
            <w:r>
              <w:rPr>
                <w:rFonts w:ascii="Calibri" w:cs="Calibri" w:eastAsia="Calibri" w:hAnsi="Calibri"/>
                <w:sz w:val="10"/>
                <w:szCs w:val="10"/>
                <w:color w:val="auto"/>
              </w:rPr>
              <w:t>(1,497,896)</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(1,767,305)</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18.0%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tcPr>
          <w:p>
            <w:pPr>
              <w:spacing w:after="0"/>
              <w:rPr>
                <w:sz w:val="20"/>
                <w:szCs w:val="20"/>
                <w:color w:val="auto"/>
              </w:rPr>
            </w:pPr>
            <w:r>
              <w:rPr>
                <w:rFonts w:ascii="Calibri" w:cs="Calibri" w:eastAsia="Calibri" w:hAnsi="Calibri"/>
                <w:sz w:val="10"/>
                <w:szCs w:val="10"/>
                <w:b w:val="1"/>
                <w:bCs w:val="1"/>
                <w:color w:val="auto"/>
              </w:rPr>
              <w:t>Net proft</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Calibri" w:cs="Calibri" w:eastAsia="Calibri" w:hAnsi="Calibri"/>
                <w:sz w:val="10"/>
                <w:szCs w:val="10"/>
                <w:color w:val="auto"/>
              </w:rPr>
              <w:t>954,041</w:t>
            </w:r>
          </w:p>
        </w:tc>
        <w:tc>
          <w:tcPr>
            <w:tcW w:w="1000" w:type="dxa"/>
            <w:vAlign w:val="bottom"/>
          </w:tcPr>
          <w:p>
            <w:pPr>
              <w:jc w:val="center"/>
              <w:ind w:right="68"/>
              <w:spacing w:after="0"/>
              <w:rPr>
                <w:sz w:val="20"/>
                <w:szCs w:val="20"/>
                <w:color w:val="auto"/>
              </w:rPr>
            </w:pPr>
            <w:r>
              <w:rPr>
                <w:rFonts w:ascii="Calibri" w:cs="Calibri" w:eastAsia="Calibri" w:hAnsi="Calibri"/>
                <w:sz w:val="10"/>
                <w:szCs w:val="10"/>
                <w:color w:val="auto"/>
              </w:rPr>
              <w:t>1,402,338</w:t>
            </w:r>
          </w:p>
        </w:tc>
        <w:tc>
          <w:tcPr>
            <w:tcW w:w="780" w:type="dxa"/>
            <w:vAlign w:val="bottom"/>
            <w:tcBorders>
              <w:right w:val="single" w:sz="8" w:color="auto"/>
            </w:tcBorders>
          </w:tcPr>
          <w:p>
            <w:pPr>
              <w:jc w:val="center"/>
              <w:ind w:right="68"/>
              <w:spacing w:after="0"/>
              <w:rPr>
                <w:sz w:val="20"/>
                <w:szCs w:val="20"/>
                <w:color w:val="auto"/>
              </w:rPr>
            </w:pPr>
            <w:r>
              <w:rPr>
                <w:rFonts w:ascii="Calibri" w:cs="Calibri" w:eastAsia="Calibri" w:hAnsi="Calibri"/>
                <w:sz w:val="10"/>
                <w:szCs w:val="10"/>
                <w:color w:val="auto"/>
              </w:rPr>
              <w:t>1,268,693</w:t>
            </w:r>
          </w:p>
        </w:tc>
        <w:tc>
          <w:tcPr>
            <w:tcW w:w="560" w:type="dxa"/>
            <w:vAlign w:val="bottom"/>
          </w:tcPr>
          <w:p>
            <w:pPr>
              <w:jc w:val="center"/>
              <w:spacing w:after="0"/>
              <w:rPr>
                <w:sz w:val="20"/>
                <w:szCs w:val="20"/>
                <w:color w:val="auto"/>
              </w:rPr>
            </w:pPr>
            <w:r>
              <w:rPr>
                <w:rFonts w:ascii="Calibri" w:cs="Calibri" w:eastAsia="Calibri" w:hAnsi="Calibri"/>
                <w:sz w:val="10"/>
                <w:szCs w:val="10"/>
                <w:color w:val="auto"/>
              </w:rPr>
              <w:t>-9.5%</w:t>
            </w:r>
          </w:p>
        </w:tc>
        <w:tc>
          <w:tcPr>
            <w:tcW w:w="5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33.0%</w:t>
            </w:r>
          </w:p>
        </w:tc>
        <w:tc>
          <w:tcPr>
            <w:tcW w:w="740" w:type="dxa"/>
            <w:vAlign w:val="bottom"/>
          </w:tcPr>
          <w:p>
            <w:pPr>
              <w:jc w:val="center"/>
              <w:ind w:left="108"/>
              <w:spacing w:after="0"/>
              <w:rPr>
                <w:sz w:val="20"/>
                <w:szCs w:val="20"/>
                <w:color w:val="auto"/>
              </w:rPr>
            </w:pPr>
            <w:r>
              <w:rPr>
                <w:rFonts w:ascii="Calibri" w:cs="Calibri" w:eastAsia="Calibri" w:hAnsi="Calibri"/>
                <w:sz w:val="10"/>
                <w:szCs w:val="10"/>
                <w:color w:val="auto"/>
              </w:rPr>
              <w:t>4,576,002</w:t>
            </w:r>
          </w:p>
        </w:tc>
        <w:tc>
          <w:tcPr>
            <w:tcW w:w="1020" w:type="dxa"/>
            <w:vAlign w:val="bottom"/>
            <w:tcBorders>
              <w:right w:val="single" w:sz="8" w:color="auto"/>
            </w:tcBorders>
          </w:tcPr>
          <w:p>
            <w:pPr>
              <w:jc w:val="center"/>
              <w:ind w:left="88"/>
              <w:spacing w:after="0"/>
              <w:rPr>
                <w:sz w:val="20"/>
                <w:szCs w:val="20"/>
                <w:color w:val="auto"/>
              </w:rPr>
            </w:pPr>
            <w:r>
              <w:rPr>
                <w:rFonts w:ascii="Calibri" w:cs="Calibri" w:eastAsia="Calibri" w:hAnsi="Calibri"/>
                <w:sz w:val="10"/>
                <w:szCs w:val="10"/>
                <w:color w:val="auto"/>
              </w:rPr>
              <w:t>5,297,628</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15.8%</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 w:type="dxa"/>
            <w:vAlign w:val="bottom"/>
            <w:tcBorders>
              <w:right w:val="single" w:sz="8" w:color="auto"/>
            </w:tcBorders>
          </w:tcPr>
          <w:p>
            <w:pPr>
              <w:spacing w:after="0"/>
              <w:rPr>
                <w:sz w:val="11"/>
                <w:szCs w:val="11"/>
                <w:color w:val="auto"/>
              </w:rPr>
            </w:pPr>
          </w:p>
        </w:tc>
        <w:tc>
          <w:tcPr>
            <w:tcW w:w="2640" w:type="dxa"/>
            <w:vAlign w:val="bottom"/>
          </w:tcPr>
          <w:p>
            <w:pPr>
              <w:ind w:left="140"/>
              <w:spacing w:after="0"/>
              <w:rPr>
                <w:sz w:val="20"/>
                <w:szCs w:val="20"/>
                <w:color w:val="auto"/>
              </w:rPr>
            </w:pPr>
            <w:r>
              <w:rPr>
                <w:rFonts w:ascii="Calibri" w:cs="Calibri" w:eastAsia="Calibri" w:hAnsi="Calibri"/>
                <w:sz w:val="10"/>
                <w:szCs w:val="10"/>
                <w:color w:val="auto"/>
              </w:rPr>
              <w:t>Non-controlling interest</w:t>
            </w:r>
          </w:p>
        </w:tc>
        <w:tc>
          <w:tcPr>
            <w:tcW w:w="1440" w:type="dxa"/>
            <w:vAlign w:val="bottom"/>
            <w:tcBorders>
              <w:right w:val="single" w:sz="8" w:color="auto"/>
            </w:tcBorders>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000" w:type="dxa"/>
            <w:vAlign w:val="bottom"/>
          </w:tcPr>
          <w:p>
            <w:pPr>
              <w:jc w:val="center"/>
              <w:ind w:right="68"/>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right w:val="single" w:sz="8" w:color="auto"/>
            </w:tcBorders>
          </w:tcPr>
          <w:p>
            <w:pPr>
              <w:jc w:val="center"/>
              <w:ind w:right="88"/>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ind w:left="360"/>
              <w:spacing w:after="0"/>
              <w:rPr>
                <w:sz w:val="20"/>
                <w:szCs w:val="20"/>
                <w:color w:val="auto"/>
              </w:rPr>
            </w:pPr>
            <w:r>
              <w:rPr>
                <w:rFonts w:ascii="Calibri" w:cs="Calibri" w:eastAsia="Calibri" w:hAnsi="Calibri"/>
                <w:sz w:val="10"/>
                <w:szCs w:val="10"/>
                <w:color w:val="auto"/>
              </w:rPr>
              <w:t>n.a.</w:t>
            </w:r>
          </w:p>
        </w:tc>
        <w:tc>
          <w:tcPr>
            <w:tcW w:w="560" w:type="dxa"/>
            <w:vAlign w:val="bottom"/>
            <w:tcBorders>
              <w:right w:val="single" w:sz="8" w:color="auto"/>
            </w:tcBorders>
          </w:tcPr>
          <w:p>
            <w:pPr>
              <w:ind w:left="180"/>
              <w:spacing w:after="0"/>
              <w:rPr>
                <w:sz w:val="20"/>
                <w:szCs w:val="20"/>
                <w:color w:val="auto"/>
              </w:rPr>
            </w:pPr>
            <w:r>
              <w:rPr>
                <w:rFonts w:ascii="Calibri" w:cs="Calibri" w:eastAsia="Calibri" w:hAnsi="Calibri"/>
                <w:sz w:val="10"/>
                <w:szCs w:val="10"/>
                <w:color w:val="auto"/>
              </w:rPr>
              <w:t>n.a.</w:t>
            </w:r>
          </w:p>
        </w:tc>
        <w:tc>
          <w:tcPr>
            <w:tcW w:w="740" w:type="dxa"/>
            <w:vAlign w:val="bottom"/>
          </w:tcPr>
          <w:p>
            <w:pPr>
              <w:jc w:val="center"/>
              <w:ind w:left="88"/>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right w:val="single" w:sz="8" w:color="auto"/>
            </w:tcBorders>
          </w:tcPr>
          <w:p>
            <w:pPr>
              <w:jc w:val="center"/>
              <w:ind w:left="88"/>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n.a.</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0" w:type="dxa"/>
            <w:vAlign w:val="bottom"/>
            <w:tcBorders>
              <w:right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20"/>
                <w:szCs w:val="20"/>
                <w:color w:val="auto"/>
              </w:rPr>
            </w:pPr>
            <w:r>
              <w:rPr>
                <w:rFonts w:ascii="Calibri" w:cs="Calibri" w:eastAsia="Calibri" w:hAnsi="Calibri"/>
                <w:sz w:val="10"/>
                <w:szCs w:val="10"/>
                <w:b w:val="1"/>
                <w:bCs w:val="1"/>
                <w:color w:val="auto"/>
              </w:rPr>
              <w:t>Net proft atributable to BCP</w:t>
            </w:r>
          </w:p>
        </w:tc>
        <w:tc>
          <w:tcPr>
            <w:tcW w:w="14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954,041</w:t>
            </w:r>
          </w:p>
        </w:tc>
        <w:tc>
          <w:tcPr>
            <w:tcW w:w="1000" w:type="dxa"/>
            <w:vAlign w:val="bottom"/>
            <w:tcBorders>
              <w:bottom w:val="single" w:sz="8" w:color="auto"/>
            </w:tcBorders>
          </w:tcPr>
          <w:p>
            <w:pPr>
              <w:jc w:val="center"/>
              <w:ind w:right="68"/>
              <w:spacing w:after="0"/>
              <w:rPr>
                <w:sz w:val="20"/>
                <w:szCs w:val="20"/>
                <w:color w:val="auto"/>
              </w:rPr>
            </w:pPr>
            <w:r>
              <w:rPr>
                <w:rFonts w:ascii="Calibri" w:cs="Calibri" w:eastAsia="Calibri" w:hAnsi="Calibri"/>
                <w:sz w:val="10"/>
                <w:szCs w:val="10"/>
                <w:b w:val="1"/>
                <w:bCs w:val="1"/>
                <w:color w:val="auto"/>
              </w:rPr>
              <w:t>1,402,338</w:t>
            </w:r>
          </w:p>
        </w:tc>
        <w:tc>
          <w:tcPr>
            <w:tcW w:w="780" w:type="dxa"/>
            <w:vAlign w:val="bottom"/>
            <w:tcBorders>
              <w:bottom w:val="single" w:sz="8" w:color="auto"/>
              <w:right w:val="single" w:sz="8" w:color="auto"/>
            </w:tcBorders>
          </w:tcPr>
          <w:p>
            <w:pPr>
              <w:jc w:val="center"/>
              <w:ind w:right="88"/>
              <w:spacing w:after="0"/>
              <w:rPr>
                <w:sz w:val="20"/>
                <w:szCs w:val="20"/>
                <w:color w:val="auto"/>
              </w:rPr>
            </w:pPr>
            <w:r>
              <w:rPr>
                <w:rFonts w:ascii="Calibri" w:cs="Calibri" w:eastAsia="Calibri" w:hAnsi="Calibri"/>
                <w:sz w:val="10"/>
                <w:szCs w:val="10"/>
                <w:b w:val="1"/>
                <w:bCs w:val="1"/>
                <w:color w:val="auto"/>
              </w:rPr>
              <w:t>1,268,693</w:t>
            </w:r>
          </w:p>
        </w:tc>
        <w:tc>
          <w:tcPr>
            <w:tcW w:w="56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-9.5%</w:t>
            </w:r>
          </w:p>
        </w:tc>
        <w:tc>
          <w:tcPr>
            <w:tcW w:w="5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33.0%</w:t>
            </w:r>
          </w:p>
        </w:tc>
        <w:tc>
          <w:tcPr>
            <w:tcW w:w="740" w:type="dxa"/>
            <w:vAlign w:val="bottom"/>
            <w:tcBorders>
              <w:bottom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4,576,002</w:t>
            </w:r>
          </w:p>
        </w:tc>
        <w:tc>
          <w:tcPr>
            <w:tcW w:w="1020" w:type="dxa"/>
            <w:vAlign w:val="bottom"/>
            <w:tcBorders>
              <w:bottom w:val="single" w:sz="8" w:color="auto"/>
              <w:right w:val="single" w:sz="8" w:color="auto"/>
            </w:tcBorders>
          </w:tcPr>
          <w:p>
            <w:pPr>
              <w:jc w:val="center"/>
              <w:ind w:left="88"/>
              <w:spacing w:after="0"/>
              <w:rPr>
                <w:sz w:val="20"/>
                <w:szCs w:val="20"/>
                <w:color w:val="auto"/>
              </w:rPr>
            </w:pPr>
            <w:r>
              <w:rPr>
                <w:rFonts w:ascii="Calibri" w:cs="Calibri" w:eastAsia="Calibri" w:hAnsi="Calibri"/>
                <w:sz w:val="10"/>
                <w:szCs w:val="10"/>
                <w:b w:val="1"/>
                <w:bCs w:val="1"/>
                <w:color w:val="auto"/>
              </w:rPr>
              <w:t>5,297,628</w:t>
            </w:r>
          </w:p>
        </w:tc>
        <w:tc>
          <w:tcPr>
            <w:tcW w:w="10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15.8%</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-3637915</wp:posOffset>
            </wp:positionV>
            <wp:extent cx="1016000" cy="141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148" w:lineRule="exact"/>
        <w:rPr>
          <w:sz w:val="20"/>
          <w:szCs w:val="20"/>
          <w:color w:val="auto"/>
        </w:rPr>
      </w:pPr>
    </w:p>
    <w:p>
      <w:pPr>
        <w:ind w:left="1440" w:hanging="176"/>
        <w:spacing w:after="0"/>
        <w:tabs>
          <w:tab w:leader="none" w:pos="1440" w:val="left"/>
        </w:tabs>
        <w:numPr>
          <w:ilvl w:val="0"/>
          <w:numId w:val="57"/>
        </w:numPr>
        <w:rPr>
          <w:rFonts w:ascii="Calibri" w:cs="Calibri" w:eastAsia="Calibri" w:hAnsi="Calibri"/>
          <w:sz w:val="11"/>
          <w:szCs w:val="11"/>
          <w:color w:val="auto"/>
        </w:rPr>
      </w:pPr>
      <w:r>
        <w:rPr>
          <w:rFonts w:ascii="Calibri" w:cs="Calibri" w:eastAsia="Calibri" w:hAnsi="Calibri"/>
          <w:sz w:val="11"/>
          <w:szCs w:val="11"/>
          <w:color w:val="auto"/>
        </w:rPr>
        <w:t>Financing expenses related to lease agreements are included according to the applicaton of IFRS 16.</w:t>
      </w:r>
    </w:p>
    <w:p>
      <w:pPr>
        <w:spacing w:after="0" w:line="62" w:lineRule="exact"/>
        <w:rPr>
          <w:rFonts w:ascii="Calibri" w:cs="Calibri" w:eastAsia="Calibri" w:hAnsi="Calibri"/>
          <w:sz w:val="11"/>
          <w:szCs w:val="11"/>
          <w:color w:val="auto"/>
        </w:rPr>
      </w:pPr>
    </w:p>
    <w:p>
      <w:pPr>
        <w:ind w:left="1440" w:hanging="176"/>
        <w:spacing w:after="0"/>
        <w:tabs>
          <w:tab w:leader="none" w:pos="1440" w:val="left"/>
        </w:tabs>
        <w:numPr>
          <w:ilvl w:val="0"/>
          <w:numId w:val="57"/>
        </w:numPr>
        <w:rPr>
          <w:rFonts w:ascii="Calibri" w:cs="Calibri" w:eastAsia="Calibri" w:hAnsi="Calibri"/>
          <w:sz w:val="11"/>
          <w:szCs w:val="11"/>
          <w:color w:val="auto"/>
        </w:rPr>
      </w:pPr>
      <w:r>
        <w:rPr>
          <w:rFonts w:ascii="Calibri" w:cs="Calibri" w:eastAsia="Calibri" w:hAnsi="Calibri"/>
          <w:sz w:val="11"/>
          <w:szCs w:val="11"/>
          <w:color w:val="auto"/>
        </w:rPr>
        <w:t>The efect of the applicaton of IFRS 16 is included, which corresponds to a greater depreciaton for the asset for right-of-use".</w:t>
      </w:r>
    </w:p>
    <w:p>
      <w:pPr>
        <w:spacing w:after="0" w:line="222" w:lineRule="exact"/>
        <w:rPr>
          <w:sz w:val="20"/>
          <w:szCs w:val="20"/>
          <w:color w:val="auto"/>
        </w:rPr>
      </w:pPr>
    </w:p>
    <w:p>
      <w:pPr>
        <w:jc w:val="center"/>
        <w:ind w:right="260"/>
        <w:spacing w:after="0"/>
        <w:rPr>
          <w:sz w:val="20"/>
          <w:szCs w:val="20"/>
          <w:color w:val="auto"/>
        </w:rPr>
      </w:pPr>
      <w:r>
        <w:rPr>
          <w:rFonts w:ascii="Calibri" w:cs="Calibri" w:eastAsia="Calibri" w:hAnsi="Calibri"/>
          <w:sz w:val="16"/>
          <w:szCs w:val="16"/>
          <w:b w:val="1"/>
          <w:bCs w:val="1"/>
          <w:color w:val="auto"/>
        </w:rPr>
        <w:t>Selected Financial Indicators</w:t>
      </w:r>
    </w:p>
    <w:p>
      <w:pPr>
        <w:spacing w:after="0" w:line="191" w:lineRule="exact"/>
        <w:rPr>
          <w:sz w:val="20"/>
          <w:szCs w:val="20"/>
          <w:color w:val="auto"/>
        </w:rPr>
      </w:pPr>
    </w:p>
    <w:tbl>
      <w:tblPr>
        <w:tblLayout w:type="fixed"/>
        <w:tblInd w:w="870" w:type="dxa"/>
        <w:tblCellMar>
          <w:top w:w="0" w:type="dxa"/>
          <w:left w:w="0" w:type="dxa"/>
          <w:bottom w:w="0" w:type="dxa"/>
          <w:right w:w="0" w:type="dxa"/>
        </w:tblCellMar>
      </w:tblPr>
      <w:tr>
        <w:trPr>
          <w:trHeight w:val="161"/>
        </w:trPr>
        <w:tc>
          <w:tcPr>
            <w:tcW w:w="3960" w:type="dxa"/>
            <w:vAlign w:val="bottom"/>
            <w:tcBorders>
              <w:top w:val="single" w:sz="8" w:color="auto"/>
              <w:left w:val="single" w:sz="8" w:color="auto"/>
              <w:right w:val="single" w:sz="8" w:color="auto"/>
            </w:tcBorders>
            <w:shd w:val="clear" w:color="auto" w:fill="2AD2C8"/>
          </w:tcPr>
          <w:p>
            <w:pPr>
              <w:spacing w:after="0"/>
              <w:rPr>
                <w:sz w:val="14"/>
                <w:szCs w:val="14"/>
                <w:color w:val="auto"/>
              </w:rPr>
            </w:pPr>
          </w:p>
        </w:tc>
        <w:tc>
          <w:tcPr>
            <w:tcW w:w="1020" w:type="dxa"/>
            <w:vAlign w:val="bottom"/>
            <w:tcBorders>
              <w:top w:val="single" w:sz="8" w:color="auto"/>
            </w:tcBorders>
            <w:shd w:val="clear" w:color="auto" w:fill="2AD2C8"/>
          </w:tcPr>
          <w:p>
            <w:pPr>
              <w:spacing w:after="0"/>
              <w:rPr>
                <w:sz w:val="14"/>
                <w:szCs w:val="14"/>
                <w:color w:val="auto"/>
              </w:rPr>
            </w:pPr>
          </w:p>
        </w:tc>
        <w:tc>
          <w:tcPr>
            <w:tcW w:w="1220" w:type="dxa"/>
            <w:vAlign w:val="bottom"/>
            <w:tcBorders>
              <w:top w:val="single" w:sz="8" w:color="auto"/>
            </w:tcBorders>
            <w:shd w:val="clear" w:color="auto" w:fill="2AD2C8"/>
          </w:tcPr>
          <w:p>
            <w:pPr>
              <w:jc w:val="center"/>
              <w:ind w:right="199"/>
              <w:spacing w:after="0"/>
              <w:rPr>
                <w:sz w:val="20"/>
                <w:szCs w:val="20"/>
                <w:color w:val="auto"/>
              </w:rPr>
            </w:pPr>
            <w:r>
              <w:rPr>
                <w:rFonts w:ascii="Calibri" w:cs="Calibri" w:eastAsia="Calibri" w:hAnsi="Calibri"/>
                <w:sz w:val="12"/>
                <w:szCs w:val="12"/>
                <w:b w:val="1"/>
                <w:bCs w:val="1"/>
                <w:color w:val="FFFFFF"/>
              </w:rPr>
              <w:t>Quarter</w:t>
            </w:r>
          </w:p>
        </w:tc>
        <w:tc>
          <w:tcPr>
            <w:tcW w:w="1140" w:type="dxa"/>
            <w:vAlign w:val="bottom"/>
            <w:tcBorders>
              <w:top w:val="single" w:sz="8" w:color="auto"/>
              <w:right w:val="single" w:sz="8" w:color="auto"/>
            </w:tcBorders>
            <w:shd w:val="clear" w:color="auto" w:fill="2AD2C8"/>
          </w:tcPr>
          <w:p>
            <w:pPr>
              <w:spacing w:after="0"/>
              <w:rPr>
                <w:sz w:val="14"/>
                <w:szCs w:val="14"/>
                <w:color w:val="auto"/>
              </w:rPr>
            </w:pPr>
          </w:p>
        </w:tc>
        <w:tc>
          <w:tcPr>
            <w:tcW w:w="820" w:type="dxa"/>
            <w:vAlign w:val="bottom"/>
            <w:tcBorders>
              <w:top w:val="single" w:sz="8" w:color="auto"/>
            </w:tcBorders>
            <w:shd w:val="clear" w:color="auto" w:fill="2AD2C8"/>
          </w:tcPr>
          <w:p>
            <w:pPr>
              <w:spacing w:after="0"/>
              <w:rPr>
                <w:sz w:val="14"/>
                <w:szCs w:val="14"/>
                <w:color w:val="auto"/>
              </w:rPr>
            </w:pPr>
          </w:p>
        </w:tc>
        <w:tc>
          <w:tcPr>
            <w:tcW w:w="1400" w:type="dxa"/>
            <w:vAlign w:val="bottom"/>
            <w:tcBorders>
              <w:top w:val="single" w:sz="8" w:color="auto"/>
              <w:right w:val="single" w:sz="8" w:color="auto"/>
            </w:tcBorders>
            <w:vMerge w:val="restart"/>
            <w:shd w:val="clear" w:color="auto" w:fill="2AD2C8"/>
          </w:tcPr>
          <w:p>
            <w:pPr>
              <w:ind w:left="120"/>
              <w:spacing w:after="0"/>
              <w:rPr>
                <w:sz w:val="20"/>
                <w:szCs w:val="20"/>
                <w:color w:val="auto"/>
              </w:rPr>
            </w:pPr>
            <w:r>
              <w:rPr>
                <w:rFonts w:ascii="Arial" w:cs="Arial" w:eastAsia="Arial" w:hAnsi="Arial"/>
                <w:sz w:val="10"/>
                <w:szCs w:val="10"/>
                <w:b w:val="1"/>
                <w:bCs w:val="1"/>
                <w:color w:val="FFFFFF"/>
              </w:rPr>
              <w:t>As of</w:t>
            </w:r>
          </w:p>
        </w:tc>
        <w:tc>
          <w:tcPr>
            <w:tcW w:w="0" w:type="dxa"/>
            <w:vAlign w:val="bottom"/>
          </w:tcPr>
          <w:p>
            <w:pPr>
              <w:spacing w:after="0"/>
              <w:rPr>
                <w:sz w:val="1"/>
                <w:szCs w:val="1"/>
                <w:color w:val="auto"/>
              </w:rPr>
            </w:pPr>
          </w:p>
        </w:tc>
      </w:tr>
      <w:tr>
        <w:trPr>
          <w:trHeight w:val="36"/>
        </w:trPr>
        <w:tc>
          <w:tcPr>
            <w:tcW w:w="3960" w:type="dxa"/>
            <w:vAlign w:val="bottom"/>
            <w:tcBorders>
              <w:left w:val="single" w:sz="8" w:color="auto"/>
              <w:right w:val="single" w:sz="8" w:color="auto"/>
            </w:tcBorders>
            <w:shd w:val="clear" w:color="auto" w:fill="2AD2C8"/>
          </w:tcPr>
          <w:p>
            <w:pPr>
              <w:spacing w:after="0"/>
              <w:rPr>
                <w:sz w:val="3"/>
                <w:szCs w:val="3"/>
                <w:color w:val="auto"/>
              </w:rPr>
            </w:pPr>
          </w:p>
        </w:tc>
        <w:tc>
          <w:tcPr>
            <w:tcW w:w="1020" w:type="dxa"/>
            <w:vAlign w:val="bottom"/>
            <w:shd w:val="clear" w:color="auto" w:fill="2AD2C8"/>
          </w:tcPr>
          <w:p>
            <w:pPr>
              <w:spacing w:after="0"/>
              <w:rPr>
                <w:sz w:val="3"/>
                <w:szCs w:val="3"/>
                <w:color w:val="auto"/>
              </w:rPr>
            </w:pPr>
          </w:p>
        </w:tc>
        <w:tc>
          <w:tcPr>
            <w:tcW w:w="1220" w:type="dxa"/>
            <w:vAlign w:val="bottom"/>
            <w:shd w:val="clear" w:color="auto" w:fill="2AD2C8"/>
          </w:tcPr>
          <w:p>
            <w:pPr>
              <w:spacing w:after="0"/>
              <w:rPr>
                <w:sz w:val="3"/>
                <w:szCs w:val="3"/>
                <w:color w:val="auto"/>
              </w:rPr>
            </w:pPr>
          </w:p>
        </w:tc>
        <w:tc>
          <w:tcPr>
            <w:tcW w:w="1140" w:type="dxa"/>
            <w:vAlign w:val="bottom"/>
            <w:tcBorders>
              <w:right w:val="single" w:sz="8" w:color="auto"/>
            </w:tcBorders>
            <w:shd w:val="clear" w:color="auto" w:fill="2AD2C8"/>
          </w:tcPr>
          <w:p>
            <w:pPr>
              <w:spacing w:after="0"/>
              <w:rPr>
                <w:sz w:val="3"/>
                <w:szCs w:val="3"/>
                <w:color w:val="auto"/>
              </w:rPr>
            </w:pPr>
          </w:p>
        </w:tc>
        <w:tc>
          <w:tcPr>
            <w:tcW w:w="820" w:type="dxa"/>
            <w:vAlign w:val="bottom"/>
            <w:shd w:val="clear" w:color="auto" w:fill="2AD2C8"/>
          </w:tcPr>
          <w:p>
            <w:pPr>
              <w:spacing w:after="0"/>
              <w:rPr>
                <w:sz w:val="3"/>
                <w:szCs w:val="3"/>
                <w:color w:val="auto"/>
              </w:rPr>
            </w:pPr>
          </w:p>
        </w:tc>
        <w:tc>
          <w:tcPr>
            <w:tcW w:w="1400" w:type="dxa"/>
            <w:vAlign w:val="bottom"/>
            <w:tcBorders>
              <w:right w:val="single" w:sz="8" w:color="auto"/>
            </w:tcBorders>
            <w:vMerge w:val="continue"/>
            <w:shd w:val="clear" w:color="auto" w:fill="2AD2C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960" w:type="dxa"/>
            <w:vAlign w:val="bottom"/>
            <w:tcBorders>
              <w:left w:val="single" w:sz="8" w:color="auto"/>
              <w:bottom w:val="single" w:sz="8" w:color="auto"/>
              <w:right w:val="single" w:sz="8" w:color="auto"/>
            </w:tcBorders>
            <w:shd w:val="clear" w:color="auto" w:fill="2AD2C8"/>
          </w:tcPr>
          <w:p>
            <w:pPr>
              <w:spacing w:after="0"/>
              <w:rPr>
                <w:sz w:val="16"/>
                <w:szCs w:val="16"/>
                <w:color w:val="auto"/>
              </w:rPr>
            </w:pPr>
          </w:p>
        </w:tc>
        <w:tc>
          <w:tcPr>
            <w:tcW w:w="1020" w:type="dxa"/>
            <w:vAlign w:val="bottom"/>
            <w:tcBorders>
              <w:bottom w:val="single" w:sz="8" w:color="auto"/>
            </w:tcBorders>
            <w:shd w:val="clear" w:color="auto" w:fill="2AD2C8"/>
          </w:tcPr>
          <w:p>
            <w:pPr>
              <w:ind w:left="420"/>
              <w:spacing w:after="0"/>
              <w:rPr>
                <w:sz w:val="20"/>
                <w:szCs w:val="20"/>
                <w:color w:val="auto"/>
              </w:rPr>
            </w:pPr>
            <w:r>
              <w:rPr>
                <w:rFonts w:ascii="Calibri" w:cs="Calibri" w:eastAsia="Calibri" w:hAnsi="Calibri"/>
                <w:sz w:val="12"/>
                <w:szCs w:val="12"/>
                <w:b w:val="1"/>
                <w:bCs w:val="1"/>
                <w:color w:val="FFFFFF"/>
              </w:rPr>
              <w:t>4Q23</w:t>
            </w:r>
          </w:p>
        </w:tc>
        <w:tc>
          <w:tcPr>
            <w:tcW w:w="1220" w:type="dxa"/>
            <w:vAlign w:val="bottom"/>
            <w:tcBorders>
              <w:bottom w:val="single" w:sz="8" w:color="auto"/>
            </w:tcBorders>
            <w:shd w:val="clear" w:color="auto" w:fill="2AD2C8"/>
          </w:tcPr>
          <w:p>
            <w:pPr>
              <w:jc w:val="center"/>
              <w:ind w:right="199"/>
              <w:spacing w:after="0"/>
              <w:rPr>
                <w:sz w:val="20"/>
                <w:szCs w:val="20"/>
                <w:color w:val="auto"/>
              </w:rPr>
            </w:pPr>
            <w:r>
              <w:rPr>
                <w:rFonts w:ascii="Calibri" w:cs="Calibri" w:eastAsia="Calibri" w:hAnsi="Calibri"/>
                <w:sz w:val="12"/>
                <w:szCs w:val="12"/>
                <w:b w:val="1"/>
                <w:bCs w:val="1"/>
                <w:color w:val="FFFFFF"/>
              </w:rPr>
              <w:t>3Q24</w:t>
            </w:r>
          </w:p>
        </w:tc>
        <w:tc>
          <w:tcPr>
            <w:tcW w:w="1140" w:type="dxa"/>
            <w:vAlign w:val="bottom"/>
            <w:tcBorders>
              <w:bottom w:val="single" w:sz="8" w:color="auto"/>
              <w:right w:val="single" w:sz="8" w:color="auto"/>
            </w:tcBorders>
            <w:shd w:val="clear" w:color="auto" w:fill="2AD2C8"/>
          </w:tcPr>
          <w:p>
            <w:pPr>
              <w:ind w:left="440"/>
              <w:spacing w:after="0"/>
              <w:rPr>
                <w:sz w:val="20"/>
                <w:szCs w:val="20"/>
                <w:color w:val="auto"/>
              </w:rPr>
            </w:pPr>
            <w:r>
              <w:rPr>
                <w:rFonts w:ascii="Calibri" w:cs="Calibri" w:eastAsia="Calibri" w:hAnsi="Calibri"/>
                <w:sz w:val="12"/>
                <w:szCs w:val="12"/>
                <w:b w:val="1"/>
                <w:bCs w:val="1"/>
                <w:color w:val="FFFFFF"/>
              </w:rPr>
              <w:t>4Q24</w:t>
            </w:r>
          </w:p>
        </w:tc>
        <w:tc>
          <w:tcPr>
            <w:tcW w:w="820" w:type="dxa"/>
            <w:vAlign w:val="bottom"/>
            <w:tcBorders>
              <w:bottom w:val="single" w:sz="8" w:color="auto"/>
            </w:tcBorders>
            <w:shd w:val="clear" w:color="auto" w:fill="2AD2C8"/>
          </w:tcPr>
          <w:p>
            <w:pPr>
              <w:ind w:left="360"/>
              <w:spacing w:after="0"/>
              <w:rPr>
                <w:sz w:val="20"/>
                <w:szCs w:val="20"/>
                <w:color w:val="auto"/>
              </w:rPr>
            </w:pPr>
            <w:r>
              <w:rPr>
                <w:rFonts w:ascii="Calibri" w:cs="Calibri" w:eastAsia="Calibri" w:hAnsi="Calibri"/>
                <w:sz w:val="12"/>
                <w:szCs w:val="12"/>
                <w:b w:val="1"/>
                <w:bCs w:val="1"/>
                <w:color w:val="FFFFFF"/>
              </w:rPr>
              <w:t>Dec 23</w:t>
            </w:r>
          </w:p>
        </w:tc>
        <w:tc>
          <w:tcPr>
            <w:tcW w:w="1400" w:type="dxa"/>
            <w:vAlign w:val="bottom"/>
            <w:tcBorders>
              <w:bottom w:val="single" w:sz="8" w:color="auto"/>
              <w:right w:val="single" w:sz="8" w:color="auto"/>
            </w:tcBorders>
            <w:shd w:val="clear" w:color="auto" w:fill="2AD2C8"/>
          </w:tcPr>
          <w:p>
            <w:pPr>
              <w:ind w:left="780"/>
              <w:spacing w:after="0"/>
              <w:rPr>
                <w:sz w:val="20"/>
                <w:szCs w:val="20"/>
                <w:color w:val="auto"/>
              </w:rPr>
            </w:pPr>
            <w:r>
              <w:rPr>
                <w:rFonts w:ascii="Calibri" w:cs="Calibri" w:eastAsia="Calibri" w:hAnsi="Calibri"/>
                <w:sz w:val="12"/>
                <w:szCs w:val="12"/>
                <w:b w:val="1"/>
                <w:bCs w:val="1"/>
                <w:color w:val="FFFFFF"/>
              </w:rPr>
              <w:t>Dec 24</w:t>
            </w:r>
          </w:p>
        </w:tc>
        <w:tc>
          <w:tcPr>
            <w:tcW w:w="0" w:type="dxa"/>
            <w:vAlign w:val="bottom"/>
          </w:tcPr>
          <w:p>
            <w:pPr>
              <w:spacing w:after="0"/>
              <w:rPr>
                <w:sz w:val="1"/>
                <w:szCs w:val="1"/>
                <w:color w:val="auto"/>
              </w:rPr>
            </w:pPr>
          </w:p>
        </w:tc>
      </w:tr>
      <w:tr>
        <w:trPr>
          <w:trHeight w:val="146"/>
        </w:trPr>
        <w:tc>
          <w:tcPr>
            <w:tcW w:w="39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Proftability</w:t>
            </w: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2"/>
                <w:szCs w:val="12"/>
                <w:color w:val="auto"/>
              </w:rPr>
              <w:t xml:space="preserve">ROAA </w:t>
            </w:r>
            <w:r>
              <w:rPr>
                <w:rFonts w:ascii="Calibri" w:cs="Calibri" w:eastAsia="Calibri" w:hAnsi="Calibri"/>
                <w:sz w:val="7"/>
                <w:szCs w:val="7"/>
                <w:color w:val="auto"/>
              </w:rPr>
              <w:t>(1)(2)</w:t>
            </w:r>
          </w:p>
        </w:tc>
        <w:tc>
          <w:tcPr>
            <w:tcW w:w="1020" w:type="dxa"/>
            <w:vAlign w:val="bottom"/>
            <w:vMerge w:val="restart"/>
          </w:tcPr>
          <w:p>
            <w:pPr>
              <w:jc w:val="center"/>
              <w:spacing w:after="0"/>
              <w:rPr>
                <w:sz w:val="20"/>
                <w:szCs w:val="20"/>
                <w:color w:val="auto"/>
              </w:rPr>
            </w:pPr>
            <w:r>
              <w:rPr>
                <w:rFonts w:ascii="Calibri" w:cs="Calibri" w:eastAsia="Calibri" w:hAnsi="Calibri"/>
                <w:sz w:val="12"/>
                <w:szCs w:val="12"/>
                <w:color w:val="auto"/>
              </w:rPr>
              <w:t>2.1%</w:t>
            </w:r>
          </w:p>
        </w:tc>
        <w:tc>
          <w:tcPr>
            <w:tcW w:w="1220" w:type="dxa"/>
            <w:vAlign w:val="bottom"/>
            <w:vMerge w:val="restart"/>
          </w:tcPr>
          <w:p>
            <w:pPr>
              <w:jc w:val="center"/>
              <w:ind w:left="39"/>
              <w:spacing w:after="0"/>
              <w:rPr>
                <w:sz w:val="20"/>
                <w:szCs w:val="20"/>
                <w:color w:val="auto"/>
              </w:rPr>
            </w:pPr>
            <w:r>
              <w:rPr>
                <w:rFonts w:ascii="Calibri" w:cs="Calibri" w:eastAsia="Calibri" w:hAnsi="Calibri"/>
                <w:sz w:val="12"/>
                <w:szCs w:val="12"/>
                <w:color w:val="auto"/>
              </w:rPr>
              <w:t>2.9%</w:t>
            </w: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rPr>
              <w:t>2.6%</w:t>
            </w:r>
          </w:p>
        </w:tc>
        <w:tc>
          <w:tcPr>
            <w:tcW w:w="820" w:type="dxa"/>
            <w:vAlign w:val="bottom"/>
            <w:vMerge w:val="restart"/>
          </w:tcPr>
          <w:p>
            <w:pPr>
              <w:jc w:val="center"/>
              <w:spacing w:after="0"/>
              <w:rPr>
                <w:sz w:val="20"/>
                <w:szCs w:val="20"/>
                <w:color w:val="auto"/>
              </w:rPr>
            </w:pPr>
            <w:r>
              <w:rPr>
                <w:rFonts w:ascii="Calibri" w:cs="Calibri" w:eastAsia="Calibri" w:hAnsi="Calibri"/>
                <w:sz w:val="12"/>
                <w:szCs w:val="12"/>
                <w:color w:val="auto"/>
              </w:rPr>
              <w:t>2.5%</w:t>
            </w:r>
          </w:p>
        </w:tc>
        <w:tc>
          <w:tcPr>
            <w:tcW w:w="1400" w:type="dxa"/>
            <w:vAlign w:val="bottom"/>
            <w:tcBorders>
              <w:right w:val="single" w:sz="8" w:color="auto"/>
            </w:tcBorders>
            <w:vMerge w:val="restart"/>
          </w:tcPr>
          <w:p>
            <w:pPr>
              <w:jc w:val="center"/>
              <w:ind w:right="139"/>
              <w:spacing w:after="0"/>
              <w:rPr>
                <w:sz w:val="20"/>
                <w:szCs w:val="20"/>
                <w:color w:val="auto"/>
              </w:rPr>
            </w:pPr>
            <w:r>
              <w:rPr>
                <w:rFonts w:ascii="Calibri" w:cs="Calibri" w:eastAsia="Calibri" w:hAnsi="Calibri"/>
                <w:sz w:val="12"/>
                <w:szCs w:val="12"/>
                <w:color w:val="auto"/>
              </w:rPr>
              <w:t>2.8%</w:t>
            </w:r>
          </w:p>
        </w:tc>
        <w:tc>
          <w:tcPr>
            <w:tcW w:w="0" w:type="dxa"/>
            <w:vAlign w:val="bottom"/>
          </w:tcPr>
          <w:p>
            <w:pPr>
              <w:spacing w:after="0"/>
              <w:rPr>
                <w:sz w:val="1"/>
                <w:szCs w:val="1"/>
                <w:color w:val="auto"/>
              </w:rPr>
            </w:pPr>
          </w:p>
        </w:tc>
      </w:tr>
      <w:tr>
        <w:trPr>
          <w:trHeight w:val="39"/>
        </w:trPr>
        <w:tc>
          <w:tcPr>
            <w:tcW w:w="3960" w:type="dxa"/>
            <w:vAlign w:val="bottom"/>
            <w:tcBorders>
              <w:left w:val="single" w:sz="8" w:color="auto"/>
              <w:right w:val="single" w:sz="8" w:color="auto"/>
            </w:tcBorders>
            <w:vMerge w:val="restart"/>
          </w:tcPr>
          <w:p>
            <w:pPr>
              <w:ind w:left="160"/>
              <w:spacing w:after="0"/>
              <w:rPr>
                <w:sz w:val="20"/>
                <w:szCs w:val="20"/>
                <w:color w:val="auto"/>
              </w:rPr>
            </w:pPr>
            <w:r>
              <w:rPr>
                <w:rFonts w:ascii="Calibri" w:cs="Calibri" w:eastAsia="Calibri" w:hAnsi="Calibri"/>
                <w:sz w:val="12"/>
                <w:szCs w:val="12"/>
                <w:color w:val="auto"/>
              </w:rPr>
              <w:t xml:space="preserve">ROAE </w:t>
            </w:r>
            <w:r>
              <w:rPr>
                <w:rFonts w:ascii="Calibri" w:cs="Calibri" w:eastAsia="Calibri" w:hAnsi="Calibri"/>
                <w:sz w:val="7"/>
                <w:szCs w:val="7"/>
                <w:color w:val="auto"/>
              </w:rPr>
              <w:t>(1)(2)</w:t>
            </w:r>
          </w:p>
        </w:tc>
        <w:tc>
          <w:tcPr>
            <w:tcW w:w="102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140" w:type="dxa"/>
            <w:vAlign w:val="bottom"/>
            <w:tcBorders>
              <w:right w:val="single" w:sz="8" w:color="auto"/>
            </w:tcBorders>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40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3960" w:type="dxa"/>
            <w:vAlign w:val="bottom"/>
            <w:tcBorders>
              <w:left w:val="single" w:sz="8" w:color="auto"/>
              <w:right w:val="single" w:sz="8" w:color="auto"/>
            </w:tcBorders>
            <w:vMerge w:val="continue"/>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Calibri" w:cs="Calibri" w:eastAsia="Calibri" w:hAnsi="Calibri"/>
                <w:sz w:val="12"/>
                <w:szCs w:val="12"/>
                <w:color w:val="auto"/>
              </w:rPr>
              <w:t>15.5%</w:t>
            </w:r>
          </w:p>
        </w:tc>
        <w:tc>
          <w:tcPr>
            <w:tcW w:w="1220" w:type="dxa"/>
            <w:vAlign w:val="bottom"/>
            <w:vMerge w:val="restart"/>
          </w:tcPr>
          <w:p>
            <w:pPr>
              <w:jc w:val="center"/>
              <w:ind w:left="19"/>
              <w:spacing w:after="0"/>
              <w:rPr>
                <w:sz w:val="20"/>
                <w:szCs w:val="20"/>
                <w:color w:val="auto"/>
              </w:rPr>
            </w:pPr>
            <w:r>
              <w:rPr>
                <w:rFonts w:ascii="Calibri" w:cs="Calibri" w:eastAsia="Calibri" w:hAnsi="Calibri"/>
                <w:sz w:val="12"/>
                <w:szCs w:val="12"/>
                <w:color w:val="auto"/>
              </w:rPr>
              <w:t>22.9%</w:t>
            </w: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2"/>
                <w:szCs w:val="12"/>
                <w:color w:val="auto"/>
              </w:rPr>
              <w:t>19.8%</w:t>
            </w:r>
          </w:p>
        </w:tc>
        <w:tc>
          <w:tcPr>
            <w:tcW w:w="820" w:type="dxa"/>
            <w:vAlign w:val="bottom"/>
            <w:vMerge w:val="restart"/>
          </w:tcPr>
          <w:p>
            <w:pPr>
              <w:jc w:val="center"/>
              <w:ind w:right="19"/>
              <w:spacing w:after="0"/>
              <w:rPr>
                <w:sz w:val="20"/>
                <w:szCs w:val="20"/>
                <w:color w:val="auto"/>
              </w:rPr>
            </w:pPr>
            <w:r>
              <w:rPr>
                <w:rFonts w:ascii="Calibri" w:cs="Calibri" w:eastAsia="Calibri" w:hAnsi="Calibri"/>
                <w:sz w:val="12"/>
                <w:szCs w:val="12"/>
                <w:color w:val="auto"/>
              </w:rPr>
              <w:t>19.0%</w:t>
            </w:r>
          </w:p>
        </w:tc>
        <w:tc>
          <w:tcPr>
            <w:tcW w:w="1400" w:type="dxa"/>
            <w:vAlign w:val="bottom"/>
            <w:tcBorders>
              <w:right w:val="single" w:sz="8" w:color="auto"/>
            </w:tcBorders>
            <w:vMerge w:val="restart"/>
          </w:tcPr>
          <w:p>
            <w:pPr>
              <w:jc w:val="center"/>
              <w:ind w:right="119"/>
              <w:spacing w:after="0"/>
              <w:rPr>
                <w:sz w:val="20"/>
                <w:szCs w:val="20"/>
                <w:color w:val="auto"/>
              </w:rPr>
            </w:pPr>
            <w:r>
              <w:rPr>
                <w:rFonts w:ascii="Calibri" w:cs="Calibri" w:eastAsia="Calibri" w:hAnsi="Calibri"/>
                <w:sz w:val="12"/>
                <w:szCs w:val="12"/>
                <w:color w:val="auto"/>
              </w:rPr>
              <w:t>20.8%</w:t>
            </w:r>
          </w:p>
        </w:tc>
        <w:tc>
          <w:tcPr>
            <w:tcW w:w="0" w:type="dxa"/>
            <w:vAlign w:val="bottom"/>
          </w:tcPr>
          <w:p>
            <w:pPr>
              <w:spacing w:after="0"/>
              <w:rPr>
                <w:sz w:val="1"/>
                <w:szCs w:val="1"/>
                <w:color w:val="auto"/>
              </w:rPr>
            </w:pPr>
          </w:p>
        </w:tc>
      </w:tr>
      <w:tr>
        <w:trPr>
          <w:trHeight w:val="63"/>
        </w:trPr>
        <w:tc>
          <w:tcPr>
            <w:tcW w:w="3960" w:type="dxa"/>
            <w:vAlign w:val="bottom"/>
            <w:tcBorders>
              <w:left w:val="single" w:sz="8" w:color="auto"/>
              <w:right w:val="single" w:sz="8" w:color="auto"/>
            </w:tcBorders>
            <w:vMerge w:val="restart"/>
          </w:tcPr>
          <w:p>
            <w:pPr>
              <w:ind w:left="160"/>
              <w:spacing w:after="0" w:line="200" w:lineRule="exact"/>
              <w:rPr>
                <w:sz w:val="20"/>
                <w:szCs w:val="20"/>
                <w:color w:val="auto"/>
              </w:rPr>
            </w:pPr>
            <w:r>
              <w:rPr>
                <w:rFonts w:ascii="Calibri" w:cs="Calibri" w:eastAsia="Calibri" w:hAnsi="Calibri"/>
                <w:sz w:val="12"/>
                <w:szCs w:val="12"/>
                <w:color w:val="auto"/>
              </w:rPr>
              <w:t xml:space="preserve">Net interest margin </w:t>
            </w:r>
            <w:r>
              <w:rPr>
                <w:rFonts w:ascii="Calibri" w:cs="Calibri" w:eastAsia="Calibri" w:hAnsi="Calibri"/>
                <w:sz w:val="20"/>
                <w:szCs w:val="20"/>
                <w:color w:val="auto"/>
                <w:vertAlign w:val="superscript"/>
              </w:rPr>
              <w:t>(1)(2)</w:t>
            </w:r>
          </w:p>
        </w:tc>
        <w:tc>
          <w:tcPr>
            <w:tcW w:w="10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3960" w:type="dxa"/>
            <w:vAlign w:val="bottom"/>
            <w:tcBorders>
              <w:left w:val="single" w:sz="8" w:color="auto"/>
              <w:right w:val="single" w:sz="8" w:color="auto"/>
            </w:tcBorders>
            <w:vMerge w:val="continue"/>
          </w:tcPr>
          <w:p>
            <w:pPr>
              <w:spacing w:after="0"/>
              <w:rPr>
                <w:sz w:val="11"/>
                <w:szCs w:val="11"/>
                <w:color w:val="auto"/>
              </w:rPr>
            </w:pPr>
          </w:p>
        </w:tc>
        <w:tc>
          <w:tcPr>
            <w:tcW w:w="1020" w:type="dxa"/>
            <w:vAlign w:val="bottom"/>
          </w:tcPr>
          <w:p>
            <w:pPr>
              <w:jc w:val="center"/>
              <w:spacing w:after="0" w:line="138" w:lineRule="exact"/>
              <w:rPr>
                <w:sz w:val="20"/>
                <w:szCs w:val="20"/>
                <w:color w:val="auto"/>
              </w:rPr>
            </w:pPr>
            <w:r>
              <w:rPr>
                <w:rFonts w:ascii="Calibri" w:cs="Calibri" w:eastAsia="Calibri" w:hAnsi="Calibri"/>
                <w:sz w:val="12"/>
                <w:szCs w:val="12"/>
                <w:color w:val="auto"/>
              </w:rPr>
              <w:t>6.0%</w:t>
            </w:r>
          </w:p>
        </w:tc>
        <w:tc>
          <w:tcPr>
            <w:tcW w:w="1220" w:type="dxa"/>
            <w:vAlign w:val="bottom"/>
          </w:tcPr>
          <w:p>
            <w:pPr>
              <w:jc w:val="center"/>
              <w:ind w:left="39"/>
              <w:spacing w:after="0" w:line="138" w:lineRule="exact"/>
              <w:rPr>
                <w:sz w:val="20"/>
                <w:szCs w:val="20"/>
                <w:color w:val="auto"/>
              </w:rPr>
            </w:pPr>
            <w:r>
              <w:rPr>
                <w:rFonts w:ascii="Calibri" w:cs="Calibri" w:eastAsia="Calibri" w:hAnsi="Calibri"/>
                <w:sz w:val="12"/>
                <w:szCs w:val="12"/>
                <w:color w:val="auto"/>
              </w:rPr>
              <w:t>6.2%</w:t>
            </w:r>
          </w:p>
        </w:tc>
        <w:tc>
          <w:tcPr>
            <w:tcW w:w="114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6.0%</w:t>
            </w:r>
          </w:p>
        </w:tc>
        <w:tc>
          <w:tcPr>
            <w:tcW w:w="820" w:type="dxa"/>
            <w:vAlign w:val="bottom"/>
          </w:tcPr>
          <w:p>
            <w:pPr>
              <w:jc w:val="center"/>
              <w:spacing w:after="0" w:line="138" w:lineRule="exact"/>
              <w:rPr>
                <w:sz w:val="20"/>
                <w:szCs w:val="20"/>
                <w:color w:val="auto"/>
              </w:rPr>
            </w:pPr>
            <w:r>
              <w:rPr>
                <w:rFonts w:ascii="Calibri" w:cs="Calibri" w:eastAsia="Calibri" w:hAnsi="Calibri"/>
                <w:sz w:val="12"/>
                <w:szCs w:val="12"/>
                <w:color w:val="auto"/>
              </w:rPr>
              <w:t>5.7%</w:t>
            </w:r>
          </w:p>
        </w:tc>
        <w:tc>
          <w:tcPr>
            <w:tcW w:w="1400" w:type="dxa"/>
            <w:vAlign w:val="bottom"/>
            <w:tcBorders>
              <w:right w:val="single" w:sz="8" w:color="auto"/>
            </w:tcBorders>
          </w:tcPr>
          <w:p>
            <w:pPr>
              <w:jc w:val="center"/>
              <w:ind w:right="139"/>
              <w:spacing w:after="0" w:line="138" w:lineRule="exact"/>
              <w:rPr>
                <w:sz w:val="20"/>
                <w:szCs w:val="20"/>
                <w:color w:val="auto"/>
              </w:rPr>
            </w:pPr>
            <w:r>
              <w:rPr>
                <w:rFonts w:ascii="Calibri" w:cs="Calibri" w:eastAsia="Calibri" w:hAnsi="Calibri"/>
                <w:sz w:val="12"/>
                <w:szCs w:val="12"/>
                <w:color w:val="auto"/>
              </w:rPr>
              <w:t>6.0%</w:t>
            </w:r>
          </w:p>
        </w:tc>
        <w:tc>
          <w:tcPr>
            <w:tcW w:w="0" w:type="dxa"/>
            <w:vAlign w:val="bottom"/>
          </w:tcPr>
          <w:p>
            <w:pPr>
              <w:spacing w:after="0"/>
              <w:rPr>
                <w:sz w:val="1"/>
                <w:szCs w:val="1"/>
                <w:color w:val="auto"/>
              </w:rPr>
            </w:pPr>
          </w:p>
        </w:tc>
      </w:tr>
      <w:tr>
        <w:trPr>
          <w:trHeight w:val="144"/>
        </w:trPr>
        <w:tc>
          <w:tcPr>
            <w:tcW w:w="3960" w:type="dxa"/>
            <w:vAlign w:val="bottom"/>
            <w:tcBorders>
              <w:left w:val="single" w:sz="8" w:color="auto"/>
              <w:right w:val="single" w:sz="8" w:color="auto"/>
            </w:tcBorders>
          </w:tcPr>
          <w:p>
            <w:pPr>
              <w:ind w:left="160"/>
              <w:spacing w:after="0" w:line="145" w:lineRule="exact"/>
              <w:rPr>
                <w:sz w:val="20"/>
                <w:szCs w:val="20"/>
                <w:color w:val="auto"/>
              </w:rPr>
            </w:pPr>
            <w:r>
              <w:rPr>
                <w:rFonts w:ascii="Calibri" w:cs="Calibri" w:eastAsia="Calibri" w:hAnsi="Calibri"/>
                <w:sz w:val="10"/>
                <w:szCs w:val="10"/>
                <w:color w:val="auto"/>
              </w:rPr>
              <w:t xml:space="preserve">Risk-adjusted Net interest margin </w:t>
            </w:r>
            <w:r>
              <w:rPr>
                <w:rFonts w:ascii="Calibri" w:cs="Calibri" w:eastAsia="Calibri" w:hAnsi="Calibri"/>
                <w:sz w:val="15"/>
                <w:szCs w:val="15"/>
                <w:color w:val="auto"/>
                <w:vertAlign w:val="superscript"/>
              </w:rPr>
              <w:t>(1)(2)</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color w:val="auto"/>
              </w:rPr>
              <w:t>4.0%</w:t>
            </w:r>
          </w:p>
        </w:tc>
        <w:tc>
          <w:tcPr>
            <w:tcW w:w="1220" w:type="dxa"/>
            <w:vAlign w:val="bottom"/>
          </w:tcPr>
          <w:p>
            <w:pPr>
              <w:jc w:val="center"/>
              <w:ind w:left="39"/>
              <w:spacing w:after="0" w:line="145" w:lineRule="exact"/>
              <w:rPr>
                <w:sz w:val="20"/>
                <w:szCs w:val="20"/>
                <w:color w:val="auto"/>
              </w:rPr>
            </w:pPr>
            <w:r>
              <w:rPr>
                <w:rFonts w:ascii="Calibri" w:cs="Calibri" w:eastAsia="Calibri" w:hAnsi="Calibri"/>
                <w:sz w:val="12"/>
                <w:szCs w:val="12"/>
                <w:color w:val="auto"/>
              </w:rPr>
              <w:t>4.7%</w:t>
            </w:r>
          </w:p>
        </w:tc>
        <w:tc>
          <w:tcPr>
            <w:tcW w:w="11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4.9%</w:t>
            </w:r>
          </w:p>
        </w:tc>
        <w:tc>
          <w:tcPr>
            <w:tcW w:w="820" w:type="dxa"/>
            <w:vAlign w:val="bottom"/>
          </w:tcPr>
          <w:p>
            <w:pPr>
              <w:jc w:val="center"/>
              <w:spacing w:after="0" w:line="145" w:lineRule="exact"/>
              <w:rPr>
                <w:sz w:val="20"/>
                <w:szCs w:val="20"/>
                <w:color w:val="auto"/>
              </w:rPr>
            </w:pPr>
            <w:r>
              <w:rPr>
                <w:rFonts w:ascii="Calibri" w:cs="Calibri" w:eastAsia="Calibri" w:hAnsi="Calibri"/>
                <w:sz w:val="12"/>
                <w:szCs w:val="12"/>
                <w:color w:val="auto"/>
              </w:rPr>
              <w:t>4.2%</w:t>
            </w:r>
          </w:p>
        </w:tc>
        <w:tc>
          <w:tcPr>
            <w:tcW w:w="1400" w:type="dxa"/>
            <w:vAlign w:val="bottom"/>
            <w:tcBorders>
              <w:right w:val="single" w:sz="8" w:color="auto"/>
            </w:tcBorders>
          </w:tcPr>
          <w:p>
            <w:pPr>
              <w:jc w:val="center"/>
              <w:ind w:right="139"/>
              <w:spacing w:after="0" w:line="145" w:lineRule="exact"/>
              <w:rPr>
                <w:sz w:val="20"/>
                <w:szCs w:val="20"/>
                <w:color w:val="auto"/>
              </w:rPr>
            </w:pPr>
            <w:r>
              <w:rPr>
                <w:rFonts w:ascii="Calibri" w:cs="Calibri" w:eastAsia="Calibri" w:hAnsi="Calibri"/>
                <w:sz w:val="12"/>
                <w:szCs w:val="12"/>
                <w:color w:val="auto"/>
              </w:rPr>
              <w:t>4.6%</w:t>
            </w:r>
          </w:p>
        </w:tc>
        <w:tc>
          <w:tcPr>
            <w:tcW w:w="0" w:type="dxa"/>
            <w:vAlign w:val="bottom"/>
          </w:tcPr>
          <w:p>
            <w:pPr>
              <w:spacing w:after="0"/>
              <w:rPr>
                <w:sz w:val="1"/>
                <w:szCs w:val="1"/>
                <w:color w:val="auto"/>
              </w:rPr>
            </w:pPr>
          </w:p>
        </w:tc>
      </w:tr>
      <w:tr>
        <w:trPr>
          <w:trHeight w:val="151"/>
        </w:trPr>
        <w:tc>
          <w:tcPr>
            <w:tcW w:w="3960" w:type="dxa"/>
            <w:vAlign w:val="bottom"/>
            <w:tcBorders>
              <w:left w:val="single" w:sz="8" w:color="auto"/>
              <w:right w:val="single" w:sz="8" w:color="auto"/>
            </w:tcBorders>
          </w:tcPr>
          <w:p>
            <w:pPr>
              <w:ind w:left="160"/>
              <w:spacing w:after="0" w:line="151" w:lineRule="exact"/>
              <w:rPr>
                <w:sz w:val="20"/>
                <w:szCs w:val="20"/>
                <w:color w:val="auto"/>
              </w:rPr>
            </w:pPr>
            <w:r>
              <w:rPr>
                <w:rFonts w:ascii="Calibri" w:cs="Calibri" w:eastAsia="Calibri" w:hAnsi="Calibri"/>
                <w:sz w:val="10"/>
                <w:szCs w:val="10"/>
                <w:color w:val="auto"/>
              </w:rPr>
              <w:t xml:space="preserve">Funding cost </w:t>
            </w:r>
            <w:r>
              <w:rPr>
                <w:rFonts w:ascii="Calibri" w:cs="Calibri" w:eastAsia="Calibri" w:hAnsi="Calibri"/>
                <w:sz w:val="16"/>
                <w:szCs w:val="16"/>
                <w:color w:val="auto"/>
                <w:vertAlign w:val="superscript"/>
              </w:rPr>
              <w:t>(1)(2)(3)</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2.5%</w:t>
            </w:r>
          </w:p>
        </w:tc>
        <w:tc>
          <w:tcPr>
            <w:tcW w:w="1220" w:type="dxa"/>
            <w:vAlign w:val="bottom"/>
          </w:tcPr>
          <w:p>
            <w:pPr>
              <w:jc w:val="center"/>
              <w:ind w:left="39"/>
              <w:spacing w:after="0"/>
              <w:rPr>
                <w:sz w:val="20"/>
                <w:szCs w:val="20"/>
                <w:color w:val="auto"/>
              </w:rPr>
            </w:pPr>
            <w:r>
              <w:rPr>
                <w:rFonts w:ascii="Calibri" w:cs="Calibri" w:eastAsia="Calibri" w:hAnsi="Calibri"/>
                <w:sz w:val="12"/>
                <w:szCs w:val="12"/>
                <w:color w:val="auto"/>
              </w:rPr>
              <w:t>2.2%</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2.1%</w:t>
            </w:r>
          </w:p>
        </w:tc>
        <w:tc>
          <w:tcPr>
            <w:tcW w:w="820" w:type="dxa"/>
            <w:vAlign w:val="bottom"/>
          </w:tcPr>
          <w:p>
            <w:pPr>
              <w:jc w:val="center"/>
              <w:spacing w:after="0"/>
              <w:rPr>
                <w:sz w:val="20"/>
                <w:szCs w:val="20"/>
                <w:color w:val="auto"/>
              </w:rPr>
            </w:pPr>
            <w:r>
              <w:rPr>
                <w:rFonts w:ascii="Calibri" w:cs="Calibri" w:eastAsia="Calibri" w:hAnsi="Calibri"/>
                <w:sz w:val="12"/>
                <w:szCs w:val="12"/>
                <w:color w:val="auto"/>
              </w:rPr>
              <w:t>2.4%</w:t>
            </w:r>
          </w:p>
        </w:tc>
        <w:tc>
          <w:tcPr>
            <w:tcW w:w="1400" w:type="dxa"/>
            <w:vAlign w:val="bottom"/>
            <w:tcBorders>
              <w:right w:val="single" w:sz="8" w:color="auto"/>
            </w:tcBorders>
          </w:tcPr>
          <w:p>
            <w:pPr>
              <w:jc w:val="center"/>
              <w:ind w:right="139"/>
              <w:spacing w:after="0"/>
              <w:rPr>
                <w:sz w:val="20"/>
                <w:szCs w:val="20"/>
                <w:color w:val="auto"/>
              </w:rPr>
            </w:pPr>
            <w:r>
              <w:rPr>
                <w:rFonts w:ascii="Calibri" w:cs="Calibri" w:eastAsia="Calibri" w:hAnsi="Calibri"/>
                <w:sz w:val="12"/>
                <w:szCs w:val="12"/>
                <w:color w:val="auto"/>
              </w:rPr>
              <w:t>2.2%</w:t>
            </w:r>
          </w:p>
        </w:tc>
        <w:tc>
          <w:tcPr>
            <w:tcW w:w="0" w:type="dxa"/>
            <w:vAlign w:val="bottom"/>
          </w:tcPr>
          <w:p>
            <w:pPr>
              <w:spacing w:after="0"/>
              <w:rPr>
                <w:sz w:val="1"/>
                <w:szCs w:val="1"/>
                <w:color w:val="auto"/>
              </w:rPr>
            </w:pPr>
          </w:p>
        </w:tc>
      </w:tr>
      <w:tr>
        <w:trPr>
          <w:trHeight w:val="146"/>
        </w:trPr>
        <w:tc>
          <w:tcPr>
            <w:tcW w:w="39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Quality of loan portolio</w:t>
            </w: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2"/>
                <w:szCs w:val="12"/>
                <w:color w:val="auto"/>
              </w:rPr>
              <w:t>Internal overdue rato</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4.2%</w:t>
            </w:r>
          </w:p>
        </w:tc>
        <w:tc>
          <w:tcPr>
            <w:tcW w:w="1220" w:type="dxa"/>
            <w:vAlign w:val="bottom"/>
          </w:tcPr>
          <w:p>
            <w:pPr>
              <w:jc w:val="center"/>
              <w:ind w:left="39"/>
              <w:spacing w:after="0"/>
              <w:rPr>
                <w:sz w:val="20"/>
                <w:szCs w:val="20"/>
                <w:color w:val="auto"/>
              </w:rPr>
            </w:pPr>
            <w:r>
              <w:rPr>
                <w:rFonts w:ascii="Calibri" w:cs="Calibri" w:eastAsia="Calibri" w:hAnsi="Calibri"/>
                <w:sz w:val="12"/>
                <w:szCs w:val="12"/>
                <w:color w:val="auto"/>
              </w:rPr>
              <w:t>4.1%</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3.5%</w:t>
            </w:r>
          </w:p>
        </w:tc>
        <w:tc>
          <w:tcPr>
            <w:tcW w:w="820" w:type="dxa"/>
            <w:vAlign w:val="bottom"/>
          </w:tcPr>
          <w:p>
            <w:pPr>
              <w:jc w:val="center"/>
              <w:spacing w:after="0"/>
              <w:rPr>
                <w:sz w:val="20"/>
                <w:szCs w:val="20"/>
                <w:color w:val="auto"/>
              </w:rPr>
            </w:pPr>
            <w:r>
              <w:rPr>
                <w:rFonts w:ascii="Calibri" w:cs="Calibri" w:eastAsia="Calibri" w:hAnsi="Calibri"/>
                <w:sz w:val="12"/>
                <w:szCs w:val="12"/>
                <w:color w:val="auto"/>
              </w:rPr>
              <w:t>4.2%</w:t>
            </w:r>
          </w:p>
        </w:tc>
        <w:tc>
          <w:tcPr>
            <w:tcW w:w="1400" w:type="dxa"/>
            <w:vAlign w:val="bottom"/>
            <w:tcBorders>
              <w:right w:val="single" w:sz="8" w:color="auto"/>
            </w:tcBorders>
          </w:tcPr>
          <w:p>
            <w:pPr>
              <w:jc w:val="center"/>
              <w:ind w:right="139"/>
              <w:spacing w:after="0"/>
              <w:rPr>
                <w:sz w:val="20"/>
                <w:szCs w:val="20"/>
                <w:color w:val="auto"/>
              </w:rPr>
            </w:pPr>
            <w:r>
              <w:rPr>
                <w:rFonts w:ascii="Calibri" w:cs="Calibri" w:eastAsia="Calibri" w:hAnsi="Calibri"/>
                <w:sz w:val="12"/>
                <w:szCs w:val="12"/>
                <w:color w:val="auto"/>
              </w:rPr>
              <w:t>3.5%</w:t>
            </w:r>
          </w:p>
        </w:tc>
        <w:tc>
          <w:tcPr>
            <w:tcW w:w="0" w:type="dxa"/>
            <w:vAlign w:val="bottom"/>
          </w:tcPr>
          <w:p>
            <w:pPr>
              <w:spacing w:after="0"/>
              <w:rPr>
                <w:sz w:val="1"/>
                <w:szCs w:val="1"/>
                <w:color w:val="auto"/>
              </w:rPr>
            </w:pPr>
          </w:p>
        </w:tc>
      </w:tr>
      <w:tr>
        <w:trPr>
          <w:trHeight w:val="157"/>
        </w:trPr>
        <w:tc>
          <w:tcPr>
            <w:tcW w:w="3960" w:type="dxa"/>
            <w:vAlign w:val="bottom"/>
            <w:tcBorders>
              <w:left w:val="single" w:sz="8" w:color="auto"/>
              <w:right w:val="single" w:sz="8" w:color="auto"/>
            </w:tcBorders>
          </w:tcPr>
          <w:p>
            <w:pPr>
              <w:ind w:left="160"/>
              <w:spacing w:after="0"/>
              <w:rPr>
                <w:sz w:val="20"/>
                <w:szCs w:val="20"/>
                <w:color w:val="auto"/>
              </w:rPr>
            </w:pPr>
            <w:r>
              <w:rPr>
                <w:rFonts w:ascii="Calibri" w:cs="Calibri" w:eastAsia="Calibri" w:hAnsi="Calibri"/>
                <w:sz w:val="12"/>
                <w:szCs w:val="12"/>
                <w:color w:val="auto"/>
              </w:rPr>
              <w:t>NPL rato</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6.0%</w:t>
            </w:r>
          </w:p>
        </w:tc>
        <w:tc>
          <w:tcPr>
            <w:tcW w:w="1220" w:type="dxa"/>
            <w:vAlign w:val="bottom"/>
          </w:tcPr>
          <w:p>
            <w:pPr>
              <w:jc w:val="center"/>
              <w:ind w:left="39"/>
              <w:spacing w:after="0"/>
              <w:rPr>
                <w:sz w:val="20"/>
                <w:szCs w:val="20"/>
                <w:color w:val="auto"/>
              </w:rPr>
            </w:pPr>
            <w:r>
              <w:rPr>
                <w:rFonts w:ascii="Calibri" w:cs="Calibri" w:eastAsia="Calibri" w:hAnsi="Calibri"/>
                <w:sz w:val="12"/>
                <w:szCs w:val="12"/>
                <w:color w:val="auto"/>
              </w:rPr>
              <w:t>5.9%</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5.2%</w:t>
            </w:r>
          </w:p>
        </w:tc>
        <w:tc>
          <w:tcPr>
            <w:tcW w:w="820" w:type="dxa"/>
            <w:vAlign w:val="bottom"/>
          </w:tcPr>
          <w:p>
            <w:pPr>
              <w:jc w:val="center"/>
              <w:spacing w:after="0"/>
              <w:rPr>
                <w:sz w:val="20"/>
                <w:szCs w:val="20"/>
                <w:color w:val="auto"/>
              </w:rPr>
            </w:pPr>
            <w:r>
              <w:rPr>
                <w:rFonts w:ascii="Calibri" w:cs="Calibri" w:eastAsia="Calibri" w:hAnsi="Calibri"/>
                <w:sz w:val="12"/>
                <w:szCs w:val="12"/>
                <w:color w:val="auto"/>
              </w:rPr>
              <w:t>6.0%</w:t>
            </w:r>
          </w:p>
        </w:tc>
        <w:tc>
          <w:tcPr>
            <w:tcW w:w="1400" w:type="dxa"/>
            <w:vAlign w:val="bottom"/>
            <w:tcBorders>
              <w:right w:val="single" w:sz="8" w:color="auto"/>
            </w:tcBorders>
          </w:tcPr>
          <w:p>
            <w:pPr>
              <w:jc w:val="center"/>
              <w:ind w:right="139"/>
              <w:spacing w:after="0"/>
              <w:rPr>
                <w:sz w:val="20"/>
                <w:szCs w:val="20"/>
                <w:color w:val="auto"/>
              </w:rPr>
            </w:pPr>
            <w:r>
              <w:rPr>
                <w:rFonts w:ascii="Calibri" w:cs="Calibri" w:eastAsia="Calibri" w:hAnsi="Calibri"/>
                <w:sz w:val="12"/>
                <w:szCs w:val="12"/>
                <w:color w:val="auto"/>
              </w:rPr>
              <w:t>5.2%</w:t>
            </w:r>
          </w:p>
        </w:tc>
        <w:tc>
          <w:tcPr>
            <w:tcW w:w="0" w:type="dxa"/>
            <w:vAlign w:val="bottom"/>
          </w:tcPr>
          <w:p>
            <w:pPr>
              <w:spacing w:after="0"/>
              <w:rPr>
                <w:sz w:val="1"/>
                <w:szCs w:val="1"/>
                <w:color w:val="auto"/>
              </w:rPr>
            </w:pPr>
          </w:p>
        </w:tc>
      </w:tr>
      <w:tr>
        <w:trPr>
          <w:trHeight w:val="144"/>
        </w:trPr>
        <w:tc>
          <w:tcPr>
            <w:tcW w:w="3960" w:type="dxa"/>
            <w:vAlign w:val="bottom"/>
            <w:tcBorders>
              <w:left w:val="single" w:sz="8" w:color="auto"/>
              <w:right w:val="single" w:sz="8" w:color="auto"/>
            </w:tcBorders>
          </w:tcPr>
          <w:p>
            <w:pPr>
              <w:ind w:left="160"/>
              <w:spacing w:after="0" w:line="145" w:lineRule="exact"/>
              <w:rPr>
                <w:sz w:val="20"/>
                <w:szCs w:val="20"/>
                <w:color w:val="auto"/>
              </w:rPr>
            </w:pPr>
            <w:r>
              <w:rPr>
                <w:rFonts w:ascii="Calibri" w:cs="Calibri" w:eastAsia="Calibri" w:hAnsi="Calibri"/>
                <w:sz w:val="12"/>
                <w:szCs w:val="12"/>
                <w:color w:val="auto"/>
              </w:rPr>
              <w:t>Coverager rato of IOLs</w:t>
            </w:r>
          </w:p>
        </w:tc>
        <w:tc>
          <w:tcPr>
            <w:tcW w:w="1020" w:type="dxa"/>
            <w:vAlign w:val="bottom"/>
          </w:tcPr>
          <w:p>
            <w:pPr>
              <w:jc w:val="center"/>
              <w:spacing w:after="0" w:line="145" w:lineRule="exact"/>
              <w:rPr>
                <w:sz w:val="20"/>
                <w:szCs w:val="20"/>
                <w:color w:val="auto"/>
              </w:rPr>
            </w:pPr>
            <w:r>
              <w:rPr>
                <w:rFonts w:ascii="Calibri" w:cs="Calibri" w:eastAsia="Calibri" w:hAnsi="Calibri"/>
                <w:sz w:val="12"/>
                <w:szCs w:val="12"/>
                <w:color w:val="auto"/>
              </w:rPr>
              <w:t>135.8%</w:t>
            </w:r>
          </w:p>
        </w:tc>
        <w:tc>
          <w:tcPr>
            <w:tcW w:w="1220" w:type="dxa"/>
            <w:vAlign w:val="bottom"/>
          </w:tcPr>
          <w:p>
            <w:pPr>
              <w:jc w:val="center"/>
              <w:ind w:left="39"/>
              <w:spacing w:after="0" w:line="145" w:lineRule="exact"/>
              <w:rPr>
                <w:sz w:val="20"/>
                <w:szCs w:val="20"/>
                <w:color w:val="auto"/>
              </w:rPr>
            </w:pPr>
            <w:r>
              <w:rPr>
                <w:rFonts w:ascii="Calibri" w:cs="Calibri" w:eastAsia="Calibri" w:hAnsi="Calibri"/>
                <w:sz w:val="12"/>
                <w:szCs w:val="12"/>
                <w:color w:val="auto"/>
              </w:rPr>
              <w:t>140.6%</w:t>
            </w:r>
          </w:p>
        </w:tc>
        <w:tc>
          <w:tcPr>
            <w:tcW w:w="11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153.0%</w:t>
            </w:r>
          </w:p>
        </w:tc>
        <w:tc>
          <w:tcPr>
            <w:tcW w:w="820" w:type="dxa"/>
            <w:vAlign w:val="bottom"/>
          </w:tcPr>
          <w:p>
            <w:pPr>
              <w:jc w:val="center"/>
              <w:spacing w:after="0" w:line="145" w:lineRule="exact"/>
              <w:rPr>
                <w:sz w:val="20"/>
                <w:szCs w:val="20"/>
                <w:color w:val="auto"/>
              </w:rPr>
            </w:pPr>
            <w:r>
              <w:rPr>
                <w:rFonts w:ascii="Calibri" w:cs="Calibri" w:eastAsia="Calibri" w:hAnsi="Calibri"/>
                <w:sz w:val="12"/>
                <w:szCs w:val="12"/>
                <w:color w:val="auto"/>
              </w:rPr>
              <w:t>135.8%</w:t>
            </w:r>
          </w:p>
        </w:tc>
        <w:tc>
          <w:tcPr>
            <w:tcW w:w="1400" w:type="dxa"/>
            <w:vAlign w:val="bottom"/>
            <w:tcBorders>
              <w:right w:val="single" w:sz="8" w:color="auto"/>
            </w:tcBorders>
          </w:tcPr>
          <w:p>
            <w:pPr>
              <w:jc w:val="center"/>
              <w:ind w:right="119"/>
              <w:spacing w:after="0" w:line="145" w:lineRule="exact"/>
              <w:rPr>
                <w:sz w:val="20"/>
                <w:szCs w:val="20"/>
                <w:color w:val="auto"/>
              </w:rPr>
            </w:pPr>
            <w:r>
              <w:rPr>
                <w:rFonts w:ascii="Calibri" w:cs="Calibri" w:eastAsia="Calibri" w:hAnsi="Calibri"/>
                <w:sz w:val="12"/>
                <w:szCs w:val="12"/>
                <w:color w:val="auto"/>
              </w:rPr>
              <w:t>153.0%</w:t>
            </w:r>
          </w:p>
        </w:tc>
        <w:tc>
          <w:tcPr>
            <w:tcW w:w="0" w:type="dxa"/>
            <w:vAlign w:val="bottom"/>
          </w:tcPr>
          <w:p>
            <w:pPr>
              <w:spacing w:after="0"/>
              <w:rPr>
                <w:sz w:val="1"/>
                <w:szCs w:val="1"/>
                <w:color w:val="auto"/>
              </w:rPr>
            </w:pPr>
          </w:p>
        </w:tc>
      </w:tr>
      <w:tr>
        <w:trPr>
          <w:trHeight w:val="137"/>
        </w:trPr>
        <w:tc>
          <w:tcPr>
            <w:tcW w:w="3960" w:type="dxa"/>
            <w:vAlign w:val="bottom"/>
            <w:tcBorders>
              <w:left w:val="single" w:sz="8" w:color="auto"/>
              <w:right w:val="single" w:sz="8" w:color="auto"/>
            </w:tcBorders>
          </w:tcPr>
          <w:p>
            <w:pPr>
              <w:ind w:left="160"/>
              <w:spacing w:after="0" w:line="138" w:lineRule="exact"/>
              <w:rPr>
                <w:sz w:val="20"/>
                <w:szCs w:val="20"/>
                <w:color w:val="auto"/>
              </w:rPr>
            </w:pPr>
            <w:r>
              <w:rPr>
                <w:rFonts w:ascii="Calibri" w:cs="Calibri" w:eastAsia="Calibri" w:hAnsi="Calibri"/>
                <w:sz w:val="12"/>
                <w:szCs w:val="12"/>
                <w:color w:val="auto"/>
              </w:rPr>
              <w:t>Coverage rato of NPLs</w:t>
            </w:r>
          </w:p>
        </w:tc>
        <w:tc>
          <w:tcPr>
            <w:tcW w:w="1020" w:type="dxa"/>
            <w:vAlign w:val="bottom"/>
          </w:tcPr>
          <w:p>
            <w:pPr>
              <w:jc w:val="center"/>
              <w:spacing w:after="0" w:line="138" w:lineRule="exact"/>
              <w:rPr>
                <w:sz w:val="20"/>
                <w:szCs w:val="20"/>
                <w:color w:val="auto"/>
              </w:rPr>
            </w:pPr>
            <w:r>
              <w:rPr>
                <w:rFonts w:ascii="Calibri" w:cs="Calibri" w:eastAsia="Calibri" w:hAnsi="Calibri"/>
                <w:sz w:val="12"/>
                <w:szCs w:val="12"/>
                <w:color w:val="auto"/>
              </w:rPr>
              <w:t>93.8%</w:t>
            </w:r>
          </w:p>
        </w:tc>
        <w:tc>
          <w:tcPr>
            <w:tcW w:w="1220" w:type="dxa"/>
            <w:vAlign w:val="bottom"/>
          </w:tcPr>
          <w:p>
            <w:pPr>
              <w:jc w:val="center"/>
              <w:ind w:left="19"/>
              <w:spacing w:after="0" w:line="138" w:lineRule="exact"/>
              <w:rPr>
                <w:sz w:val="20"/>
                <w:szCs w:val="20"/>
                <w:color w:val="auto"/>
              </w:rPr>
            </w:pPr>
            <w:r>
              <w:rPr>
                <w:rFonts w:ascii="Calibri" w:cs="Calibri" w:eastAsia="Calibri" w:hAnsi="Calibri"/>
                <w:sz w:val="12"/>
                <w:szCs w:val="12"/>
                <w:color w:val="auto"/>
              </w:rPr>
              <w:t>97.2%</w:t>
            </w:r>
          </w:p>
        </w:tc>
        <w:tc>
          <w:tcPr>
            <w:tcW w:w="1140" w:type="dxa"/>
            <w:vAlign w:val="bottom"/>
            <w:tcBorders>
              <w:right w:val="single" w:sz="8" w:color="auto"/>
            </w:tcBorders>
          </w:tcPr>
          <w:p>
            <w:pPr>
              <w:jc w:val="center"/>
              <w:spacing w:after="0" w:line="138" w:lineRule="exact"/>
              <w:rPr>
                <w:sz w:val="20"/>
                <w:szCs w:val="20"/>
                <w:color w:val="auto"/>
              </w:rPr>
            </w:pPr>
            <w:r>
              <w:rPr>
                <w:rFonts w:ascii="Calibri" w:cs="Calibri" w:eastAsia="Calibri" w:hAnsi="Calibri"/>
                <w:sz w:val="12"/>
                <w:szCs w:val="12"/>
                <w:color w:val="auto"/>
              </w:rPr>
              <w:t>103.5%</w:t>
            </w:r>
          </w:p>
        </w:tc>
        <w:tc>
          <w:tcPr>
            <w:tcW w:w="820" w:type="dxa"/>
            <w:vAlign w:val="bottom"/>
          </w:tcPr>
          <w:p>
            <w:pPr>
              <w:jc w:val="center"/>
              <w:ind w:right="19"/>
              <w:spacing w:after="0" w:line="138" w:lineRule="exact"/>
              <w:rPr>
                <w:sz w:val="20"/>
                <w:szCs w:val="20"/>
                <w:color w:val="auto"/>
              </w:rPr>
            </w:pPr>
            <w:r>
              <w:rPr>
                <w:rFonts w:ascii="Calibri" w:cs="Calibri" w:eastAsia="Calibri" w:hAnsi="Calibri"/>
                <w:sz w:val="12"/>
                <w:szCs w:val="12"/>
                <w:color w:val="auto"/>
              </w:rPr>
              <w:t>93.8%</w:t>
            </w:r>
          </w:p>
        </w:tc>
        <w:tc>
          <w:tcPr>
            <w:tcW w:w="1400" w:type="dxa"/>
            <w:vAlign w:val="bottom"/>
            <w:tcBorders>
              <w:right w:val="single" w:sz="8" w:color="auto"/>
            </w:tcBorders>
          </w:tcPr>
          <w:p>
            <w:pPr>
              <w:jc w:val="center"/>
              <w:ind w:right="119"/>
              <w:spacing w:after="0" w:line="138" w:lineRule="exact"/>
              <w:rPr>
                <w:sz w:val="20"/>
                <w:szCs w:val="20"/>
                <w:color w:val="auto"/>
              </w:rPr>
            </w:pPr>
            <w:r>
              <w:rPr>
                <w:rFonts w:ascii="Calibri" w:cs="Calibri" w:eastAsia="Calibri" w:hAnsi="Calibri"/>
                <w:sz w:val="12"/>
                <w:szCs w:val="12"/>
                <w:color w:val="auto"/>
              </w:rPr>
              <w:t>103.5%</w:t>
            </w:r>
          </w:p>
        </w:tc>
        <w:tc>
          <w:tcPr>
            <w:tcW w:w="0" w:type="dxa"/>
            <w:vAlign w:val="bottom"/>
          </w:tcPr>
          <w:p>
            <w:pPr>
              <w:spacing w:after="0"/>
              <w:rPr>
                <w:sz w:val="1"/>
                <w:szCs w:val="1"/>
                <w:color w:val="auto"/>
              </w:rPr>
            </w:pPr>
          </w:p>
        </w:tc>
      </w:tr>
      <w:tr>
        <w:trPr>
          <w:trHeight w:val="151"/>
        </w:trPr>
        <w:tc>
          <w:tcPr>
            <w:tcW w:w="3960" w:type="dxa"/>
            <w:vAlign w:val="bottom"/>
            <w:tcBorders>
              <w:left w:val="single" w:sz="8" w:color="auto"/>
              <w:right w:val="single" w:sz="8" w:color="auto"/>
            </w:tcBorders>
          </w:tcPr>
          <w:p>
            <w:pPr>
              <w:ind w:left="160"/>
              <w:spacing w:after="0" w:line="151" w:lineRule="exact"/>
              <w:rPr>
                <w:sz w:val="20"/>
                <w:szCs w:val="20"/>
                <w:color w:val="auto"/>
              </w:rPr>
            </w:pPr>
            <w:r>
              <w:rPr>
                <w:rFonts w:ascii="Calibri" w:cs="Calibri" w:eastAsia="Calibri" w:hAnsi="Calibri"/>
                <w:sz w:val="10"/>
                <w:szCs w:val="10"/>
                <w:color w:val="auto"/>
              </w:rPr>
              <w:t xml:space="preserve">Cost of risk </w:t>
            </w:r>
            <w:r>
              <w:rPr>
                <w:rFonts w:ascii="Calibri" w:cs="Calibri" w:eastAsia="Calibri" w:hAnsi="Calibri"/>
                <w:sz w:val="16"/>
                <w:szCs w:val="16"/>
                <w:color w:val="auto"/>
                <w:vertAlign w:val="superscript"/>
              </w:rPr>
              <w:t>(4)</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2.9%</w:t>
            </w:r>
          </w:p>
        </w:tc>
        <w:tc>
          <w:tcPr>
            <w:tcW w:w="1220" w:type="dxa"/>
            <w:vAlign w:val="bottom"/>
          </w:tcPr>
          <w:p>
            <w:pPr>
              <w:jc w:val="center"/>
              <w:ind w:left="39"/>
              <w:spacing w:after="0"/>
              <w:rPr>
                <w:sz w:val="20"/>
                <w:szCs w:val="20"/>
                <w:color w:val="auto"/>
              </w:rPr>
            </w:pPr>
            <w:r>
              <w:rPr>
                <w:rFonts w:ascii="Calibri" w:cs="Calibri" w:eastAsia="Calibri" w:hAnsi="Calibri"/>
                <w:sz w:val="12"/>
                <w:szCs w:val="12"/>
                <w:color w:val="auto"/>
              </w:rPr>
              <w:t>2.1%</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1.8%</w:t>
            </w:r>
          </w:p>
        </w:tc>
        <w:tc>
          <w:tcPr>
            <w:tcW w:w="820" w:type="dxa"/>
            <w:vAlign w:val="bottom"/>
          </w:tcPr>
          <w:p>
            <w:pPr>
              <w:jc w:val="center"/>
              <w:spacing w:after="0"/>
              <w:rPr>
                <w:sz w:val="20"/>
                <w:szCs w:val="20"/>
                <w:color w:val="auto"/>
              </w:rPr>
            </w:pPr>
            <w:r>
              <w:rPr>
                <w:rFonts w:ascii="Calibri" w:cs="Calibri" w:eastAsia="Calibri" w:hAnsi="Calibri"/>
                <w:sz w:val="12"/>
                <w:szCs w:val="12"/>
                <w:color w:val="auto"/>
              </w:rPr>
              <w:t>2.2%</w:t>
            </w:r>
          </w:p>
        </w:tc>
        <w:tc>
          <w:tcPr>
            <w:tcW w:w="1400" w:type="dxa"/>
            <w:vAlign w:val="bottom"/>
            <w:tcBorders>
              <w:right w:val="single" w:sz="8" w:color="auto"/>
            </w:tcBorders>
          </w:tcPr>
          <w:p>
            <w:pPr>
              <w:jc w:val="center"/>
              <w:ind w:right="139"/>
              <w:spacing w:after="0"/>
              <w:rPr>
                <w:sz w:val="20"/>
                <w:szCs w:val="20"/>
                <w:color w:val="auto"/>
              </w:rPr>
            </w:pPr>
            <w:r>
              <w:rPr>
                <w:rFonts w:ascii="Calibri" w:cs="Calibri" w:eastAsia="Calibri" w:hAnsi="Calibri"/>
                <w:sz w:val="12"/>
                <w:szCs w:val="12"/>
                <w:color w:val="auto"/>
              </w:rPr>
              <w:t>2.1%</w:t>
            </w:r>
          </w:p>
        </w:tc>
        <w:tc>
          <w:tcPr>
            <w:tcW w:w="0" w:type="dxa"/>
            <w:vAlign w:val="bottom"/>
          </w:tcPr>
          <w:p>
            <w:pPr>
              <w:spacing w:after="0"/>
              <w:rPr>
                <w:sz w:val="1"/>
                <w:szCs w:val="1"/>
                <w:color w:val="auto"/>
              </w:rPr>
            </w:pPr>
          </w:p>
        </w:tc>
      </w:tr>
      <w:tr>
        <w:trPr>
          <w:trHeight w:val="146"/>
        </w:trPr>
        <w:tc>
          <w:tcPr>
            <w:tcW w:w="396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2"/>
                <w:szCs w:val="12"/>
                <w:b w:val="1"/>
                <w:bCs w:val="1"/>
                <w:color w:val="auto"/>
              </w:rPr>
              <w:t>Operatng efciency</w:t>
            </w: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60" w:type="dxa"/>
            <w:vAlign w:val="bottom"/>
            <w:tcBorders>
              <w:left w:val="single" w:sz="8" w:color="auto"/>
              <w:right w:val="single" w:sz="8" w:color="auto"/>
            </w:tcBorders>
          </w:tcPr>
          <w:p>
            <w:pPr>
              <w:ind w:left="160"/>
              <w:spacing w:after="0" w:line="175" w:lineRule="exact"/>
              <w:rPr>
                <w:sz w:val="20"/>
                <w:szCs w:val="20"/>
                <w:color w:val="auto"/>
              </w:rPr>
            </w:pPr>
            <w:r>
              <w:rPr>
                <w:rFonts w:ascii="Calibri" w:cs="Calibri" w:eastAsia="Calibri" w:hAnsi="Calibri"/>
                <w:sz w:val="12"/>
                <w:szCs w:val="12"/>
                <w:color w:val="auto"/>
              </w:rPr>
              <w:t xml:space="preserve">Operatng expenses / Total income </w:t>
            </w:r>
            <w:r>
              <w:rPr>
                <w:rFonts w:ascii="Calibri" w:cs="Calibri" w:eastAsia="Calibri" w:hAnsi="Calibri"/>
                <w:sz w:val="19"/>
                <w:szCs w:val="19"/>
                <w:color w:val="auto"/>
                <w:vertAlign w:val="superscript"/>
              </w:rPr>
              <w:t>(5)</w:t>
            </w:r>
          </w:p>
        </w:tc>
        <w:tc>
          <w:tcPr>
            <w:tcW w:w="1020" w:type="dxa"/>
            <w:vAlign w:val="bottom"/>
          </w:tcPr>
          <w:p>
            <w:pPr>
              <w:jc w:val="center"/>
              <w:spacing w:after="0"/>
              <w:rPr>
                <w:sz w:val="20"/>
                <w:szCs w:val="20"/>
                <w:color w:val="auto"/>
              </w:rPr>
            </w:pPr>
            <w:r>
              <w:rPr>
                <w:rFonts w:ascii="Calibri" w:cs="Calibri" w:eastAsia="Calibri" w:hAnsi="Calibri"/>
                <w:sz w:val="12"/>
                <w:szCs w:val="12"/>
                <w:color w:val="auto"/>
              </w:rPr>
              <w:t>41.8%</w:t>
            </w:r>
          </w:p>
        </w:tc>
        <w:tc>
          <w:tcPr>
            <w:tcW w:w="1220" w:type="dxa"/>
            <w:vAlign w:val="bottom"/>
          </w:tcPr>
          <w:p>
            <w:pPr>
              <w:jc w:val="center"/>
              <w:ind w:left="19"/>
              <w:spacing w:after="0"/>
              <w:rPr>
                <w:sz w:val="20"/>
                <w:szCs w:val="20"/>
                <w:color w:val="auto"/>
              </w:rPr>
            </w:pPr>
            <w:r>
              <w:rPr>
                <w:rFonts w:ascii="Calibri" w:cs="Calibri" w:eastAsia="Calibri" w:hAnsi="Calibri"/>
                <w:sz w:val="12"/>
                <w:szCs w:val="12"/>
                <w:color w:val="auto"/>
              </w:rPr>
              <w:t>37.6%</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rPr>
              <w:t>44.8%</w:t>
            </w:r>
          </w:p>
        </w:tc>
        <w:tc>
          <w:tcPr>
            <w:tcW w:w="820" w:type="dxa"/>
            <w:vAlign w:val="bottom"/>
          </w:tcPr>
          <w:p>
            <w:pPr>
              <w:jc w:val="center"/>
              <w:ind w:right="19"/>
              <w:spacing w:after="0"/>
              <w:rPr>
                <w:sz w:val="20"/>
                <w:szCs w:val="20"/>
                <w:color w:val="auto"/>
              </w:rPr>
            </w:pPr>
            <w:r>
              <w:rPr>
                <w:rFonts w:ascii="Calibri" w:cs="Calibri" w:eastAsia="Calibri" w:hAnsi="Calibri"/>
                <w:sz w:val="12"/>
                <w:szCs w:val="12"/>
                <w:color w:val="auto"/>
              </w:rPr>
              <w:t>38.8%</w:t>
            </w:r>
          </w:p>
        </w:tc>
        <w:tc>
          <w:tcPr>
            <w:tcW w:w="1400" w:type="dxa"/>
            <w:vAlign w:val="bottom"/>
            <w:tcBorders>
              <w:right w:val="single" w:sz="8" w:color="auto"/>
            </w:tcBorders>
          </w:tcPr>
          <w:p>
            <w:pPr>
              <w:jc w:val="center"/>
              <w:ind w:right="119"/>
              <w:spacing w:after="0"/>
              <w:rPr>
                <w:sz w:val="20"/>
                <w:szCs w:val="20"/>
                <w:color w:val="auto"/>
              </w:rPr>
            </w:pPr>
            <w:r>
              <w:rPr>
                <w:rFonts w:ascii="Calibri" w:cs="Calibri" w:eastAsia="Calibri" w:hAnsi="Calibri"/>
                <w:sz w:val="12"/>
                <w:szCs w:val="12"/>
                <w:color w:val="auto"/>
              </w:rPr>
              <w:t>39.3%</w:t>
            </w:r>
          </w:p>
        </w:tc>
        <w:tc>
          <w:tcPr>
            <w:tcW w:w="0" w:type="dxa"/>
            <w:vAlign w:val="bottom"/>
          </w:tcPr>
          <w:p>
            <w:pPr>
              <w:spacing w:after="0"/>
              <w:rPr>
                <w:sz w:val="1"/>
                <w:szCs w:val="1"/>
                <w:color w:val="auto"/>
              </w:rPr>
            </w:pPr>
          </w:p>
        </w:tc>
      </w:tr>
      <w:tr>
        <w:trPr>
          <w:trHeight w:val="175"/>
        </w:trPr>
        <w:tc>
          <w:tcPr>
            <w:tcW w:w="3960" w:type="dxa"/>
            <w:vAlign w:val="bottom"/>
            <w:tcBorders>
              <w:left w:val="single" w:sz="8" w:color="auto"/>
              <w:bottom w:val="single" w:sz="8" w:color="auto"/>
              <w:right w:val="single" w:sz="8" w:color="auto"/>
            </w:tcBorders>
          </w:tcPr>
          <w:p>
            <w:pPr>
              <w:ind w:left="160"/>
              <w:spacing w:after="0" w:line="175" w:lineRule="exact"/>
              <w:rPr>
                <w:sz w:val="20"/>
                <w:szCs w:val="20"/>
                <w:color w:val="auto"/>
              </w:rPr>
            </w:pPr>
            <w:r>
              <w:rPr>
                <w:rFonts w:ascii="Calibri" w:cs="Calibri" w:eastAsia="Calibri" w:hAnsi="Calibri"/>
                <w:sz w:val="12"/>
                <w:szCs w:val="12"/>
                <w:color w:val="auto"/>
              </w:rPr>
              <w:t xml:space="preserve">Operatng expenses / Total average assets </w:t>
            </w:r>
            <w:r>
              <w:rPr>
                <w:rFonts w:ascii="Calibri" w:cs="Calibri" w:eastAsia="Calibri" w:hAnsi="Calibri"/>
                <w:sz w:val="19"/>
                <w:szCs w:val="19"/>
                <w:color w:val="auto"/>
                <w:vertAlign w:val="superscript"/>
              </w:rPr>
              <w:t>(1)(2)(5)</w:t>
            </w:r>
          </w:p>
        </w:tc>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3.3%</w:t>
            </w:r>
          </w:p>
        </w:tc>
        <w:tc>
          <w:tcPr>
            <w:tcW w:w="1220" w:type="dxa"/>
            <w:vAlign w:val="bottom"/>
            <w:tcBorders>
              <w:bottom w:val="single" w:sz="8" w:color="auto"/>
            </w:tcBorders>
          </w:tcPr>
          <w:p>
            <w:pPr>
              <w:jc w:val="center"/>
              <w:ind w:left="39"/>
              <w:spacing w:after="0"/>
              <w:rPr>
                <w:sz w:val="20"/>
                <w:szCs w:val="20"/>
                <w:color w:val="auto"/>
              </w:rPr>
            </w:pPr>
            <w:r>
              <w:rPr>
                <w:rFonts w:ascii="Calibri" w:cs="Calibri" w:eastAsia="Calibri" w:hAnsi="Calibri"/>
                <w:sz w:val="12"/>
                <w:szCs w:val="12"/>
                <w:color w:val="auto"/>
              </w:rPr>
              <w:t>3.1%</w:t>
            </w:r>
          </w:p>
        </w:tc>
        <w:tc>
          <w:tcPr>
            <w:tcW w:w="11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2"/>
                <w:szCs w:val="12"/>
                <w:color w:val="auto"/>
              </w:rPr>
              <w:t>3.7%</w:t>
            </w:r>
          </w:p>
        </w:tc>
        <w:tc>
          <w:tcPr>
            <w:tcW w:w="82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color w:val="auto"/>
              </w:rPr>
              <w:t>3.0%</w:t>
            </w:r>
          </w:p>
        </w:tc>
        <w:tc>
          <w:tcPr>
            <w:tcW w:w="1400" w:type="dxa"/>
            <w:vAlign w:val="bottom"/>
            <w:tcBorders>
              <w:bottom w:val="single" w:sz="8" w:color="auto"/>
              <w:right w:val="single" w:sz="8" w:color="auto"/>
            </w:tcBorders>
          </w:tcPr>
          <w:p>
            <w:pPr>
              <w:jc w:val="center"/>
              <w:ind w:right="139"/>
              <w:spacing w:after="0"/>
              <w:rPr>
                <w:sz w:val="20"/>
                <w:szCs w:val="20"/>
                <w:color w:val="auto"/>
              </w:rPr>
            </w:pPr>
            <w:r>
              <w:rPr>
                <w:rFonts w:ascii="Calibri" w:cs="Calibri" w:eastAsia="Calibri" w:hAnsi="Calibri"/>
                <w:sz w:val="12"/>
                <w:szCs w:val="12"/>
                <w:color w:val="auto"/>
              </w:rPr>
              <w:t>3.2%</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440" w:hanging="176"/>
        <w:spacing w:after="0"/>
        <w:tabs>
          <w:tab w:leader="none" w:pos="1440"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Ratos are annualized.</w:t>
      </w:r>
    </w:p>
    <w:p>
      <w:pPr>
        <w:spacing w:after="0" w:line="62" w:lineRule="exact"/>
        <w:rPr>
          <w:rFonts w:ascii="Calibri" w:cs="Calibri" w:eastAsia="Calibri" w:hAnsi="Calibri"/>
          <w:sz w:val="11"/>
          <w:szCs w:val="11"/>
          <w:color w:val="auto"/>
        </w:rPr>
      </w:pPr>
    </w:p>
    <w:p>
      <w:pPr>
        <w:ind w:left="1440" w:hanging="176"/>
        <w:spacing w:after="0"/>
        <w:tabs>
          <w:tab w:leader="none" w:pos="1440"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Averages are determined as the average of period-beginning and period-ending balances.</w:t>
      </w:r>
    </w:p>
    <w:p>
      <w:pPr>
        <w:spacing w:after="0" w:line="62" w:lineRule="exact"/>
        <w:rPr>
          <w:rFonts w:ascii="Calibri" w:cs="Calibri" w:eastAsia="Calibri" w:hAnsi="Calibri"/>
          <w:sz w:val="11"/>
          <w:szCs w:val="11"/>
          <w:color w:val="auto"/>
        </w:rPr>
      </w:pPr>
    </w:p>
    <w:p>
      <w:pPr>
        <w:ind w:left="1440" w:right="100" w:hanging="176"/>
        <w:spacing w:after="0" w:line="237" w:lineRule="auto"/>
        <w:tabs>
          <w:tab w:leader="none" w:pos="1440"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The funding costs difers from previously reported due to a methodology change in the denominator, which no longer includes the following accounts: acceptances outstanding, reserves for property and casualty claims, reserve for unearned premiums, reinsurance payable and other liabilites.</w:t>
      </w:r>
    </w:p>
    <w:p>
      <w:pPr>
        <w:spacing w:after="0" w:line="1" w:lineRule="exact"/>
        <w:rPr>
          <w:rFonts w:ascii="Calibri" w:cs="Calibri" w:eastAsia="Calibri" w:hAnsi="Calibri"/>
          <w:sz w:val="11"/>
          <w:szCs w:val="11"/>
          <w:color w:val="auto"/>
        </w:rPr>
      </w:pPr>
    </w:p>
    <w:p>
      <w:pPr>
        <w:ind w:left="1440" w:hanging="176"/>
        <w:spacing w:after="0" w:line="234" w:lineRule="auto"/>
        <w:tabs>
          <w:tab w:leader="none" w:pos="1440"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Cost of risk: Annualized provision for loan losses / Average total loans.</w:t>
      </w:r>
    </w:p>
    <w:p>
      <w:pPr>
        <w:spacing w:after="0" w:line="61" w:lineRule="exact"/>
        <w:rPr>
          <w:rFonts w:ascii="Calibri" w:cs="Calibri" w:eastAsia="Calibri" w:hAnsi="Calibri"/>
          <w:sz w:val="11"/>
          <w:szCs w:val="11"/>
          <w:color w:val="auto"/>
        </w:rPr>
      </w:pPr>
    </w:p>
    <w:p>
      <w:pPr>
        <w:ind w:left="1440" w:right="20" w:hanging="176"/>
        <w:spacing w:after="0" w:line="237" w:lineRule="auto"/>
        <w:tabs>
          <w:tab w:leader="none" w:pos="1440" w:val="left"/>
        </w:tabs>
        <w:numPr>
          <w:ilvl w:val="0"/>
          <w:numId w:val="58"/>
        </w:numPr>
        <w:rPr>
          <w:rFonts w:ascii="Calibri" w:cs="Calibri" w:eastAsia="Calibri" w:hAnsi="Calibri"/>
          <w:sz w:val="11"/>
          <w:szCs w:val="11"/>
          <w:color w:val="auto"/>
        </w:rPr>
      </w:pPr>
      <w:r>
        <w:rPr>
          <w:rFonts w:ascii="Calibri" w:cs="Calibri" w:eastAsia="Calibri" w:hAnsi="Calibri"/>
          <w:sz w:val="11"/>
          <w:szCs w:val="11"/>
          <w:color w:val="auto"/>
        </w:rPr>
        <w:t>Total income includes net interest income, fee income, net gain on foreign exchange transactons, result on exchange diference and net gain on derivatves. Operatng expenses includes Salaries and social benefts, administratve, general and tax expenses and depreciaton and amortzaton.</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415"/>
        </w:trPr>
        <w:tc>
          <w:tcPr>
            <w:tcW w:w="2880" w:type="dxa"/>
            <w:vAlign w:val="bottom"/>
            <w:gridSpan w:val="2"/>
            <w:shd w:val="clear" w:color="auto" w:fill="000000"/>
          </w:tcPr>
          <w:p>
            <w:pPr>
              <w:jc w:val="right"/>
              <w:ind w:right="38"/>
              <w:spacing w:after="0"/>
              <w:rPr>
                <w:sz w:val="20"/>
                <w:szCs w:val="20"/>
                <w:color w:val="auto"/>
              </w:rPr>
            </w:pPr>
            <w:r>
              <w:rPr>
                <w:rFonts w:ascii="Calibri" w:cs="Calibri" w:eastAsia="Calibri" w:hAnsi="Calibri"/>
                <w:sz w:val="19"/>
                <w:szCs w:val="19"/>
                <w:color w:val="A6A6A6"/>
              </w:rPr>
              <w:t>|</w:t>
            </w:r>
          </w:p>
        </w:tc>
        <w:tc>
          <w:tcPr>
            <w:tcW w:w="2620" w:type="dxa"/>
            <w:vAlign w:val="bottom"/>
            <w:gridSpan w:val="5"/>
            <w:shd w:val="clear" w:color="auto" w:fill="000000"/>
          </w:tcPr>
          <w:p>
            <w:pPr>
              <w:ind w:left="100"/>
              <w:spacing w:after="0"/>
              <w:rPr>
                <w:sz w:val="20"/>
                <w:szCs w:val="20"/>
                <w:color w:val="auto"/>
              </w:rPr>
            </w:pPr>
            <w:r>
              <w:rPr>
                <w:rFonts w:ascii="Calibri" w:cs="Calibri" w:eastAsia="Calibri" w:hAnsi="Calibri"/>
                <w:sz w:val="16"/>
                <w:szCs w:val="16"/>
                <w:color w:val="FFFFFF"/>
              </w:rPr>
              <w:t>Earnings Release 4Q / 2024</w:t>
            </w:r>
          </w:p>
        </w:tc>
        <w:tc>
          <w:tcPr>
            <w:tcW w:w="340" w:type="dxa"/>
            <w:vAlign w:val="bottom"/>
            <w:tcBorders>
              <w:right w:val="single" w:sz="8" w:color="auto"/>
            </w:tcBorders>
            <w:shd w:val="clear" w:color="auto" w:fill="000000"/>
          </w:tcPr>
          <w:p>
            <w:pPr>
              <w:spacing w:after="0"/>
              <w:rPr>
                <w:sz w:val="24"/>
                <w:szCs w:val="24"/>
                <w:color w:val="auto"/>
              </w:rPr>
            </w:pPr>
          </w:p>
        </w:tc>
        <w:tc>
          <w:tcPr>
            <w:tcW w:w="800" w:type="dxa"/>
            <w:vAlign w:val="bottom"/>
            <w:tcBorders>
              <w:right w:val="single" w:sz="8" w:color="auto"/>
            </w:tcBorders>
            <w:shd w:val="clear" w:color="auto" w:fill="000000"/>
          </w:tcPr>
          <w:p>
            <w:pPr>
              <w:spacing w:after="0"/>
              <w:rPr>
                <w:sz w:val="24"/>
                <w:szCs w:val="24"/>
                <w:color w:val="auto"/>
              </w:rPr>
            </w:pPr>
          </w:p>
        </w:tc>
        <w:tc>
          <w:tcPr>
            <w:tcW w:w="120" w:type="dxa"/>
            <w:vAlign w:val="bottom"/>
            <w:tcBorders>
              <w:right w:val="single" w:sz="8" w:color="auto"/>
            </w:tcBorders>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260" w:type="dxa"/>
            <w:vAlign w:val="bottom"/>
            <w:shd w:val="clear" w:color="auto" w:fill="000000"/>
          </w:tcPr>
          <w:p>
            <w:pPr>
              <w:spacing w:after="0"/>
              <w:rPr>
                <w:sz w:val="24"/>
                <w:szCs w:val="24"/>
                <w:color w:val="auto"/>
              </w:rPr>
            </w:pPr>
          </w:p>
        </w:tc>
        <w:tc>
          <w:tcPr>
            <w:tcW w:w="3620" w:type="dxa"/>
            <w:vAlign w:val="bottom"/>
            <w:gridSpan w:val="7"/>
            <w:shd w:val="clear" w:color="auto" w:fill="000000"/>
          </w:tcPr>
          <w:p>
            <w:pPr>
              <w:ind w:left="40"/>
              <w:spacing w:after="0"/>
              <w:rPr>
                <w:sz w:val="20"/>
                <w:szCs w:val="20"/>
                <w:color w:val="auto"/>
              </w:rPr>
            </w:pPr>
            <w:r>
              <w:rPr>
                <w:rFonts w:ascii="Calibri" w:cs="Calibri" w:eastAsia="Calibri" w:hAnsi="Calibri"/>
                <w:sz w:val="16"/>
                <w:szCs w:val="16"/>
                <w:color w:val="ED3FA8"/>
              </w:rPr>
              <w:t>Analysis of 4Q24 Consolidated Results</w:t>
            </w:r>
          </w:p>
        </w:tc>
        <w:tc>
          <w:tcPr>
            <w:tcW w:w="0" w:type="dxa"/>
            <w:vAlign w:val="bottom"/>
          </w:tcPr>
          <w:p>
            <w:pPr>
              <w:spacing w:after="0"/>
              <w:rPr>
                <w:sz w:val="1"/>
                <w:szCs w:val="1"/>
                <w:color w:val="auto"/>
              </w:rPr>
            </w:pPr>
          </w:p>
        </w:tc>
      </w:tr>
      <w:tr>
        <w:trPr>
          <w:trHeight w:val="240"/>
        </w:trPr>
        <w:tc>
          <w:tcPr>
            <w:tcW w:w="320" w:type="dxa"/>
            <w:vAlign w:val="bottom"/>
            <w:tcBorders>
              <w:right w:val="single" w:sz="8" w:color="auto"/>
            </w:tcBorders>
            <w:shd w:val="clear" w:color="auto" w:fill="000000"/>
          </w:tcPr>
          <w:p>
            <w:pPr>
              <w:spacing w:after="0"/>
              <w:rPr>
                <w:sz w:val="20"/>
                <w:szCs w:val="20"/>
                <w:color w:val="auto"/>
              </w:rPr>
            </w:pPr>
          </w:p>
        </w:tc>
        <w:tc>
          <w:tcPr>
            <w:tcW w:w="2560" w:type="dxa"/>
            <w:vAlign w:val="bottom"/>
            <w:shd w:val="clear" w:color="auto" w:fill="000000"/>
          </w:tcPr>
          <w:p>
            <w:pPr>
              <w:spacing w:after="0"/>
              <w:rPr>
                <w:sz w:val="20"/>
                <w:szCs w:val="20"/>
                <w:color w:val="auto"/>
              </w:rPr>
            </w:pPr>
          </w:p>
        </w:tc>
        <w:tc>
          <w:tcPr>
            <w:tcW w:w="700" w:type="dxa"/>
            <w:vAlign w:val="bottom"/>
            <w:tcBorders>
              <w:right w:val="single" w:sz="8" w:color="auto"/>
            </w:tcBorders>
            <w:shd w:val="clear" w:color="auto" w:fill="000000"/>
          </w:tcPr>
          <w:p>
            <w:pPr>
              <w:spacing w:after="0"/>
              <w:rPr>
                <w:sz w:val="20"/>
                <w:szCs w:val="20"/>
                <w:color w:val="auto"/>
              </w:rPr>
            </w:pPr>
          </w:p>
        </w:tc>
        <w:tc>
          <w:tcPr>
            <w:tcW w:w="360" w:type="dxa"/>
            <w:vAlign w:val="bottom"/>
            <w:tcBorders>
              <w:right w:val="single" w:sz="8" w:color="auto"/>
            </w:tcBorders>
            <w:shd w:val="clear" w:color="auto" w:fill="000000"/>
          </w:tcPr>
          <w:p>
            <w:pPr>
              <w:spacing w:after="0"/>
              <w:rPr>
                <w:sz w:val="20"/>
                <w:szCs w:val="20"/>
                <w:color w:val="auto"/>
              </w:rPr>
            </w:pPr>
          </w:p>
        </w:tc>
        <w:tc>
          <w:tcPr>
            <w:tcW w:w="640" w:type="dxa"/>
            <w:vAlign w:val="bottom"/>
            <w:shd w:val="clear" w:color="auto" w:fill="000000"/>
          </w:tcPr>
          <w:p>
            <w:pPr>
              <w:spacing w:after="0"/>
              <w:rPr>
                <w:sz w:val="20"/>
                <w:szCs w:val="20"/>
                <w:color w:val="auto"/>
              </w:rPr>
            </w:pPr>
          </w:p>
        </w:tc>
        <w:tc>
          <w:tcPr>
            <w:tcW w:w="540" w:type="dxa"/>
            <w:vAlign w:val="bottom"/>
            <w:tcBorders>
              <w:right w:val="single" w:sz="8" w:color="auto"/>
            </w:tcBorders>
            <w:shd w:val="clear" w:color="auto" w:fill="000000"/>
          </w:tcPr>
          <w:p>
            <w:pPr>
              <w:spacing w:after="0"/>
              <w:rPr>
                <w:sz w:val="20"/>
                <w:szCs w:val="20"/>
                <w:color w:val="auto"/>
              </w:rPr>
            </w:pPr>
          </w:p>
        </w:tc>
        <w:tc>
          <w:tcPr>
            <w:tcW w:w="380" w:type="dxa"/>
            <w:vAlign w:val="bottom"/>
            <w:shd w:val="clear" w:color="auto" w:fill="000000"/>
          </w:tcPr>
          <w:p>
            <w:pPr>
              <w:spacing w:after="0"/>
              <w:rPr>
                <w:sz w:val="20"/>
                <w:szCs w:val="20"/>
                <w:color w:val="auto"/>
              </w:rPr>
            </w:pPr>
          </w:p>
        </w:tc>
        <w:tc>
          <w:tcPr>
            <w:tcW w:w="340" w:type="dxa"/>
            <w:vAlign w:val="bottom"/>
            <w:tcBorders>
              <w:right w:val="single" w:sz="8" w:color="auto"/>
            </w:tcBorders>
            <w:shd w:val="clear" w:color="auto" w:fill="000000"/>
          </w:tcPr>
          <w:p>
            <w:pPr>
              <w:spacing w:after="0"/>
              <w:rPr>
                <w:sz w:val="20"/>
                <w:szCs w:val="20"/>
                <w:color w:val="auto"/>
              </w:rPr>
            </w:pPr>
          </w:p>
        </w:tc>
        <w:tc>
          <w:tcPr>
            <w:tcW w:w="800" w:type="dxa"/>
            <w:vAlign w:val="bottom"/>
            <w:tcBorders>
              <w:right w:val="single" w:sz="8" w:color="auto"/>
            </w:tcBorders>
            <w:shd w:val="clear" w:color="auto" w:fill="000000"/>
          </w:tcPr>
          <w:p>
            <w:pPr>
              <w:spacing w:after="0"/>
              <w:rPr>
                <w:sz w:val="20"/>
                <w:szCs w:val="20"/>
                <w:color w:val="auto"/>
              </w:rPr>
            </w:pPr>
          </w:p>
        </w:tc>
        <w:tc>
          <w:tcPr>
            <w:tcW w:w="120" w:type="dxa"/>
            <w:vAlign w:val="bottom"/>
            <w:tcBorders>
              <w:right w:val="single" w:sz="8" w:color="auto"/>
            </w:tcBorders>
            <w:shd w:val="clear" w:color="auto" w:fill="000000"/>
          </w:tcPr>
          <w:p>
            <w:pPr>
              <w:spacing w:after="0"/>
              <w:rPr>
                <w:sz w:val="20"/>
                <w:szCs w:val="20"/>
                <w:color w:val="auto"/>
              </w:rPr>
            </w:pPr>
          </w:p>
        </w:tc>
        <w:tc>
          <w:tcPr>
            <w:tcW w:w="600" w:type="dxa"/>
            <w:vAlign w:val="bottom"/>
            <w:shd w:val="clear" w:color="auto" w:fill="000000"/>
          </w:tcPr>
          <w:p>
            <w:pPr>
              <w:spacing w:after="0"/>
              <w:rPr>
                <w:sz w:val="20"/>
                <w:szCs w:val="20"/>
                <w:color w:val="auto"/>
              </w:rPr>
            </w:pPr>
          </w:p>
        </w:tc>
        <w:tc>
          <w:tcPr>
            <w:tcW w:w="260" w:type="dxa"/>
            <w:vAlign w:val="bottom"/>
            <w:shd w:val="clear" w:color="auto" w:fill="000000"/>
          </w:tcPr>
          <w:p>
            <w:pPr>
              <w:spacing w:after="0"/>
              <w:rPr>
                <w:sz w:val="20"/>
                <w:szCs w:val="20"/>
                <w:color w:val="auto"/>
              </w:rPr>
            </w:pPr>
          </w:p>
        </w:tc>
        <w:tc>
          <w:tcPr>
            <w:tcW w:w="420" w:type="dxa"/>
            <w:vAlign w:val="bottom"/>
            <w:shd w:val="clear" w:color="auto" w:fill="000000"/>
          </w:tcPr>
          <w:p>
            <w:pPr>
              <w:spacing w:after="0"/>
              <w:rPr>
                <w:sz w:val="20"/>
                <w:szCs w:val="20"/>
                <w:color w:val="auto"/>
              </w:rPr>
            </w:pPr>
          </w:p>
        </w:tc>
        <w:tc>
          <w:tcPr>
            <w:tcW w:w="160" w:type="dxa"/>
            <w:vAlign w:val="bottom"/>
            <w:tcBorders>
              <w:right w:val="single" w:sz="8" w:color="auto"/>
            </w:tcBorders>
            <w:shd w:val="clear" w:color="auto" w:fill="000000"/>
          </w:tcPr>
          <w:p>
            <w:pPr>
              <w:spacing w:after="0"/>
              <w:rPr>
                <w:sz w:val="20"/>
                <w:szCs w:val="20"/>
                <w:color w:val="auto"/>
              </w:rPr>
            </w:pPr>
          </w:p>
        </w:tc>
        <w:tc>
          <w:tcPr>
            <w:tcW w:w="620" w:type="dxa"/>
            <w:vAlign w:val="bottom"/>
            <w:shd w:val="clear" w:color="auto" w:fill="000000"/>
          </w:tcPr>
          <w:p>
            <w:pPr>
              <w:spacing w:after="0"/>
              <w:rPr>
                <w:sz w:val="20"/>
                <w:szCs w:val="20"/>
                <w:color w:val="auto"/>
              </w:rPr>
            </w:pPr>
          </w:p>
        </w:tc>
        <w:tc>
          <w:tcPr>
            <w:tcW w:w="120" w:type="dxa"/>
            <w:vAlign w:val="bottom"/>
            <w:tcBorders>
              <w:right w:val="single" w:sz="8" w:color="auto"/>
            </w:tcBorders>
            <w:shd w:val="clear" w:color="auto" w:fill="000000"/>
          </w:tcPr>
          <w:p>
            <w:pPr>
              <w:spacing w:after="0"/>
              <w:rPr>
                <w:sz w:val="20"/>
                <w:szCs w:val="20"/>
                <w:color w:val="auto"/>
              </w:rPr>
            </w:pPr>
          </w:p>
        </w:tc>
        <w:tc>
          <w:tcPr>
            <w:tcW w:w="900" w:type="dxa"/>
            <w:vAlign w:val="bottom"/>
            <w:tcBorders>
              <w:right w:val="single" w:sz="8" w:color="auto"/>
            </w:tcBorders>
            <w:shd w:val="clear" w:color="auto" w:fill="000000"/>
          </w:tcPr>
          <w:p>
            <w:pPr>
              <w:spacing w:after="0"/>
              <w:rPr>
                <w:sz w:val="20"/>
                <w:szCs w:val="20"/>
                <w:color w:val="auto"/>
              </w:rPr>
            </w:pPr>
          </w:p>
        </w:tc>
        <w:tc>
          <w:tcPr>
            <w:tcW w:w="1140" w:type="dxa"/>
            <w:vAlign w:val="bottom"/>
            <w:tcBorders>
              <w:right w:val="single" w:sz="8" w:color="auto"/>
            </w:tcBorders>
            <w:shd w:val="clear" w:color="auto" w:fill="000000"/>
          </w:tcPr>
          <w:p>
            <w:pPr>
              <w:spacing w:after="0"/>
              <w:rPr>
                <w:sz w:val="20"/>
                <w:szCs w:val="20"/>
                <w:color w:val="auto"/>
              </w:rPr>
            </w:pPr>
          </w:p>
        </w:tc>
        <w:tc>
          <w:tcPr>
            <w:tcW w:w="26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880" w:type="dxa"/>
            <w:vAlign w:val="bottom"/>
            <w:gridSpan w:val="2"/>
            <w:shd w:val="clear" w:color="auto" w:fill="E93BAC"/>
          </w:tcPr>
          <w:p>
            <w:pPr>
              <w:jc w:val="right"/>
              <w:ind w:right="1678"/>
              <w:spacing w:after="0"/>
              <w:rPr>
                <w:sz w:val="20"/>
                <w:szCs w:val="20"/>
                <w:color w:val="auto"/>
              </w:rPr>
            </w:pPr>
            <w:r>
              <w:rPr>
                <w:rFonts w:ascii="Calibri" w:cs="Calibri" w:eastAsia="Calibri" w:hAnsi="Calibri"/>
                <w:sz w:val="19"/>
                <w:szCs w:val="19"/>
                <w:b w:val="1"/>
                <w:bCs w:val="1"/>
                <w:color w:val="FFFFFF"/>
              </w:rPr>
              <w:t>12. Appendix</w:t>
            </w:r>
          </w:p>
        </w:tc>
        <w:tc>
          <w:tcPr>
            <w:tcW w:w="700" w:type="dxa"/>
            <w:vAlign w:val="bottom"/>
            <w:tcBorders>
              <w:right w:val="single" w:sz="8" w:color="E93BAC"/>
            </w:tcBorders>
            <w:shd w:val="clear" w:color="auto" w:fill="E93BAC"/>
          </w:tcPr>
          <w:p>
            <w:pPr>
              <w:spacing w:after="0"/>
              <w:rPr>
                <w:sz w:val="22"/>
                <w:szCs w:val="22"/>
                <w:color w:val="auto"/>
              </w:rPr>
            </w:pPr>
          </w:p>
        </w:tc>
        <w:tc>
          <w:tcPr>
            <w:tcW w:w="360" w:type="dxa"/>
            <w:vAlign w:val="bottom"/>
            <w:tcBorders>
              <w:right w:val="single" w:sz="8" w:color="E93BAC"/>
            </w:tcBorders>
            <w:shd w:val="clear" w:color="auto" w:fill="E93BAC"/>
          </w:tcPr>
          <w:p>
            <w:pPr>
              <w:spacing w:after="0"/>
              <w:rPr>
                <w:sz w:val="22"/>
                <w:szCs w:val="22"/>
                <w:color w:val="auto"/>
              </w:rPr>
            </w:pPr>
          </w:p>
        </w:tc>
        <w:tc>
          <w:tcPr>
            <w:tcW w:w="640" w:type="dxa"/>
            <w:vAlign w:val="bottom"/>
            <w:shd w:val="clear" w:color="auto" w:fill="E93BAC"/>
          </w:tcPr>
          <w:p>
            <w:pPr>
              <w:spacing w:after="0"/>
              <w:rPr>
                <w:sz w:val="22"/>
                <w:szCs w:val="22"/>
                <w:color w:val="auto"/>
              </w:rPr>
            </w:pPr>
          </w:p>
        </w:tc>
        <w:tc>
          <w:tcPr>
            <w:tcW w:w="540" w:type="dxa"/>
            <w:vAlign w:val="bottom"/>
            <w:tcBorders>
              <w:right w:val="single" w:sz="8" w:color="E93BAC"/>
            </w:tcBorders>
            <w:shd w:val="clear" w:color="auto" w:fill="E93BAC"/>
          </w:tcPr>
          <w:p>
            <w:pPr>
              <w:spacing w:after="0"/>
              <w:rPr>
                <w:sz w:val="22"/>
                <w:szCs w:val="22"/>
                <w:color w:val="auto"/>
              </w:rPr>
            </w:pPr>
          </w:p>
        </w:tc>
        <w:tc>
          <w:tcPr>
            <w:tcW w:w="380" w:type="dxa"/>
            <w:vAlign w:val="bottom"/>
            <w:shd w:val="clear" w:color="auto" w:fill="E93BAC"/>
          </w:tcPr>
          <w:p>
            <w:pPr>
              <w:spacing w:after="0"/>
              <w:rPr>
                <w:sz w:val="22"/>
                <w:szCs w:val="22"/>
                <w:color w:val="auto"/>
              </w:rPr>
            </w:pPr>
          </w:p>
        </w:tc>
        <w:tc>
          <w:tcPr>
            <w:tcW w:w="340" w:type="dxa"/>
            <w:vAlign w:val="bottom"/>
            <w:tcBorders>
              <w:right w:val="single" w:sz="8" w:color="E93BAC"/>
            </w:tcBorders>
            <w:shd w:val="clear" w:color="auto" w:fill="E93BAC"/>
          </w:tcPr>
          <w:p>
            <w:pPr>
              <w:spacing w:after="0"/>
              <w:rPr>
                <w:sz w:val="22"/>
                <w:szCs w:val="22"/>
                <w:color w:val="auto"/>
              </w:rPr>
            </w:pPr>
          </w:p>
        </w:tc>
        <w:tc>
          <w:tcPr>
            <w:tcW w:w="800" w:type="dxa"/>
            <w:vAlign w:val="bottom"/>
            <w:tcBorders>
              <w:right w:val="single" w:sz="8" w:color="E93BAC"/>
            </w:tcBorders>
            <w:shd w:val="clear" w:color="auto" w:fill="E93BAC"/>
          </w:tcPr>
          <w:p>
            <w:pPr>
              <w:spacing w:after="0"/>
              <w:rPr>
                <w:sz w:val="22"/>
                <w:szCs w:val="22"/>
                <w:color w:val="auto"/>
              </w:rPr>
            </w:pPr>
          </w:p>
        </w:tc>
        <w:tc>
          <w:tcPr>
            <w:tcW w:w="120" w:type="dxa"/>
            <w:vAlign w:val="bottom"/>
            <w:tcBorders>
              <w:right w:val="single" w:sz="8" w:color="E93BAC"/>
            </w:tcBorders>
            <w:shd w:val="clear" w:color="auto" w:fill="E93BAC"/>
          </w:tcPr>
          <w:p>
            <w:pPr>
              <w:spacing w:after="0"/>
              <w:rPr>
                <w:sz w:val="22"/>
                <w:szCs w:val="22"/>
                <w:color w:val="auto"/>
              </w:rPr>
            </w:pPr>
          </w:p>
        </w:tc>
        <w:tc>
          <w:tcPr>
            <w:tcW w:w="600" w:type="dxa"/>
            <w:vAlign w:val="bottom"/>
            <w:shd w:val="clear" w:color="auto" w:fill="E93BAC"/>
          </w:tcPr>
          <w:p>
            <w:pPr>
              <w:spacing w:after="0"/>
              <w:rPr>
                <w:sz w:val="22"/>
                <w:szCs w:val="22"/>
                <w:color w:val="auto"/>
              </w:rPr>
            </w:pPr>
          </w:p>
        </w:tc>
        <w:tc>
          <w:tcPr>
            <w:tcW w:w="260" w:type="dxa"/>
            <w:vAlign w:val="bottom"/>
            <w:shd w:val="clear" w:color="auto" w:fill="E93BAC"/>
          </w:tcPr>
          <w:p>
            <w:pPr>
              <w:spacing w:after="0"/>
              <w:rPr>
                <w:sz w:val="22"/>
                <w:szCs w:val="22"/>
                <w:color w:val="auto"/>
              </w:rPr>
            </w:pPr>
          </w:p>
        </w:tc>
        <w:tc>
          <w:tcPr>
            <w:tcW w:w="420" w:type="dxa"/>
            <w:vAlign w:val="bottom"/>
            <w:shd w:val="clear" w:color="auto" w:fill="E93BAC"/>
          </w:tcPr>
          <w:p>
            <w:pPr>
              <w:spacing w:after="0"/>
              <w:rPr>
                <w:sz w:val="22"/>
                <w:szCs w:val="22"/>
                <w:color w:val="auto"/>
              </w:rPr>
            </w:pPr>
          </w:p>
        </w:tc>
        <w:tc>
          <w:tcPr>
            <w:tcW w:w="160" w:type="dxa"/>
            <w:vAlign w:val="bottom"/>
            <w:tcBorders>
              <w:right w:val="single" w:sz="8" w:color="E93BAC"/>
            </w:tcBorders>
            <w:shd w:val="clear" w:color="auto" w:fill="E93BAC"/>
          </w:tcPr>
          <w:p>
            <w:pPr>
              <w:spacing w:after="0"/>
              <w:rPr>
                <w:sz w:val="22"/>
                <w:szCs w:val="22"/>
                <w:color w:val="auto"/>
              </w:rPr>
            </w:pPr>
          </w:p>
        </w:tc>
        <w:tc>
          <w:tcPr>
            <w:tcW w:w="620" w:type="dxa"/>
            <w:vAlign w:val="bottom"/>
            <w:shd w:val="clear" w:color="auto" w:fill="E93BAC"/>
          </w:tcPr>
          <w:p>
            <w:pPr>
              <w:spacing w:after="0"/>
              <w:rPr>
                <w:sz w:val="22"/>
                <w:szCs w:val="22"/>
                <w:color w:val="auto"/>
              </w:rPr>
            </w:pPr>
          </w:p>
        </w:tc>
        <w:tc>
          <w:tcPr>
            <w:tcW w:w="120" w:type="dxa"/>
            <w:vAlign w:val="bottom"/>
            <w:tcBorders>
              <w:right w:val="single" w:sz="8" w:color="E93BAC"/>
            </w:tcBorders>
            <w:shd w:val="clear" w:color="auto" w:fill="E93BAC"/>
          </w:tcPr>
          <w:p>
            <w:pPr>
              <w:spacing w:after="0"/>
              <w:rPr>
                <w:sz w:val="22"/>
                <w:szCs w:val="22"/>
                <w:color w:val="auto"/>
              </w:rPr>
            </w:pPr>
          </w:p>
        </w:tc>
        <w:tc>
          <w:tcPr>
            <w:tcW w:w="900" w:type="dxa"/>
            <w:vAlign w:val="bottom"/>
            <w:tcBorders>
              <w:right w:val="single" w:sz="8" w:color="E93BAC"/>
            </w:tcBorders>
            <w:shd w:val="clear" w:color="auto" w:fill="E93BAC"/>
          </w:tcPr>
          <w:p>
            <w:pPr>
              <w:spacing w:after="0"/>
              <w:rPr>
                <w:sz w:val="22"/>
                <w:szCs w:val="22"/>
                <w:color w:val="auto"/>
              </w:rPr>
            </w:pPr>
          </w:p>
        </w:tc>
        <w:tc>
          <w:tcPr>
            <w:tcW w:w="1140" w:type="dxa"/>
            <w:vAlign w:val="bottom"/>
            <w:tcBorders>
              <w:right w:val="single" w:sz="8" w:color="E93BAC"/>
            </w:tcBorders>
            <w:shd w:val="clear" w:color="auto" w:fill="E93BAC"/>
          </w:tcPr>
          <w:p>
            <w:pPr>
              <w:spacing w:after="0"/>
              <w:rPr>
                <w:sz w:val="22"/>
                <w:szCs w:val="22"/>
                <w:color w:val="auto"/>
              </w:rPr>
            </w:pPr>
          </w:p>
        </w:tc>
        <w:tc>
          <w:tcPr>
            <w:tcW w:w="260" w:type="dxa"/>
            <w:vAlign w:val="bottom"/>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320" w:type="dxa"/>
            <w:vAlign w:val="bottom"/>
            <w:tcBorders>
              <w:right w:val="single" w:sz="8" w:color="E93BAC"/>
            </w:tcBorders>
            <w:shd w:val="clear" w:color="auto" w:fill="E93BAC"/>
          </w:tcPr>
          <w:p>
            <w:pPr>
              <w:spacing w:after="0"/>
              <w:rPr>
                <w:sz w:val="7"/>
                <w:szCs w:val="7"/>
                <w:color w:val="auto"/>
              </w:rPr>
            </w:pPr>
          </w:p>
        </w:tc>
        <w:tc>
          <w:tcPr>
            <w:tcW w:w="2560" w:type="dxa"/>
            <w:vAlign w:val="bottom"/>
            <w:shd w:val="clear" w:color="auto" w:fill="E93BAC"/>
          </w:tcPr>
          <w:p>
            <w:pPr>
              <w:spacing w:after="0"/>
              <w:rPr>
                <w:sz w:val="7"/>
                <w:szCs w:val="7"/>
                <w:color w:val="auto"/>
              </w:rPr>
            </w:pPr>
          </w:p>
        </w:tc>
        <w:tc>
          <w:tcPr>
            <w:tcW w:w="700" w:type="dxa"/>
            <w:vAlign w:val="bottom"/>
            <w:tcBorders>
              <w:right w:val="single" w:sz="8" w:color="E93BAC"/>
            </w:tcBorders>
            <w:shd w:val="clear" w:color="auto" w:fill="E93BAC"/>
          </w:tcPr>
          <w:p>
            <w:pPr>
              <w:spacing w:after="0"/>
              <w:rPr>
                <w:sz w:val="7"/>
                <w:szCs w:val="7"/>
                <w:color w:val="auto"/>
              </w:rPr>
            </w:pPr>
          </w:p>
        </w:tc>
        <w:tc>
          <w:tcPr>
            <w:tcW w:w="360" w:type="dxa"/>
            <w:vAlign w:val="bottom"/>
            <w:tcBorders>
              <w:right w:val="single" w:sz="8" w:color="E93BAC"/>
            </w:tcBorders>
            <w:shd w:val="clear" w:color="auto" w:fill="E93BAC"/>
          </w:tcPr>
          <w:p>
            <w:pPr>
              <w:spacing w:after="0"/>
              <w:rPr>
                <w:sz w:val="7"/>
                <w:szCs w:val="7"/>
                <w:color w:val="auto"/>
              </w:rPr>
            </w:pPr>
          </w:p>
        </w:tc>
        <w:tc>
          <w:tcPr>
            <w:tcW w:w="640" w:type="dxa"/>
            <w:vAlign w:val="bottom"/>
            <w:shd w:val="clear" w:color="auto" w:fill="E93BAC"/>
          </w:tcPr>
          <w:p>
            <w:pPr>
              <w:spacing w:after="0"/>
              <w:rPr>
                <w:sz w:val="7"/>
                <w:szCs w:val="7"/>
                <w:color w:val="auto"/>
              </w:rPr>
            </w:pPr>
          </w:p>
        </w:tc>
        <w:tc>
          <w:tcPr>
            <w:tcW w:w="540" w:type="dxa"/>
            <w:vAlign w:val="bottom"/>
            <w:tcBorders>
              <w:right w:val="single" w:sz="8" w:color="E93BAC"/>
            </w:tcBorders>
            <w:shd w:val="clear" w:color="auto" w:fill="E93BAC"/>
          </w:tcPr>
          <w:p>
            <w:pPr>
              <w:spacing w:after="0"/>
              <w:rPr>
                <w:sz w:val="7"/>
                <w:szCs w:val="7"/>
                <w:color w:val="auto"/>
              </w:rPr>
            </w:pPr>
          </w:p>
        </w:tc>
        <w:tc>
          <w:tcPr>
            <w:tcW w:w="380" w:type="dxa"/>
            <w:vAlign w:val="bottom"/>
            <w:shd w:val="clear" w:color="auto" w:fill="E93BAC"/>
          </w:tcPr>
          <w:p>
            <w:pPr>
              <w:spacing w:after="0"/>
              <w:rPr>
                <w:sz w:val="7"/>
                <w:szCs w:val="7"/>
                <w:color w:val="auto"/>
              </w:rPr>
            </w:pPr>
          </w:p>
        </w:tc>
        <w:tc>
          <w:tcPr>
            <w:tcW w:w="340" w:type="dxa"/>
            <w:vAlign w:val="bottom"/>
            <w:tcBorders>
              <w:right w:val="single" w:sz="8" w:color="E93BAC"/>
            </w:tcBorders>
            <w:shd w:val="clear" w:color="auto" w:fill="E93BAC"/>
          </w:tcPr>
          <w:p>
            <w:pPr>
              <w:spacing w:after="0"/>
              <w:rPr>
                <w:sz w:val="7"/>
                <w:szCs w:val="7"/>
                <w:color w:val="auto"/>
              </w:rPr>
            </w:pPr>
          </w:p>
        </w:tc>
        <w:tc>
          <w:tcPr>
            <w:tcW w:w="800" w:type="dxa"/>
            <w:vAlign w:val="bottom"/>
            <w:tcBorders>
              <w:right w:val="single" w:sz="8" w:color="E93BAC"/>
            </w:tcBorders>
            <w:shd w:val="clear" w:color="auto" w:fill="E93BAC"/>
          </w:tcPr>
          <w:p>
            <w:pPr>
              <w:spacing w:after="0"/>
              <w:rPr>
                <w:sz w:val="7"/>
                <w:szCs w:val="7"/>
                <w:color w:val="auto"/>
              </w:rPr>
            </w:pPr>
          </w:p>
        </w:tc>
        <w:tc>
          <w:tcPr>
            <w:tcW w:w="120" w:type="dxa"/>
            <w:vAlign w:val="bottom"/>
            <w:tcBorders>
              <w:right w:val="single" w:sz="8" w:color="E93BAC"/>
            </w:tcBorders>
            <w:shd w:val="clear" w:color="auto" w:fill="E93BAC"/>
          </w:tcPr>
          <w:p>
            <w:pPr>
              <w:spacing w:after="0"/>
              <w:rPr>
                <w:sz w:val="7"/>
                <w:szCs w:val="7"/>
                <w:color w:val="auto"/>
              </w:rPr>
            </w:pPr>
          </w:p>
        </w:tc>
        <w:tc>
          <w:tcPr>
            <w:tcW w:w="600" w:type="dxa"/>
            <w:vAlign w:val="bottom"/>
            <w:shd w:val="clear" w:color="auto" w:fill="E93BAC"/>
          </w:tcPr>
          <w:p>
            <w:pPr>
              <w:spacing w:after="0"/>
              <w:rPr>
                <w:sz w:val="7"/>
                <w:szCs w:val="7"/>
                <w:color w:val="auto"/>
              </w:rPr>
            </w:pPr>
          </w:p>
        </w:tc>
        <w:tc>
          <w:tcPr>
            <w:tcW w:w="260" w:type="dxa"/>
            <w:vAlign w:val="bottom"/>
            <w:shd w:val="clear" w:color="auto" w:fill="E93BAC"/>
          </w:tcPr>
          <w:p>
            <w:pPr>
              <w:spacing w:after="0"/>
              <w:rPr>
                <w:sz w:val="7"/>
                <w:szCs w:val="7"/>
                <w:color w:val="auto"/>
              </w:rPr>
            </w:pPr>
          </w:p>
        </w:tc>
        <w:tc>
          <w:tcPr>
            <w:tcW w:w="420" w:type="dxa"/>
            <w:vAlign w:val="bottom"/>
            <w:shd w:val="clear" w:color="auto" w:fill="E93BAC"/>
          </w:tcPr>
          <w:p>
            <w:pPr>
              <w:spacing w:after="0"/>
              <w:rPr>
                <w:sz w:val="7"/>
                <w:szCs w:val="7"/>
                <w:color w:val="auto"/>
              </w:rPr>
            </w:pPr>
          </w:p>
        </w:tc>
        <w:tc>
          <w:tcPr>
            <w:tcW w:w="160" w:type="dxa"/>
            <w:vAlign w:val="bottom"/>
            <w:tcBorders>
              <w:right w:val="single" w:sz="8" w:color="E93BAC"/>
            </w:tcBorders>
            <w:shd w:val="clear" w:color="auto" w:fill="E93BAC"/>
          </w:tcPr>
          <w:p>
            <w:pPr>
              <w:spacing w:after="0"/>
              <w:rPr>
                <w:sz w:val="7"/>
                <w:szCs w:val="7"/>
                <w:color w:val="auto"/>
              </w:rPr>
            </w:pPr>
          </w:p>
        </w:tc>
        <w:tc>
          <w:tcPr>
            <w:tcW w:w="620" w:type="dxa"/>
            <w:vAlign w:val="bottom"/>
            <w:shd w:val="clear" w:color="auto" w:fill="E93BAC"/>
          </w:tcPr>
          <w:p>
            <w:pPr>
              <w:spacing w:after="0"/>
              <w:rPr>
                <w:sz w:val="7"/>
                <w:szCs w:val="7"/>
                <w:color w:val="auto"/>
              </w:rPr>
            </w:pPr>
          </w:p>
        </w:tc>
        <w:tc>
          <w:tcPr>
            <w:tcW w:w="120" w:type="dxa"/>
            <w:vAlign w:val="bottom"/>
            <w:tcBorders>
              <w:right w:val="single" w:sz="8" w:color="E93BAC"/>
            </w:tcBorders>
            <w:shd w:val="clear" w:color="auto" w:fill="E93BAC"/>
          </w:tcPr>
          <w:p>
            <w:pPr>
              <w:spacing w:after="0"/>
              <w:rPr>
                <w:sz w:val="7"/>
                <w:szCs w:val="7"/>
                <w:color w:val="auto"/>
              </w:rPr>
            </w:pPr>
          </w:p>
        </w:tc>
        <w:tc>
          <w:tcPr>
            <w:tcW w:w="900" w:type="dxa"/>
            <w:vAlign w:val="bottom"/>
            <w:tcBorders>
              <w:right w:val="single" w:sz="8" w:color="E93BAC"/>
            </w:tcBorders>
            <w:shd w:val="clear" w:color="auto" w:fill="E93BAC"/>
          </w:tcPr>
          <w:p>
            <w:pPr>
              <w:spacing w:after="0"/>
              <w:rPr>
                <w:sz w:val="7"/>
                <w:szCs w:val="7"/>
                <w:color w:val="auto"/>
              </w:rPr>
            </w:pPr>
          </w:p>
        </w:tc>
        <w:tc>
          <w:tcPr>
            <w:tcW w:w="1140" w:type="dxa"/>
            <w:vAlign w:val="bottom"/>
            <w:tcBorders>
              <w:right w:val="single" w:sz="8" w:color="E93BAC"/>
            </w:tcBorders>
            <w:shd w:val="clear" w:color="auto" w:fill="E93BAC"/>
          </w:tcPr>
          <w:p>
            <w:pPr>
              <w:spacing w:after="0"/>
              <w:rPr>
                <w:sz w:val="7"/>
                <w:szCs w:val="7"/>
                <w:color w:val="auto"/>
              </w:rPr>
            </w:pPr>
          </w:p>
        </w:tc>
        <w:tc>
          <w:tcPr>
            <w:tcW w:w="260" w:type="dxa"/>
            <w:vAlign w:val="bottom"/>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2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Calibri" w:cs="Calibri" w:eastAsia="Calibri" w:hAnsi="Calibri"/>
                <w:sz w:val="17"/>
                <w:szCs w:val="17"/>
                <w:b w:val="1"/>
                <w:bCs w:val="1"/>
                <w:color w:val="auto"/>
              </w:rPr>
              <w:t>12.6.5. BCP Bolivia</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80" w:type="dxa"/>
            <w:vAlign w:val="bottom"/>
            <w:gridSpan w:val="5"/>
          </w:tcPr>
          <w:p>
            <w:pPr>
              <w:jc w:val="center"/>
              <w:ind w:right="80"/>
              <w:spacing w:after="0" w:line="193" w:lineRule="exact"/>
              <w:rPr>
                <w:sz w:val="20"/>
                <w:szCs w:val="20"/>
                <w:color w:val="auto"/>
              </w:rPr>
            </w:pPr>
            <w:r>
              <w:rPr>
                <w:rFonts w:ascii="Calibri" w:cs="Calibri" w:eastAsia="Calibri" w:hAnsi="Calibri"/>
                <w:sz w:val="16"/>
                <w:szCs w:val="16"/>
                <w:b w:val="1"/>
                <w:bCs w:val="1"/>
                <w:color w:val="auto"/>
                <w:w w:val="99"/>
              </w:rPr>
              <w:t>Statement of Financial Positon</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80" w:type="dxa"/>
            <w:vAlign w:val="bottom"/>
            <w:gridSpan w:val="5"/>
          </w:tcPr>
          <w:p>
            <w:pPr>
              <w:jc w:val="center"/>
              <w:ind w:right="100"/>
              <w:spacing w:after="0"/>
              <w:rPr>
                <w:sz w:val="20"/>
                <w:szCs w:val="20"/>
                <w:color w:val="auto"/>
              </w:rPr>
            </w:pPr>
            <w:r>
              <w:rPr>
                <w:rFonts w:ascii="Calibri" w:cs="Calibri" w:eastAsia="Calibri" w:hAnsi="Calibri"/>
                <w:sz w:val="16"/>
                <w:szCs w:val="16"/>
                <w:b w:val="1"/>
                <w:bCs w:val="1"/>
                <w:color w:val="auto"/>
                <w:w w:val="97"/>
              </w:rPr>
              <w:t>(S/ Thousands, IFRS)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right w:val="single" w:sz="8" w:color="auto"/>
            </w:tcBorders>
          </w:tcPr>
          <w:p>
            <w:pPr>
              <w:spacing w:after="0"/>
              <w:rPr>
                <w:sz w:val="13"/>
                <w:szCs w:val="13"/>
                <w:color w:val="auto"/>
              </w:rPr>
            </w:pPr>
          </w:p>
        </w:tc>
        <w:tc>
          <w:tcPr>
            <w:tcW w:w="2560" w:type="dxa"/>
            <w:vAlign w:val="bottom"/>
            <w:shd w:val="clear" w:color="auto" w:fill="2AD2C8"/>
          </w:tcPr>
          <w:p>
            <w:pPr>
              <w:spacing w:after="0"/>
              <w:rPr>
                <w:sz w:val="13"/>
                <w:szCs w:val="13"/>
                <w:color w:val="auto"/>
              </w:rPr>
            </w:pPr>
          </w:p>
        </w:tc>
        <w:tc>
          <w:tcPr>
            <w:tcW w:w="700" w:type="dxa"/>
            <w:vAlign w:val="bottom"/>
            <w:tcBorders>
              <w:right w:val="single" w:sz="8" w:color="2AD2C8"/>
            </w:tcBorders>
            <w:shd w:val="clear" w:color="auto" w:fill="2AD2C8"/>
          </w:tcPr>
          <w:p>
            <w:pPr>
              <w:spacing w:after="0"/>
              <w:rPr>
                <w:sz w:val="13"/>
                <w:szCs w:val="13"/>
                <w:color w:val="auto"/>
              </w:rPr>
            </w:pPr>
          </w:p>
        </w:tc>
        <w:tc>
          <w:tcPr>
            <w:tcW w:w="360" w:type="dxa"/>
            <w:vAlign w:val="bottom"/>
            <w:tcBorders>
              <w:right w:val="single" w:sz="8" w:color="2AD2C8"/>
            </w:tcBorders>
            <w:shd w:val="clear" w:color="auto" w:fill="2AD2C8"/>
          </w:tcPr>
          <w:p>
            <w:pPr>
              <w:spacing w:after="0"/>
              <w:rPr>
                <w:sz w:val="13"/>
                <w:szCs w:val="13"/>
                <w:color w:val="auto"/>
              </w:rPr>
            </w:pPr>
          </w:p>
        </w:tc>
        <w:tc>
          <w:tcPr>
            <w:tcW w:w="640" w:type="dxa"/>
            <w:vAlign w:val="bottom"/>
            <w:shd w:val="clear" w:color="auto" w:fill="2AD2C8"/>
          </w:tcPr>
          <w:p>
            <w:pPr>
              <w:spacing w:after="0"/>
              <w:rPr>
                <w:sz w:val="13"/>
                <w:szCs w:val="13"/>
                <w:color w:val="auto"/>
              </w:rPr>
            </w:pPr>
          </w:p>
        </w:tc>
        <w:tc>
          <w:tcPr>
            <w:tcW w:w="540" w:type="dxa"/>
            <w:vAlign w:val="bottom"/>
            <w:tcBorders>
              <w:right w:val="single" w:sz="8" w:color="auto"/>
            </w:tcBorders>
            <w:shd w:val="clear" w:color="auto" w:fill="2AD2C8"/>
          </w:tcPr>
          <w:p>
            <w:pPr>
              <w:spacing w:after="0"/>
              <w:rPr>
                <w:sz w:val="13"/>
                <w:szCs w:val="13"/>
                <w:color w:val="auto"/>
              </w:rPr>
            </w:pPr>
          </w:p>
        </w:tc>
        <w:tc>
          <w:tcPr>
            <w:tcW w:w="380" w:type="dxa"/>
            <w:vAlign w:val="bottom"/>
            <w:shd w:val="clear" w:color="auto" w:fill="2AD2C8"/>
          </w:tcPr>
          <w:p>
            <w:pPr>
              <w:spacing w:after="0"/>
              <w:rPr>
                <w:sz w:val="13"/>
                <w:szCs w:val="13"/>
                <w:color w:val="auto"/>
              </w:rPr>
            </w:pPr>
          </w:p>
        </w:tc>
        <w:tc>
          <w:tcPr>
            <w:tcW w:w="340" w:type="dxa"/>
            <w:vAlign w:val="bottom"/>
            <w:tcBorders>
              <w:right w:val="single" w:sz="8" w:color="2AD2C8"/>
            </w:tcBorders>
            <w:shd w:val="clear" w:color="auto" w:fill="2AD2C8"/>
          </w:tcPr>
          <w:p>
            <w:pPr>
              <w:spacing w:after="0"/>
              <w:rPr>
                <w:sz w:val="13"/>
                <w:szCs w:val="13"/>
                <w:color w:val="auto"/>
              </w:rPr>
            </w:pPr>
          </w:p>
        </w:tc>
        <w:tc>
          <w:tcPr>
            <w:tcW w:w="800" w:type="dxa"/>
            <w:vAlign w:val="bottom"/>
            <w:tcBorders>
              <w:right w:val="single" w:sz="8" w:color="2AD2C8"/>
            </w:tcBorders>
            <w:shd w:val="clear" w:color="auto" w:fill="2AD2C8"/>
          </w:tcPr>
          <w:p>
            <w:pPr>
              <w:spacing w:after="0"/>
              <w:rPr>
                <w:sz w:val="13"/>
                <w:szCs w:val="13"/>
                <w:color w:val="auto"/>
              </w:rPr>
            </w:pPr>
          </w:p>
        </w:tc>
        <w:tc>
          <w:tcPr>
            <w:tcW w:w="120" w:type="dxa"/>
            <w:vAlign w:val="bottom"/>
            <w:tcBorders>
              <w:right w:val="single" w:sz="8" w:color="2AD2C8"/>
            </w:tcBorders>
            <w:shd w:val="clear" w:color="auto" w:fill="2AD2C8"/>
          </w:tcPr>
          <w:p>
            <w:pPr>
              <w:spacing w:after="0"/>
              <w:rPr>
                <w:sz w:val="13"/>
                <w:szCs w:val="13"/>
                <w:color w:val="auto"/>
              </w:rPr>
            </w:pPr>
          </w:p>
        </w:tc>
        <w:tc>
          <w:tcPr>
            <w:tcW w:w="600" w:type="dxa"/>
            <w:vAlign w:val="bottom"/>
            <w:shd w:val="clear" w:color="auto" w:fill="2AD2C8"/>
          </w:tcPr>
          <w:p>
            <w:pPr>
              <w:ind w:left="120"/>
              <w:spacing w:after="0" w:line="157" w:lineRule="exact"/>
              <w:rPr>
                <w:sz w:val="20"/>
                <w:szCs w:val="20"/>
                <w:color w:val="auto"/>
              </w:rPr>
            </w:pPr>
            <w:r>
              <w:rPr>
                <w:rFonts w:ascii="Calibri" w:cs="Calibri" w:eastAsia="Calibri" w:hAnsi="Calibri"/>
                <w:sz w:val="13"/>
                <w:szCs w:val="13"/>
                <w:b w:val="1"/>
                <w:bCs w:val="1"/>
                <w:color w:val="FFFFFF"/>
              </w:rPr>
              <w:t>As of</w:t>
            </w:r>
          </w:p>
        </w:tc>
        <w:tc>
          <w:tcPr>
            <w:tcW w:w="260" w:type="dxa"/>
            <w:vAlign w:val="bottom"/>
            <w:shd w:val="clear" w:color="auto" w:fill="2AD2C8"/>
          </w:tcPr>
          <w:p>
            <w:pPr>
              <w:spacing w:after="0"/>
              <w:rPr>
                <w:sz w:val="13"/>
                <w:szCs w:val="13"/>
                <w:color w:val="auto"/>
              </w:rPr>
            </w:pPr>
          </w:p>
        </w:tc>
        <w:tc>
          <w:tcPr>
            <w:tcW w:w="420" w:type="dxa"/>
            <w:vAlign w:val="bottom"/>
            <w:shd w:val="clear" w:color="auto" w:fill="2AD2C8"/>
          </w:tcPr>
          <w:p>
            <w:pPr>
              <w:spacing w:after="0"/>
              <w:rPr>
                <w:sz w:val="13"/>
                <w:szCs w:val="13"/>
                <w:color w:val="auto"/>
              </w:rPr>
            </w:pPr>
          </w:p>
        </w:tc>
        <w:tc>
          <w:tcPr>
            <w:tcW w:w="160" w:type="dxa"/>
            <w:vAlign w:val="bottom"/>
            <w:tcBorders>
              <w:right w:val="single" w:sz="8" w:color="2AD2C8"/>
            </w:tcBorders>
            <w:shd w:val="clear" w:color="auto" w:fill="2AD2C8"/>
          </w:tcPr>
          <w:p>
            <w:pPr>
              <w:spacing w:after="0"/>
              <w:rPr>
                <w:sz w:val="13"/>
                <w:szCs w:val="13"/>
                <w:color w:val="auto"/>
              </w:rPr>
            </w:pPr>
          </w:p>
        </w:tc>
        <w:tc>
          <w:tcPr>
            <w:tcW w:w="620" w:type="dxa"/>
            <w:vAlign w:val="bottom"/>
            <w:shd w:val="clear" w:color="auto" w:fill="2AD2C8"/>
          </w:tcPr>
          <w:p>
            <w:pPr>
              <w:spacing w:after="0"/>
              <w:rPr>
                <w:sz w:val="13"/>
                <w:szCs w:val="13"/>
                <w:color w:val="auto"/>
              </w:rPr>
            </w:pPr>
          </w:p>
        </w:tc>
        <w:tc>
          <w:tcPr>
            <w:tcW w:w="120" w:type="dxa"/>
            <w:vAlign w:val="bottom"/>
            <w:tcBorders>
              <w:right w:val="single" w:sz="8" w:color="auto"/>
            </w:tcBorders>
            <w:shd w:val="clear" w:color="auto" w:fill="2AD2C8"/>
          </w:tcPr>
          <w:p>
            <w:pPr>
              <w:spacing w:after="0"/>
              <w:rPr>
                <w:sz w:val="13"/>
                <w:szCs w:val="13"/>
                <w:color w:val="auto"/>
              </w:rPr>
            </w:pPr>
          </w:p>
        </w:tc>
        <w:tc>
          <w:tcPr>
            <w:tcW w:w="2040" w:type="dxa"/>
            <w:vAlign w:val="bottom"/>
            <w:tcBorders>
              <w:right w:val="single" w:sz="8" w:color="auto"/>
            </w:tcBorders>
            <w:gridSpan w:val="2"/>
            <w:shd w:val="clear" w:color="auto" w:fill="2AD2C8"/>
          </w:tcPr>
          <w:p>
            <w:pPr>
              <w:ind w:left="740"/>
              <w:spacing w:after="0" w:line="157" w:lineRule="exact"/>
              <w:rPr>
                <w:sz w:val="20"/>
                <w:szCs w:val="20"/>
                <w:color w:val="auto"/>
              </w:rPr>
            </w:pPr>
            <w:r>
              <w:rPr>
                <w:rFonts w:ascii="Calibri" w:cs="Calibri" w:eastAsia="Calibri" w:hAnsi="Calibri"/>
                <w:sz w:val="13"/>
                <w:szCs w:val="13"/>
                <w:color w:val="FFFFFF"/>
              </w:rPr>
              <w:t>% change</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20" w:type="dxa"/>
            <w:vAlign w:val="bottom"/>
            <w:tcBorders>
              <w:right w:val="single" w:sz="8" w:color="auto"/>
            </w:tcBorders>
          </w:tcPr>
          <w:p>
            <w:pPr>
              <w:spacing w:after="0"/>
              <w:rPr>
                <w:sz w:val="20"/>
                <w:szCs w:val="20"/>
                <w:color w:val="auto"/>
              </w:rPr>
            </w:pPr>
          </w:p>
        </w:tc>
        <w:tc>
          <w:tcPr>
            <w:tcW w:w="2560" w:type="dxa"/>
            <w:vAlign w:val="bottom"/>
            <w:tcBorders>
              <w:bottom w:val="single" w:sz="8" w:color="2AD2C8"/>
            </w:tcBorders>
            <w:shd w:val="clear" w:color="auto" w:fill="2AD2C8"/>
          </w:tcPr>
          <w:p>
            <w:pPr>
              <w:spacing w:after="0"/>
              <w:rPr>
                <w:sz w:val="20"/>
                <w:szCs w:val="20"/>
                <w:color w:val="auto"/>
              </w:rPr>
            </w:pPr>
          </w:p>
        </w:tc>
        <w:tc>
          <w:tcPr>
            <w:tcW w:w="700" w:type="dxa"/>
            <w:vAlign w:val="bottom"/>
            <w:tcBorders>
              <w:bottom w:val="single" w:sz="8" w:color="2AD2C8"/>
              <w:right w:val="single" w:sz="8" w:color="2AD2C8"/>
            </w:tcBorders>
            <w:shd w:val="clear" w:color="auto" w:fill="2AD2C8"/>
          </w:tcPr>
          <w:p>
            <w:pPr>
              <w:spacing w:after="0"/>
              <w:rPr>
                <w:sz w:val="20"/>
                <w:szCs w:val="20"/>
                <w:color w:val="auto"/>
              </w:rPr>
            </w:pPr>
          </w:p>
        </w:tc>
        <w:tc>
          <w:tcPr>
            <w:tcW w:w="360" w:type="dxa"/>
            <w:vAlign w:val="bottom"/>
            <w:tcBorders>
              <w:bottom w:val="single" w:sz="8" w:color="2AD2C8"/>
              <w:right w:val="single" w:sz="8" w:color="2AD2C8"/>
            </w:tcBorders>
            <w:shd w:val="clear" w:color="auto" w:fill="2AD2C8"/>
          </w:tcPr>
          <w:p>
            <w:pPr>
              <w:spacing w:after="0"/>
              <w:rPr>
                <w:sz w:val="20"/>
                <w:szCs w:val="20"/>
                <w:color w:val="auto"/>
              </w:rPr>
            </w:pPr>
          </w:p>
        </w:tc>
        <w:tc>
          <w:tcPr>
            <w:tcW w:w="640" w:type="dxa"/>
            <w:vAlign w:val="bottom"/>
            <w:tcBorders>
              <w:bottom w:val="single" w:sz="8" w:color="2AD2C8"/>
            </w:tcBorders>
            <w:shd w:val="clear" w:color="auto" w:fill="2AD2C8"/>
          </w:tcPr>
          <w:p>
            <w:pPr>
              <w:spacing w:after="0"/>
              <w:rPr>
                <w:sz w:val="20"/>
                <w:szCs w:val="20"/>
                <w:color w:val="auto"/>
              </w:rPr>
            </w:pPr>
          </w:p>
        </w:tc>
        <w:tc>
          <w:tcPr>
            <w:tcW w:w="540" w:type="dxa"/>
            <w:vAlign w:val="bottom"/>
            <w:tcBorders>
              <w:bottom w:val="single" w:sz="8" w:color="2AD2C8"/>
              <w:right w:val="single" w:sz="8" w:color="auto"/>
            </w:tcBorders>
            <w:shd w:val="clear" w:color="auto" w:fill="2AD2C8"/>
          </w:tcPr>
          <w:p>
            <w:pPr>
              <w:spacing w:after="0"/>
              <w:rPr>
                <w:sz w:val="20"/>
                <w:szCs w:val="20"/>
                <w:color w:val="auto"/>
              </w:rPr>
            </w:pPr>
          </w:p>
        </w:tc>
        <w:tc>
          <w:tcPr>
            <w:tcW w:w="380" w:type="dxa"/>
            <w:vAlign w:val="bottom"/>
            <w:tcBorders>
              <w:bottom w:val="single" w:sz="8" w:color="2AD2C8"/>
            </w:tcBorders>
            <w:shd w:val="clear" w:color="auto" w:fill="2AD2C8"/>
          </w:tcPr>
          <w:p>
            <w:pPr>
              <w:spacing w:after="0"/>
              <w:rPr>
                <w:sz w:val="20"/>
                <w:szCs w:val="20"/>
                <w:color w:val="auto"/>
              </w:rPr>
            </w:pPr>
          </w:p>
        </w:tc>
        <w:tc>
          <w:tcPr>
            <w:tcW w:w="1260" w:type="dxa"/>
            <w:vAlign w:val="bottom"/>
            <w:tcBorders>
              <w:bottom w:val="single" w:sz="8" w:color="2AD2C8"/>
              <w:right w:val="single" w:sz="8" w:color="2AD2C8"/>
            </w:tcBorders>
            <w:gridSpan w:val="3"/>
            <w:shd w:val="clear" w:color="auto" w:fill="2AD2C8"/>
          </w:tcPr>
          <w:p>
            <w:pPr>
              <w:ind w:left="80"/>
              <w:spacing w:after="0"/>
              <w:rPr>
                <w:sz w:val="20"/>
                <w:szCs w:val="20"/>
                <w:color w:val="auto"/>
              </w:rPr>
            </w:pPr>
            <w:r>
              <w:rPr>
                <w:rFonts w:ascii="Calibri" w:cs="Calibri" w:eastAsia="Calibri" w:hAnsi="Calibri"/>
                <w:sz w:val="13"/>
                <w:szCs w:val="13"/>
                <w:b w:val="1"/>
                <w:bCs w:val="1"/>
                <w:color w:val="FFFFFF"/>
              </w:rPr>
              <w:t>Dec 23</w:t>
            </w:r>
          </w:p>
        </w:tc>
        <w:tc>
          <w:tcPr>
            <w:tcW w:w="600" w:type="dxa"/>
            <w:vAlign w:val="bottom"/>
            <w:tcBorders>
              <w:bottom w:val="single" w:sz="8" w:color="2AD2C8"/>
            </w:tcBorders>
            <w:shd w:val="clear" w:color="auto" w:fill="2AD2C8"/>
          </w:tcPr>
          <w:p>
            <w:pPr>
              <w:ind w:left="100"/>
              <w:spacing w:after="0"/>
              <w:rPr>
                <w:sz w:val="20"/>
                <w:szCs w:val="20"/>
                <w:color w:val="auto"/>
              </w:rPr>
            </w:pPr>
            <w:r>
              <w:rPr>
                <w:rFonts w:ascii="Calibri" w:cs="Calibri" w:eastAsia="Calibri" w:hAnsi="Calibri"/>
                <w:sz w:val="13"/>
                <w:szCs w:val="13"/>
                <w:b w:val="1"/>
                <w:bCs w:val="1"/>
                <w:color w:val="FFFFFF"/>
              </w:rPr>
              <w:t>Sep 24</w:t>
            </w:r>
          </w:p>
        </w:tc>
        <w:tc>
          <w:tcPr>
            <w:tcW w:w="260" w:type="dxa"/>
            <w:vAlign w:val="bottom"/>
            <w:tcBorders>
              <w:bottom w:val="single" w:sz="8" w:color="2AD2C8"/>
            </w:tcBorders>
            <w:shd w:val="clear" w:color="auto" w:fill="2AD2C8"/>
          </w:tcPr>
          <w:p>
            <w:pPr>
              <w:spacing w:after="0"/>
              <w:rPr>
                <w:sz w:val="20"/>
                <w:szCs w:val="20"/>
                <w:color w:val="auto"/>
              </w:rPr>
            </w:pPr>
          </w:p>
        </w:tc>
        <w:tc>
          <w:tcPr>
            <w:tcW w:w="420" w:type="dxa"/>
            <w:vAlign w:val="bottom"/>
            <w:tcBorders>
              <w:bottom w:val="single" w:sz="8" w:color="2AD2C8"/>
            </w:tcBorders>
            <w:shd w:val="clear" w:color="auto" w:fill="2AD2C8"/>
          </w:tcPr>
          <w:p>
            <w:pPr>
              <w:spacing w:after="0"/>
              <w:rPr>
                <w:sz w:val="20"/>
                <w:szCs w:val="20"/>
                <w:color w:val="auto"/>
              </w:rPr>
            </w:pPr>
          </w:p>
        </w:tc>
        <w:tc>
          <w:tcPr>
            <w:tcW w:w="780" w:type="dxa"/>
            <w:vAlign w:val="bottom"/>
            <w:tcBorders>
              <w:bottom w:val="single" w:sz="8" w:color="2AD2C8"/>
            </w:tcBorders>
            <w:gridSpan w:val="2"/>
            <w:shd w:val="clear" w:color="auto" w:fill="2AD2C8"/>
          </w:tcPr>
          <w:p>
            <w:pPr>
              <w:ind w:left="80"/>
              <w:spacing w:after="0"/>
              <w:rPr>
                <w:sz w:val="20"/>
                <w:szCs w:val="20"/>
                <w:color w:val="auto"/>
              </w:rPr>
            </w:pPr>
            <w:r>
              <w:rPr>
                <w:rFonts w:ascii="Calibri" w:cs="Calibri" w:eastAsia="Calibri" w:hAnsi="Calibri"/>
                <w:sz w:val="13"/>
                <w:szCs w:val="13"/>
                <w:b w:val="1"/>
                <w:bCs w:val="1"/>
                <w:color w:val="FFFFFF"/>
              </w:rPr>
              <w:t>Dec 24</w:t>
            </w:r>
          </w:p>
        </w:tc>
        <w:tc>
          <w:tcPr>
            <w:tcW w:w="120" w:type="dxa"/>
            <w:vAlign w:val="bottom"/>
            <w:tcBorders>
              <w:bottom w:val="single" w:sz="8" w:color="2AD2C8"/>
              <w:right w:val="single" w:sz="8" w:color="auto"/>
            </w:tcBorders>
            <w:shd w:val="clear" w:color="auto" w:fill="2AD2C8"/>
          </w:tcPr>
          <w:p>
            <w:pPr>
              <w:spacing w:after="0"/>
              <w:rPr>
                <w:sz w:val="20"/>
                <w:szCs w:val="20"/>
                <w:color w:val="auto"/>
              </w:rPr>
            </w:pPr>
          </w:p>
        </w:tc>
        <w:tc>
          <w:tcPr>
            <w:tcW w:w="900" w:type="dxa"/>
            <w:vAlign w:val="bottom"/>
            <w:tcBorders>
              <w:bottom w:val="single" w:sz="8" w:color="2AD2C8"/>
              <w:right w:val="single" w:sz="8" w:color="2AD2C8"/>
            </w:tcBorders>
            <w:shd w:val="clear" w:color="auto" w:fill="2AD2C8"/>
          </w:tcPr>
          <w:p>
            <w:pPr>
              <w:jc w:val="right"/>
              <w:ind w:right="235"/>
              <w:spacing w:after="0"/>
              <w:rPr>
                <w:sz w:val="20"/>
                <w:szCs w:val="20"/>
                <w:color w:val="auto"/>
              </w:rPr>
            </w:pPr>
            <w:r>
              <w:rPr>
                <w:rFonts w:ascii="Calibri" w:cs="Calibri" w:eastAsia="Calibri" w:hAnsi="Calibri"/>
                <w:sz w:val="13"/>
                <w:szCs w:val="13"/>
                <w:b w:val="1"/>
                <w:bCs w:val="1"/>
                <w:color w:val="FFFFFF"/>
              </w:rPr>
              <w:t>QoQ</w:t>
            </w:r>
          </w:p>
        </w:tc>
        <w:tc>
          <w:tcPr>
            <w:tcW w:w="1140" w:type="dxa"/>
            <w:vAlign w:val="bottom"/>
            <w:tcBorders>
              <w:bottom w:val="single" w:sz="8" w:color="2AD2C8"/>
              <w:right w:val="single" w:sz="8" w:color="auto"/>
            </w:tcBorders>
            <w:shd w:val="clear" w:color="auto" w:fill="2AD2C8"/>
          </w:tcPr>
          <w:p>
            <w:pPr>
              <w:ind w:left="520"/>
              <w:spacing w:after="0"/>
              <w:rPr>
                <w:sz w:val="20"/>
                <w:szCs w:val="20"/>
                <w:color w:val="auto"/>
              </w:rPr>
            </w:pPr>
            <w:r>
              <w:rPr>
                <w:rFonts w:ascii="Calibri" w:cs="Calibri" w:eastAsia="Calibri" w:hAnsi="Calibri"/>
                <w:sz w:val="13"/>
                <w:szCs w:val="13"/>
                <w:b w:val="1"/>
                <w:bCs w:val="1"/>
                <w:color w:val="FFFFFF"/>
              </w:rPr>
              <w:t>YoY</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20" w:type="dxa"/>
            <w:vAlign w:val="bottom"/>
            <w:tcBorders>
              <w:right w:val="single" w:sz="8" w:color="auto"/>
            </w:tcBorders>
          </w:tcPr>
          <w:p>
            <w:pPr>
              <w:spacing w:after="0"/>
              <w:rPr>
                <w:sz w:val="13"/>
                <w:szCs w:val="13"/>
                <w:color w:val="auto"/>
              </w:rPr>
            </w:pPr>
          </w:p>
        </w:tc>
        <w:tc>
          <w:tcPr>
            <w:tcW w:w="2560" w:type="dxa"/>
            <w:vAlign w:val="bottom"/>
            <w:tcBorders>
              <w:top w:val="single" w:sz="8" w:color="auto"/>
            </w:tcBorders>
          </w:tcPr>
          <w:p>
            <w:pPr>
              <w:spacing w:after="0" w:line="153" w:lineRule="exact"/>
              <w:rPr>
                <w:sz w:val="20"/>
                <w:szCs w:val="20"/>
                <w:color w:val="auto"/>
              </w:rPr>
            </w:pPr>
            <w:r>
              <w:rPr>
                <w:rFonts w:ascii="Calibri" w:cs="Calibri" w:eastAsia="Calibri" w:hAnsi="Calibri"/>
                <w:sz w:val="15"/>
                <w:szCs w:val="15"/>
                <w:b w:val="1"/>
                <w:bCs w:val="1"/>
                <w:color w:val="auto"/>
              </w:rPr>
              <w:t>ASSETS</w:t>
            </w:r>
          </w:p>
        </w:tc>
        <w:tc>
          <w:tcPr>
            <w:tcW w:w="7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40" w:type="dxa"/>
            <w:vAlign w:val="bottom"/>
            <w:tcBorders>
              <w:top w:val="single" w:sz="8" w:color="auto"/>
              <w:right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140" w:type="dxa"/>
            <w:vAlign w:val="bottom"/>
            <w:tcBorders>
              <w:top w:val="single" w:sz="8" w:color="auto"/>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20" w:type="dxa"/>
            <w:vAlign w:val="bottom"/>
            <w:tcBorders>
              <w:right w:val="single" w:sz="8" w:color="auto"/>
            </w:tcBorders>
          </w:tcPr>
          <w:p>
            <w:pPr>
              <w:spacing w:after="0"/>
              <w:rPr>
                <w:sz w:val="15"/>
                <w:szCs w:val="15"/>
                <w:color w:val="auto"/>
              </w:rPr>
            </w:pPr>
          </w:p>
        </w:tc>
        <w:tc>
          <w:tcPr>
            <w:tcW w:w="2560" w:type="dxa"/>
            <w:vAlign w:val="bottom"/>
          </w:tcPr>
          <w:p>
            <w:pPr>
              <w:spacing w:after="0" w:line="178" w:lineRule="exact"/>
              <w:rPr>
                <w:sz w:val="20"/>
                <w:szCs w:val="20"/>
                <w:color w:val="auto"/>
              </w:rPr>
            </w:pPr>
            <w:r>
              <w:rPr>
                <w:rFonts w:ascii="Calibri" w:cs="Calibri" w:eastAsia="Calibri" w:hAnsi="Calibri"/>
                <w:sz w:val="15"/>
                <w:szCs w:val="15"/>
                <w:color w:val="auto"/>
              </w:rPr>
              <w:t>Cash and due from banks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520" w:type="dxa"/>
            <w:vAlign w:val="bottom"/>
            <w:gridSpan w:val="3"/>
          </w:tcPr>
          <w:p>
            <w:pPr>
              <w:jc w:val="center"/>
              <w:ind w:right="207"/>
              <w:spacing w:after="0"/>
              <w:rPr>
                <w:sz w:val="20"/>
                <w:szCs w:val="20"/>
                <w:color w:val="auto"/>
              </w:rPr>
            </w:pPr>
            <w:r>
              <w:rPr>
                <w:rFonts w:ascii="Calibri" w:cs="Calibri" w:eastAsia="Calibri" w:hAnsi="Calibri"/>
                <w:sz w:val="13"/>
                <w:szCs w:val="13"/>
                <w:color w:val="auto"/>
              </w:rPr>
              <w:t>2,552,099</w:t>
            </w:r>
          </w:p>
        </w:tc>
        <w:tc>
          <w:tcPr>
            <w:tcW w:w="120" w:type="dxa"/>
            <w:vAlign w:val="bottom"/>
          </w:tcPr>
          <w:p>
            <w:pPr>
              <w:spacing w:after="0"/>
              <w:rPr>
                <w:sz w:val="15"/>
                <w:szCs w:val="15"/>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rPr>
              <w:t>2,215,684</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tcPr>
          <w:p>
            <w:pPr>
              <w:jc w:val="center"/>
              <w:ind w:right="206"/>
              <w:spacing w:after="0"/>
              <w:rPr>
                <w:sz w:val="20"/>
                <w:szCs w:val="20"/>
                <w:color w:val="auto"/>
              </w:rPr>
            </w:pPr>
            <w:r>
              <w:rPr>
                <w:rFonts w:ascii="Calibri" w:cs="Calibri" w:eastAsia="Calibri" w:hAnsi="Calibri"/>
                <w:sz w:val="13"/>
                <w:szCs w:val="13"/>
                <w:color w:val="auto"/>
                <w:w w:val="98"/>
              </w:rPr>
              <w:t>2,216,270</w:t>
            </w:r>
          </w:p>
        </w:tc>
        <w:tc>
          <w:tcPr>
            <w:tcW w:w="120" w:type="dxa"/>
            <w:vAlign w:val="bottom"/>
            <w:tcBorders>
              <w:right w:val="single" w:sz="8" w:color="auto"/>
            </w:tcBorders>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color w:val="auto"/>
              </w:rPr>
              <w:t>0.0%</w:t>
            </w:r>
          </w:p>
        </w:tc>
        <w:tc>
          <w:tcPr>
            <w:tcW w:w="1140" w:type="dxa"/>
            <w:vAlign w:val="bottom"/>
            <w:tcBorders>
              <w:right w:val="single" w:sz="8" w:color="auto"/>
            </w:tcBorders>
          </w:tcPr>
          <w:p>
            <w:pPr>
              <w:jc w:val="center"/>
              <w:ind w:left="39"/>
              <w:spacing w:after="0"/>
              <w:rPr>
                <w:sz w:val="20"/>
                <w:szCs w:val="20"/>
                <w:color w:val="auto"/>
              </w:rPr>
            </w:pPr>
            <w:r>
              <w:rPr>
                <w:rFonts w:ascii="Calibri" w:cs="Calibri" w:eastAsia="Calibri" w:hAnsi="Calibri"/>
                <w:sz w:val="13"/>
                <w:szCs w:val="13"/>
                <w:color w:val="auto"/>
                <w:w w:val="98"/>
              </w:rPr>
              <w:t>-13.2%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Borders>
              <w:right w:val="single" w:sz="8" w:color="auto"/>
            </w:tcBorders>
          </w:tcPr>
          <w:p>
            <w:pPr>
              <w:spacing w:after="0"/>
              <w:rPr>
                <w:sz w:val="15"/>
                <w:szCs w:val="15"/>
                <w:color w:val="auto"/>
              </w:rPr>
            </w:pPr>
          </w:p>
        </w:tc>
        <w:tc>
          <w:tcPr>
            <w:tcW w:w="2560" w:type="dxa"/>
            <w:vAlign w:val="bottom"/>
          </w:tcPr>
          <w:p>
            <w:pPr>
              <w:spacing w:after="0"/>
              <w:rPr>
                <w:sz w:val="20"/>
                <w:szCs w:val="20"/>
                <w:color w:val="auto"/>
              </w:rPr>
            </w:pPr>
            <w:r>
              <w:rPr>
                <w:rFonts w:ascii="Calibri" w:cs="Calibri" w:eastAsia="Calibri" w:hAnsi="Calibri"/>
                <w:sz w:val="15"/>
                <w:szCs w:val="15"/>
                <w:color w:val="auto"/>
              </w:rPr>
              <w:t>Investments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520" w:type="dxa"/>
            <w:vAlign w:val="bottom"/>
            <w:gridSpan w:val="3"/>
          </w:tcPr>
          <w:p>
            <w:pPr>
              <w:jc w:val="center"/>
              <w:ind w:right="207"/>
              <w:spacing w:after="0"/>
              <w:rPr>
                <w:sz w:val="20"/>
                <w:szCs w:val="20"/>
                <w:color w:val="auto"/>
              </w:rPr>
            </w:pPr>
            <w:r>
              <w:rPr>
                <w:rFonts w:ascii="Calibri" w:cs="Calibri" w:eastAsia="Calibri" w:hAnsi="Calibri"/>
                <w:sz w:val="13"/>
                <w:szCs w:val="13"/>
                <w:color w:val="auto"/>
              </w:rPr>
              <w:t>1,522,673</w:t>
            </w:r>
          </w:p>
        </w:tc>
        <w:tc>
          <w:tcPr>
            <w:tcW w:w="120" w:type="dxa"/>
            <w:vAlign w:val="bottom"/>
          </w:tcPr>
          <w:p>
            <w:pPr>
              <w:spacing w:after="0"/>
              <w:rPr>
                <w:sz w:val="15"/>
                <w:szCs w:val="15"/>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rPr>
              <w:t>1,405,967</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tcPr>
          <w:p>
            <w:pPr>
              <w:jc w:val="center"/>
              <w:ind w:right="206"/>
              <w:spacing w:after="0"/>
              <w:rPr>
                <w:sz w:val="20"/>
                <w:szCs w:val="20"/>
                <w:color w:val="auto"/>
              </w:rPr>
            </w:pPr>
            <w:r>
              <w:rPr>
                <w:rFonts w:ascii="Calibri" w:cs="Calibri" w:eastAsia="Calibri" w:hAnsi="Calibri"/>
                <w:sz w:val="13"/>
                <w:szCs w:val="13"/>
                <w:color w:val="auto"/>
                <w:w w:val="98"/>
              </w:rPr>
              <w:t>1,739,760</w:t>
            </w:r>
          </w:p>
        </w:tc>
        <w:tc>
          <w:tcPr>
            <w:tcW w:w="120" w:type="dxa"/>
            <w:vAlign w:val="bottom"/>
            <w:tcBorders>
              <w:right w:val="single" w:sz="8" w:color="auto"/>
            </w:tcBorders>
          </w:tcPr>
          <w:p>
            <w:pPr>
              <w:spacing w:after="0"/>
              <w:rPr>
                <w:sz w:val="15"/>
                <w:szCs w:val="15"/>
                <w:color w:val="auto"/>
              </w:rPr>
            </w:pPr>
          </w:p>
        </w:tc>
        <w:tc>
          <w:tcPr>
            <w:tcW w:w="900" w:type="dxa"/>
            <w:vAlign w:val="bottom"/>
          </w:tcPr>
          <w:p>
            <w:pPr>
              <w:jc w:val="center"/>
              <w:ind w:left="35"/>
              <w:spacing w:after="0"/>
              <w:rPr>
                <w:sz w:val="20"/>
                <w:szCs w:val="20"/>
                <w:color w:val="auto"/>
              </w:rPr>
            </w:pPr>
            <w:r>
              <w:rPr>
                <w:rFonts w:ascii="Calibri" w:cs="Calibri" w:eastAsia="Calibri" w:hAnsi="Calibri"/>
                <w:sz w:val="13"/>
                <w:szCs w:val="13"/>
                <w:color w:val="auto"/>
                <w:w w:val="98"/>
              </w:rPr>
              <w:t>23.7%</w:t>
            </w:r>
          </w:p>
        </w:tc>
        <w:tc>
          <w:tcPr>
            <w:tcW w:w="1140" w:type="dxa"/>
            <w:vAlign w:val="bottom"/>
            <w:tcBorders>
              <w:right w:val="single" w:sz="8" w:color="auto"/>
            </w:tcBorders>
          </w:tcPr>
          <w:p>
            <w:pPr>
              <w:jc w:val="center"/>
              <w:ind w:left="39"/>
              <w:spacing w:after="0"/>
              <w:rPr>
                <w:sz w:val="20"/>
                <w:szCs w:val="20"/>
                <w:color w:val="auto"/>
              </w:rPr>
            </w:pPr>
            <w:r>
              <w:rPr>
                <w:rFonts w:ascii="Calibri" w:cs="Calibri" w:eastAsia="Calibri" w:hAnsi="Calibri"/>
                <w:sz w:val="13"/>
                <w:szCs w:val="13"/>
                <w:color w:val="auto"/>
                <w:w w:val="98"/>
              </w:rPr>
              <w:t>14.3%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Borders>
              <w:right w:val="single" w:sz="8" w:color="auto"/>
            </w:tcBorders>
          </w:tcPr>
          <w:p>
            <w:pPr>
              <w:spacing w:after="0"/>
              <w:rPr>
                <w:sz w:val="15"/>
                <w:szCs w:val="15"/>
                <w:color w:val="auto"/>
              </w:rPr>
            </w:pPr>
          </w:p>
        </w:tc>
        <w:tc>
          <w:tcPr>
            <w:tcW w:w="2560" w:type="dxa"/>
            <w:vAlign w:val="bottom"/>
          </w:tcPr>
          <w:p>
            <w:pPr>
              <w:spacing w:after="0"/>
              <w:rPr>
                <w:sz w:val="20"/>
                <w:szCs w:val="20"/>
                <w:color w:val="auto"/>
              </w:rPr>
            </w:pPr>
            <w:r>
              <w:rPr>
                <w:rFonts w:ascii="Calibri" w:cs="Calibri" w:eastAsia="Calibri" w:hAnsi="Calibri"/>
                <w:sz w:val="15"/>
                <w:szCs w:val="15"/>
                <w:b w:val="1"/>
                <w:bCs w:val="1"/>
                <w:color w:val="auto"/>
              </w:rPr>
              <w:t>Loans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520" w:type="dxa"/>
            <w:vAlign w:val="bottom"/>
            <w:gridSpan w:val="3"/>
          </w:tcPr>
          <w:p>
            <w:pPr>
              <w:jc w:val="center"/>
              <w:ind w:right="207"/>
              <w:spacing w:after="0"/>
              <w:rPr>
                <w:sz w:val="20"/>
                <w:szCs w:val="20"/>
                <w:color w:val="auto"/>
              </w:rPr>
            </w:pPr>
            <w:r>
              <w:rPr>
                <w:rFonts w:ascii="Calibri" w:cs="Calibri" w:eastAsia="Calibri" w:hAnsi="Calibri"/>
                <w:sz w:val="13"/>
                <w:szCs w:val="13"/>
                <w:b w:val="1"/>
                <w:bCs w:val="1"/>
                <w:color w:val="auto"/>
              </w:rPr>
              <w:t>9,401,800</w:t>
            </w:r>
          </w:p>
        </w:tc>
        <w:tc>
          <w:tcPr>
            <w:tcW w:w="120" w:type="dxa"/>
            <w:vAlign w:val="bottom"/>
          </w:tcPr>
          <w:p>
            <w:pPr>
              <w:spacing w:after="0"/>
              <w:rPr>
                <w:sz w:val="15"/>
                <w:szCs w:val="15"/>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b w:val="1"/>
                <w:bCs w:val="1"/>
                <w:color w:val="auto"/>
              </w:rPr>
              <w:t>9,829,567</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tcPr>
          <w:p>
            <w:pPr>
              <w:jc w:val="center"/>
              <w:ind w:right="206"/>
              <w:spacing w:after="0"/>
              <w:rPr>
                <w:sz w:val="20"/>
                <w:szCs w:val="20"/>
                <w:color w:val="auto"/>
              </w:rPr>
            </w:pPr>
            <w:r>
              <w:rPr>
                <w:rFonts w:ascii="Calibri" w:cs="Calibri" w:eastAsia="Calibri" w:hAnsi="Calibri"/>
                <w:sz w:val="13"/>
                <w:szCs w:val="13"/>
                <w:b w:val="1"/>
                <w:bCs w:val="1"/>
                <w:color w:val="auto"/>
                <w:w w:val="98"/>
              </w:rPr>
              <w:t>9,938,971</w:t>
            </w:r>
          </w:p>
        </w:tc>
        <w:tc>
          <w:tcPr>
            <w:tcW w:w="120" w:type="dxa"/>
            <w:vAlign w:val="bottom"/>
            <w:tcBorders>
              <w:right w:val="single" w:sz="8" w:color="auto"/>
            </w:tcBorders>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b w:val="1"/>
                <w:bCs w:val="1"/>
                <w:color w:val="auto"/>
              </w:rPr>
              <w:t>1.1%</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b w:val="1"/>
                <w:bCs w:val="1"/>
                <w:color w:val="auto"/>
                <w:w w:val="99"/>
              </w:rPr>
              <w:t>5.7%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 w:type="dxa"/>
            <w:vAlign w:val="bottom"/>
            <w:tcBorders>
              <w:right w:val="single" w:sz="8" w:color="auto"/>
            </w:tcBorders>
          </w:tcPr>
          <w:p>
            <w:pPr>
              <w:spacing w:after="0"/>
              <w:rPr>
                <w:sz w:val="15"/>
                <w:szCs w:val="15"/>
                <w:color w:val="auto"/>
              </w:rPr>
            </w:pPr>
          </w:p>
        </w:tc>
        <w:tc>
          <w:tcPr>
            <w:tcW w:w="2560" w:type="dxa"/>
            <w:vAlign w:val="bottom"/>
          </w:tcPr>
          <w:p>
            <w:pPr>
              <w:ind w:left="140"/>
              <w:spacing w:after="0"/>
              <w:rPr>
                <w:sz w:val="20"/>
                <w:szCs w:val="20"/>
                <w:color w:val="auto"/>
              </w:rPr>
            </w:pPr>
            <w:r>
              <w:rPr>
                <w:rFonts w:ascii="Calibri" w:cs="Calibri" w:eastAsia="Calibri" w:hAnsi="Calibri"/>
                <w:sz w:val="15"/>
                <w:szCs w:val="15"/>
                <w:color w:val="auto"/>
              </w:rPr>
              <w:t>Current</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520" w:type="dxa"/>
            <w:vAlign w:val="bottom"/>
            <w:gridSpan w:val="3"/>
          </w:tcPr>
          <w:p>
            <w:pPr>
              <w:jc w:val="center"/>
              <w:ind w:right="207"/>
              <w:spacing w:after="0"/>
              <w:rPr>
                <w:sz w:val="20"/>
                <w:szCs w:val="20"/>
                <w:color w:val="auto"/>
              </w:rPr>
            </w:pPr>
            <w:r>
              <w:rPr>
                <w:rFonts w:ascii="Calibri" w:cs="Calibri" w:eastAsia="Calibri" w:hAnsi="Calibri"/>
                <w:sz w:val="13"/>
                <w:szCs w:val="13"/>
                <w:color w:val="auto"/>
              </w:rPr>
              <w:t>9,112,232</w:t>
            </w:r>
          </w:p>
        </w:tc>
        <w:tc>
          <w:tcPr>
            <w:tcW w:w="120" w:type="dxa"/>
            <w:vAlign w:val="bottom"/>
          </w:tcPr>
          <w:p>
            <w:pPr>
              <w:spacing w:after="0"/>
              <w:rPr>
                <w:sz w:val="15"/>
                <w:szCs w:val="15"/>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rPr>
              <w:t>9,504,083</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tcPr>
          <w:p>
            <w:pPr>
              <w:jc w:val="center"/>
              <w:ind w:right="206"/>
              <w:spacing w:after="0"/>
              <w:rPr>
                <w:sz w:val="20"/>
                <w:szCs w:val="20"/>
                <w:color w:val="auto"/>
              </w:rPr>
            </w:pPr>
            <w:r>
              <w:rPr>
                <w:rFonts w:ascii="Calibri" w:cs="Calibri" w:eastAsia="Calibri" w:hAnsi="Calibri"/>
                <w:sz w:val="13"/>
                <w:szCs w:val="13"/>
                <w:color w:val="auto"/>
                <w:w w:val="98"/>
              </w:rPr>
              <w:t>9,609,399</w:t>
            </w:r>
          </w:p>
        </w:tc>
        <w:tc>
          <w:tcPr>
            <w:tcW w:w="120" w:type="dxa"/>
            <w:vAlign w:val="bottom"/>
            <w:tcBorders>
              <w:right w:val="single" w:sz="8" w:color="auto"/>
            </w:tcBorders>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color w:val="auto"/>
              </w:rPr>
              <w:t>1.1%</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color w:val="auto"/>
              </w:rPr>
              <w:t>5.5%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 w:type="dxa"/>
            <w:vAlign w:val="bottom"/>
            <w:tcBorders>
              <w:right w:val="single" w:sz="8" w:color="auto"/>
            </w:tcBorders>
          </w:tcPr>
          <w:p>
            <w:pPr>
              <w:spacing w:after="0"/>
              <w:rPr>
                <w:sz w:val="16"/>
                <w:szCs w:val="16"/>
                <w:color w:val="auto"/>
              </w:rPr>
            </w:pPr>
          </w:p>
        </w:tc>
        <w:tc>
          <w:tcPr>
            <w:tcW w:w="2560" w:type="dxa"/>
            <w:vAlign w:val="bottom"/>
          </w:tcPr>
          <w:p>
            <w:pPr>
              <w:ind w:left="140"/>
              <w:spacing w:after="0"/>
              <w:rPr>
                <w:sz w:val="20"/>
                <w:szCs w:val="20"/>
                <w:color w:val="auto"/>
              </w:rPr>
            </w:pPr>
            <w:r>
              <w:rPr>
                <w:rFonts w:ascii="Calibri" w:cs="Calibri" w:eastAsia="Calibri" w:hAnsi="Calibri"/>
                <w:sz w:val="15"/>
                <w:szCs w:val="15"/>
                <w:color w:val="auto"/>
              </w:rPr>
              <w:t>Internal overdue loans</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center"/>
              <w:ind w:right="587"/>
              <w:spacing w:after="0"/>
              <w:rPr>
                <w:sz w:val="20"/>
                <w:szCs w:val="20"/>
                <w:color w:val="auto"/>
              </w:rPr>
            </w:pPr>
            <w:r>
              <w:rPr>
                <w:rFonts w:ascii="Calibri" w:cs="Calibri" w:eastAsia="Calibri" w:hAnsi="Calibri"/>
                <w:sz w:val="13"/>
                <w:szCs w:val="13"/>
                <w:color w:val="auto"/>
                <w:w w:val="98"/>
              </w:rPr>
              <w:t>240,528</w:t>
            </w:r>
          </w:p>
        </w:tc>
        <w:tc>
          <w:tcPr>
            <w:tcW w:w="120" w:type="dxa"/>
            <w:vAlign w:val="bottom"/>
          </w:tcPr>
          <w:p>
            <w:pPr>
              <w:spacing w:after="0"/>
              <w:rPr>
                <w:sz w:val="16"/>
                <w:szCs w:val="16"/>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w w:val="98"/>
              </w:rPr>
              <w:t>270,433</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2"/>
          </w:tcPr>
          <w:p>
            <w:pPr>
              <w:jc w:val="center"/>
              <w:ind w:right="186"/>
              <w:spacing w:after="0"/>
              <w:rPr>
                <w:sz w:val="20"/>
                <w:szCs w:val="20"/>
                <w:color w:val="auto"/>
              </w:rPr>
            </w:pPr>
            <w:r>
              <w:rPr>
                <w:rFonts w:ascii="Calibri" w:cs="Calibri" w:eastAsia="Calibri" w:hAnsi="Calibri"/>
                <w:sz w:val="13"/>
                <w:szCs w:val="13"/>
                <w:color w:val="auto"/>
                <w:w w:val="98"/>
              </w:rPr>
              <w:t>266,296</w:t>
            </w:r>
          </w:p>
        </w:tc>
        <w:tc>
          <w:tcPr>
            <w:tcW w:w="120" w:type="dxa"/>
            <w:vAlign w:val="bottom"/>
            <w:tcBorders>
              <w:right w:val="single" w:sz="8" w:color="auto"/>
            </w:tcBorders>
          </w:tcPr>
          <w:p>
            <w:pPr>
              <w:spacing w:after="0"/>
              <w:rPr>
                <w:sz w:val="16"/>
                <w:szCs w:val="16"/>
                <w:color w:val="auto"/>
              </w:rPr>
            </w:pPr>
          </w:p>
        </w:tc>
        <w:tc>
          <w:tcPr>
            <w:tcW w:w="90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auto"/>
                <w:w w:val="99"/>
              </w:rPr>
              <w:t>-</w:t>
            </w:r>
            <w:r>
              <w:rPr>
                <w:rFonts w:ascii="Calibri" w:cs="Calibri" w:eastAsia="Calibri" w:hAnsi="Calibri"/>
                <w:sz w:val="13"/>
                <w:szCs w:val="13"/>
                <w:color w:val="auto"/>
                <w:w w:val="99"/>
              </w:rPr>
              <w:t>1.5%</w:t>
            </w:r>
          </w:p>
        </w:tc>
        <w:tc>
          <w:tcPr>
            <w:tcW w:w="1140" w:type="dxa"/>
            <w:vAlign w:val="bottom"/>
            <w:tcBorders>
              <w:right w:val="single" w:sz="8" w:color="auto"/>
            </w:tcBorders>
          </w:tcPr>
          <w:p>
            <w:pPr>
              <w:jc w:val="center"/>
              <w:ind w:left="39"/>
              <w:spacing w:after="0"/>
              <w:rPr>
                <w:sz w:val="20"/>
                <w:szCs w:val="20"/>
                <w:color w:val="auto"/>
              </w:rPr>
            </w:pPr>
            <w:r>
              <w:rPr>
                <w:rFonts w:ascii="Calibri" w:cs="Calibri" w:eastAsia="Calibri" w:hAnsi="Calibri"/>
                <w:sz w:val="13"/>
                <w:szCs w:val="13"/>
                <w:color w:val="auto"/>
                <w:w w:val="98"/>
              </w:rPr>
              <w:t>10.7%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 w:type="dxa"/>
            <w:vAlign w:val="bottom"/>
            <w:tcBorders>
              <w:right w:val="single" w:sz="8" w:color="auto"/>
            </w:tcBorders>
          </w:tcPr>
          <w:p>
            <w:pPr>
              <w:spacing w:after="0"/>
              <w:rPr>
                <w:sz w:val="15"/>
                <w:szCs w:val="15"/>
                <w:color w:val="auto"/>
              </w:rPr>
            </w:pPr>
          </w:p>
        </w:tc>
        <w:tc>
          <w:tcPr>
            <w:tcW w:w="2560" w:type="dxa"/>
            <w:vAlign w:val="bottom"/>
          </w:tcPr>
          <w:p>
            <w:pPr>
              <w:ind w:left="140"/>
              <w:spacing w:after="0" w:line="180" w:lineRule="exact"/>
              <w:rPr>
                <w:sz w:val="20"/>
                <w:szCs w:val="20"/>
                <w:color w:val="auto"/>
              </w:rPr>
            </w:pPr>
            <w:r>
              <w:rPr>
                <w:rFonts w:ascii="Calibri" w:cs="Calibri" w:eastAsia="Calibri" w:hAnsi="Calibri"/>
                <w:sz w:val="15"/>
                <w:szCs w:val="15"/>
                <w:color w:val="auto"/>
              </w:rPr>
              <w:t>Refnanced loans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2"/>
          </w:tcPr>
          <w:p>
            <w:pPr>
              <w:jc w:val="center"/>
              <w:ind w:right="587"/>
              <w:spacing w:after="0"/>
              <w:rPr>
                <w:sz w:val="20"/>
                <w:szCs w:val="20"/>
                <w:color w:val="auto"/>
              </w:rPr>
            </w:pPr>
            <w:r>
              <w:rPr>
                <w:rFonts w:ascii="Calibri" w:cs="Calibri" w:eastAsia="Calibri" w:hAnsi="Calibri"/>
                <w:sz w:val="13"/>
                <w:szCs w:val="13"/>
                <w:color w:val="auto"/>
              </w:rPr>
              <w:t>49,040</w:t>
            </w:r>
          </w:p>
        </w:tc>
        <w:tc>
          <w:tcPr>
            <w:tcW w:w="120" w:type="dxa"/>
            <w:vAlign w:val="bottom"/>
          </w:tcPr>
          <w:p>
            <w:pPr>
              <w:spacing w:after="0"/>
              <w:rPr>
                <w:sz w:val="15"/>
                <w:szCs w:val="15"/>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rPr>
              <w:t>55,051</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tcPr>
          <w:p>
            <w:pPr>
              <w:jc w:val="center"/>
              <w:ind w:right="206"/>
              <w:spacing w:after="0"/>
              <w:rPr>
                <w:sz w:val="20"/>
                <w:szCs w:val="20"/>
                <w:color w:val="auto"/>
              </w:rPr>
            </w:pPr>
            <w:r>
              <w:rPr>
                <w:rFonts w:ascii="Calibri" w:cs="Calibri" w:eastAsia="Calibri" w:hAnsi="Calibri"/>
                <w:sz w:val="13"/>
                <w:szCs w:val="13"/>
                <w:color w:val="auto"/>
                <w:w w:val="99"/>
              </w:rPr>
              <w:t>63,276</w:t>
            </w:r>
          </w:p>
        </w:tc>
        <w:tc>
          <w:tcPr>
            <w:tcW w:w="120" w:type="dxa"/>
            <w:vAlign w:val="bottom"/>
            <w:tcBorders>
              <w:right w:val="single" w:sz="8" w:color="auto"/>
            </w:tcBorders>
          </w:tcPr>
          <w:p>
            <w:pPr>
              <w:spacing w:after="0"/>
              <w:rPr>
                <w:sz w:val="15"/>
                <w:szCs w:val="15"/>
                <w:color w:val="auto"/>
              </w:rPr>
            </w:pPr>
          </w:p>
        </w:tc>
        <w:tc>
          <w:tcPr>
            <w:tcW w:w="900" w:type="dxa"/>
            <w:vAlign w:val="bottom"/>
          </w:tcPr>
          <w:p>
            <w:pPr>
              <w:jc w:val="center"/>
              <w:ind w:left="35"/>
              <w:spacing w:after="0"/>
              <w:rPr>
                <w:sz w:val="20"/>
                <w:szCs w:val="20"/>
                <w:color w:val="auto"/>
              </w:rPr>
            </w:pPr>
            <w:r>
              <w:rPr>
                <w:rFonts w:ascii="Calibri" w:cs="Calibri" w:eastAsia="Calibri" w:hAnsi="Calibri"/>
                <w:sz w:val="13"/>
                <w:szCs w:val="13"/>
                <w:color w:val="auto"/>
                <w:w w:val="98"/>
              </w:rPr>
              <w:t>14.9%</w:t>
            </w:r>
          </w:p>
        </w:tc>
        <w:tc>
          <w:tcPr>
            <w:tcW w:w="1140" w:type="dxa"/>
            <w:vAlign w:val="bottom"/>
            <w:tcBorders>
              <w:right w:val="single" w:sz="8" w:color="auto"/>
            </w:tcBorders>
          </w:tcPr>
          <w:p>
            <w:pPr>
              <w:jc w:val="center"/>
              <w:ind w:left="39"/>
              <w:spacing w:after="0"/>
              <w:rPr>
                <w:sz w:val="20"/>
                <w:szCs w:val="20"/>
                <w:color w:val="auto"/>
              </w:rPr>
            </w:pPr>
            <w:r>
              <w:rPr>
                <w:rFonts w:ascii="Calibri" w:cs="Calibri" w:eastAsia="Calibri" w:hAnsi="Calibri"/>
                <w:sz w:val="13"/>
                <w:szCs w:val="13"/>
                <w:color w:val="auto"/>
                <w:w w:val="98"/>
              </w:rPr>
              <w:t>29.0%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0" w:type="dxa"/>
            <w:vAlign w:val="bottom"/>
            <w:tcBorders>
              <w:right w:val="single" w:sz="8" w:color="auto"/>
            </w:tcBorders>
          </w:tcPr>
          <w:p>
            <w:pPr>
              <w:spacing w:after="0"/>
              <w:rPr>
                <w:sz w:val="17"/>
                <w:szCs w:val="17"/>
                <w:color w:val="auto"/>
              </w:rPr>
            </w:pPr>
          </w:p>
        </w:tc>
        <w:tc>
          <w:tcPr>
            <w:tcW w:w="2560" w:type="dxa"/>
            <w:vAlign w:val="bottom"/>
          </w:tcPr>
          <w:p>
            <w:pPr>
              <w:ind w:left="140"/>
              <w:spacing w:after="0"/>
              <w:rPr>
                <w:sz w:val="20"/>
                <w:szCs w:val="20"/>
                <w:color w:val="auto"/>
              </w:rPr>
            </w:pPr>
            <w:r>
              <w:rPr>
                <w:rFonts w:ascii="Calibri" w:cs="Calibri" w:eastAsia="Calibri" w:hAnsi="Calibri"/>
                <w:sz w:val="15"/>
                <w:szCs w:val="15"/>
                <w:color w:val="auto"/>
              </w:rPr>
              <w:t xml:space="preserve">Less </w:t>
            </w:r>
            <w:r>
              <w:rPr>
                <w:rFonts w:ascii="Times New Roman" w:cs="Times New Roman" w:eastAsia="Times New Roman" w:hAnsi="Times New Roman"/>
                <w:sz w:val="15"/>
                <w:szCs w:val="15"/>
                <w:color w:val="auto"/>
              </w:rPr>
              <w:t>-</w:t>
            </w:r>
            <w:r>
              <w:rPr>
                <w:rFonts w:ascii="Calibri" w:cs="Calibri" w:eastAsia="Calibri" w:hAnsi="Calibri"/>
                <w:sz w:val="15"/>
                <w:szCs w:val="15"/>
                <w:color w:val="auto"/>
              </w:rPr>
              <w:t xml:space="preserve"> allowance for loan losses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center"/>
              <w:ind w:right="587"/>
              <w:spacing w:after="0"/>
              <w:rPr>
                <w:sz w:val="20"/>
                <w:szCs w:val="20"/>
                <w:color w:val="auto"/>
              </w:rPr>
            </w:pPr>
            <w:r>
              <w:rPr>
                <w:rFonts w:ascii="Calibri" w:cs="Calibri" w:eastAsia="Calibri" w:hAnsi="Calibri"/>
                <w:sz w:val="13"/>
                <w:szCs w:val="13"/>
                <w:color w:val="auto"/>
                <w:w w:val="98"/>
              </w:rPr>
              <w:t>(351,688)</w:t>
            </w:r>
          </w:p>
        </w:tc>
        <w:tc>
          <w:tcPr>
            <w:tcW w:w="120" w:type="dxa"/>
            <w:vAlign w:val="bottom"/>
          </w:tcPr>
          <w:p>
            <w:pPr>
              <w:spacing w:after="0"/>
              <w:rPr>
                <w:sz w:val="17"/>
                <w:szCs w:val="17"/>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w w:val="98"/>
              </w:rPr>
              <w:t>(357,720)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center"/>
              <w:ind w:right="206"/>
              <w:spacing w:after="0"/>
              <w:rPr>
                <w:sz w:val="20"/>
                <w:szCs w:val="20"/>
                <w:color w:val="auto"/>
              </w:rPr>
            </w:pPr>
            <w:r>
              <w:rPr>
                <w:rFonts w:ascii="Calibri" w:cs="Calibri" w:eastAsia="Calibri" w:hAnsi="Calibri"/>
                <w:sz w:val="13"/>
                <w:szCs w:val="13"/>
                <w:color w:val="auto"/>
              </w:rPr>
              <w:t>(366,704)</w:t>
            </w:r>
          </w:p>
        </w:tc>
        <w:tc>
          <w:tcPr>
            <w:tcW w:w="120" w:type="dxa"/>
            <w:vAlign w:val="bottom"/>
            <w:tcBorders>
              <w:right w:val="single" w:sz="8" w:color="auto"/>
            </w:tcBorders>
          </w:tcPr>
          <w:p>
            <w:pPr>
              <w:spacing w:after="0"/>
              <w:rPr>
                <w:sz w:val="17"/>
                <w:szCs w:val="17"/>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color w:val="auto"/>
              </w:rPr>
              <w:t>2.5%</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color w:val="auto"/>
              </w:rPr>
              <w:t>4.3%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20" w:type="dxa"/>
            <w:vAlign w:val="bottom"/>
            <w:tcBorders>
              <w:right w:val="single" w:sz="8" w:color="auto"/>
            </w:tcBorders>
          </w:tcPr>
          <w:p>
            <w:pPr>
              <w:spacing w:after="0"/>
              <w:rPr>
                <w:sz w:val="14"/>
                <w:szCs w:val="14"/>
                <w:color w:val="auto"/>
              </w:rPr>
            </w:pPr>
          </w:p>
        </w:tc>
        <w:tc>
          <w:tcPr>
            <w:tcW w:w="2560" w:type="dxa"/>
            <w:vAlign w:val="bottom"/>
          </w:tcPr>
          <w:p>
            <w:pPr>
              <w:spacing w:after="0"/>
              <w:rPr>
                <w:sz w:val="20"/>
                <w:szCs w:val="20"/>
                <w:color w:val="auto"/>
              </w:rPr>
            </w:pPr>
            <w:r>
              <w:rPr>
                <w:rFonts w:ascii="Calibri" w:cs="Calibri" w:eastAsia="Calibri" w:hAnsi="Calibri"/>
                <w:sz w:val="13"/>
                <w:szCs w:val="13"/>
                <w:b w:val="1"/>
                <w:bCs w:val="1"/>
                <w:color w:val="auto"/>
              </w:rPr>
              <w:t>Loans, net</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520" w:type="dxa"/>
            <w:vAlign w:val="bottom"/>
            <w:gridSpan w:val="3"/>
          </w:tcPr>
          <w:p>
            <w:pPr>
              <w:jc w:val="center"/>
              <w:ind w:right="207"/>
              <w:spacing w:after="0"/>
              <w:rPr>
                <w:sz w:val="20"/>
                <w:szCs w:val="20"/>
                <w:color w:val="auto"/>
              </w:rPr>
            </w:pPr>
            <w:r>
              <w:rPr>
                <w:rFonts w:ascii="Calibri" w:cs="Calibri" w:eastAsia="Calibri" w:hAnsi="Calibri"/>
                <w:sz w:val="13"/>
                <w:szCs w:val="13"/>
                <w:b w:val="1"/>
                <w:bCs w:val="1"/>
                <w:color w:val="auto"/>
              </w:rPr>
              <w:t>9,050,112</w:t>
            </w:r>
          </w:p>
        </w:tc>
        <w:tc>
          <w:tcPr>
            <w:tcW w:w="120" w:type="dxa"/>
            <w:vAlign w:val="bottom"/>
          </w:tcPr>
          <w:p>
            <w:pPr>
              <w:spacing w:after="0"/>
              <w:rPr>
                <w:sz w:val="14"/>
                <w:szCs w:val="14"/>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b w:val="1"/>
                <w:bCs w:val="1"/>
                <w:color w:val="auto"/>
              </w:rPr>
              <w:t>9,471,846</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206"/>
              <w:spacing w:after="0"/>
              <w:rPr>
                <w:sz w:val="20"/>
                <w:szCs w:val="20"/>
                <w:color w:val="auto"/>
              </w:rPr>
            </w:pPr>
            <w:r>
              <w:rPr>
                <w:rFonts w:ascii="Calibri" w:cs="Calibri" w:eastAsia="Calibri" w:hAnsi="Calibri"/>
                <w:sz w:val="13"/>
                <w:szCs w:val="13"/>
                <w:b w:val="1"/>
                <w:bCs w:val="1"/>
                <w:color w:val="auto"/>
                <w:w w:val="98"/>
              </w:rPr>
              <w:t>9,572,267</w:t>
            </w: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b w:val="1"/>
                <w:bCs w:val="1"/>
                <w:color w:val="auto"/>
              </w:rPr>
              <w:t>1.1%</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b w:val="1"/>
                <w:bCs w:val="1"/>
                <w:color w:val="auto"/>
                <w:w w:val="99"/>
              </w:rPr>
              <w:t>5.8%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2560" w:type="dxa"/>
            <w:vAlign w:val="bottom"/>
          </w:tcPr>
          <w:p>
            <w:pPr>
              <w:spacing w:after="0"/>
              <w:rPr>
                <w:sz w:val="20"/>
                <w:szCs w:val="20"/>
                <w:color w:val="auto"/>
              </w:rPr>
            </w:pPr>
            <w:r>
              <w:rPr>
                <w:rFonts w:ascii="Calibri" w:cs="Calibri" w:eastAsia="Calibri" w:hAnsi="Calibri"/>
                <w:sz w:val="13"/>
                <w:szCs w:val="13"/>
                <w:color w:val="auto"/>
              </w:rPr>
              <w:t>Property, furniture and equipment, net</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right="587"/>
              <w:spacing w:after="0"/>
              <w:rPr>
                <w:sz w:val="20"/>
                <w:szCs w:val="20"/>
                <w:color w:val="auto"/>
              </w:rPr>
            </w:pPr>
            <w:r>
              <w:rPr>
                <w:rFonts w:ascii="Calibri" w:cs="Calibri" w:eastAsia="Calibri" w:hAnsi="Calibri"/>
                <w:sz w:val="13"/>
                <w:szCs w:val="13"/>
                <w:color w:val="auto"/>
              </w:rPr>
              <w:t>66,129</w:t>
            </w:r>
          </w:p>
        </w:tc>
        <w:tc>
          <w:tcPr>
            <w:tcW w:w="120" w:type="dxa"/>
            <w:vAlign w:val="bottom"/>
          </w:tcPr>
          <w:p>
            <w:pPr>
              <w:spacing w:after="0"/>
              <w:rPr>
                <w:sz w:val="14"/>
                <w:szCs w:val="14"/>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w w:val="98"/>
              </w:rPr>
              <w:t>130,797</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186"/>
              <w:spacing w:after="0"/>
              <w:rPr>
                <w:sz w:val="20"/>
                <w:szCs w:val="20"/>
                <w:color w:val="auto"/>
              </w:rPr>
            </w:pPr>
            <w:r>
              <w:rPr>
                <w:rFonts w:ascii="Calibri" w:cs="Calibri" w:eastAsia="Calibri" w:hAnsi="Calibri"/>
                <w:sz w:val="13"/>
                <w:szCs w:val="13"/>
                <w:color w:val="auto"/>
                <w:w w:val="98"/>
              </w:rPr>
              <w:t>132,210</w:t>
            </w: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color w:val="auto"/>
              </w:rPr>
              <w:t>1.1%</w:t>
            </w:r>
          </w:p>
        </w:tc>
        <w:tc>
          <w:tcPr>
            <w:tcW w:w="1140" w:type="dxa"/>
            <w:vAlign w:val="bottom"/>
            <w:tcBorders>
              <w:right w:val="single" w:sz="8" w:color="auto"/>
            </w:tcBorders>
          </w:tcPr>
          <w:p>
            <w:pPr>
              <w:jc w:val="center"/>
              <w:ind w:left="39"/>
              <w:spacing w:after="0"/>
              <w:rPr>
                <w:sz w:val="20"/>
                <w:szCs w:val="20"/>
                <w:color w:val="auto"/>
              </w:rPr>
            </w:pPr>
            <w:r>
              <w:rPr>
                <w:rFonts w:ascii="Calibri" w:cs="Calibri" w:eastAsia="Calibri" w:hAnsi="Calibri"/>
                <w:sz w:val="13"/>
                <w:szCs w:val="13"/>
                <w:color w:val="auto"/>
                <w:w w:val="98"/>
              </w:rPr>
              <w:t>99.9%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2560" w:type="dxa"/>
            <w:vAlign w:val="bottom"/>
          </w:tcPr>
          <w:p>
            <w:pPr>
              <w:spacing w:after="0"/>
              <w:rPr>
                <w:sz w:val="20"/>
                <w:szCs w:val="20"/>
                <w:color w:val="auto"/>
              </w:rPr>
            </w:pPr>
            <w:r>
              <w:rPr>
                <w:rFonts w:ascii="Calibri" w:cs="Calibri" w:eastAsia="Calibri" w:hAnsi="Calibri"/>
                <w:sz w:val="13"/>
                <w:szCs w:val="13"/>
                <w:color w:val="auto"/>
              </w:rPr>
              <w:t>Other assets</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right="587"/>
              <w:spacing w:after="0"/>
              <w:rPr>
                <w:sz w:val="20"/>
                <w:szCs w:val="20"/>
                <w:color w:val="auto"/>
              </w:rPr>
            </w:pPr>
            <w:r>
              <w:rPr>
                <w:rFonts w:ascii="Calibri" w:cs="Calibri" w:eastAsia="Calibri" w:hAnsi="Calibri"/>
                <w:sz w:val="13"/>
                <w:szCs w:val="13"/>
                <w:color w:val="auto"/>
                <w:w w:val="98"/>
              </w:rPr>
              <w:t>309,864</w:t>
            </w:r>
          </w:p>
        </w:tc>
        <w:tc>
          <w:tcPr>
            <w:tcW w:w="120" w:type="dxa"/>
            <w:vAlign w:val="bottom"/>
          </w:tcPr>
          <w:p>
            <w:pPr>
              <w:spacing w:after="0"/>
              <w:rPr>
                <w:sz w:val="14"/>
                <w:szCs w:val="14"/>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w w:val="98"/>
              </w:rPr>
              <w:t>264,972</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186"/>
              <w:spacing w:after="0"/>
              <w:rPr>
                <w:sz w:val="20"/>
                <w:szCs w:val="20"/>
                <w:color w:val="auto"/>
              </w:rPr>
            </w:pPr>
            <w:r>
              <w:rPr>
                <w:rFonts w:ascii="Calibri" w:cs="Calibri" w:eastAsia="Calibri" w:hAnsi="Calibri"/>
                <w:sz w:val="13"/>
                <w:szCs w:val="13"/>
                <w:color w:val="auto"/>
                <w:w w:val="98"/>
              </w:rPr>
              <w:t>314,226</w:t>
            </w:r>
          </w:p>
        </w:tc>
        <w:tc>
          <w:tcPr>
            <w:tcW w:w="120" w:type="dxa"/>
            <w:vAlign w:val="bottom"/>
            <w:tcBorders>
              <w:right w:val="single" w:sz="8" w:color="auto"/>
            </w:tcBorders>
          </w:tcPr>
          <w:p>
            <w:pPr>
              <w:spacing w:after="0"/>
              <w:rPr>
                <w:sz w:val="14"/>
                <w:szCs w:val="14"/>
                <w:color w:val="auto"/>
              </w:rPr>
            </w:pPr>
          </w:p>
        </w:tc>
        <w:tc>
          <w:tcPr>
            <w:tcW w:w="900" w:type="dxa"/>
            <w:vAlign w:val="bottom"/>
          </w:tcPr>
          <w:p>
            <w:pPr>
              <w:jc w:val="center"/>
              <w:ind w:left="35"/>
              <w:spacing w:after="0"/>
              <w:rPr>
                <w:sz w:val="20"/>
                <w:szCs w:val="20"/>
                <w:color w:val="auto"/>
              </w:rPr>
            </w:pPr>
            <w:r>
              <w:rPr>
                <w:rFonts w:ascii="Calibri" w:cs="Calibri" w:eastAsia="Calibri" w:hAnsi="Calibri"/>
                <w:sz w:val="13"/>
                <w:szCs w:val="13"/>
                <w:color w:val="auto"/>
                <w:w w:val="98"/>
              </w:rPr>
              <w:t>18.6%</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color w:val="auto"/>
              </w:rPr>
              <w:t>1.4%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3260" w:type="dxa"/>
            <w:vAlign w:val="bottom"/>
            <w:gridSpan w:val="2"/>
          </w:tcPr>
          <w:p>
            <w:pPr>
              <w:ind w:left="2060"/>
              <w:spacing w:after="0"/>
              <w:rPr>
                <w:sz w:val="20"/>
                <w:szCs w:val="20"/>
                <w:color w:val="auto"/>
              </w:rPr>
            </w:pPr>
            <w:r>
              <w:rPr>
                <w:rFonts w:ascii="Calibri" w:cs="Calibri" w:eastAsia="Calibri" w:hAnsi="Calibri"/>
                <w:sz w:val="13"/>
                <w:szCs w:val="13"/>
                <w:b w:val="1"/>
                <w:bCs w:val="1"/>
                <w:color w:val="auto"/>
              </w:rPr>
              <w:t>Total assets</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520" w:type="dxa"/>
            <w:vAlign w:val="bottom"/>
            <w:gridSpan w:val="3"/>
          </w:tcPr>
          <w:p>
            <w:pPr>
              <w:jc w:val="center"/>
              <w:ind w:right="187"/>
              <w:spacing w:after="0"/>
              <w:rPr>
                <w:sz w:val="20"/>
                <w:szCs w:val="20"/>
                <w:color w:val="auto"/>
              </w:rPr>
            </w:pPr>
            <w:r>
              <w:rPr>
                <w:rFonts w:ascii="Calibri" w:cs="Calibri" w:eastAsia="Calibri" w:hAnsi="Calibri"/>
                <w:sz w:val="13"/>
                <w:szCs w:val="13"/>
                <w:b w:val="1"/>
                <w:bCs w:val="1"/>
                <w:color w:val="auto"/>
              </w:rPr>
              <w:t>13,500,877</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13,489,266</w:t>
            </w:r>
          </w:p>
        </w:tc>
        <w:tc>
          <w:tcPr>
            <w:tcW w:w="260" w:type="dxa"/>
            <w:vAlign w:val="bottom"/>
          </w:tcPr>
          <w:p>
            <w:pPr>
              <w:spacing w:after="0"/>
              <w:rPr>
                <w:sz w:val="14"/>
                <w:szCs w:val="14"/>
                <w:color w:val="auto"/>
              </w:rPr>
            </w:pPr>
          </w:p>
        </w:tc>
        <w:tc>
          <w:tcPr>
            <w:tcW w:w="1200" w:type="dxa"/>
            <w:vAlign w:val="bottom"/>
            <w:gridSpan w:val="3"/>
          </w:tcPr>
          <w:p>
            <w:pPr>
              <w:jc w:val="center"/>
              <w:ind w:left="104"/>
              <w:spacing w:after="0"/>
              <w:rPr>
                <w:sz w:val="20"/>
                <w:szCs w:val="20"/>
                <w:color w:val="auto"/>
              </w:rPr>
            </w:pPr>
            <w:r>
              <w:rPr>
                <w:rFonts w:ascii="Calibri" w:cs="Calibri" w:eastAsia="Calibri" w:hAnsi="Calibri"/>
                <w:sz w:val="13"/>
                <w:szCs w:val="13"/>
                <w:b w:val="1"/>
                <w:bCs w:val="1"/>
                <w:color w:val="auto"/>
              </w:rPr>
              <w:t>13,974,733</w:t>
            </w: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b w:val="1"/>
                <w:bCs w:val="1"/>
                <w:color w:val="auto"/>
              </w:rPr>
              <w:t>3.6%</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b w:val="1"/>
                <w:bCs w:val="1"/>
                <w:color w:val="auto"/>
                <w:w w:val="99"/>
              </w:rPr>
              <w:t>3.5%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2560" w:type="dxa"/>
            <w:vAlign w:val="bottom"/>
          </w:tcPr>
          <w:p>
            <w:pPr>
              <w:spacing w:after="0"/>
              <w:rPr>
                <w:sz w:val="20"/>
                <w:szCs w:val="20"/>
                <w:color w:val="auto"/>
              </w:rPr>
            </w:pPr>
            <w:r>
              <w:rPr>
                <w:rFonts w:ascii="Calibri" w:cs="Calibri" w:eastAsia="Calibri" w:hAnsi="Calibri"/>
                <w:sz w:val="13"/>
                <w:szCs w:val="13"/>
                <w:b w:val="1"/>
                <w:bCs w:val="1"/>
                <w:color w:val="auto"/>
              </w:rPr>
              <w:t>LIABILITIES AND NET SHAREHOLDERS' EQUITY</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20" w:type="dxa"/>
            <w:vAlign w:val="bottom"/>
            <w:tcBorders>
              <w:right w:val="single" w:sz="8" w:color="auto"/>
            </w:tcBorders>
          </w:tcPr>
          <w:p>
            <w:pPr>
              <w:spacing w:after="0"/>
              <w:rPr>
                <w:sz w:val="15"/>
                <w:szCs w:val="15"/>
                <w:color w:val="auto"/>
              </w:rPr>
            </w:pPr>
          </w:p>
        </w:tc>
        <w:tc>
          <w:tcPr>
            <w:tcW w:w="2560" w:type="dxa"/>
            <w:vAlign w:val="bottom"/>
          </w:tcPr>
          <w:p>
            <w:pPr>
              <w:spacing w:after="0"/>
              <w:rPr>
                <w:sz w:val="20"/>
                <w:szCs w:val="20"/>
                <w:color w:val="auto"/>
              </w:rPr>
            </w:pPr>
            <w:r>
              <w:rPr>
                <w:rFonts w:ascii="Calibri" w:cs="Calibri" w:eastAsia="Calibri" w:hAnsi="Calibri"/>
                <w:sz w:val="13"/>
                <w:szCs w:val="13"/>
                <w:color w:val="auto"/>
              </w:rPr>
              <w:t>Deposits and obligatons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520" w:type="dxa"/>
            <w:vAlign w:val="bottom"/>
            <w:gridSpan w:val="3"/>
          </w:tcPr>
          <w:p>
            <w:pPr>
              <w:jc w:val="center"/>
              <w:ind w:right="187"/>
              <w:spacing w:after="0"/>
              <w:rPr>
                <w:sz w:val="20"/>
                <w:szCs w:val="20"/>
                <w:color w:val="auto"/>
              </w:rPr>
            </w:pPr>
            <w:r>
              <w:rPr>
                <w:rFonts w:ascii="Calibri" w:cs="Calibri" w:eastAsia="Calibri" w:hAnsi="Calibri"/>
                <w:sz w:val="13"/>
                <w:szCs w:val="13"/>
                <w:color w:val="auto"/>
              </w:rPr>
              <w:t>11,482,143</w:t>
            </w: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Calibri" w:cs="Calibri" w:eastAsia="Calibri" w:hAnsi="Calibri"/>
                <w:sz w:val="13"/>
                <w:szCs w:val="13"/>
                <w:color w:val="auto"/>
                <w:w w:val="97"/>
              </w:rPr>
              <w:t>11,704,551</w:t>
            </w:r>
          </w:p>
        </w:tc>
        <w:tc>
          <w:tcPr>
            <w:tcW w:w="260" w:type="dxa"/>
            <w:vAlign w:val="bottom"/>
          </w:tcPr>
          <w:p>
            <w:pPr>
              <w:spacing w:after="0"/>
              <w:rPr>
                <w:sz w:val="15"/>
                <w:szCs w:val="15"/>
                <w:color w:val="auto"/>
              </w:rPr>
            </w:pPr>
          </w:p>
        </w:tc>
        <w:tc>
          <w:tcPr>
            <w:tcW w:w="1200" w:type="dxa"/>
            <w:vAlign w:val="bottom"/>
            <w:gridSpan w:val="3"/>
          </w:tcPr>
          <w:p>
            <w:pPr>
              <w:jc w:val="center"/>
              <w:ind w:left="104"/>
              <w:spacing w:after="0"/>
              <w:rPr>
                <w:sz w:val="20"/>
                <w:szCs w:val="20"/>
                <w:color w:val="auto"/>
              </w:rPr>
            </w:pPr>
            <w:r>
              <w:rPr>
                <w:rFonts w:ascii="Calibri" w:cs="Calibri" w:eastAsia="Calibri" w:hAnsi="Calibri"/>
                <w:sz w:val="13"/>
                <w:szCs w:val="13"/>
                <w:color w:val="auto"/>
              </w:rPr>
              <w:t>12,145,811</w:t>
            </w:r>
          </w:p>
        </w:tc>
        <w:tc>
          <w:tcPr>
            <w:tcW w:w="120" w:type="dxa"/>
            <w:vAlign w:val="bottom"/>
            <w:tcBorders>
              <w:right w:val="single" w:sz="8" w:color="auto"/>
            </w:tcBorders>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color w:val="auto"/>
              </w:rPr>
              <w:t>3.8%</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color w:val="auto"/>
              </w:rPr>
              <w:t>5.8%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0" w:type="dxa"/>
            <w:vAlign w:val="bottom"/>
            <w:tcBorders>
              <w:right w:val="single" w:sz="8" w:color="auto"/>
            </w:tcBorders>
          </w:tcPr>
          <w:p>
            <w:pPr>
              <w:spacing w:after="0"/>
              <w:rPr>
                <w:sz w:val="15"/>
                <w:szCs w:val="15"/>
                <w:color w:val="auto"/>
              </w:rPr>
            </w:pPr>
          </w:p>
        </w:tc>
        <w:tc>
          <w:tcPr>
            <w:tcW w:w="2560" w:type="dxa"/>
            <w:vAlign w:val="bottom"/>
          </w:tcPr>
          <w:p>
            <w:pPr>
              <w:spacing w:after="0"/>
              <w:rPr>
                <w:sz w:val="20"/>
                <w:szCs w:val="20"/>
                <w:color w:val="auto"/>
              </w:rPr>
            </w:pPr>
            <w:r>
              <w:rPr>
                <w:rFonts w:ascii="Calibri" w:cs="Calibri" w:eastAsia="Calibri" w:hAnsi="Calibri"/>
                <w:sz w:val="13"/>
                <w:szCs w:val="13"/>
                <w:color w:val="auto"/>
              </w:rPr>
              <w:t>Due to banks and correspondents</w:t>
            </w: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2"/>
          </w:tcPr>
          <w:p>
            <w:pPr>
              <w:jc w:val="center"/>
              <w:ind w:right="587"/>
              <w:spacing w:after="0"/>
              <w:rPr>
                <w:sz w:val="20"/>
                <w:szCs w:val="20"/>
                <w:color w:val="auto"/>
              </w:rPr>
            </w:pPr>
            <w:r>
              <w:rPr>
                <w:rFonts w:ascii="Calibri" w:cs="Calibri" w:eastAsia="Calibri" w:hAnsi="Calibri"/>
                <w:sz w:val="13"/>
                <w:szCs w:val="13"/>
                <w:color w:val="auto"/>
              </w:rPr>
              <w:t>78,296</w:t>
            </w:r>
          </w:p>
        </w:tc>
        <w:tc>
          <w:tcPr>
            <w:tcW w:w="120" w:type="dxa"/>
            <w:vAlign w:val="bottom"/>
          </w:tcPr>
          <w:p>
            <w:pPr>
              <w:spacing w:after="0"/>
              <w:rPr>
                <w:sz w:val="15"/>
                <w:szCs w:val="15"/>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rPr>
              <w:t>2,032</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tcPr>
          <w:p>
            <w:pPr>
              <w:jc w:val="center"/>
              <w:ind w:right="206"/>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right w:val="single" w:sz="8" w:color="auto"/>
            </w:tcBorders>
          </w:tcPr>
          <w:p>
            <w:pPr>
              <w:spacing w:after="0"/>
              <w:rPr>
                <w:sz w:val="15"/>
                <w:szCs w:val="15"/>
                <w:color w:val="auto"/>
              </w:rPr>
            </w:pPr>
          </w:p>
        </w:tc>
        <w:tc>
          <w:tcPr>
            <w:tcW w:w="900" w:type="dxa"/>
            <w:vAlign w:val="bottom"/>
          </w:tcPr>
          <w:p>
            <w:pPr>
              <w:jc w:val="right"/>
              <w:ind w:right="115"/>
              <w:spacing w:after="0"/>
              <w:rPr>
                <w:sz w:val="20"/>
                <w:szCs w:val="20"/>
                <w:color w:val="auto"/>
              </w:rPr>
            </w:pPr>
            <w:r>
              <w:rPr>
                <w:rFonts w:ascii="Calibri" w:cs="Calibri" w:eastAsia="Calibri" w:hAnsi="Calibri"/>
                <w:sz w:val="13"/>
                <w:szCs w:val="13"/>
                <w:color w:val="auto"/>
              </w:rPr>
              <w:t>-100.0%</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color w:val="auto"/>
                <w:w w:val="97"/>
              </w:rPr>
              <w:t>-100.0%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 w:type="dxa"/>
            <w:vAlign w:val="bottom"/>
            <w:tcBorders>
              <w:right w:val="single" w:sz="8" w:color="auto"/>
            </w:tcBorders>
          </w:tcPr>
          <w:p>
            <w:pPr>
              <w:spacing w:after="0"/>
              <w:rPr>
                <w:sz w:val="14"/>
                <w:szCs w:val="14"/>
                <w:color w:val="auto"/>
              </w:rPr>
            </w:pPr>
          </w:p>
        </w:tc>
        <w:tc>
          <w:tcPr>
            <w:tcW w:w="2560" w:type="dxa"/>
            <w:vAlign w:val="bottom"/>
          </w:tcPr>
          <w:p>
            <w:pPr>
              <w:spacing w:after="0"/>
              <w:rPr>
                <w:sz w:val="20"/>
                <w:szCs w:val="20"/>
                <w:color w:val="auto"/>
              </w:rPr>
            </w:pPr>
            <w:r>
              <w:rPr>
                <w:rFonts w:ascii="Calibri" w:cs="Calibri" w:eastAsia="Calibri" w:hAnsi="Calibri"/>
                <w:sz w:val="13"/>
                <w:szCs w:val="13"/>
                <w:color w:val="auto"/>
              </w:rPr>
              <w:t>Bonds and subordinated debt</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right="587"/>
              <w:spacing w:after="0"/>
              <w:rPr>
                <w:sz w:val="20"/>
                <w:szCs w:val="20"/>
                <w:color w:val="auto"/>
              </w:rPr>
            </w:pPr>
            <w:r>
              <w:rPr>
                <w:rFonts w:ascii="Calibri" w:cs="Calibri" w:eastAsia="Calibri" w:hAnsi="Calibri"/>
                <w:sz w:val="13"/>
                <w:szCs w:val="13"/>
                <w:color w:val="auto"/>
                <w:w w:val="98"/>
              </w:rPr>
              <w:t>161,916</w:t>
            </w:r>
          </w:p>
        </w:tc>
        <w:tc>
          <w:tcPr>
            <w:tcW w:w="120" w:type="dxa"/>
            <w:vAlign w:val="bottom"/>
          </w:tcPr>
          <w:p>
            <w:pPr>
              <w:spacing w:after="0"/>
              <w:rPr>
                <w:sz w:val="14"/>
                <w:szCs w:val="14"/>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w w:val="98"/>
              </w:rPr>
              <w:t>162,042</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186"/>
              <w:spacing w:after="0"/>
              <w:rPr>
                <w:sz w:val="20"/>
                <w:szCs w:val="20"/>
                <w:color w:val="auto"/>
              </w:rPr>
            </w:pPr>
            <w:r>
              <w:rPr>
                <w:rFonts w:ascii="Calibri" w:cs="Calibri" w:eastAsia="Calibri" w:hAnsi="Calibri"/>
                <w:sz w:val="13"/>
                <w:szCs w:val="13"/>
                <w:color w:val="auto"/>
                <w:w w:val="98"/>
              </w:rPr>
              <w:t>157,253</w:t>
            </w:r>
          </w:p>
        </w:tc>
        <w:tc>
          <w:tcPr>
            <w:tcW w:w="120" w:type="dxa"/>
            <w:vAlign w:val="bottom"/>
            <w:tcBorders>
              <w:right w:val="single" w:sz="8" w:color="auto"/>
            </w:tcBorders>
          </w:tcPr>
          <w:p>
            <w:pPr>
              <w:spacing w:after="0"/>
              <w:rPr>
                <w:sz w:val="14"/>
                <w:szCs w:val="14"/>
                <w:color w:val="auto"/>
              </w:rPr>
            </w:pPr>
          </w:p>
        </w:tc>
        <w:tc>
          <w:tcPr>
            <w:tcW w:w="90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auto"/>
                <w:w w:val="99"/>
              </w:rPr>
              <w:t>-</w:t>
            </w:r>
            <w:r>
              <w:rPr>
                <w:rFonts w:ascii="Calibri" w:cs="Calibri" w:eastAsia="Calibri" w:hAnsi="Calibri"/>
                <w:sz w:val="13"/>
                <w:szCs w:val="13"/>
                <w:color w:val="auto"/>
                <w:w w:val="99"/>
              </w:rPr>
              <w:t>3.0%</w:t>
            </w:r>
          </w:p>
        </w:tc>
        <w:tc>
          <w:tcPr>
            <w:tcW w:w="114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color w:val="auto"/>
                <w:w w:val="99"/>
              </w:rPr>
              <w:t>-</w:t>
            </w:r>
            <w:r>
              <w:rPr>
                <w:rFonts w:ascii="Calibri" w:cs="Calibri" w:eastAsia="Calibri" w:hAnsi="Calibri"/>
                <w:sz w:val="13"/>
                <w:szCs w:val="13"/>
                <w:color w:val="auto"/>
                <w:w w:val="99"/>
              </w:rPr>
              <w:t>2.9%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Borders>
              <w:right w:val="single" w:sz="8" w:color="auto"/>
            </w:tcBorders>
          </w:tcPr>
          <w:p>
            <w:pPr>
              <w:spacing w:after="0"/>
              <w:rPr>
                <w:sz w:val="14"/>
                <w:szCs w:val="14"/>
                <w:color w:val="auto"/>
              </w:rPr>
            </w:pPr>
          </w:p>
        </w:tc>
        <w:tc>
          <w:tcPr>
            <w:tcW w:w="2560" w:type="dxa"/>
            <w:vAlign w:val="bottom"/>
          </w:tcPr>
          <w:p>
            <w:pPr>
              <w:spacing w:after="0"/>
              <w:rPr>
                <w:sz w:val="20"/>
                <w:szCs w:val="20"/>
                <w:color w:val="auto"/>
              </w:rPr>
            </w:pPr>
            <w:r>
              <w:rPr>
                <w:rFonts w:ascii="Calibri" w:cs="Calibri" w:eastAsia="Calibri" w:hAnsi="Calibri"/>
                <w:sz w:val="13"/>
                <w:szCs w:val="13"/>
                <w:color w:val="auto"/>
              </w:rPr>
              <w:t>Other liabilites</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right="587"/>
              <w:spacing w:after="0"/>
              <w:rPr>
                <w:sz w:val="20"/>
                <w:szCs w:val="20"/>
                <w:color w:val="auto"/>
              </w:rPr>
            </w:pPr>
            <w:r>
              <w:rPr>
                <w:rFonts w:ascii="Calibri" w:cs="Calibri" w:eastAsia="Calibri" w:hAnsi="Calibri"/>
                <w:sz w:val="13"/>
                <w:szCs w:val="13"/>
                <w:color w:val="auto"/>
                <w:w w:val="98"/>
              </w:rPr>
              <w:t>889,949</w:t>
            </w:r>
          </w:p>
        </w:tc>
        <w:tc>
          <w:tcPr>
            <w:tcW w:w="120" w:type="dxa"/>
            <w:vAlign w:val="bottom"/>
          </w:tcPr>
          <w:p>
            <w:pPr>
              <w:spacing w:after="0"/>
              <w:rPr>
                <w:sz w:val="14"/>
                <w:szCs w:val="14"/>
                <w:color w:val="auto"/>
              </w:rPr>
            </w:pPr>
          </w:p>
        </w:tc>
        <w:tc>
          <w:tcPr>
            <w:tcW w:w="600" w:type="dxa"/>
            <w:vAlign w:val="bottom"/>
          </w:tcPr>
          <w:p>
            <w:pPr>
              <w:jc w:val="center"/>
              <w:ind w:right="1"/>
              <w:spacing w:after="0"/>
              <w:rPr>
                <w:sz w:val="20"/>
                <w:szCs w:val="20"/>
                <w:color w:val="auto"/>
              </w:rPr>
            </w:pPr>
            <w:r>
              <w:rPr>
                <w:rFonts w:ascii="Calibri" w:cs="Calibri" w:eastAsia="Calibri" w:hAnsi="Calibri"/>
                <w:sz w:val="13"/>
                <w:szCs w:val="13"/>
                <w:color w:val="auto"/>
                <w:w w:val="98"/>
              </w:rPr>
              <w:t>651,779</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center"/>
              <w:ind w:right="186"/>
              <w:spacing w:after="0"/>
              <w:rPr>
                <w:sz w:val="20"/>
                <w:szCs w:val="20"/>
                <w:color w:val="auto"/>
              </w:rPr>
            </w:pPr>
            <w:r>
              <w:rPr>
                <w:rFonts w:ascii="Calibri" w:cs="Calibri" w:eastAsia="Calibri" w:hAnsi="Calibri"/>
                <w:sz w:val="13"/>
                <w:szCs w:val="13"/>
                <w:color w:val="auto"/>
                <w:w w:val="98"/>
              </w:rPr>
              <w:t>665,519</w:t>
            </w: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color w:val="auto"/>
              </w:rPr>
              <w:t>2.1%</w:t>
            </w:r>
          </w:p>
        </w:tc>
        <w:tc>
          <w:tcPr>
            <w:tcW w:w="1140" w:type="dxa"/>
            <w:vAlign w:val="bottom"/>
            <w:tcBorders>
              <w:right w:val="single" w:sz="8" w:color="auto"/>
            </w:tcBorders>
          </w:tcPr>
          <w:p>
            <w:pPr>
              <w:jc w:val="center"/>
              <w:ind w:left="39"/>
              <w:spacing w:after="0"/>
              <w:rPr>
                <w:sz w:val="20"/>
                <w:szCs w:val="20"/>
                <w:color w:val="auto"/>
              </w:rPr>
            </w:pPr>
            <w:r>
              <w:rPr>
                <w:rFonts w:ascii="Calibri" w:cs="Calibri" w:eastAsia="Calibri" w:hAnsi="Calibri"/>
                <w:sz w:val="13"/>
                <w:szCs w:val="13"/>
                <w:color w:val="auto"/>
                <w:w w:val="98"/>
              </w:rPr>
              <w:t>-25.2%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3260" w:type="dxa"/>
            <w:vAlign w:val="bottom"/>
            <w:gridSpan w:val="2"/>
          </w:tcPr>
          <w:p>
            <w:pPr>
              <w:ind w:left="1980"/>
              <w:spacing w:after="0"/>
              <w:rPr>
                <w:sz w:val="20"/>
                <w:szCs w:val="20"/>
                <w:color w:val="auto"/>
              </w:rPr>
            </w:pPr>
            <w:r>
              <w:rPr>
                <w:rFonts w:ascii="Calibri" w:cs="Calibri" w:eastAsia="Calibri" w:hAnsi="Calibri"/>
                <w:sz w:val="13"/>
                <w:szCs w:val="13"/>
                <w:b w:val="1"/>
                <w:bCs w:val="1"/>
                <w:color w:val="auto"/>
              </w:rPr>
              <w:t>Total liabilites</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520" w:type="dxa"/>
            <w:vAlign w:val="bottom"/>
            <w:gridSpan w:val="3"/>
          </w:tcPr>
          <w:p>
            <w:pPr>
              <w:jc w:val="center"/>
              <w:ind w:right="187"/>
              <w:spacing w:after="0"/>
              <w:rPr>
                <w:sz w:val="20"/>
                <w:szCs w:val="20"/>
                <w:color w:val="auto"/>
              </w:rPr>
            </w:pPr>
            <w:r>
              <w:rPr>
                <w:rFonts w:ascii="Calibri" w:cs="Calibri" w:eastAsia="Calibri" w:hAnsi="Calibri"/>
                <w:sz w:val="13"/>
                <w:szCs w:val="13"/>
                <w:b w:val="1"/>
                <w:bCs w:val="1"/>
                <w:color w:val="auto"/>
              </w:rPr>
              <w:t>12,612,304</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12,520,404</w:t>
            </w:r>
          </w:p>
        </w:tc>
        <w:tc>
          <w:tcPr>
            <w:tcW w:w="260" w:type="dxa"/>
            <w:vAlign w:val="bottom"/>
          </w:tcPr>
          <w:p>
            <w:pPr>
              <w:spacing w:after="0"/>
              <w:rPr>
                <w:sz w:val="14"/>
                <w:szCs w:val="14"/>
                <w:color w:val="auto"/>
              </w:rPr>
            </w:pPr>
          </w:p>
        </w:tc>
        <w:tc>
          <w:tcPr>
            <w:tcW w:w="1200" w:type="dxa"/>
            <w:vAlign w:val="bottom"/>
            <w:gridSpan w:val="3"/>
          </w:tcPr>
          <w:p>
            <w:pPr>
              <w:jc w:val="center"/>
              <w:ind w:left="104"/>
              <w:spacing w:after="0"/>
              <w:rPr>
                <w:sz w:val="20"/>
                <w:szCs w:val="20"/>
                <w:color w:val="auto"/>
              </w:rPr>
            </w:pPr>
            <w:r>
              <w:rPr>
                <w:rFonts w:ascii="Calibri" w:cs="Calibri" w:eastAsia="Calibri" w:hAnsi="Calibri"/>
                <w:sz w:val="13"/>
                <w:szCs w:val="13"/>
                <w:b w:val="1"/>
                <w:bCs w:val="1"/>
                <w:color w:val="auto"/>
              </w:rPr>
              <w:t>12,968,583</w:t>
            </w: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Calibri" w:cs="Calibri" w:eastAsia="Calibri" w:hAnsi="Calibri"/>
                <w:sz w:val="13"/>
                <w:szCs w:val="13"/>
                <w:b w:val="1"/>
                <w:bCs w:val="1"/>
                <w:color w:val="auto"/>
              </w:rPr>
              <w:t>3.6%</w:t>
            </w:r>
          </w:p>
        </w:tc>
        <w:tc>
          <w:tcPr>
            <w:tcW w:w="1140" w:type="dxa"/>
            <w:vAlign w:val="bottom"/>
            <w:tcBorders>
              <w:right w:val="single" w:sz="8" w:color="auto"/>
            </w:tcBorders>
          </w:tcPr>
          <w:p>
            <w:pPr>
              <w:jc w:val="center"/>
              <w:ind w:left="19"/>
              <w:spacing w:after="0"/>
              <w:rPr>
                <w:sz w:val="20"/>
                <w:szCs w:val="20"/>
                <w:color w:val="auto"/>
              </w:rPr>
            </w:pPr>
            <w:r>
              <w:rPr>
                <w:rFonts w:ascii="Calibri" w:cs="Calibri" w:eastAsia="Calibri" w:hAnsi="Calibri"/>
                <w:sz w:val="13"/>
                <w:szCs w:val="13"/>
                <w:b w:val="1"/>
                <w:bCs w:val="1"/>
                <w:color w:val="auto"/>
                <w:w w:val="99"/>
              </w:rPr>
              <w:t>2.8%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320" w:type="dxa"/>
            <w:vAlign w:val="bottom"/>
            <w:tcBorders>
              <w:right w:val="single" w:sz="8" w:color="auto"/>
            </w:tcBorders>
          </w:tcPr>
          <w:p>
            <w:pPr>
              <w:spacing w:after="0"/>
              <w:rPr>
                <w:sz w:val="24"/>
                <w:szCs w:val="24"/>
                <w:color w:val="auto"/>
              </w:rPr>
            </w:pPr>
          </w:p>
        </w:tc>
        <w:tc>
          <w:tcPr>
            <w:tcW w:w="2560" w:type="dxa"/>
            <w:vAlign w:val="bottom"/>
          </w:tcPr>
          <w:p>
            <w:pPr>
              <w:spacing w:after="0"/>
              <w:rPr>
                <w:sz w:val="20"/>
                <w:szCs w:val="20"/>
                <w:color w:val="auto"/>
              </w:rPr>
            </w:pPr>
            <w:r>
              <w:rPr>
                <w:rFonts w:ascii="Calibri" w:cs="Calibri" w:eastAsia="Calibri" w:hAnsi="Calibri"/>
                <w:sz w:val="13"/>
                <w:szCs w:val="13"/>
                <w:b w:val="1"/>
                <w:bCs w:val="1"/>
                <w:color w:val="auto"/>
              </w:rPr>
              <w:t>Net equity</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vMerge w:val="restart"/>
          </w:tcPr>
          <w:p>
            <w:pPr>
              <w:jc w:val="center"/>
              <w:ind w:right="587"/>
              <w:spacing w:after="0"/>
              <w:rPr>
                <w:sz w:val="20"/>
                <w:szCs w:val="20"/>
                <w:color w:val="auto"/>
              </w:rPr>
            </w:pPr>
            <w:r>
              <w:rPr>
                <w:rFonts w:ascii="Calibri" w:cs="Calibri" w:eastAsia="Calibri" w:hAnsi="Calibri"/>
                <w:sz w:val="13"/>
                <w:szCs w:val="13"/>
                <w:b w:val="1"/>
                <w:bCs w:val="1"/>
                <w:color w:val="auto"/>
                <w:w w:val="97"/>
              </w:rPr>
              <w:t>888,573</w:t>
            </w:r>
          </w:p>
        </w:tc>
        <w:tc>
          <w:tcPr>
            <w:tcW w:w="120" w:type="dxa"/>
            <w:vAlign w:val="bottom"/>
          </w:tcPr>
          <w:p>
            <w:pPr>
              <w:spacing w:after="0"/>
              <w:rPr>
                <w:sz w:val="24"/>
                <w:szCs w:val="24"/>
                <w:color w:val="auto"/>
              </w:rPr>
            </w:pPr>
          </w:p>
        </w:tc>
        <w:tc>
          <w:tcPr>
            <w:tcW w:w="600" w:type="dxa"/>
            <w:vAlign w:val="bottom"/>
            <w:vMerge w:val="restart"/>
          </w:tcPr>
          <w:p>
            <w:pPr>
              <w:jc w:val="center"/>
              <w:ind w:right="1"/>
              <w:spacing w:after="0"/>
              <w:rPr>
                <w:sz w:val="20"/>
                <w:szCs w:val="20"/>
                <w:color w:val="auto"/>
              </w:rPr>
            </w:pPr>
            <w:r>
              <w:rPr>
                <w:rFonts w:ascii="Calibri" w:cs="Calibri" w:eastAsia="Calibri" w:hAnsi="Calibri"/>
                <w:sz w:val="13"/>
                <w:szCs w:val="13"/>
                <w:b w:val="1"/>
                <w:bCs w:val="1"/>
                <w:color w:val="auto"/>
                <w:w w:val="97"/>
              </w:rPr>
              <w:t>968,862</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gridSpan w:val="2"/>
            <w:vMerge w:val="restart"/>
          </w:tcPr>
          <w:p>
            <w:pPr>
              <w:jc w:val="center"/>
              <w:ind w:right="206"/>
              <w:spacing w:after="0"/>
              <w:rPr>
                <w:sz w:val="20"/>
                <w:szCs w:val="20"/>
                <w:color w:val="auto"/>
              </w:rPr>
            </w:pPr>
            <w:r>
              <w:rPr>
                <w:rFonts w:ascii="Calibri" w:cs="Calibri" w:eastAsia="Calibri" w:hAnsi="Calibri"/>
                <w:sz w:val="13"/>
                <w:szCs w:val="13"/>
                <w:b w:val="1"/>
                <w:bCs w:val="1"/>
                <w:color w:val="auto"/>
                <w:w w:val="98"/>
              </w:rPr>
              <w:t>1,006,150</w:t>
            </w:r>
          </w:p>
        </w:tc>
        <w:tc>
          <w:tcPr>
            <w:tcW w:w="120" w:type="dxa"/>
            <w:vAlign w:val="bottom"/>
            <w:tcBorders>
              <w:right w:val="single" w:sz="8" w:color="auto"/>
            </w:tcBorders>
          </w:tcPr>
          <w:p>
            <w:pPr>
              <w:spacing w:after="0"/>
              <w:rPr>
                <w:sz w:val="24"/>
                <w:szCs w:val="24"/>
                <w:color w:val="auto"/>
              </w:rPr>
            </w:pPr>
          </w:p>
        </w:tc>
        <w:tc>
          <w:tcPr>
            <w:tcW w:w="900" w:type="dxa"/>
            <w:vAlign w:val="bottom"/>
            <w:vMerge w:val="restart"/>
          </w:tcPr>
          <w:p>
            <w:pPr>
              <w:jc w:val="right"/>
              <w:ind w:right="215"/>
              <w:spacing w:after="0"/>
              <w:rPr>
                <w:sz w:val="20"/>
                <w:szCs w:val="20"/>
                <w:color w:val="auto"/>
              </w:rPr>
            </w:pPr>
            <w:r>
              <w:rPr>
                <w:rFonts w:ascii="Calibri" w:cs="Calibri" w:eastAsia="Calibri" w:hAnsi="Calibri"/>
                <w:sz w:val="13"/>
                <w:szCs w:val="13"/>
                <w:b w:val="1"/>
                <w:bCs w:val="1"/>
                <w:color w:val="auto"/>
              </w:rPr>
              <w:t>3.8%</w:t>
            </w:r>
          </w:p>
        </w:tc>
        <w:tc>
          <w:tcPr>
            <w:tcW w:w="1140" w:type="dxa"/>
            <w:vAlign w:val="bottom"/>
            <w:tcBorders>
              <w:right w:val="single" w:sz="8" w:color="auto"/>
            </w:tcBorders>
            <w:vMerge w:val="restart"/>
          </w:tcPr>
          <w:p>
            <w:pPr>
              <w:jc w:val="center"/>
              <w:ind w:left="19"/>
              <w:spacing w:after="0"/>
              <w:rPr>
                <w:sz w:val="20"/>
                <w:szCs w:val="20"/>
                <w:color w:val="auto"/>
              </w:rPr>
            </w:pPr>
            <w:r>
              <w:rPr>
                <w:rFonts w:ascii="Calibri" w:cs="Calibri" w:eastAsia="Calibri" w:hAnsi="Calibri"/>
                <w:sz w:val="13"/>
                <w:szCs w:val="13"/>
                <w:b w:val="1"/>
                <w:bCs w:val="1"/>
                <w:color w:val="auto"/>
              </w:rPr>
              <w:t>13.2%</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20" w:type="dxa"/>
            <w:vAlign w:val="bottom"/>
            <w:tcBorders>
              <w:right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2560" w:type="dxa"/>
            <w:vAlign w:val="bottom"/>
          </w:tcPr>
          <w:p>
            <w:pPr>
              <w:spacing w:after="0"/>
              <w:rPr>
                <w:sz w:val="20"/>
                <w:szCs w:val="20"/>
                <w:color w:val="auto"/>
              </w:rPr>
            </w:pPr>
            <w:r>
              <w:rPr>
                <w:rFonts w:ascii="Calibri" w:cs="Calibri" w:eastAsia="Calibri" w:hAnsi="Calibri"/>
                <w:sz w:val="13"/>
                <w:szCs w:val="13"/>
                <w:b w:val="1"/>
                <w:bCs w:val="1"/>
                <w:color w:val="auto"/>
              </w:rPr>
              <w:t>TOTAL LIABILITIES AND NET EQUITY</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520" w:type="dxa"/>
            <w:vAlign w:val="bottom"/>
            <w:gridSpan w:val="3"/>
            <w:vMerge w:val="restart"/>
          </w:tcPr>
          <w:p>
            <w:pPr>
              <w:jc w:val="center"/>
              <w:ind w:right="187"/>
              <w:spacing w:after="0"/>
              <w:rPr>
                <w:sz w:val="20"/>
                <w:szCs w:val="20"/>
                <w:color w:val="auto"/>
              </w:rPr>
            </w:pPr>
            <w:r>
              <w:rPr>
                <w:rFonts w:ascii="Calibri" w:cs="Calibri" w:eastAsia="Calibri" w:hAnsi="Calibri"/>
                <w:sz w:val="13"/>
                <w:szCs w:val="13"/>
                <w:b w:val="1"/>
                <w:bCs w:val="1"/>
                <w:color w:val="auto"/>
              </w:rPr>
              <w:t>13,500,877</w:t>
            </w:r>
          </w:p>
        </w:tc>
        <w:tc>
          <w:tcPr>
            <w:tcW w:w="12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w w:val="97"/>
              </w:rPr>
              <w:t>13,489,266</w:t>
            </w:r>
          </w:p>
        </w:tc>
        <w:tc>
          <w:tcPr>
            <w:tcW w:w="260" w:type="dxa"/>
            <w:vAlign w:val="bottom"/>
          </w:tcPr>
          <w:p>
            <w:pPr>
              <w:spacing w:after="0"/>
              <w:rPr>
                <w:sz w:val="14"/>
                <w:szCs w:val="14"/>
                <w:color w:val="auto"/>
              </w:rPr>
            </w:pPr>
          </w:p>
        </w:tc>
        <w:tc>
          <w:tcPr>
            <w:tcW w:w="1200" w:type="dxa"/>
            <w:vAlign w:val="bottom"/>
            <w:gridSpan w:val="3"/>
            <w:vMerge w:val="restart"/>
          </w:tcPr>
          <w:p>
            <w:pPr>
              <w:jc w:val="center"/>
              <w:ind w:left="104"/>
              <w:spacing w:after="0"/>
              <w:rPr>
                <w:sz w:val="20"/>
                <w:szCs w:val="20"/>
                <w:color w:val="auto"/>
              </w:rPr>
            </w:pPr>
            <w:r>
              <w:rPr>
                <w:rFonts w:ascii="Calibri" w:cs="Calibri" w:eastAsia="Calibri" w:hAnsi="Calibri"/>
                <w:sz w:val="13"/>
                <w:szCs w:val="13"/>
                <w:b w:val="1"/>
                <w:bCs w:val="1"/>
                <w:color w:val="auto"/>
              </w:rPr>
              <w:t>13,974,733</w:t>
            </w:r>
          </w:p>
        </w:tc>
        <w:tc>
          <w:tcPr>
            <w:tcW w:w="120" w:type="dxa"/>
            <w:vAlign w:val="bottom"/>
            <w:tcBorders>
              <w:right w:val="single" w:sz="8" w:color="auto"/>
            </w:tcBorders>
          </w:tcPr>
          <w:p>
            <w:pPr>
              <w:spacing w:after="0"/>
              <w:rPr>
                <w:sz w:val="14"/>
                <w:szCs w:val="14"/>
                <w:color w:val="auto"/>
              </w:rPr>
            </w:pPr>
          </w:p>
        </w:tc>
        <w:tc>
          <w:tcPr>
            <w:tcW w:w="900" w:type="dxa"/>
            <w:vAlign w:val="bottom"/>
            <w:vMerge w:val="restart"/>
          </w:tcPr>
          <w:p>
            <w:pPr>
              <w:jc w:val="right"/>
              <w:ind w:right="215"/>
              <w:spacing w:after="0"/>
              <w:rPr>
                <w:sz w:val="20"/>
                <w:szCs w:val="20"/>
                <w:color w:val="auto"/>
              </w:rPr>
            </w:pPr>
            <w:r>
              <w:rPr>
                <w:rFonts w:ascii="Calibri" w:cs="Calibri" w:eastAsia="Calibri" w:hAnsi="Calibri"/>
                <w:sz w:val="13"/>
                <w:szCs w:val="13"/>
                <w:b w:val="1"/>
                <w:bCs w:val="1"/>
                <w:color w:val="auto"/>
              </w:rPr>
              <w:t>3.6%</w:t>
            </w:r>
          </w:p>
        </w:tc>
        <w:tc>
          <w:tcPr>
            <w:tcW w:w="1140" w:type="dxa"/>
            <w:vAlign w:val="bottom"/>
            <w:tcBorders>
              <w:right w:val="single" w:sz="8" w:color="auto"/>
            </w:tcBorders>
            <w:vMerge w:val="restart"/>
          </w:tcPr>
          <w:p>
            <w:pPr>
              <w:jc w:val="center"/>
              <w:ind w:left="19"/>
              <w:spacing w:after="0"/>
              <w:rPr>
                <w:sz w:val="20"/>
                <w:szCs w:val="20"/>
                <w:color w:val="auto"/>
              </w:rPr>
            </w:pPr>
            <w:r>
              <w:rPr>
                <w:rFonts w:ascii="Calibri" w:cs="Calibri" w:eastAsia="Calibri" w:hAnsi="Calibri"/>
                <w:sz w:val="13"/>
                <w:szCs w:val="13"/>
                <w:b w:val="1"/>
                <w:bCs w:val="1"/>
                <w:color w:val="auto"/>
                <w:w w:val="99"/>
              </w:rPr>
              <w:t>3.5%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20" w:type="dxa"/>
            <w:vAlign w:val="bottom"/>
            <w:tcBorders>
              <w:right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gridSpan w:val="5"/>
          </w:tcPr>
          <w:p>
            <w:pPr>
              <w:jc w:val="center"/>
              <w:ind w:right="100"/>
              <w:spacing w:after="0"/>
              <w:rPr>
                <w:sz w:val="20"/>
                <w:szCs w:val="20"/>
                <w:color w:val="auto"/>
              </w:rPr>
            </w:pPr>
            <w:r>
              <w:rPr>
                <w:rFonts w:ascii="Calibri" w:cs="Calibri" w:eastAsia="Calibri" w:hAnsi="Calibri"/>
                <w:sz w:val="16"/>
                <w:szCs w:val="16"/>
                <w:b w:val="1"/>
                <w:bCs w:val="1"/>
                <w:color w:val="auto"/>
                <w:w w:val="97"/>
              </w:rPr>
              <w:t>Statement of Income</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80" w:type="dxa"/>
            <w:vAlign w:val="bottom"/>
            <w:gridSpan w:val="5"/>
          </w:tcPr>
          <w:p>
            <w:pPr>
              <w:jc w:val="center"/>
              <w:ind w:right="100"/>
              <w:spacing w:after="0"/>
              <w:rPr>
                <w:sz w:val="20"/>
                <w:szCs w:val="20"/>
                <w:color w:val="auto"/>
              </w:rPr>
            </w:pPr>
            <w:r>
              <w:rPr>
                <w:rFonts w:ascii="Calibri" w:cs="Calibri" w:eastAsia="Calibri" w:hAnsi="Calibri"/>
                <w:sz w:val="16"/>
                <w:szCs w:val="16"/>
                <w:b w:val="1"/>
                <w:bCs w:val="1"/>
                <w:color w:val="auto"/>
                <w:w w:val="97"/>
              </w:rPr>
              <w:t>(S/ Thousands, IFRS)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320" w:type="dxa"/>
            <w:vAlign w:val="bottom"/>
            <w:tcBorders>
              <w:right w:val="single" w:sz="8" w:color="auto"/>
            </w:tcBorders>
          </w:tcPr>
          <w:p>
            <w:pPr>
              <w:spacing w:after="0"/>
              <w:rPr>
                <w:sz w:val="11"/>
                <w:szCs w:val="11"/>
                <w:color w:val="auto"/>
              </w:rPr>
            </w:pPr>
          </w:p>
        </w:tc>
        <w:tc>
          <w:tcPr>
            <w:tcW w:w="2560" w:type="dxa"/>
            <w:vAlign w:val="bottom"/>
            <w:tcBorders>
              <w:top w:val="single" w:sz="8" w:color="auto"/>
            </w:tcBorders>
            <w:shd w:val="clear" w:color="auto" w:fill="2AD2C8"/>
          </w:tcPr>
          <w:p>
            <w:pPr>
              <w:spacing w:after="0"/>
              <w:rPr>
                <w:sz w:val="11"/>
                <w:szCs w:val="11"/>
                <w:color w:val="auto"/>
              </w:rPr>
            </w:pPr>
          </w:p>
        </w:tc>
        <w:tc>
          <w:tcPr>
            <w:tcW w:w="700" w:type="dxa"/>
            <w:vAlign w:val="bottom"/>
            <w:tcBorders>
              <w:top w:val="single" w:sz="8" w:color="auto"/>
              <w:right w:val="single" w:sz="8" w:color="auto"/>
            </w:tcBorders>
            <w:shd w:val="clear" w:color="auto" w:fill="2AD2C8"/>
          </w:tcPr>
          <w:p>
            <w:pPr>
              <w:spacing w:after="0"/>
              <w:rPr>
                <w:sz w:val="11"/>
                <w:szCs w:val="11"/>
                <w:color w:val="auto"/>
              </w:rPr>
            </w:pPr>
          </w:p>
        </w:tc>
        <w:tc>
          <w:tcPr>
            <w:tcW w:w="360" w:type="dxa"/>
            <w:vAlign w:val="bottom"/>
            <w:tcBorders>
              <w:top w:val="single" w:sz="8" w:color="auto"/>
              <w:right w:val="single" w:sz="8" w:color="2AD2C8"/>
            </w:tcBorders>
            <w:shd w:val="clear" w:color="auto" w:fill="2AD2C8"/>
          </w:tcPr>
          <w:p>
            <w:pPr>
              <w:spacing w:after="0"/>
              <w:rPr>
                <w:sz w:val="11"/>
                <w:szCs w:val="11"/>
                <w:color w:val="auto"/>
              </w:rPr>
            </w:pPr>
          </w:p>
        </w:tc>
        <w:tc>
          <w:tcPr>
            <w:tcW w:w="640" w:type="dxa"/>
            <w:vAlign w:val="bottom"/>
            <w:tcBorders>
              <w:top w:val="single" w:sz="8" w:color="auto"/>
            </w:tcBorders>
            <w:shd w:val="clear" w:color="auto" w:fill="2AD2C8"/>
          </w:tcPr>
          <w:p>
            <w:pPr>
              <w:spacing w:after="0"/>
              <w:rPr>
                <w:sz w:val="11"/>
                <w:szCs w:val="11"/>
                <w:color w:val="auto"/>
              </w:rPr>
            </w:pPr>
          </w:p>
        </w:tc>
        <w:tc>
          <w:tcPr>
            <w:tcW w:w="920" w:type="dxa"/>
            <w:vAlign w:val="bottom"/>
            <w:tcBorders>
              <w:top w:val="single" w:sz="8" w:color="auto"/>
            </w:tcBorders>
            <w:gridSpan w:val="2"/>
            <w:shd w:val="clear" w:color="auto" w:fill="2AD2C8"/>
          </w:tcPr>
          <w:p>
            <w:pPr>
              <w:ind w:left="320"/>
              <w:spacing w:after="0"/>
              <w:rPr>
                <w:sz w:val="20"/>
                <w:szCs w:val="20"/>
                <w:color w:val="auto"/>
              </w:rPr>
            </w:pPr>
            <w:r>
              <w:rPr>
                <w:rFonts w:ascii="Arial" w:cs="Arial" w:eastAsia="Arial" w:hAnsi="Arial"/>
                <w:sz w:val="10"/>
                <w:szCs w:val="10"/>
                <w:b w:val="1"/>
                <w:bCs w:val="1"/>
                <w:color w:val="FFFFFF"/>
              </w:rPr>
              <w:t>Quarter</w:t>
            </w:r>
          </w:p>
        </w:tc>
        <w:tc>
          <w:tcPr>
            <w:tcW w:w="340" w:type="dxa"/>
            <w:vAlign w:val="bottom"/>
            <w:tcBorders>
              <w:top w:val="single" w:sz="8" w:color="auto"/>
              <w:right w:val="single" w:sz="8" w:color="2AD2C8"/>
            </w:tcBorders>
            <w:shd w:val="clear" w:color="auto" w:fill="2AD2C8"/>
          </w:tcPr>
          <w:p>
            <w:pPr>
              <w:spacing w:after="0"/>
              <w:rPr>
                <w:sz w:val="11"/>
                <w:szCs w:val="11"/>
                <w:color w:val="auto"/>
              </w:rPr>
            </w:pPr>
          </w:p>
        </w:tc>
        <w:tc>
          <w:tcPr>
            <w:tcW w:w="800" w:type="dxa"/>
            <w:vAlign w:val="bottom"/>
            <w:tcBorders>
              <w:top w:val="single" w:sz="8" w:color="auto"/>
              <w:right w:val="single" w:sz="8" w:color="auto"/>
            </w:tcBorders>
            <w:shd w:val="clear" w:color="auto" w:fill="2AD2C8"/>
          </w:tcPr>
          <w:p>
            <w:pPr>
              <w:spacing w:after="0"/>
              <w:rPr>
                <w:sz w:val="11"/>
                <w:szCs w:val="11"/>
                <w:color w:val="auto"/>
              </w:rPr>
            </w:pPr>
          </w:p>
        </w:tc>
        <w:tc>
          <w:tcPr>
            <w:tcW w:w="120" w:type="dxa"/>
            <w:vAlign w:val="bottom"/>
            <w:tcBorders>
              <w:top w:val="single" w:sz="8" w:color="auto"/>
              <w:right w:val="single" w:sz="8" w:color="2AD2C8"/>
            </w:tcBorders>
            <w:shd w:val="clear" w:color="auto" w:fill="2AD2C8"/>
          </w:tcPr>
          <w:p>
            <w:pPr>
              <w:spacing w:after="0"/>
              <w:rPr>
                <w:sz w:val="11"/>
                <w:szCs w:val="11"/>
                <w:color w:val="auto"/>
              </w:rPr>
            </w:pPr>
          </w:p>
        </w:tc>
        <w:tc>
          <w:tcPr>
            <w:tcW w:w="860" w:type="dxa"/>
            <w:vAlign w:val="bottom"/>
            <w:tcBorders>
              <w:top w:val="single" w:sz="8" w:color="auto"/>
            </w:tcBorders>
            <w:gridSpan w:val="2"/>
            <w:shd w:val="clear" w:color="auto" w:fill="2AD2C8"/>
          </w:tcPr>
          <w:p>
            <w:pPr>
              <w:ind w:left="440"/>
              <w:spacing w:after="0"/>
              <w:rPr>
                <w:sz w:val="20"/>
                <w:szCs w:val="20"/>
                <w:color w:val="auto"/>
              </w:rPr>
            </w:pPr>
            <w:r>
              <w:rPr>
                <w:rFonts w:ascii="Calibri" w:cs="Calibri" w:eastAsia="Calibri" w:hAnsi="Calibri"/>
                <w:sz w:val="10"/>
                <w:szCs w:val="10"/>
                <w:b w:val="1"/>
                <w:bCs w:val="1"/>
                <w:color w:val="FFFFFF"/>
              </w:rPr>
              <w:t>% change</w:t>
            </w:r>
          </w:p>
        </w:tc>
        <w:tc>
          <w:tcPr>
            <w:tcW w:w="420" w:type="dxa"/>
            <w:vAlign w:val="bottom"/>
            <w:tcBorders>
              <w:top w:val="single" w:sz="8" w:color="auto"/>
            </w:tcBorders>
            <w:shd w:val="clear" w:color="auto" w:fill="2AD2C8"/>
          </w:tcPr>
          <w:p>
            <w:pPr>
              <w:spacing w:after="0"/>
              <w:rPr>
                <w:sz w:val="11"/>
                <w:szCs w:val="11"/>
                <w:color w:val="auto"/>
              </w:rPr>
            </w:pPr>
          </w:p>
        </w:tc>
        <w:tc>
          <w:tcPr>
            <w:tcW w:w="160" w:type="dxa"/>
            <w:vAlign w:val="bottom"/>
            <w:tcBorders>
              <w:top w:val="single" w:sz="8" w:color="auto"/>
              <w:right w:val="single" w:sz="8" w:color="auto"/>
            </w:tcBorders>
            <w:shd w:val="clear" w:color="auto" w:fill="2AD2C8"/>
          </w:tcPr>
          <w:p>
            <w:pPr>
              <w:spacing w:after="0"/>
              <w:rPr>
                <w:sz w:val="11"/>
                <w:szCs w:val="11"/>
                <w:color w:val="auto"/>
              </w:rPr>
            </w:pPr>
          </w:p>
        </w:tc>
        <w:tc>
          <w:tcPr>
            <w:tcW w:w="620" w:type="dxa"/>
            <w:vAlign w:val="bottom"/>
            <w:tcBorders>
              <w:top w:val="single" w:sz="8" w:color="auto"/>
            </w:tcBorders>
            <w:shd w:val="clear" w:color="auto" w:fill="2AD2C8"/>
          </w:tcPr>
          <w:p>
            <w:pPr>
              <w:spacing w:after="0"/>
              <w:rPr>
                <w:sz w:val="11"/>
                <w:szCs w:val="11"/>
                <w:color w:val="auto"/>
              </w:rPr>
            </w:pPr>
          </w:p>
        </w:tc>
        <w:tc>
          <w:tcPr>
            <w:tcW w:w="1020" w:type="dxa"/>
            <w:vAlign w:val="bottom"/>
            <w:tcBorders>
              <w:top w:val="single" w:sz="8" w:color="auto"/>
              <w:right w:val="single" w:sz="8" w:color="auto"/>
            </w:tcBorders>
            <w:gridSpan w:val="2"/>
            <w:shd w:val="clear" w:color="auto" w:fill="2AD2C8"/>
          </w:tcPr>
          <w:p>
            <w:pPr>
              <w:jc w:val="right"/>
              <w:ind w:right="695"/>
              <w:spacing w:after="0"/>
              <w:rPr>
                <w:sz w:val="20"/>
                <w:szCs w:val="20"/>
                <w:color w:val="auto"/>
              </w:rPr>
            </w:pPr>
            <w:r>
              <w:rPr>
                <w:rFonts w:ascii="Calibri" w:cs="Calibri" w:eastAsia="Calibri" w:hAnsi="Calibri"/>
                <w:sz w:val="10"/>
                <w:szCs w:val="10"/>
                <w:b w:val="1"/>
                <w:bCs w:val="1"/>
                <w:color w:val="FFFFFF"/>
              </w:rPr>
              <w:t>Up to</w:t>
            </w:r>
          </w:p>
        </w:tc>
        <w:tc>
          <w:tcPr>
            <w:tcW w:w="1140" w:type="dxa"/>
            <w:vAlign w:val="bottom"/>
            <w:tcBorders>
              <w:top w:val="single" w:sz="8" w:color="auto"/>
              <w:right w:val="single" w:sz="8" w:color="auto"/>
            </w:tcBorders>
            <w:shd w:val="clear" w:color="auto" w:fill="2AD2C8"/>
          </w:tcPr>
          <w:p>
            <w:pPr>
              <w:jc w:val="center"/>
              <w:spacing w:after="0"/>
              <w:rPr>
                <w:sz w:val="20"/>
                <w:szCs w:val="20"/>
                <w:color w:val="auto"/>
              </w:rPr>
            </w:pPr>
            <w:r>
              <w:rPr>
                <w:rFonts w:ascii="Calibri" w:cs="Calibri" w:eastAsia="Calibri" w:hAnsi="Calibri"/>
                <w:sz w:val="10"/>
                <w:szCs w:val="10"/>
                <w:b w:val="1"/>
                <w:bCs w:val="1"/>
                <w:color w:val="FFFFFF"/>
              </w:rPr>
              <w:t>% 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20" w:type="dxa"/>
            <w:vAlign w:val="bottom"/>
            <w:tcBorders>
              <w:right w:val="single" w:sz="8" w:color="auto"/>
            </w:tcBorders>
          </w:tcPr>
          <w:p>
            <w:pPr>
              <w:spacing w:after="0"/>
              <w:rPr>
                <w:sz w:val="13"/>
                <w:szCs w:val="13"/>
                <w:color w:val="auto"/>
              </w:rPr>
            </w:pPr>
          </w:p>
        </w:tc>
        <w:tc>
          <w:tcPr>
            <w:tcW w:w="2560" w:type="dxa"/>
            <w:vAlign w:val="bottom"/>
            <w:shd w:val="clear" w:color="auto" w:fill="2AD2C8"/>
          </w:tcPr>
          <w:p>
            <w:pPr>
              <w:spacing w:after="0"/>
              <w:rPr>
                <w:sz w:val="13"/>
                <w:szCs w:val="13"/>
                <w:color w:val="auto"/>
              </w:rPr>
            </w:pPr>
          </w:p>
        </w:tc>
        <w:tc>
          <w:tcPr>
            <w:tcW w:w="700" w:type="dxa"/>
            <w:vAlign w:val="bottom"/>
            <w:tcBorders>
              <w:right w:val="single" w:sz="8" w:color="auto"/>
            </w:tcBorders>
            <w:shd w:val="clear" w:color="auto" w:fill="2AD2C8"/>
          </w:tcPr>
          <w:p>
            <w:pPr>
              <w:spacing w:after="0"/>
              <w:rPr>
                <w:sz w:val="13"/>
                <w:szCs w:val="13"/>
                <w:color w:val="auto"/>
              </w:rPr>
            </w:pPr>
          </w:p>
        </w:tc>
        <w:tc>
          <w:tcPr>
            <w:tcW w:w="360" w:type="dxa"/>
            <w:vAlign w:val="bottom"/>
            <w:tcBorders>
              <w:right w:val="single" w:sz="8" w:color="2AD2C8"/>
            </w:tcBorders>
            <w:shd w:val="clear" w:color="auto" w:fill="2AD2C8"/>
          </w:tcPr>
          <w:p>
            <w:pPr>
              <w:spacing w:after="0"/>
              <w:rPr>
                <w:sz w:val="13"/>
                <w:szCs w:val="13"/>
                <w:color w:val="auto"/>
              </w:rPr>
            </w:pPr>
          </w:p>
        </w:tc>
        <w:tc>
          <w:tcPr>
            <w:tcW w:w="640" w:type="dxa"/>
            <w:vAlign w:val="bottom"/>
            <w:shd w:val="clear" w:color="auto" w:fill="2AD2C8"/>
          </w:tcPr>
          <w:p>
            <w:pPr>
              <w:jc w:val="center"/>
              <w:ind w:right="307"/>
              <w:spacing w:after="0"/>
              <w:rPr>
                <w:sz w:val="20"/>
                <w:szCs w:val="20"/>
                <w:color w:val="auto"/>
              </w:rPr>
            </w:pPr>
            <w:r>
              <w:rPr>
                <w:rFonts w:ascii="Calibri" w:cs="Calibri" w:eastAsia="Calibri" w:hAnsi="Calibri"/>
                <w:sz w:val="10"/>
                <w:szCs w:val="10"/>
                <w:b w:val="1"/>
                <w:bCs w:val="1"/>
                <w:color w:val="FFFFFF"/>
              </w:rPr>
              <w:t>4Q23</w:t>
            </w:r>
          </w:p>
        </w:tc>
        <w:tc>
          <w:tcPr>
            <w:tcW w:w="920" w:type="dxa"/>
            <w:vAlign w:val="bottom"/>
            <w:gridSpan w:val="2"/>
            <w:vMerge w:val="restart"/>
            <w:shd w:val="clear" w:color="auto" w:fill="2AD2C8"/>
          </w:tcPr>
          <w:p>
            <w:pPr>
              <w:jc w:val="center"/>
              <w:ind w:left="62"/>
              <w:spacing w:after="0"/>
              <w:rPr>
                <w:sz w:val="20"/>
                <w:szCs w:val="20"/>
                <w:color w:val="auto"/>
              </w:rPr>
            </w:pPr>
            <w:r>
              <w:rPr>
                <w:rFonts w:ascii="Calibri" w:cs="Calibri" w:eastAsia="Calibri" w:hAnsi="Calibri"/>
                <w:sz w:val="10"/>
                <w:szCs w:val="10"/>
                <w:b w:val="1"/>
                <w:bCs w:val="1"/>
                <w:color w:val="FFFFFF"/>
              </w:rPr>
              <w:t>3Q24</w:t>
            </w:r>
          </w:p>
        </w:tc>
        <w:tc>
          <w:tcPr>
            <w:tcW w:w="340" w:type="dxa"/>
            <w:vAlign w:val="bottom"/>
            <w:tcBorders>
              <w:right w:val="single" w:sz="8" w:color="2AD2C8"/>
            </w:tcBorders>
            <w:shd w:val="clear" w:color="auto" w:fill="2AD2C8"/>
          </w:tcPr>
          <w:p>
            <w:pPr>
              <w:spacing w:after="0"/>
              <w:rPr>
                <w:sz w:val="13"/>
                <w:szCs w:val="13"/>
                <w:color w:val="auto"/>
              </w:rPr>
            </w:pPr>
          </w:p>
        </w:tc>
        <w:tc>
          <w:tcPr>
            <w:tcW w:w="800" w:type="dxa"/>
            <w:vAlign w:val="bottom"/>
            <w:tcBorders>
              <w:right w:val="single" w:sz="8" w:color="auto"/>
            </w:tcBorders>
            <w:shd w:val="clear" w:color="auto" w:fill="2AD2C8"/>
          </w:tcPr>
          <w:p>
            <w:pPr>
              <w:jc w:val="center"/>
              <w:ind w:right="187"/>
              <w:spacing w:after="0"/>
              <w:rPr>
                <w:sz w:val="20"/>
                <w:szCs w:val="20"/>
                <w:color w:val="auto"/>
              </w:rPr>
            </w:pPr>
            <w:r>
              <w:rPr>
                <w:rFonts w:ascii="Calibri" w:cs="Calibri" w:eastAsia="Calibri" w:hAnsi="Calibri"/>
                <w:sz w:val="10"/>
                <w:szCs w:val="10"/>
                <w:b w:val="1"/>
                <w:bCs w:val="1"/>
                <w:color w:val="FFFFFF"/>
              </w:rPr>
              <w:t>4Q24</w:t>
            </w:r>
          </w:p>
        </w:tc>
        <w:tc>
          <w:tcPr>
            <w:tcW w:w="120" w:type="dxa"/>
            <w:vAlign w:val="bottom"/>
            <w:tcBorders>
              <w:right w:val="single" w:sz="8" w:color="2AD2C8"/>
            </w:tcBorders>
            <w:shd w:val="clear" w:color="auto" w:fill="2AD2C8"/>
          </w:tcPr>
          <w:p>
            <w:pPr>
              <w:spacing w:after="0"/>
              <w:rPr>
                <w:sz w:val="13"/>
                <w:szCs w:val="13"/>
                <w:color w:val="auto"/>
              </w:rPr>
            </w:pPr>
          </w:p>
        </w:tc>
        <w:tc>
          <w:tcPr>
            <w:tcW w:w="600" w:type="dxa"/>
            <w:vAlign w:val="bottom"/>
            <w:vMerge w:val="restart"/>
            <w:shd w:val="clear" w:color="auto" w:fill="2AD2C8"/>
          </w:tcPr>
          <w:p>
            <w:pPr>
              <w:ind w:left="140"/>
              <w:spacing w:after="0"/>
              <w:rPr>
                <w:sz w:val="20"/>
                <w:szCs w:val="20"/>
                <w:color w:val="auto"/>
              </w:rPr>
            </w:pPr>
            <w:r>
              <w:rPr>
                <w:rFonts w:ascii="Calibri" w:cs="Calibri" w:eastAsia="Calibri" w:hAnsi="Calibri"/>
                <w:sz w:val="10"/>
                <w:szCs w:val="10"/>
                <w:b w:val="1"/>
                <w:bCs w:val="1"/>
                <w:color w:val="FFFFFF"/>
              </w:rPr>
              <w:t>QoQ</w:t>
            </w:r>
          </w:p>
        </w:tc>
        <w:tc>
          <w:tcPr>
            <w:tcW w:w="260" w:type="dxa"/>
            <w:vAlign w:val="bottom"/>
            <w:shd w:val="clear" w:color="auto" w:fill="2AD2C8"/>
          </w:tcPr>
          <w:p>
            <w:pPr>
              <w:jc w:val="center"/>
              <w:ind w:right="8"/>
              <w:spacing w:after="0"/>
              <w:rPr>
                <w:sz w:val="20"/>
                <w:szCs w:val="20"/>
                <w:color w:val="auto"/>
              </w:rPr>
            </w:pPr>
            <w:r>
              <w:rPr>
                <w:rFonts w:ascii="Calibri" w:cs="Calibri" w:eastAsia="Calibri" w:hAnsi="Calibri"/>
                <w:sz w:val="10"/>
                <w:szCs w:val="10"/>
                <w:b w:val="1"/>
                <w:bCs w:val="1"/>
                <w:color w:val="FFFFFF"/>
              </w:rPr>
              <w:t>YoY</w:t>
            </w:r>
          </w:p>
        </w:tc>
        <w:tc>
          <w:tcPr>
            <w:tcW w:w="420" w:type="dxa"/>
            <w:vAlign w:val="bottom"/>
            <w:shd w:val="clear" w:color="auto" w:fill="2AD2C8"/>
          </w:tcPr>
          <w:p>
            <w:pPr>
              <w:spacing w:after="0"/>
              <w:rPr>
                <w:sz w:val="13"/>
                <w:szCs w:val="13"/>
                <w:color w:val="auto"/>
              </w:rPr>
            </w:pPr>
          </w:p>
        </w:tc>
        <w:tc>
          <w:tcPr>
            <w:tcW w:w="160" w:type="dxa"/>
            <w:vAlign w:val="bottom"/>
            <w:tcBorders>
              <w:right w:val="single" w:sz="8" w:color="auto"/>
            </w:tcBorders>
            <w:shd w:val="clear" w:color="auto" w:fill="2AD2C8"/>
          </w:tcPr>
          <w:p>
            <w:pPr>
              <w:spacing w:after="0"/>
              <w:rPr>
                <w:sz w:val="13"/>
                <w:szCs w:val="13"/>
                <w:color w:val="auto"/>
              </w:rPr>
            </w:pPr>
          </w:p>
        </w:tc>
        <w:tc>
          <w:tcPr>
            <w:tcW w:w="620" w:type="dxa"/>
            <w:vAlign w:val="bottom"/>
            <w:shd w:val="clear" w:color="auto" w:fill="2AD2C8"/>
          </w:tcPr>
          <w:p>
            <w:pPr>
              <w:jc w:val="center"/>
              <w:ind w:left="86"/>
              <w:spacing w:after="0"/>
              <w:rPr>
                <w:sz w:val="20"/>
                <w:szCs w:val="20"/>
                <w:color w:val="auto"/>
              </w:rPr>
            </w:pPr>
            <w:r>
              <w:rPr>
                <w:rFonts w:ascii="Calibri" w:cs="Calibri" w:eastAsia="Calibri" w:hAnsi="Calibri"/>
                <w:sz w:val="10"/>
                <w:szCs w:val="10"/>
                <w:b w:val="1"/>
                <w:bCs w:val="1"/>
                <w:color w:val="FFFFFF"/>
              </w:rPr>
              <w:t>Dec 23</w:t>
            </w:r>
          </w:p>
        </w:tc>
        <w:tc>
          <w:tcPr>
            <w:tcW w:w="120" w:type="dxa"/>
            <w:vAlign w:val="bottom"/>
            <w:tcBorders>
              <w:right w:val="single" w:sz="8" w:color="2AD2C8"/>
            </w:tcBorders>
            <w:shd w:val="clear" w:color="auto" w:fill="2AD2C8"/>
          </w:tcPr>
          <w:p>
            <w:pPr>
              <w:spacing w:after="0"/>
              <w:rPr>
                <w:sz w:val="13"/>
                <w:szCs w:val="13"/>
                <w:color w:val="auto"/>
              </w:rPr>
            </w:pPr>
          </w:p>
        </w:tc>
        <w:tc>
          <w:tcPr>
            <w:tcW w:w="900" w:type="dxa"/>
            <w:vAlign w:val="bottom"/>
            <w:tcBorders>
              <w:right w:val="single" w:sz="8" w:color="auto"/>
            </w:tcBorders>
            <w:vMerge w:val="restart"/>
            <w:shd w:val="clear" w:color="auto" w:fill="2AD2C8"/>
          </w:tcPr>
          <w:p>
            <w:pPr>
              <w:jc w:val="right"/>
              <w:ind w:right="315"/>
              <w:spacing w:after="0"/>
              <w:rPr>
                <w:sz w:val="20"/>
                <w:szCs w:val="20"/>
                <w:color w:val="auto"/>
              </w:rPr>
            </w:pPr>
            <w:r>
              <w:rPr>
                <w:rFonts w:ascii="Calibri" w:cs="Calibri" w:eastAsia="Calibri" w:hAnsi="Calibri"/>
                <w:sz w:val="10"/>
                <w:szCs w:val="10"/>
                <w:b w:val="1"/>
                <w:bCs w:val="1"/>
                <w:color w:val="FFFFFF"/>
              </w:rPr>
              <w:t>Dec 24</w:t>
            </w:r>
          </w:p>
        </w:tc>
        <w:tc>
          <w:tcPr>
            <w:tcW w:w="1140" w:type="dxa"/>
            <w:vAlign w:val="bottom"/>
            <w:tcBorders>
              <w:right w:val="single" w:sz="8" w:color="auto"/>
            </w:tcBorders>
            <w:vMerge w:val="restart"/>
            <w:shd w:val="clear" w:color="auto" w:fill="2AD2C8"/>
          </w:tcPr>
          <w:p>
            <w:pPr>
              <w:jc w:val="center"/>
              <w:spacing w:after="0"/>
              <w:rPr>
                <w:sz w:val="20"/>
                <w:szCs w:val="20"/>
                <w:color w:val="auto"/>
              </w:rPr>
            </w:pPr>
            <w:r>
              <w:rPr>
                <w:rFonts w:ascii="Calibri" w:cs="Calibri" w:eastAsia="Calibri" w:hAnsi="Calibri"/>
                <w:sz w:val="10"/>
                <w:szCs w:val="10"/>
                <w:b w:val="1"/>
                <w:bCs w:val="1"/>
                <w:color w:val="FFFFFF"/>
              </w:rPr>
              <w:t>Dec 24 /Dec 23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20" w:type="dxa"/>
            <w:vAlign w:val="bottom"/>
            <w:tcBorders>
              <w:right w:val="single" w:sz="8" w:color="auto"/>
            </w:tcBorders>
          </w:tcPr>
          <w:p>
            <w:pPr>
              <w:spacing w:after="0"/>
              <w:rPr>
                <w:sz w:val="5"/>
                <w:szCs w:val="5"/>
                <w:color w:val="auto"/>
              </w:rPr>
            </w:pPr>
          </w:p>
        </w:tc>
        <w:tc>
          <w:tcPr>
            <w:tcW w:w="2560" w:type="dxa"/>
            <w:vAlign w:val="bottom"/>
            <w:tcBorders>
              <w:bottom w:val="single" w:sz="8" w:color="2AD2C8"/>
            </w:tcBorders>
            <w:shd w:val="clear" w:color="auto" w:fill="2AD2C8"/>
          </w:tcPr>
          <w:p>
            <w:pPr>
              <w:spacing w:after="0"/>
              <w:rPr>
                <w:sz w:val="5"/>
                <w:szCs w:val="5"/>
                <w:color w:val="auto"/>
              </w:rPr>
            </w:pPr>
          </w:p>
        </w:tc>
        <w:tc>
          <w:tcPr>
            <w:tcW w:w="700" w:type="dxa"/>
            <w:vAlign w:val="bottom"/>
            <w:tcBorders>
              <w:bottom w:val="single" w:sz="8" w:color="2AD2C8"/>
              <w:right w:val="single" w:sz="8" w:color="auto"/>
            </w:tcBorders>
            <w:shd w:val="clear" w:color="auto" w:fill="2AD2C8"/>
          </w:tcPr>
          <w:p>
            <w:pPr>
              <w:spacing w:after="0"/>
              <w:rPr>
                <w:sz w:val="5"/>
                <w:szCs w:val="5"/>
                <w:color w:val="auto"/>
              </w:rPr>
            </w:pPr>
          </w:p>
        </w:tc>
        <w:tc>
          <w:tcPr>
            <w:tcW w:w="360" w:type="dxa"/>
            <w:vAlign w:val="bottom"/>
            <w:tcBorders>
              <w:bottom w:val="single" w:sz="8" w:color="2AD2C8"/>
              <w:right w:val="single" w:sz="8" w:color="2AD2C8"/>
            </w:tcBorders>
            <w:shd w:val="clear" w:color="auto" w:fill="2AD2C8"/>
          </w:tcPr>
          <w:p>
            <w:pPr>
              <w:spacing w:after="0"/>
              <w:rPr>
                <w:sz w:val="5"/>
                <w:szCs w:val="5"/>
                <w:color w:val="auto"/>
              </w:rPr>
            </w:pPr>
          </w:p>
        </w:tc>
        <w:tc>
          <w:tcPr>
            <w:tcW w:w="640" w:type="dxa"/>
            <w:vAlign w:val="bottom"/>
            <w:tcBorders>
              <w:bottom w:val="single" w:sz="8" w:color="2AD2C8"/>
            </w:tcBorders>
            <w:shd w:val="clear" w:color="auto" w:fill="2AD2C8"/>
          </w:tcPr>
          <w:p>
            <w:pPr>
              <w:spacing w:after="0"/>
              <w:rPr>
                <w:sz w:val="5"/>
                <w:szCs w:val="5"/>
                <w:color w:val="auto"/>
              </w:rPr>
            </w:pPr>
          </w:p>
        </w:tc>
        <w:tc>
          <w:tcPr>
            <w:tcW w:w="920" w:type="dxa"/>
            <w:vAlign w:val="bottom"/>
            <w:tcBorders>
              <w:bottom w:val="single" w:sz="8" w:color="2AD2C8"/>
            </w:tcBorders>
            <w:gridSpan w:val="2"/>
            <w:vMerge w:val="continue"/>
            <w:shd w:val="clear" w:color="auto" w:fill="2AD2C8"/>
          </w:tcPr>
          <w:p>
            <w:pPr>
              <w:spacing w:after="0"/>
              <w:rPr>
                <w:sz w:val="5"/>
                <w:szCs w:val="5"/>
                <w:color w:val="auto"/>
              </w:rPr>
            </w:pPr>
          </w:p>
        </w:tc>
        <w:tc>
          <w:tcPr>
            <w:tcW w:w="340" w:type="dxa"/>
            <w:vAlign w:val="bottom"/>
            <w:tcBorders>
              <w:bottom w:val="single" w:sz="8" w:color="2AD2C8"/>
              <w:right w:val="single" w:sz="8" w:color="2AD2C8"/>
            </w:tcBorders>
            <w:shd w:val="clear" w:color="auto" w:fill="2AD2C8"/>
          </w:tcPr>
          <w:p>
            <w:pPr>
              <w:spacing w:after="0"/>
              <w:rPr>
                <w:sz w:val="5"/>
                <w:szCs w:val="5"/>
                <w:color w:val="auto"/>
              </w:rPr>
            </w:pPr>
          </w:p>
        </w:tc>
        <w:tc>
          <w:tcPr>
            <w:tcW w:w="800" w:type="dxa"/>
            <w:vAlign w:val="bottom"/>
            <w:tcBorders>
              <w:bottom w:val="single" w:sz="8" w:color="2AD2C8"/>
              <w:right w:val="single" w:sz="8" w:color="auto"/>
            </w:tcBorders>
            <w:shd w:val="clear" w:color="auto" w:fill="2AD2C8"/>
          </w:tcPr>
          <w:p>
            <w:pPr>
              <w:spacing w:after="0"/>
              <w:rPr>
                <w:sz w:val="5"/>
                <w:szCs w:val="5"/>
                <w:color w:val="auto"/>
              </w:rPr>
            </w:pPr>
          </w:p>
        </w:tc>
        <w:tc>
          <w:tcPr>
            <w:tcW w:w="120" w:type="dxa"/>
            <w:vAlign w:val="bottom"/>
            <w:tcBorders>
              <w:bottom w:val="single" w:sz="8" w:color="2AD2C8"/>
              <w:right w:val="single" w:sz="8" w:color="2AD2C8"/>
            </w:tcBorders>
            <w:shd w:val="clear" w:color="auto" w:fill="2AD2C8"/>
          </w:tcPr>
          <w:p>
            <w:pPr>
              <w:spacing w:after="0"/>
              <w:rPr>
                <w:sz w:val="5"/>
                <w:szCs w:val="5"/>
                <w:color w:val="auto"/>
              </w:rPr>
            </w:pPr>
          </w:p>
        </w:tc>
        <w:tc>
          <w:tcPr>
            <w:tcW w:w="600" w:type="dxa"/>
            <w:vAlign w:val="bottom"/>
            <w:tcBorders>
              <w:bottom w:val="single" w:sz="8" w:color="2AD2C8"/>
            </w:tcBorders>
            <w:vMerge w:val="continue"/>
            <w:shd w:val="clear" w:color="auto" w:fill="2AD2C8"/>
          </w:tcPr>
          <w:p>
            <w:pPr>
              <w:spacing w:after="0"/>
              <w:rPr>
                <w:sz w:val="5"/>
                <w:szCs w:val="5"/>
                <w:color w:val="auto"/>
              </w:rPr>
            </w:pPr>
          </w:p>
        </w:tc>
        <w:tc>
          <w:tcPr>
            <w:tcW w:w="260" w:type="dxa"/>
            <w:vAlign w:val="bottom"/>
            <w:tcBorders>
              <w:bottom w:val="single" w:sz="8" w:color="2AD2C8"/>
            </w:tcBorders>
            <w:shd w:val="clear" w:color="auto" w:fill="2AD2C8"/>
          </w:tcPr>
          <w:p>
            <w:pPr>
              <w:spacing w:after="0"/>
              <w:rPr>
                <w:sz w:val="5"/>
                <w:szCs w:val="5"/>
                <w:color w:val="auto"/>
              </w:rPr>
            </w:pPr>
          </w:p>
        </w:tc>
        <w:tc>
          <w:tcPr>
            <w:tcW w:w="420" w:type="dxa"/>
            <w:vAlign w:val="bottom"/>
            <w:tcBorders>
              <w:bottom w:val="single" w:sz="8" w:color="2AD2C8"/>
            </w:tcBorders>
            <w:shd w:val="clear" w:color="auto" w:fill="2AD2C8"/>
          </w:tcPr>
          <w:p>
            <w:pPr>
              <w:spacing w:after="0"/>
              <w:rPr>
                <w:sz w:val="5"/>
                <w:szCs w:val="5"/>
                <w:color w:val="auto"/>
              </w:rPr>
            </w:pPr>
          </w:p>
        </w:tc>
        <w:tc>
          <w:tcPr>
            <w:tcW w:w="160" w:type="dxa"/>
            <w:vAlign w:val="bottom"/>
            <w:tcBorders>
              <w:bottom w:val="single" w:sz="8" w:color="2AD2C8"/>
              <w:right w:val="single" w:sz="8" w:color="auto"/>
            </w:tcBorders>
            <w:shd w:val="clear" w:color="auto" w:fill="2AD2C8"/>
          </w:tcPr>
          <w:p>
            <w:pPr>
              <w:spacing w:after="0"/>
              <w:rPr>
                <w:sz w:val="5"/>
                <w:szCs w:val="5"/>
                <w:color w:val="auto"/>
              </w:rPr>
            </w:pPr>
          </w:p>
        </w:tc>
        <w:tc>
          <w:tcPr>
            <w:tcW w:w="620" w:type="dxa"/>
            <w:vAlign w:val="bottom"/>
            <w:tcBorders>
              <w:bottom w:val="single" w:sz="8" w:color="2AD2C8"/>
            </w:tcBorders>
            <w:shd w:val="clear" w:color="auto" w:fill="2AD2C8"/>
          </w:tcPr>
          <w:p>
            <w:pPr>
              <w:spacing w:after="0"/>
              <w:rPr>
                <w:sz w:val="5"/>
                <w:szCs w:val="5"/>
                <w:color w:val="auto"/>
              </w:rPr>
            </w:pPr>
          </w:p>
        </w:tc>
        <w:tc>
          <w:tcPr>
            <w:tcW w:w="120" w:type="dxa"/>
            <w:vAlign w:val="bottom"/>
            <w:tcBorders>
              <w:bottom w:val="single" w:sz="8" w:color="2AD2C8"/>
              <w:right w:val="single" w:sz="8" w:color="2AD2C8"/>
            </w:tcBorders>
            <w:shd w:val="clear" w:color="auto" w:fill="2AD2C8"/>
          </w:tcPr>
          <w:p>
            <w:pPr>
              <w:spacing w:after="0"/>
              <w:rPr>
                <w:sz w:val="5"/>
                <w:szCs w:val="5"/>
                <w:color w:val="auto"/>
              </w:rPr>
            </w:pPr>
          </w:p>
        </w:tc>
        <w:tc>
          <w:tcPr>
            <w:tcW w:w="900" w:type="dxa"/>
            <w:vAlign w:val="bottom"/>
            <w:tcBorders>
              <w:bottom w:val="single" w:sz="8" w:color="2AD2C8"/>
              <w:right w:val="single" w:sz="8" w:color="auto"/>
            </w:tcBorders>
            <w:vMerge w:val="continue"/>
            <w:shd w:val="clear" w:color="auto" w:fill="2AD2C8"/>
          </w:tcPr>
          <w:p>
            <w:pPr>
              <w:spacing w:after="0"/>
              <w:rPr>
                <w:sz w:val="5"/>
                <w:szCs w:val="5"/>
                <w:color w:val="auto"/>
              </w:rPr>
            </w:pPr>
          </w:p>
        </w:tc>
        <w:tc>
          <w:tcPr>
            <w:tcW w:w="1140" w:type="dxa"/>
            <w:vAlign w:val="bottom"/>
            <w:tcBorders>
              <w:bottom w:val="single" w:sz="8" w:color="2AD2C8"/>
              <w:right w:val="single" w:sz="8" w:color="auto"/>
            </w:tcBorders>
            <w:vMerge w:val="continue"/>
            <w:shd w:val="clear" w:color="auto" w:fill="2AD2C8"/>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20" w:type="dxa"/>
            <w:vAlign w:val="bottom"/>
            <w:tcBorders>
              <w:right w:val="single" w:sz="8" w:color="auto"/>
            </w:tcBorders>
          </w:tcPr>
          <w:p>
            <w:pPr>
              <w:spacing w:after="0"/>
              <w:rPr>
                <w:sz w:val="10"/>
                <w:szCs w:val="10"/>
                <w:color w:val="auto"/>
              </w:rPr>
            </w:pPr>
          </w:p>
        </w:tc>
        <w:tc>
          <w:tcPr>
            <w:tcW w:w="2560" w:type="dxa"/>
            <w:vAlign w:val="bottom"/>
            <w:tcBorders>
              <w:top w:val="single" w:sz="8" w:color="auto"/>
            </w:tcBorders>
          </w:tcPr>
          <w:p>
            <w:pPr>
              <w:spacing w:after="0" w:line="122" w:lineRule="exact"/>
              <w:rPr>
                <w:sz w:val="20"/>
                <w:szCs w:val="20"/>
                <w:color w:val="auto"/>
              </w:rPr>
            </w:pPr>
            <w:r>
              <w:rPr>
                <w:rFonts w:ascii="Calibri" w:cs="Calibri" w:eastAsia="Calibri" w:hAnsi="Calibri"/>
                <w:sz w:val="11"/>
                <w:szCs w:val="11"/>
                <w:color w:val="auto"/>
              </w:rPr>
              <w:t>Interests income, net</w:t>
            </w:r>
          </w:p>
        </w:tc>
        <w:tc>
          <w:tcPr>
            <w:tcW w:w="700" w:type="dxa"/>
            <w:vAlign w:val="bottom"/>
            <w:tcBorders>
              <w:top w:val="single" w:sz="8" w:color="auto"/>
              <w:right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spacing w:after="0"/>
              <w:rPr>
                <w:sz w:val="20"/>
                <w:szCs w:val="20"/>
                <w:color w:val="auto"/>
              </w:rPr>
            </w:pPr>
            <w:r>
              <w:rPr>
                <w:rFonts w:ascii="Calibri" w:cs="Calibri" w:eastAsia="Calibri" w:hAnsi="Calibri"/>
                <w:sz w:val="10"/>
                <w:szCs w:val="10"/>
                <w:color w:val="auto"/>
              </w:rPr>
              <w:t>84,160</w:t>
            </w:r>
          </w:p>
        </w:tc>
        <w:tc>
          <w:tcPr>
            <w:tcW w:w="920" w:type="dxa"/>
            <w:vAlign w:val="bottom"/>
            <w:tcBorders>
              <w:top w:val="single" w:sz="8" w:color="auto"/>
            </w:tcBorders>
            <w:gridSpan w:val="2"/>
          </w:tcPr>
          <w:p>
            <w:pPr>
              <w:jc w:val="center"/>
              <w:ind w:left="42"/>
              <w:spacing w:after="0"/>
              <w:rPr>
                <w:sz w:val="20"/>
                <w:szCs w:val="20"/>
                <w:color w:val="auto"/>
              </w:rPr>
            </w:pPr>
            <w:r>
              <w:rPr>
                <w:rFonts w:ascii="Calibri" w:cs="Calibri" w:eastAsia="Calibri" w:hAnsi="Calibri"/>
                <w:sz w:val="10"/>
                <w:szCs w:val="10"/>
                <w:color w:val="auto"/>
              </w:rPr>
              <w:t>87,687</w:t>
            </w:r>
          </w:p>
        </w:tc>
        <w:tc>
          <w:tcPr>
            <w:tcW w:w="1140" w:type="dxa"/>
            <w:vAlign w:val="bottom"/>
            <w:tcBorders>
              <w:top w:val="single" w:sz="8" w:color="auto"/>
              <w:right w:val="single" w:sz="8" w:color="auto"/>
            </w:tcBorders>
            <w:gridSpan w:val="2"/>
          </w:tcPr>
          <w:p>
            <w:pPr>
              <w:jc w:val="center"/>
              <w:ind w:left="20"/>
              <w:spacing w:after="0"/>
              <w:rPr>
                <w:sz w:val="20"/>
                <w:szCs w:val="20"/>
                <w:color w:val="auto"/>
              </w:rPr>
            </w:pPr>
            <w:r>
              <w:rPr>
                <w:rFonts w:ascii="Calibri" w:cs="Calibri" w:eastAsia="Calibri" w:hAnsi="Calibri"/>
                <w:sz w:val="10"/>
                <w:szCs w:val="10"/>
                <w:color w:val="auto"/>
              </w:rPr>
              <w:t>87,812</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61"/>
              <w:spacing w:after="0"/>
              <w:rPr>
                <w:sz w:val="20"/>
                <w:szCs w:val="20"/>
                <w:color w:val="auto"/>
              </w:rPr>
            </w:pPr>
            <w:r>
              <w:rPr>
                <w:rFonts w:ascii="Calibri" w:cs="Calibri" w:eastAsia="Calibri" w:hAnsi="Calibri"/>
                <w:sz w:val="10"/>
                <w:szCs w:val="10"/>
                <w:color w:val="auto"/>
              </w:rPr>
              <w:t>0.1%</w:t>
            </w:r>
          </w:p>
        </w:tc>
        <w:tc>
          <w:tcPr>
            <w:tcW w:w="2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rPr>
                <w:sz w:val="20"/>
                <w:szCs w:val="20"/>
                <w:color w:val="auto"/>
              </w:rPr>
            </w:pPr>
            <w:r>
              <w:rPr>
                <w:rFonts w:ascii="Calibri" w:cs="Calibri" w:eastAsia="Calibri" w:hAnsi="Calibri"/>
                <w:sz w:val="10"/>
                <w:szCs w:val="10"/>
                <w:color w:val="auto"/>
              </w:rPr>
              <w:t>4.3%</w:t>
            </w:r>
          </w:p>
        </w:tc>
        <w:tc>
          <w:tcPr>
            <w:tcW w:w="160" w:type="dxa"/>
            <w:vAlign w:val="bottom"/>
            <w:tcBorders>
              <w:top w:val="single" w:sz="8" w:color="auto"/>
              <w:right w:val="single" w:sz="8" w:color="auto"/>
            </w:tcBorders>
          </w:tcPr>
          <w:p>
            <w:pPr>
              <w:spacing w:after="0"/>
              <w:rPr>
                <w:sz w:val="10"/>
                <w:szCs w:val="10"/>
                <w:color w:val="auto"/>
              </w:rPr>
            </w:pPr>
          </w:p>
        </w:tc>
        <w:tc>
          <w:tcPr>
            <w:tcW w:w="620" w:type="dxa"/>
            <w:vAlign w:val="bottom"/>
            <w:tcBorders>
              <w:top w:val="single" w:sz="8" w:color="auto"/>
            </w:tcBorders>
          </w:tcPr>
          <w:p>
            <w:pPr>
              <w:jc w:val="center"/>
              <w:ind w:left="66"/>
              <w:spacing w:after="0"/>
              <w:rPr>
                <w:sz w:val="20"/>
                <w:szCs w:val="20"/>
                <w:color w:val="auto"/>
              </w:rPr>
            </w:pPr>
            <w:r>
              <w:rPr>
                <w:rFonts w:ascii="Calibri" w:cs="Calibri" w:eastAsia="Calibri" w:hAnsi="Calibri"/>
                <w:sz w:val="10"/>
                <w:szCs w:val="10"/>
                <w:color w:val="auto"/>
              </w:rPr>
              <w:t>332,337</w:t>
            </w:r>
          </w:p>
        </w:tc>
        <w:tc>
          <w:tcPr>
            <w:tcW w:w="1020" w:type="dxa"/>
            <w:vAlign w:val="bottom"/>
            <w:tcBorders>
              <w:top w:val="single" w:sz="8" w:color="auto"/>
              <w:right w:val="single" w:sz="8" w:color="auto"/>
            </w:tcBorders>
            <w:gridSpan w:val="2"/>
          </w:tcPr>
          <w:p>
            <w:pPr>
              <w:jc w:val="center"/>
              <w:ind w:left="266"/>
              <w:spacing w:after="0"/>
              <w:rPr>
                <w:sz w:val="20"/>
                <w:szCs w:val="20"/>
                <w:color w:val="auto"/>
              </w:rPr>
            </w:pPr>
            <w:r>
              <w:rPr>
                <w:rFonts w:ascii="Calibri" w:cs="Calibri" w:eastAsia="Calibri" w:hAnsi="Calibri"/>
                <w:sz w:val="10"/>
                <w:szCs w:val="10"/>
                <w:color w:val="auto"/>
              </w:rPr>
              <w:t>353,396</w:t>
            </w:r>
          </w:p>
        </w:tc>
        <w:tc>
          <w:tcPr>
            <w:tcW w:w="11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6.3%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3260" w:type="dxa"/>
            <w:vAlign w:val="bottom"/>
            <w:tcBorders>
              <w:right w:val="single" w:sz="8" w:color="auto"/>
            </w:tcBorders>
            <w:gridSpan w:val="2"/>
          </w:tcPr>
          <w:p>
            <w:pPr>
              <w:spacing w:after="0" w:line="131" w:lineRule="exact"/>
              <w:rPr>
                <w:sz w:val="20"/>
                <w:szCs w:val="20"/>
                <w:color w:val="auto"/>
              </w:rPr>
            </w:pPr>
            <w:r>
              <w:rPr>
                <w:rFonts w:ascii="Calibri" w:cs="Calibri" w:eastAsia="Calibri" w:hAnsi="Calibri"/>
                <w:sz w:val="11"/>
                <w:szCs w:val="11"/>
                <w:color w:val="auto"/>
              </w:rPr>
              <w:t>Provisions for doubtul accounts receivable, net of recoveries</w:t>
            </w:r>
          </w:p>
        </w:tc>
        <w:tc>
          <w:tcPr>
            <w:tcW w:w="1000" w:type="dxa"/>
            <w:vAlign w:val="bottom"/>
            <w:gridSpan w:val="2"/>
          </w:tcPr>
          <w:p>
            <w:pPr>
              <w:jc w:val="center"/>
              <w:spacing w:after="0"/>
              <w:rPr>
                <w:sz w:val="20"/>
                <w:szCs w:val="20"/>
                <w:color w:val="auto"/>
              </w:rPr>
            </w:pPr>
            <w:r>
              <w:rPr>
                <w:rFonts w:ascii="Calibri" w:cs="Calibri" w:eastAsia="Calibri" w:hAnsi="Calibri"/>
                <w:sz w:val="10"/>
                <w:szCs w:val="10"/>
                <w:color w:val="auto"/>
              </w:rPr>
              <w:t>(27,530)</w:t>
            </w:r>
          </w:p>
        </w:tc>
        <w:tc>
          <w:tcPr>
            <w:tcW w:w="920" w:type="dxa"/>
            <w:vAlign w:val="bottom"/>
            <w:gridSpan w:val="2"/>
          </w:tcPr>
          <w:p>
            <w:pPr>
              <w:jc w:val="center"/>
              <w:ind w:left="62"/>
              <w:spacing w:after="0"/>
              <w:rPr>
                <w:sz w:val="20"/>
                <w:szCs w:val="20"/>
                <w:color w:val="auto"/>
              </w:rPr>
            </w:pPr>
            <w:r>
              <w:rPr>
                <w:rFonts w:ascii="Calibri" w:cs="Calibri" w:eastAsia="Calibri" w:hAnsi="Calibri"/>
                <w:sz w:val="10"/>
                <w:szCs w:val="10"/>
                <w:color w:val="auto"/>
              </w:rPr>
              <w:t>(10,542)</w:t>
            </w:r>
          </w:p>
        </w:tc>
        <w:tc>
          <w:tcPr>
            <w:tcW w:w="1140" w:type="dxa"/>
            <w:vAlign w:val="bottom"/>
            <w:tcBorders>
              <w:right w:val="single" w:sz="8" w:color="auto"/>
            </w:tcBorders>
            <w:gridSpan w:val="2"/>
          </w:tcPr>
          <w:p>
            <w:pPr>
              <w:jc w:val="center"/>
              <w:ind w:left="40"/>
              <w:spacing w:after="0"/>
              <w:rPr>
                <w:sz w:val="20"/>
                <w:szCs w:val="20"/>
                <w:color w:val="auto"/>
              </w:rPr>
            </w:pPr>
            <w:r>
              <w:rPr>
                <w:rFonts w:ascii="Calibri" w:cs="Calibri" w:eastAsia="Calibri" w:hAnsi="Calibri"/>
                <w:sz w:val="10"/>
                <w:szCs w:val="10"/>
                <w:color w:val="auto"/>
              </w:rPr>
              <w:t>(25,027)</w:t>
            </w:r>
          </w:p>
        </w:tc>
        <w:tc>
          <w:tcPr>
            <w:tcW w:w="120" w:type="dxa"/>
            <w:vAlign w:val="bottom"/>
          </w:tcPr>
          <w:p>
            <w:pPr>
              <w:spacing w:after="0"/>
              <w:rPr>
                <w:sz w:val="11"/>
                <w:szCs w:val="11"/>
                <w:color w:val="auto"/>
              </w:rPr>
            </w:pPr>
          </w:p>
        </w:tc>
        <w:tc>
          <w:tcPr>
            <w:tcW w:w="600" w:type="dxa"/>
            <w:vAlign w:val="bottom"/>
          </w:tcPr>
          <w:p>
            <w:pPr>
              <w:jc w:val="center"/>
              <w:ind w:right="61"/>
              <w:spacing w:after="0"/>
              <w:rPr>
                <w:sz w:val="20"/>
                <w:szCs w:val="20"/>
                <w:color w:val="auto"/>
              </w:rPr>
            </w:pPr>
            <w:r>
              <w:rPr>
                <w:rFonts w:ascii="Calibri" w:cs="Calibri" w:eastAsia="Calibri" w:hAnsi="Calibri"/>
                <w:sz w:val="10"/>
                <w:szCs w:val="10"/>
                <w:color w:val="auto"/>
              </w:rPr>
              <w:t>137.4%</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9.1%</w:t>
            </w:r>
          </w:p>
        </w:tc>
        <w:tc>
          <w:tcPr>
            <w:tcW w:w="160" w:type="dxa"/>
            <w:vAlign w:val="bottom"/>
            <w:tcBorders>
              <w:right w:val="single" w:sz="8" w:color="auto"/>
            </w:tcBorders>
          </w:tcPr>
          <w:p>
            <w:pPr>
              <w:spacing w:after="0"/>
              <w:rPr>
                <w:sz w:val="11"/>
                <w:szCs w:val="11"/>
                <w:color w:val="auto"/>
              </w:rPr>
            </w:pPr>
          </w:p>
        </w:tc>
        <w:tc>
          <w:tcPr>
            <w:tcW w:w="620" w:type="dxa"/>
            <w:vAlign w:val="bottom"/>
          </w:tcPr>
          <w:p>
            <w:pPr>
              <w:jc w:val="center"/>
              <w:ind w:left="86"/>
              <w:spacing w:after="0"/>
              <w:rPr>
                <w:sz w:val="20"/>
                <w:szCs w:val="20"/>
                <w:color w:val="auto"/>
              </w:rPr>
            </w:pPr>
            <w:r>
              <w:rPr>
                <w:rFonts w:ascii="Calibri" w:cs="Calibri" w:eastAsia="Calibri" w:hAnsi="Calibri"/>
                <w:sz w:val="10"/>
                <w:szCs w:val="10"/>
                <w:color w:val="auto"/>
              </w:rPr>
              <w:t>(38,040)</w:t>
            </w:r>
          </w:p>
        </w:tc>
        <w:tc>
          <w:tcPr>
            <w:tcW w:w="1020" w:type="dxa"/>
            <w:vAlign w:val="bottom"/>
            <w:tcBorders>
              <w:right w:val="single" w:sz="8" w:color="auto"/>
            </w:tcBorders>
            <w:gridSpan w:val="2"/>
          </w:tcPr>
          <w:p>
            <w:pPr>
              <w:jc w:val="center"/>
              <w:ind w:left="286"/>
              <w:spacing w:after="0"/>
              <w:rPr>
                <w:sz w:val="20"/>
                <w:szCs w:val="20"/>
                <w:color w:val="auto"/>
              </w:rPr>
            </w:pPr>
            <w:r>
              <w:rPr>
                <w:rFonts w:ascii="Calibri" w:cs="Calibri" w:eastAsia="Calibri" w:hAnsi="Calibri"/>
                <w:sz w:val="10"/>
                <w:szCs w:val="10"/>
                <w:color w:val="auto"/>
              </w:rPr>
              <w:t>(73,688)</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93.7%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line="131" w:lineRule="exact"/>
              <w:rPr>
                <w:sz w:val="20"/>
                <w:szCs w:val="20"/>
                <w:color w:val="auto"/>
              </w:rPr>
            </w:pPr>
            <w:r>
              <w:rPr>
                <w:rFonts w:ascii="Calibri" w:cs="Calibri" w:eastAsia="Calibri" w:hAnsi="Calibri"/>
                <w:sz w:val="11"/>
                <w:szCs w:val="11"/>
                <w:b w:val="1"/>
                <w:bCs w:val="1"/>
                <w:color w:val="auto"/>
              </w:rPr>
              <w:t>Net interest income afer provisions</w:t>
            </w:r>
          </w:p>
        </w:tc>
        <w:tc>
          <w:tcPr>
            <w:tcW w:w="700" w:type="dxa"/>
            <w:vAlign w:val="bottom"/>
            <w:tcBorders>
              <w:right w:val="single" w:sz="8" w:color="auto"/>
            </w:tcBorders>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0"/>
                <w:szCs w:val="10"/>
                <w:b w:val="1"/>
                <w:bCs w:val="1"/>
                <w:color w:val="auto"/>
              </w:rPr>
              <w:t>56,630</w:t>
            </w:r>
          </w:p>
        </w:tc>
        <w:tc>
          <w:tcPr>
            <w:tcW w:w="920" w:type="dxa"/>
            <w:vAlign w:val="bottom"/>
            <w:gridSpan w:val="2"/>
          </w:tcPr>
          <w:p>
            <w:pPr>
              <w:jc w:val="center"/>
              <w:ind w:left="42"/>
              <w:spacing w:after="0"/>
              <w:rPr>
                <w:sz w:val="20"/>
                <w:szCs w:val="20"/>
                <w:color w:val="auto"/>
              </w:rPr>
            </w:pPr>
            <w:r>
              <w:rPr>
                <w:rFonts w:ascii="Calibri" w:cs="Calibri" w:eastAsia="Calibri" w:hAnsi="Calibri"/>
                <w:sz w:val="10"/>
                <w:szCs w:val="10"/>
                <w:b w:val="1"/>
                <w:bCs w:val="1"/>
                <w:color w:val="auto"/>
              </w:rPr>
              <w:t>77,145</w:t>
            </w:r>
          </w:p>
        </w:tc>
        <w:tc>
          <w:tcPr>
            <w:tcW w:w="1140" w:type="dxa"/>
            <w:vAlign w:val="bottom"/>
            <w:tcBorders>
              <w:right w:val="single" w:sz="8" w:color="auto"/>
            </w:tcBorders>
            <w:gridSpan w:val="2"/>
          </w:tcPr>
          <w:p>
            <w:pPr>
              <w:jc w:val="center"/>
              <w:ind w:left="20"/>
              <w:spacing w:after="0"/>
              <w:rPr>
                <w:sz w:val="20"/>
                <w:szCs w:val="20"/>
                <w:color w:val="auto"/>
              </w:rPr>
            </w:pPr>
            <w:r>
              <w:rPr>
                <w:rFonts w:ascii="Calibri" w:cs="Calibri" w:eastAsia="Calibri" w:hAnsi="Calibri"/>
                <w:sz w:val="10"/>
                <w:szCs w:val="10"/>
                <w:b w:val="1"/>
                <w:bCs w:val="1"/>
                <w:color w:val="auto"/>
              </w:rPr>
              <w:t>62,785</w:t>
            </w:r>
          </w:p>
        </w:tc>
        <w:tc>
          <w:tcPr>
            <w:tcW w:w="120" w:type="dxa"/>
            <w:vAlign w:val="bottom"/>
          </w:tcPr>
          <w:p>
            <w:pPr>
              <w:spacing w:after="0"/>
              <w:rPr>
                <w:sz w:val="11"/>
                <w:szCs w:val="11"/>
                <w:color w:val="auto"/>
              </w:rPr>
            </w:pPr>
          </w:p>
        </w:tc>
        <w:tc>
          <w:tcPr>
            <w:tcW w:w="600" w:type="dxa"/>
            <w:vAlign w:val="bottom"/>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w w:val="98"/>
              </w:rPr>
              <w:t>-</w:t>
            </w:r>
            <w:r>
              <w:rPr>
                <w:rFonts w:ascii="Calibri" w:cs="Calibri" w:eastAsia="Calibri" w:hAnsi="Calibri"/>
                <w:sz w:val="10"/>
                <w:szCs w:val="10"/>
                <w:b w:val="1"/>
                <w:bCs w:val="1"/>
                <w:color w:val="auto"/>
                <w:w w:val="98"/>
              </w:rPr>
              <w:t>18.6%</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b w:val="1"/>
                <w:bCs w:val="1"/>
                <w:color w:val="auto"/>
              </w:rPr>
              <w:t>10.9%</w:t>
            </w:r>
          </w:p>
        </w:tc>
        <w:tc>
          <w:tcPr>
            <w:tcW w:w="160" w:type="dxa"/>
            <w:vAlign w:val="bottom"/>
            <w:tcBorders>
              <w:right w:val="single" w:sz="8" w:color="auto"/>
            </w:tcBorders>
          </w:tcPr>
          <w:p>
            <w:pPr>
              <w:spacing w:after="0"/>
              <w:rPr>
                <w:sz w:val="11"/>
                <w:szCs w:val="11"/>
                <w:color w:val="auto"/>
              </w:rPr>
            </w:pPr>
          </w:p>
        </w:tc>
        <w:tc>
          <w:tcPr>
            <w:tcW w:w="620" w:type="dxa"/>
            <w:vAlign w:val="bottom"/>
          </w:tcPr>
          <w:p>
            <w:pPr>
              <w:jc w:val="center"/>
              <w:ind w:left="66"/>
              <w:spacing w:after="0"/>
              <w:rPr>
                <w:sz w:val="20"/>
                <w:szCs w:val="20"/>
                <w:color w:val="auto"/>
              </w:rPr>
            </w:pPr>
            <w:r>
              <w:rPr>
                <w:rFonts w:ascii="Calibri" w:cs="Calibri" w:eastAsia="Calibri" w:hAnsi="Calibri"/>
                <w:sz w:val="10"/>
                <w:szCs w:val="10"/>
                <w:b w:val="1"/>
                <w:bCs w:val="1"/>
                <w:color w:val="auto"/>
              </w:rPr>
              <w:t>294,297</w:t>
            </w:r>
          </w:p>
        </w:tc>
        <w:tc>
          <w:tcPr>
            <w:tcW w:w="1020" w:type="dxa"/>
            <w:vAlign w:val="bottom"/>
            <w:tcBorders>
              <w:right w:val="single" w:sz="8" w:color="auto"/>
            </w:tcBorders>
            <w:gridSpan w:val="2"/>
          </w:tcPr>
          <w:p>
            <w:pPr>
              <w:jc w:val="center"/>
              <w:ind w:left="266"/>
              <w:spacing w:after="0"/>
              <w:rPr>
                <w:sz w:val="20"/>
                <w:szCs w:val="20"/>
                <w:color w:val="auto"/>
              </w:rPr>
            </w:pPr>
            <w:r>
              <w:rPr>
                <w:rFonts w:ascii="Calibri" w:cs="Calibri" w:eastAsia="Calibri" w:hAnsi="Calibri"/>
                <w:sz w:val="10"/>
                <w:szCs w:val="10"/>
                <w:b w:val="1"/>
                <w:bCs w:val="1"/>
                <w:color w:val="auto"/>
              </w:rPr>
              <w:t>279,708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r>
              <w:rPr>
                <w:rFonts w:ascii="Calibri" w:cs="Calibri" w:eastAsia="Calibri" w:hAnsi="Calibri"/>
                <w:sz w:val="10"/>
                <w:szCs w:val="10"/>
                <w:b w:val="1"/>
                <w:bCs w:val="1"/>
                <w:color w:val="auto"/>
              </w:rPr>
              <w:t>5.0%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line="131" w:lineRule="exact"/>
              <w:rPr>
                <w:sz w:val="20"/>
                <w:szCs w:val="20"/>
                <w:color w:val="auto"/>
              </w:rPr>
            </w:pPr>
            <w:r>
              <w:rPr>
                <w:rFonts w:ascii="Calibri" w:cs="Calibri" w:eastAsia="Calibri" w:hAnsi="Calibri"/>
                <w:sz w:val="11"/>
                <w:szCs w:val="11"/>
                <w:color w:val="auto"/>
              </w:rPr>
              <w:t>Non fnancial income</w:t>
            </w:r>
          </w:p>
        </w:tc>
        <w:tc>
          <w:tcPr>
            <w:tcW w:w="700" w:type="dxa"/>
            <w:vAlign w:val="bottom"/>
            <w:tcBorders>
              <w:right w:val="single" w:sz="8" w:color="auto"/>
            </w:tcBorders>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0"/>
                <w:szCs w:val="10"/>
                <w:color w:val="auto"/>
              </w:rPr>
              <w:t>48,427</w:t>
            </w:r>
          </w:p>
        </w:tc>
        <w:tc>
          <w:tcPr>
            <w:tcW w:w="920" w:type="dxa"/>
            <w:vAlign w:val="bottom"/>
            <w:gridSpan w:val="2"/>
          </w:tcPr>
          <w:p>
            <w:pPr>
              <w:jc w:val="center"/>
              <w:ind w:left="42"/>
              <w:spacing w:after="0"/>
              <w:rPr>
                <w:sz w:val="20"/>
                <w:szCs w:val="20"/>
                <w:color w:val="auto"/>
              </w:rPr>
            </w:pPr>
            <w:r>
              <w:rPr>
                <w:rFonts w:ascii="Calibri" w:cs="Calibri" w:eastAsia="Calibri" w:hAnsi="Calibri"/>
                <w:sz w:val="10"/>
                <w:szCs w:val="10"/>
                <w:color w:val="auto"/>
              </w:rPr>
              <w:t>36,365</w:t>
            </w:r>
          </w:p>
        </w:tc>
        <w:tc>
          <w:tcPr>
            <w:tcW w:w="1140" w:type="dxa"/>
            <w:vAlign w:val="bottom"/>
            <w:tcBorders>
              <w:right w:val="single" w:sz="8" w:color="auto"/>
            </w:tcBorders>
            <w:gridSpan w:val="2"/>
          </w:tcPr>
          <w:p>
            <w:pPr>
              <w:jc w:val="center"/>
              <w:ind w:left="20"/>
              <w:spacing w:after="0"/>
              <w:rPr>
                <w:sz w:val="20"/>
                <w:szCs w:val="20"/>
                <w:color w:val="auto"/>
              </w:rPr>
            </w:pPr>
            <w:r>
              <w:rPr>
                <w:rFonts w:ascii="Calibri" w:cs="Calibri" w:eastAsia="Calibri" w:hAnsi="Calibri"/>
                <w:sz w:val="10"/>
                <w:szCs w:val="10"/>
                <w:color w:val="auto"/>
              </w:rPr>
              <w:t>85,923</w:t>
            </w:r>
          </w:p>
        </w:tc>
        <w:tc>
          <w:tcPr>
            <w:tcW w:w="120" w:type="dxa"/>
            <w:vAlign w:val="bottom"/>
          </w:tcPr>
          <w:p>
            <w:pPr>
              <w:spacing w:after="0"/>
              <w:rPr>
                <w:sz w:val="11"/>
                <w:szCs w:val="11"/>
                <w:color w:val="auto"/>
              </w:rPr>
            </w:pPr>
          </w:p>
        </w:tc>
        <w:tc>
          <w:tcPr>
            <w:tcW w:w="600" w:type="dxa"/>
            <w:vAlign w:val="bottom"/>
          </w:tcPr>
          <w:p>
            <w:pPr>
              <w:jc w:val="center"/>
              <w:ind w:right="61"/>
              <w:spacing w:after="0"/>
              <w:rPr>
                <w:sz w:val="20"/>
                <w:szCs w:val="20"/>
                <w:color w:val="auto"/>
              </w:rPr>
            </w:pPr>
            <w:r>
              <w:rPr>
                <w:rFonts w:ascii="Calibri" w:cs="Calibri" w:eastAsia="Calibri" w:hAnsi="Calibri"/>
                <w:sz w:val="10"/>
                <w:szCs w:val="10"/>
                <w:color w:val="auto"/>
              </w:rPr>
              <w:t>136.3%</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77.4%</w:t>
            </w:r>
          </w:p>
        </w:tc>
        <w:tc>
          <w:tcPr>
            <w:tcW w:w="160" w:type="dxa"/>
            <w:vAlign w:val="bottom"/>
            <w:tcBorders>
              <w:right w:val="single" w:sz="8" w:color="auto"/>
            </w:tcBorders>
          </w:tcPr>
          <w:p>
            <w:pPr>
              <w:spacing w:after="0"/>
              <w:rPr>
                <w:sz w:val="11"/>
                <w:szCs w:val="11"/>
                <w:color w:val="auto"/>
              </w:rPr>
            </w:pPr>
          </w:p>
        </w:tc>
        <w:tc>
          <w:tcPr>
            <w:tcW w:w="620" w:type="dxa"/>
            <w:vAlign w:val="bottom"/>
          </w:tcPr>
          <w:p>
            <w:pPr>
              <w:jc w:val="center"/>
              <w:ind w:left="66"/>
              <w:spacing w:after="0"/>
              <w:rPr>
                <w:sz w:val="20"/>
                <w:szCs w:val="20"/>
                <w:color w:val="auto"/>
              </w:rPr>
            </w:pPr>
            <w:r>
              <w:rPr>
                <w:rFonts w:ascii="Calibri" w:cs="Calibri" w:eastAsia="Calibri" w:hAnsi="Calibri"/>
                <w:sz w:val="10"/>
                <w:szCs w:val="10"/>
                <w:color w:val="auto"/>
              </w:rPr>
              <w:t>210,717</w:t>
            </w:r>
          </w:p>
        </w:tc>
        <w:tc>
          <w:tcPr>
            <w:tcW w:w="1020" w:type="dxa"/>
            <w:vAlign w:val="bottom"/>
            <w:tcBorders>
              <w:right w:val="single" w:sz="8" w:color="auto"/>
            </w:tcBorders>
            <w:gridSpan w:val="2"/>
          </w:tcPr>
          <w:p>
            <w:pPr>
              <w:jc w:val="center"/>
              <w:ind w:left="266"/>
              <w:spacing w:after="0"/>
              <w:rPr>
                <w:sz w:val="20"/>
                <w:szCs w:val="20"/>
                <w:color w:val="auto"/>
              </w:rPr>
            </w:pPr>
            <w:r>
              <w:rPr>
                <w:rFonts w:ascii="Calibri" w:cs="Calibri" w:eastAsia="Calibri" w:hAnsi="Calibri"/>
                <w:sz w:val="10"/>
                <w:szCs w:val="10"/>
                <w:color w:val="auto"/>
              </w:rPr>
              <w:t>276,802</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31.4%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line="131" w:lineRule="exact"/>
              <w:rPr>
                <w:sz w:val="20"/>
                <w:szCs w:val="20"/>
                <w:color w:val="auto"/>
              </w:rPr>
            </w:pPr>
            <w:r>
              <w:rPr>
                <w:rFonts w:ascii="Calibri" w:cs="Calibri" w:eastAsia="Calibri" w:hAnsi="Calibri"/>
                <w:sz w:val="11"/>
                <w:szCs w:val="11"/>
                <w:color w:val="auto"/>
              </w:rPr>
              <w:t>Total expenses</w:t>
            </w:r>
          </w:p>
        </w:tc>
        <w:tc>
          <w:tcPr>
            <w:tcW w:w="700" w:type="dxa"/>
            <w:vAlign w:val="bottom"/>
            <w:tcBorders>
              <w:right w:val="single" w:sz="8" w:color="auto"/>
            </w:tcBorders>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0"/>
                <w:szCs w:val="10"/>
                <w:color w:val="auto"/>
              </w:rPr>
              <w:t>(82,730)</w:t>
            </w:r>
          </w:p>
        </w:tc>
        <w:tc>
          <w:tcPr>
            <w:tcW w:w="920" w:type="dxa"/>
            <w:vAlign w:val="bottom"/>
            <w:gridSpan w:val="2"/>
          </w:tcPr>
          <w:p>
            <w:pPr>
              <w:jc w:val="center"/>
              <w:ind w:left="62"/>
              <w:spacing w:after="0"/>
              <w:rPr>
                <w:sz w:val="20"/>
                <w:szCs w:val="20"/>
                <w:color w:val="auto"/>
              </w:rPr>
            </w:pPr>
            <w:r>
              <w:rPr>
                <w:rFonts w:ascii="Calibri" w:cs="Calibri" w:eastAsia="Calibri" w:hAnsi="Calibri"/>
                <w:sz w:val="10"/>
                <w:szCs w:val="10"/>
                <w:color w:val="auto"/>
              </w:rPr>
              <w:t>(77,107)</w:t>
            </w:r>
          </w:p>
        </w:tc>
        <w:tc>
          <w:tcPr>
            <w:tcW w:w="1140" w:type="dxa"/>
            <w:vAlign w:val="bottom"/>
            <w:tcBorders>
              <w:right w:val="single" w:sz="8" w:color="auto"/>
            </w:tcBorders>
            <w:gridSpan w:val="2"/>
          </w:tcPr>
          <w:p>
            <w:pPr>
              <w:jc w:val="center"/>
              <w:ind w:left="40"/>
              <w:spacing w:after="0"/>
              <w:rPr>
                <w:sz w:val="20"/>
                <w:szCs w:val="20"/>
                <w:color w:val="auto"/>
              </w:rPr>
            </w:pPr>
            <w:r>
              <w:rPr>
                <w:rFonts w:ascii="Calibri" w:cs="Calibri" w:eastAsia="Calibri" w:hAnsi="Calibri"/>
                <w:sz w:val="10"/>
                <w:szCs w:val="10"/>
                <w:color w:val="auto"/>
              </w:rPr>
              <w:t>(114,966)</w:t>
            </w:r>
          </w:p>
        </w:tc>
        <w:tc>
          <w:tcPr>
            <w:tcW w:w="120" w:type="dxa"/>
            <w:vAlign w:val="bottom"/>
          </w:tcPr>
          <w:p>
            <w:pPr>
              <w:spacing w:after="0"/>
              <w:rPr>
                <w:sz w:val="11"/>
                <w:szCs w:val="11"/>
                <w:color w:val="auto"/>
              </w:rPr>
            </w:pPr>
          </w:p>
        </w:tc>
        <w:tc>
          <w:tcPr>
            <w:tcW w:w="600" w:type="dxa"/>
            <w:vAlign w:val="bottom"/>
          </w:tcPr>
          <w:p>
            <w:pPr>
              <w:jc w:val="center"/>
              <w:ind w:right="41"/>
              <w:spacing w:after="0"/>
              <w:rPr>
                <w:sz w:val="20"/>
                <w:szCs w:val="20"/>
                <w:color w:val="auto"/>
              </w:rPr>
            </w:pPr>
            <w:r>
              <w:rPr>
                <w:rFonts w:ascii="Calibri" w:cs="Calibri" w:eastAsia="Calibri" w:hAnsi="Calibri"/>
                <w:sz w:val="10"/>
                <w:szCs w:val="10"/>
                <w:color w:val="auto"/>
              </w:rPr>
              <w:t>49.1%</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39.0%</w:t>
            </w:r>
          </w:p>
        </w:tc>
        <w:tc>
          <w:tcPr>
            <w:tcW w:w="160" w:type="dxa"/>
            <w:vAlign w:val="bottom"/>
            <w:tcBorders>
              <w:right w:val="single" w:sz="8" w:color="auto"/>
            </w:tcBorders>
          </w:tcPr>
          <w:p>
            <w:pPr>
              <w:spacing w:after="0"/>
              <w:rPr>
                <w:sz w:val="11"/>
                <w:szCs w:val="11"/>
                <w:color w:val="auto"/>
              </w:rPr>
            </w:pPr>
          </w:p>
        </w:tc>
        <w:tc>
          <w:tcPr>
            <w:tcW w:w="620" w:type="dxa"/>
            <w:vAlign w:val="bottom"/>
          </w:tcPr>
          <w:p>
            <w:pPr>
              <w:jc w:val="center"/>
              <w:ind w:left="86"/>
              <w:spacing w:after="0"/>
              <w:rPr>
                <w:sz w:val="20"/>
                <w:szCs w:val="20"/>
                <w:color w:val="auto"/>
              </w:rPr>
            </w:pPr>
            <w:r>
              <w:rPr>
                <w:rFonts w:ascii="Calibri" w:cs="Calibri" w:eastAsia="Calibri" w:hAnsi="Calibri"/>
                <w:sz w:val="10"/>
                <w:szCs w:val="10"/>
                <w:color w:val="auto"/>
              </w:rPr>
              <w:t>(359,811)</w:t>
            </w:r>
          </w:p>
        </w:tc>
        <w:tc>
          <w:tcPr>
            <w:tcW w:w="1020" w:type="dxa"/>
            <w:vAlign w:val="bottom"/>
            <w:tcBorders>
              <w:right w:val="single" w:sz="8" w:color="auto"/>
            </w:tcBorders>
            <w:gridSpan w:val="2"/>
          </w:tcPr>
          <w:p>
            <w:pPr>
              <w:jc w:val="center"/>
              <w:ind w:left="286"/>
              <w:spacing w:after="0"/>
              <w:rPr>
                <w:sz w:val="20"/>
                <w:szCs w:val="20"/>
                <w:color w:val="auto"/>
              </w:rPr>
            </w:pPr>
            <w:r>
              <w:rPr>
                <w:rFonts w:ascii="Calibri" w:cs="Calibri" w:eastAsia="Calibri" w:hAnsi="Calibri"/>
                <w:sz w:val="10"/>
                <w:szCs w:val="10"/>
                <w:color w:val="auto"/>
              </w:rPr>
              <w:t>(391,844)</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8.9%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line="131" w:lineRule="exact"/>
              <w:rPr>
                <w:sz w:val="20"/>
                <w:szCs w:val="20"/>
                <w:color w:val="auto"/>
              </w:rPr>
            </w:pPr>
            <w:r>
              <w:rPr>
                <w:rFonts w:ascii="Calibri" w:cs="Calibri" w:eastAsia="Calibri" w:hAnsi="Calibri"/>
                <w:sz w:val="11"/>
                <w:szCs w:val="11"/>
                <w:color w:val="auto"/>
              </w:rPr>
              <w:t>Translaton result</w:t>
            </w:r>
          </w:p>
        </w:tc>
        <w:tc>
          <w:tcPr>
            <w:tcW w:w="700" w:type="dxa"/>
            <w:vAlign w:val="bottom"/>
            <w:tcBorders>
              <w:right w:val="single" w:sz="8" w:color="auto"/>
            </w:tcBorders>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0"/>
                <w:szCs w:val="10"/>
                <w:color w:val="auto"/>
              </w:rPr>
              <w:t>190</w:t>
            </w:r>
          </w:p>
        </w:tc>
        <w:tc>
          <w:tcPr>
            <w:tcW w:w="920" w:type="dxa"/>
            <w:vAlign w:val="bottom"/>
            <w:gridSpan w:val="2"/>
          </w:tcPr>
          <w:p>
            <w:pPr>
              <w:jc w:val="center"/>
              <w:ind w:left="62"/>
              <w:spacing w:after="0"/>
              <w:rPr>
                <w:sz w:val="20"/>
                <w:szCs w:val="20"/>
                <w:color w:val="auto"/>
              </w:rPr>
            </w:pPr>
            <w:r>
              <w:rPr>
                <w:rFonts w:ascii="Calibri" w:cs="Calibri" w:eastAsia="Calibri" w:hAnsi="Calibri"/>
                <w:sz w:val="10"/>
                <w:szCs w:val="10"/>
                <w:color w:val="auto"/>
              </w:rPr>
              <w:t>850</w:t>
            </w:r>
          </w:p>
        </w:tc>
        <w:tc>
          <w:tcPr>
            <w:tcW w:w="1140" w:type="dxa"/>
            <w:vAlign w:val="bottom"/>
            <w:tcBorders>
              <w:right w:val="single" w:sz="8" w:color="auto"/>
            </w:tcBorders>
            <w:gridSpan w:val="2"/>
          </w:tcPr>
          <w:p>
            <w:pPr>
              <w:jc w:val="center"/>
              <w:ind w:left="40"/>
              <w:spacing w:after="0"/>
              <w:rPr>
                <w:sz w:val="20"/>
                <w:szCs w:val="20"/>
                <w:color w:val="auto"/>
              </w:rPr>
            </w:pPr>
            <w:r>
              <w:rPr>
                <w:rFonts w:ascii="Calibri" w:cs="Calibri" w:eastAsia="Calibri" w:hAnsi="Calibri"/>
                <w:sz w:val="10"/>
                <w:szCs w:val="10"/>
                <w:color w:val="auto"/>
              </w:rPr>
              <w:t>1,281</w:t>
            </w:r>
          </w:p>
        </w:tc>
        <w:tc>
          <w:tcPr>
            <w:tcW w:w="120" w:type="dxa"/>
            <w:vAlign w:val="bottom"/>
          </w:tcPr>
          <w:p>
            <w:pPr>
              <w:spacing w:after="0"/>
              <w:rPr>
                <w:sz w:val="11"/>
                <w:szCs w:val="11"/>
                <w:color w:val="auto"/>
              </w:rPr>
            </w:pPr>
          </w:p>
        </w:tc>
        <w:tc>
          <w:tcPr>
            <w:tcW w:w="600" w:type="dxa"/>
            <w:vAlign w:val="bottom"/>
          </w:tcPr>
          <w:p>
            <w:pPr>
              <w:jc w:val="center"/>
              <w:ind w:right="41"/>
              <w:spacing w:after="0"/>
              <w:rPr>
                <w:sz w:val="20"/>
                <w:szCs w:val="20"/>
                <w:color w:val="auto"/>
              </w:rPr>
            </w:pPr>
            <w:r>
              <w:rPr>
                <w:rFonts w:ascii="Calibri" w:cs="Calibri" w:eastAsia="Calibri" w:hAnsi="Calibri"/>
                <w:sz w:val="10"/>
                <w:szCs w:val="10"/>
                <w:color w:val="auto"/>
              </w:rPr>
              <w:t>50.7%</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574.2%</w:t>
            </w:r>
          </w:p>
        </w:tc>
        <w:tc>
          <w:tcPr>
            <w:tcW w:w="160" w:type="dxa"/>
            <w:vAlign w:val="bottom"/>
            <w:tcBorders>
              <w:right w:val="single" w:sz="8" w:color="auto"/>
            </w:tcBorders>
          </w:tcPr>
          <w:p>
            <w:pPr>
              <w:spacing w:after="0"/>
              <w:rPr>
                <w:sz w:val="11"/>
                <w:szCs w:val="11"/>
                <w:color w:val="auto"/>
              </w:rPr>
            </w:pPr>
          </w:p>
        </w:tc>
        <w:tc>
          <w:tcPr>
            <w:tcW w:w="620" w:type="dxa"/>
            <w:vAlign w:val="bottom"/>
          </w:tcPr>
          <w:p>
            <w:pPr>
              <w:jc w:val="center"/>
              <w:ind w:left="66"/>
              <w:spacing w:after="0"/>
              <w:rPr>
                <w:sz w:val="20"/>
                <w:szCs w:val="20"/>
                <w:color w:val="auto"/>
              </w:rPr>
            </w:pPr>
            <w:r>
              <w:rPr>
                <w:rFonts w:ascii="Calibri" w:cs="Calibri" w:eastAsia="Calibri" w:hAnsi="Calibri"/>
                <w:sz w:val="10"/>
                <w:szCs w:val="10"/>
                <w:color w:val="auto"/>
                <w:w w:val="98"/>
              </w:rPr>
              <w:t>50</w:t>
            </w:r>
          </w:p>
        </w:tc>
        <w:tc>
          <w:tcPr>
            <w:tcW w:w="1020" w:type="dxa"/>
            <w:vAlign w:val="bottom"/>
            <w:tcBorders>
              <w:right w:val="single" w:sz="8" w:color="auto"/>
            </w:tcBorders>
            <w:gridSpan w:val="2"/>
          </w:tcPr>
          <w:p>
            <w:pPr>
              <w:jc w:val="right"/>
              <w:ind w:right="355"/>
              <w:spacing w:after="0"/>
              <w:rPr>
                <w:sz w:val="20"/>
                <w:szCs w:val="20"/>
                <w:color w:val="auto"/>
              </w:rPr>
            </w:pPr>
            <w:r>
              <w:rPr>
                <w:rFonts w:ascii="Calibri" w:cs="Calibri" w:eastAsia="Calibri" w:hAnsi="Calibri"/>
                <w:sz w:val="10"/>
                <w:szCs w:val="10"/>
                <w:color w:val="auto"/>
              </w:rPr>
              <w:t>1,731</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3362.0%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line="131" w:lineRule="exact"/>
              <w:rPr>
                <w:sz w:val="20"/>
                <w:szCs w:val="20"/>
                <w:color w:val="auto"/>
              </w:rPr>
            </w:pPr>
            <w:r>
              <w:rPr>
                <w:rFonts w:ascii="Calibri" w:cs="Calibri" w:eastAsia="Calibri" w:hAnsi="Calibri"/>
                <w:sz w:val="11"/>
                <w:szCs w:val="11"/>
                <w:color w:val="auto"/>
              </w:rPr>
              <w:t>Income tax</w:t>
            </w:r>
          </w:p>
        </w:tc>
        <w:tc>
          <w:tcPr>
            <w:tcW w:w="700" w:type="dxa"/>
            <w:vAlign w:val="bottom"/>
            <w:tcBorders>
              <w:right w:val="single" w:sz="8" w:color="auto"/>
            </w:tcBorders>
          </w:tcPr>
          <w:p>
            <w:pPr>
              <w:spacing w:after="0"/>
              <w:rPr>
                <w:sz w:val="11"/>
                <w:szCs w:val="11"/>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0"/>
                <w:szCs w:val="10"/>
                <w:color w:val="auto"/>
              </w:rPr>
              <w:t>(2,865)</w:t>
            </w:r>
          </w:p>
        </w:tc>
        <w:tc>
          <w:tcPr>
            <w:tcW w:w="920" w:type="dxa"/>
            <w:vAlign w:val="bottom"/>
            <w:gridSpan w:val="2"/>
          </w:tcPr>
          <w:p>
            <w:pPr>
              <w:jc w:val="center"/>
              <w:ind w:left="62"/>
              <w:spacing w:after="0"/>
              <w:rPr>
                <w:sz w:val="20"/>
                <w:szCs w:val="20"/>
                <w:color w:val="auto"/>
              </w:rPr>
            </w:pPr>
            <w:r>
              <w:rPr>
                <w:rFonts w:ascii="Calibri" w:cs="Calibri" w:eastAsia="Calibri" w:hAnsi="Calibri"/>
                <w:sz w:val="10"/>
                <w:szCs w:val="10"/>
                <w:color w:val="auto"/>
              </w:rPr>
              <w:t>(20,638)</w:t>
            </w:r>
          </w:p>
        </w:tc>
        <w:tc>
          <w:tcPr>
            <w:tcW w:w="1140" w:type="dxa"/>
            <w:vAlign w:val="bottom"/>
            <w:tcBorders>
              <w:right w:val="single" w:sz="8" w:color="auto"/>
            </w:tcBorders>
            <w:gridSpan w:val="2"/>
          </w:tcPr>
          <w:p>
            <w:pPr>
              <w:jc w:val="center"/>
              <w:ind w:left="40"/>
              <w:spacing w:after="0"/>
              <w:rPr>
                <w:sz w:val="20"/>
                <w:szCs w:val="20"/>
                <w:color w:val="auto"/>
              </w:rPr>
            </w:pPr>
            <w:r>
              <w:rPr>
                <w:rFonts w:ascii="Calibri" w:cs="Calibri" w:eastAsia="Calibri" w:hAnsi="Calibri"/>
                <w:sz w:val="10"/>
                <w:szCs w:val="10"/>
                <w:color w:val="auto"/>
              </w:rPr>
              <w:t>(11,521)</w:t>
            </w:r>
          </w:p>
        </w:tc>
        <w:tc>
          <w:tcPr>
            <w:tcW w:w="120" w:type="dxa"/>
            <w:vAlign w:val="bottom"/>
          </w:tcPr>
          <w:p>
            <w:pPr>
              <w:spacing w:after="0"/>
              <w:rPr>
                <w:sz w:val="11"/>
                <w:szCs w:val="11"/>
                <w:color w:val="auto"/>
              </w:rPr>
            </w:pPr>
          </w:p>
        </w:tc>
        <w:tc>
          <w:tcPr>
            <w:tcW w:w="600" w:type="dxa"/>
            <w:vAlign w:val="bottom"/>
          </w:tcPr>
          <w:p>
            <w:pPr>
              <w:jc w:val="center"/>
              <w:ind w:right="41"/>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44.2%</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302.1%</w:t>
            </w:r>
          </w:p>
        </w:tc>
        <w:tc>
          <w:tcPr>
            <w:tcW w:w="160" w:type="dxa"/>
            <w:vAlign w:val="bottom"/>
            <w:tcBorders>
              <w:right w:val="single" w:sz="8" w:color="auto"/>
            </w:tcBorders>
          </w:tcPr>
          <w:p>
            <w:pPr>
              <w:spacing w:after="0"/>
              <w:rPr>
                <w:sz w:val="11"/>
                <w:szCs w:val="11"/>
                <w:color w:val="auto"/>
              </w:rPr>
            </w:pPr>
          </w:p>
        </w:tc>
        <w:tc>
          <w:tcPr>
            <w:tcW w:w="620" w:type="dxa"/>
            <w:vAlign w:val="bottom"/>
          </w:tcPr>
          <w:p>
            <w:pPr>
              <w:jc w:val="center"/>
              <w:ind w:left="86"/>
              <w:spacing w:after="0"/>
              <w:rPr>
                <w:sz w:val="20"/>
                <w:szCs w:val="20"/>
                <w:color w:val="auto"/>
              </w:rPr>
            </w:pPr>
            <w:r>
              <w:rPr>
                <w:rFonts w:ascii="Calibri" w:cs="Calibri" w:eastAsia="Calibri" w:hAnsi="Calibri"/>
                <w:sz w:val="10"/>
                <w:szCs w:val="10"/>
                <w:color w:val="auto"/>
              </w:rPr>
              <w:t>(62,202)</w:t>
            </w:r>
          </w:p>
        </w:tc>
        <w:tc>
          <w:tcPr>
            <w:tcW w:w="1020" w:type="dxa"/>
            <w:vAlign w:val="bottom"/>
            <w:tcBorders>
              <w:right w:val="single" w:sz="8" w:color="auto"/>
            </w:tcBorders>
            <w:gridSpan w:val="2"/>
          </w:tcPr>
          <w:p>
            <w:pPr>
              <w:jc w:val="center"/>
              <w:ind w:left="286"/>
              <w:spacing w:after="0"/>
              <w:rPr>
                <w:sz w:val="20"/>
                <w:szCs w:val="20"/>
                <w:color w:val="auto"/>
              </w:rPr>
            </w:pPr>
            <w:r>
              <w:rPr>
                <w:rFonts w:ascii="Calibri" w:cs="Calibri" w:eastAsia="Calibri" w:hAnsi="Calibri"/>
                <w:sz w:val="10"/>
                <w:szCs w:val="10"/>
                <w:color w:val="auto"/>
              </w:rPr>
              <w:t>(72,886)</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17.2%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 w:type="dxa"/>
            <w:vAlign w:val="bottom"/>
            <w:tcBorders>
              <w:right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20"/>
                <w:szCs w:val="20"/>
                <w:color w:val="auto"/>
              </w:rPr>
            </w:pPr>
            <w:r>
              <w:rPr>
                <w:rFonts w:ascii="Calibri" w:cs="Calibri" w:eastAsia="Calibri" w:hAnsi="Calibri"/>
                <w:sz w:val="11"/>
                <w:szCs w:val="11"/>
                <w:b w:val="1"/>
                <w:bCs w:val="1"/>
                <w:color w:val="auto"/>
              </w:rPr>
              <w:t>Net proft</w:t>
            </w:r>
          </w:p>
        </w:tc>
        <w:tc>
          <w:tcPr>
            <w:tcW w:w="7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0"/>
                <w:szCs w:val="10"/>
                <w:b w:val="1"/>
                <w:bCs w:val="1"/>
                <w:color w:val="auto"/>
              </w:rPr>
              <w:t>19,652</w:t>
            </w:r>
          </w:p>
        </w:tc>
        <w:tc>
          <w:tcPr>
            <w:tcW w:w="920" w:type="dxa"/>
            <w:vAlign w:val="bottom"/>
            <w:tcBorders>
              <w:bottom w:val="single" w:sz="8" w:color="auto"/>
            </w:tcBorders>
            <w:gridSpan w:val="2"/>
          </w:tcPr>
          <w:p>
            <w:pPr>
              <w:jc w:val="center"/>
              <w:ind w:left="42"/>
              <w:spacing w:after="0"/>
              <w:rPr>
                <w:sz w:val="20"/>
                <w:szCs w:val="20"/>
                <w:color w:val="auto"/>
              </w:rPr>
            </w:pPr>
            <w:r>
              <w:rPr>
                <w:rFonts w:ascii="Calibri" w:cs="Calibri" w:eastAsia="Calibri" w:hAnsi="Calibri"/>
                <w:sz w:val="10"/>
                <w:szCs w:val="10"/>
                <w:b w:val="1"/>
                <w:bCs w:val="1"/>
                <w:color w:val="auto"/>
              </w:rPr>
              <w:t>16,615</w:t>
            </w:r>
          </w:p>
        </w:tc>
        <w:tc>
          <w:tcPr>
            <w:tcW w:w="1140" w:type="dxa"/>
            <w:vAlign w:val="bottom"/>
            <w:tcBorders>
              <w:bottom w:val="single" w:sz="8" w:color="auto"/>
              <w:right w:val="single" w:sz="8" w:color="auto"/>
            </w:tcBorders>
            <w:gridSpan w:val="2"/>
          </w:tcPr>
          <w:p>
            <w:pPr>
              <w:jc w:val="center"/>
              <w:ind w:left="20"/>
              <w:spacing w:after="0"/>
              <w:rPr>
                <w:sz w:val="20"/>
                <w:szCs w:val="20"/>
                <w:color w:val="auto"/>
              </w:rPr>
            </w:pPr>
            <w:r>
              <w:rPr>
                <w:rFonts w:ascii="Calibri" w:cs="Calibri" w:eastAsia="Calibri" w:hAnsi="Calibri"/>
                <w:sz w:val="10"/>
                <w:szCs w:val="10"/>
                <w:b w:val="1"/>
                <w:bCs w:val="1"/>
                <w:color w:val="auto"/>
              </w:rPr>
              <w:t>23,502</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61"/>
              <w:spacing w:after="0"/>
              <w:rPr>
                <w:sz w:val="20"/>
                <w:szCs w:val="20"/>
                <w:color w:val="auto"/>
              </w:rPr>
            </w:pPr>
            <w:r>
              <w:rPr>
                <w:rFonts w:ascii="Calibri" w:cs="Calibri" w:eastAsia="Calibri" w:hAnsi="Calibri"/>
                <w:sz w:val="10"/>
                <w:szCs w:val="10"/>
                <w:b w:val="1"/>
                <w:bCs w:val="1"/>
                <w:color w:val="auto"/>
              </w:rPr>
              <w:t>41.5%</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19.6%</w:t>
            </w:r>
          </w:p>
        </w:tc>
        <w:tc>
          <w:tcPr>
            <w:tcW w:w="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jc w:val="center"/>
              <w:ind w:left="66"/>
              <w:spacing w:after="0"/>
              <w:rPr>
                <w:sz w:val="20"/>
                <w:szCs w:val="20"/>
                <w:color w:val="auto"/>
              </w:rPr>
            </w:pPr>
            <w:r>
              <w:rPr>
                <w:rFonts w:ascii="Calibri" w:cs="Calibri" w:eastAsia="Calibri" w:hAnsi="Calibri"/>
                <w:sz w:val="10"/>
                <w:szCs w:val="10"/>
                <w:b w:val="1"/>
                <w:bCs w:val="1"/>
                <w:color w:val="auto"/>
              </w:rPr>
              <w:t>83,051</w:t>
            </w:r>
          </w:p>
        </w:tc>
        <w:tc>
          <w:tcPr>
            <w:tcW w:w="1020" w:type="dxa"/>
            <w:vAlign w:val="bottom"/>
            <w:tcBorders>
              <w:bottom w:val="single" w:sz="8" w:color="auto"/>
              <w:right w:val="single" w:sz="8" w:color="auto"/>
            </w:tcBorders>
            <w:gridSpan w:val="2"/>
          </w:tcPr>
          <w:p>
            <w:pPr>
              <w:jc w:val="right"/>
              <w:ind w:right="315"/>
              <w:spacing w:after="0"/>
              <w:rPr>
                <w:sz w:val="20"/>
                <w:szCs w:val="20"/>
                <w:color w:val="auto"/>
              </w:rPr>
            </w:pPr>
            <w:r>
              <w:rPr>
                <w:rFonts w:ascii="Calibri" w:cs="Calibri" w:eastAsia="Calibri" w:hAnsi="Calibri"/>
                <w:sz w:val="10"/>
                <w:szCs w:val="10"/>
                <w:b w:val="1"/>
                <w:bCs w:val="1"/>
                <w:color w:val="auto"/>
              </w:rPr>
              <w:t>93,511</w:t>
            </w:r>
          </w:p>
        </w:tc>
        <w:tc>
          <w:tcPr>
            <w:tcW w:w="114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0"/>
                <w:szCs w:val="10"/>
                <w:b w:val="1"/>
                <w:bCs w:val="1"/>
                <w:color w:val="auto"/>
              </w:rPr>
              <w:t>12.6%</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6"/>
        </w:trPr>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gridSpan w:val="5"/>
          </w:tcPr>
          <w:p>
            <w:pPr>
              <w:jc w:val="center"/>
              <w:ind w:right="100"/>
              <w:spacing w:after="0"/>
              <w:rPr>
                <w:sz w:val="20"/>
                <w:szCs w:val="20"/>
                <w:color w:val="auto"/>
              </w:rPr>
            </w:pPr>
            <w:r>
              <w:rPr>
                <w:rFonts w:ascii="Calibri" w:cs="Calibri" w:eastAsia="Calibri" w:hAnsi="Calibri"/>
                <w:sz w:val="16"/>
                <w:szCs w:val="16"/>
                <w:b w:val="1"/>
                <w:bCs w:val="1"/>
                <w:color w:val="auto"/>
                <w:w w:val="97"/>
              </w:rPr>
              <w:t>Selected Financial Indicators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4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20" w:type="dxa"/>
            <w:vAlign w:val="bottom"/>
            <w:tcBorders>
              <w:right w:val="single" w:sz="8" w:color="auto"/>
            </w:tcBorders>
          </w:tcPr>
          <w:p>
            <w:pPr>
              <w:spacing w:after="0"/>
              <w:rPr>
                <w:sz w:val="12"/>
                <w:szCs w:val="12"/>
                <w:color w:val="auto"/>
              </w:rPr>
            </w:pPr>
          </w:p>
        </w:tc>
        <w:tc>
          <w:tcPr>
            <w:tcW w:w="2560" w:type="dxa"/>
            <w:vAlign w:val="bottom"/>
            <w:tcBorders>
              <w:top w:val="single" w:sz="8" w:color="auto"/>
            </w:tcBorders>
            <w:shd w:val="clear" w:color="auto" w:fill="2AD2C8"/>
          </w:tcPr>
          <w:p>
            <w:pPr>
              <w:spacing w:after="0"/>
              <w:rPr>
                <w:sz w:val="12"/>
                <w:szCs w:val="12"/>
                <w:color w:val="auto"/>
              </w:rPr>
            </w:pPr>
          </w:p>
        </w:tc>
        <w:tc>
          <w:tcPr>
            <w:tcW w:w="700" w:type="dxa"/>
            <w:vAlign w:val="bottom"/>
            <w:tcBorders>
              <w:top w:val="single" w:sz="8" w:color="auto"/>
              <w:right w:val="single" w:sz="8" w:color="2AD2C8"/>
            </w:tcBorders>
            <w:shd w:val="clear" w:color="auto" w:fill="2AD2C8"/>
          </w:tcPr>
          <w:p>
            <w:pPr>
              <w:spacing w:after="0"/>
              <w:rPr>
                <w:sz w:val="12"/>
                <w:szCs w:val="12"/>
                <w:color w:val="auto"/>
              </w:rPr>
            </w:pPr>
          </w:p>
        </w:tc>
        <w:tc>
          <w:tcPr>
            <w:tcW w:w="360" w:type="dxa"/>
            <w:vAlign w:val="bottom"/>
            <w:tcBorders>
              <w:top w:val="single" w:sz="8" w:color="auto"/>
              <w:right w:val="single" w:sz="8" w:color="auto"/>
            </w:tcBorders>
            <w:shd w:val="clear" w:color="auto" w:fill="2AD2C8"/>
          </w:tcPr>
          <w:p>
            <w:pPr>
              <w:spacing w:after="0"/>
              <w:rPr>
                <w:sz w:val="12"/>
                <w:szCs w:val="12"/>
                <w:color w:val="auto"/>
              </w:rPr>
            </w:pPr>
          </w:p>
        </w:tc>
        <w:tc>
          <w:tcPr>
            <w:tcW w:w="640" w:type="dxa"/>
            <w:vAlign w:val="bottom"/>
            <w:tcBorders>
              <w:top w:val="single" w:sz="8" w:color="auto"/>
            </w:tcBorders>
            <w:shd w:val="clear" w:color="auto" w:fill="2AD2C8"/>
          </w:tcPr>
          <w:p>
            <w:pPr>
              <w:spacing w:after="0"/>
              <w:rPr>
                <w:sz w:val="12"/>
                <w:szCs w:val="12"/>
                <w:color w:val="auto"/>
              </w:rPr>
            </w:pPr>
          </w:p>
        </w:tc>
        <w:tc>
          <w:tcPr>
            <w:tcW w:w="920" w:type="dxa"/>
            <w:vAlign w:val="bottom"/>
            <w:tcBorders>
              <w:top w:val="single" w:sz="8" w:color="auto"/>
            </w:tcBorders>
            <w:gridSpan w:val="2"/>
            <w:shd w:val="clear" w:color="auto" w:fill="2AD2C8"/>
          </w:tcPr>
          <w:p>
            <w:pPr>
              <w:ind w:left="480"/>
              <w:spacing w:after="0" w:line="150" w:lineRule="exact"/>
              <w:rPr>
                <w:sz w:val="20"/>
                <w:szCs w:val="20"/>
                <w:color w:val="auto"/>
              </w:rPr>
            </w:pPr>
            <w:r>
              <w:rPr>
                <w:rFonts w:ascii="Calibri" w:cs="Calibri" w:eastAsia="Calibri" w:hAnsi="Calibri"/>
                <w:sz w:val="13"/>
                <w:szCs w:val="13"/>
                <w:b w:val="1"/>
                <w:bCs w:val="1"/>
                <w:color w:val="FFFFFF"/>
                <w:w w:val="98"/>
              </w:rPr>
              <w:t>Quarter</w:t>
            </w:r>
          </w:p>
        </w:tc>
        <w:tc>
          <w:tcPr>
            <w:tcW w:w="340" w:type="dxa"/>
            <w:vAlign w:val="bottom"/>
            <w:tcBorders>
              <w:top w:val="single" w:sz="8" w:color="auto"/>
              <w:right w:val="single" w:sz="8" w:color="auto"/>
            </w:tcBorders>
            <w:shd w:val="clear" w:color="auto" w:fill="2AD2C8"/>
          </w:tcPr>
          <w:p>
            <w:pPr>
              <w:spacing w:after="0"/>
              <w:rPr>
                <w:sz w:val="12"/>
                <w:szCs w:val="12"/>
                <w:color w:val="auto"/>
              </w:rPr>
            </w:pPr>
          </w:p>
        </w:tc>
        <w:tc>
          <w:tcPr>
            <w:tcW w:w="800" w:type="dxa"/>
            <w:vAlign w:val="bottom"/>
            <w:tcBorders>
              <w:top w:val="single" w:sz="8" w:color="auto"/>
              <w:right w:val="single" w:sz="8" w:color="2AD2C8"/>
            </w:tcBorders>
            <w:shd w:val="clear" w:color="auto" w:fill="2AD2C8"/>
          </w:tcPr>
          <w:p>
            <w:pPr>
              <w:spacing w:after="0"/>
              <w:rPr>
                <w:sz w:val="12"/>
                <w:szCs w:val="12"/>
                <w:color w:val="auto"/>
              </w:rPr>
            </w:pPr>
          </w:p>
        </w:tc>
        <w:tc>
          <w:tcPr>
            <w:tcW w:w="120" w:type="dxa"/>
            <w:vAlign w:val="bottom"/>
            <w:tcBorders>
              <w:top w:val="single" w:sz="8" w:color="auto"/>
              <w:right w:val="single" w:sz="8" w:color="auto"/>
            </w:tcBorders>
            <w:shd w:val="clear" w:color="auto" w:fill="2AD2C8"/>
          </w:tcPr>
          <w:p>
            <w:pPr>
              <w:spacing w:after="0"/>
              <w:rPr>
                <w:sz w:val="12"/>
                <w:szCs w:val="12"/>
                <w:color w:val="auto"/>
              </w:rPr>
            </w:pPr>
          </w:p>
        </w:tc>
        <w:tc>
          <w:tcPr>
            <w:tcW w:w="1280" w:type="dxa"/>
            <w:vAlign w:val="bottom"/>
            <w:tcBorders>
              <w:top w:val="single" w:sz="8" w:color="auto"/>
            </w:tcBorders>
            <w:gridSpan w:val="3"/>
            <w:shd w:val="clear" w:color="auto" w:fill="2AD2C8"/>
          </w:tcPr>
          <w:p>
            <w:pPr>
              <w:jc w:val="center"/>
              <w:ind w:left="41"/>
              <w:spacing w:after="0"/>
              <w:rPr>
                <w:sz w:val="20"/>
                <w:szCs w:val="20"/>
                <w:color w:val="auto"/>
              </w:rPr>
            </w:pPr>
            <w:r>
              <w:rPr>
                <w:rFonts w:ascii="Arial" w:cs="Arial" w:eastAsia="Arial" w:hAnsi="Arial"/>
                <w:sz w:val="10"/>
                <w:szCs w:val="10"/>
                <w:color w:val="FFFFFF"/>
              </w:rPr>
              <w:t>% change</w:t>
            </w:r>
          </w:p>
        </w:tc>
        <w:tc>
          <w:tcPr>
            <w:tcW w:w="160" w:type="dxa"/>
            <w:vAlign w:val="bottom"/>
            <w:tcBorders>
              <w:top w:val="single" w:sz="8" w:color="auto"/>
              <w:right w:val="single" w:sz="8" w:color="auto"/>
            </w:tcBorders>
            <w:shd w:val="clear" w:color="auto" w:fill="2AD2C8"/>
          </w:tcPr>
          <w:p>
            <w:pPr>
              <w:spacing w:after="0"/>
              <w:rPr>
                <w:sz w:val="12"/>
                <w:szCs w:val="12"/>
                <w:color w:val="auto"/>
              </w:rPr>
            </w:pPr>
          </w:p>
        </w:tc>
        <w:tc>
          <w:tcPr>
            <w:tcW w:w="620" w:type="dxa"/>
            <w:vAlign w:val="bottom"/>
            <w:tcBorders>
              <w:top w:val="single" w:sz="8" w:color="auto"/>
            </w:tcBorders>
            <w:shd w:val="clear" w:color="auto" w:fill="2AD2C8"/>
          </w:tcPr>
          <w:p>
            <w:pPr>
              <w:spacing w:after="0"/>
              <w:rPr>
                <w:sz w:val="12"/>
                <w:szCs w:val="12"/>
                <w:color w:val="auto"/>
              </w:rPr>
            </w:pPr>
          </w:p>
        </w:tc>
        <w:tc>
          <w:tcPr>
            <w:tcW w:w="1020" w:type="dxa"/>
            <w:vAlign w:val="bottom"/>
            <w:tcBorders>
              <w:top w:val="single" w:sz="8" w:color="auto"/>
              <w:right w:val="single" w:sz="8" w:color="auto"/>
            </w:tcBorders>
            <w:gridSpan w:val="2"/>
            <w:shd w:val="clear" w:color="auto" w:fill="2AD2C8"/>
          </w:tcPr>
          <w:p>
            <w:pPr>
              <w:jc w:val="right"/>
              <w:ind w:right="615"/>
              <w:spacing w:after="0" w:line="150" w:lineRule="exact"/>
              <w:rPr>
                <w:sz w:val="20"/>
                <w:szCs w:val="20"/>
                <w:color w:val="auto"/>
              </w:rPr>
            </w:pPr>
            <w:r>
              <w:rPr>
                <w:rFonts w:ascii="Calibri" w:cs="Calibri" w:eastAsia="Calibri" w:hAnsi="Calibri"/>
                <w:sz w:val="13"/>
                <w:szCs w:val="13"/>
                <w:b w:val="1"/>
                <w:bCs w:val="1"/>
                <w:color w:val="FFFFFF"/>
              </w:rPr>
              <w:t>Up to</w:t>
            </w:r>
          </w:p>
        </w:tc>
        <w:tc>
          <w:tcPr>
            <w:tcW w:w="1140" w:type="dxa"/>
            <w:vAlign w:val="bottom"/>
            <w:tcBorders>
              <w:top w:val="single" w:sz="8" w:color="auto"/>
              <w:right w:val="single" w:sz="8" w:color="auto"/>
            </w:tcBorders>
            <w:shd w:val="clear" w:color="auto" w:fill="2AD2C8"/>
          </w:tcPr>
          <w:p>
            <w:pPr>
              <w:jc w:val="center"/>
              <w:spacing w:after="0" w:line="150" w:lineRule="exact"/>
              <w:rPr>
                <w:sz w:val="20"/>
                <w:szCs w:val="20"/>
                <w:color w:val="auto"/>
              </w:rPr>
            </w:pPr>
            <w:r>
              <w:rPr>
                <w:rFonts w:ascii="Calibri" w:cs="Calibri" w:eastAsia="Calibri" w:hAnsi="Calibri"/>
                <w:sz w:val="13"/>
                <w:szCs w:val="13"/>
                <w:b w:val="1"/>
                <w:bCs w:val="1"/>
                <w:color w:val="FFFFFF"/>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20" w:type="dxa"/>
            <w:vAlign w:val="bottom"/>
            <w:tcBorders>
              <w:right w:val="single" w:sz="8" w:color="auto"/>
            </w:tcBorders>
          </w:tcPr>
          <w:p>
            <w:pPr>
              <w:spacing w:after="0"/>
              <w:rPr>
                <w:sz w:val="19"/>
                <w:szCs w:val="19"/>
                <w:color w:val="auto"/>
              </w:rPr>
            </w:pPr>
          </w:p>
        </w:tc>
        <w:tc>
          <w:tcPr>
            <w:tcW w:w="2560" w:type="dxa"/>
            <w:vAlign w:val="bottom"/>
            <w:tcBorders>
              <w:bottom w:val="single" w:sz="8" w:color="2AD2C8"/>
            </w:tcBorders>
            <w:shd w:val="clear" w:color="auto" w:fill="2AD2C8"/>
          </w:tcPr>
          <w:p>
            <w:pPr>
              <w:spacing w:after="0"/>
              <w:rPr>
                <w:sz w:val="19"/>
                <w:szCs w:val="19"/>
                <w:color w:val="auto"/>
              </w:rPr>
            </w:pPr>
          </w:p>
        </w:tc>
        <w:tc>
          <w:tcPr>
            <w:tcW w:w="700" w:type="dxa"/>
            <w:vAlign w:val="bottom"/>
            <w:tcBorders>
              <w:bottom w:val="single" w:sz="8" w:color="2AD2C8"/>
              <w:right w:val="single" w:sz="8" w:color="2AD2C8"/>
            </w:tcBorders>
            <w:shd w:val="clear" w:color="auto" w:fill="2AD2C8"/>
          </w:tcPr>
          <w:p>
            <w:pPr>
              <w:spacing w:after="0"/>
              <w:rPr>
                <w:sz w:val="19"/>
                <w:szCs w:val="19"/>
                <w:color w:val="auto"/>
              </w:rPr>
            </w:pPr>
          </w:p>
        </w:tc>
        <w:tc>
          <w:tcPr>
            <w:tcW w:w="360" w:type="dxa"/>
            <w:vAlign w:val="bottom"/>
            <w:tcBorders>
              <w:bottom w:val="single" w:sz="8" w:color="2AD2C8"/>
              <w:right w:val="single" w:sz="8" w:color="auto"/>
            </w:tcBorders>
            <w:shd w:val="clear" w:color="auto" w:fill="2AD2C8"/>
          </w:tcPr>
          <w:p>
            <w:pPr>
              <w:spacing w:after="0"/>
              <w:rPr>
                <w:sz w:val="19"/>
                <w:szCs w:val="19"/>
                <w:color w:val="auto"/>
              </w:rPr>
            </w:pPr>
          </w:p>
        </w:tc>
        <w:tc>
          <w:tcPr>
            <w:tcW w:w="640" w:type="dxa"/>
            <w:vAlign w:val="bottom"/>
            <w:tcBorders>
              <w:bottom w:val="single" w:sz="8" w:color="2AD2C8"/>
            </w:tcBorders>
            <w:shd w:val="clear" w:color="auto" w:fill="2AD2C8"/>
          </w:tcPr>
          <w:p>
            <w:pPr>
              <w:jc w:val="center"/>
              <w:ind w:left="187"/>
              <w:spacing w:after="0"/>
              <w:rPr>
                <w:sz w:val="20"/>
                <w:szCs w:val="20"/>
                <w:color w:val="auto"/>
              </w:rPr>
            </w:pPr>
            <w:r>
              <w:rPr>
                <w:rFonts w:ascii="Calibri" w:cs="Calibri" w:eastAsia="Calibri" w:hAnsi="Calibri"/>
                <w:sz w:val="13"/>
                <w:szCs w:val="13"/>
                <w:b w:val="1"/>
                <w:bCs w:val="1"/>
                <w:color w:val="FFFFFF"/>
                <w:w w:val="97"/>
              </w:rPr>
              <w:t>4Q23</w:t>
            </w:r>
          </w:p>
        </w:tc>
        <w:tc>
          <w:tcPr>
            <w:tcW w:w="540" w:type="dxa"/>
            <w:vAlign w:val="bottom"/>
            <w:tcBorders>
              <w:bottom w:val="single" w:sz="8" w:color="2AD2C8"/>
              <w:right w:val="single" w:sz="8" w:color="2AD2C8"/>
            </w:tcBorders>
            <w:shd w:val="clear" w:color="auto" w:fill="2AD2C8"/>
          </w:tcPr>
          <w:p>
            <w:pPr>
              <w:spacing w:after="0"/>
              <w:rPr>
                <w:sz w:val="19"/>
                <w:szCs w:val="19"/>
                <w:color w:val="auto"/>
              </w:rPr>
            </w:pPr>
          </w:p>
        </w:tc>
        <w:tc>
          <w:tcPr>
            <w:tcW w:w="380" w:type="dxa"/>
            <w:vAlign w:val="bottom"/>
            <w:tcBorders>
              <w:bottom w:val="single" w:sz="8" w:color="2AD2C8"/>
            </w:tcBorders>
            <w:shd w:val="clear" w:color="auto" w:fill="2AD2C8"/>
          </w:tcPr>
          <w:p>
            <w:pPr>
              <w:ind w:left="20"/>
              <w:spacing w:after="0"/>
              <w:rPr>
                <w:sz w:val="20"/>
                <w:szCs w:val="20"/>
                <w:color w:val="auto"/>
              </w:rPr>
            </w:pPr>
            <w:r>
              <w:rPr>
                <w:rFonts w:ascii="Calibri" w:cs="Calibri" w:eastAsia="Calibri" w:hAnsi="Calibri"/>
                <w:sz w:val="13"/>
                <w:szCs w:val="13"/>
                <w:b w:val="1"/>
                <w:bCs w:val="1"/>
                <w:color w:val="FFFFFF"/>
              </w:rPr>
              <w:t>3Q24</w:t>
            </w:r>
          </w:p>
        </w:tc>
        <w:tc>
          <w:tcPr>
            <w:tcW w:w="340" w:type="dxa"/>
            <w:vAlign w:val="bottom"/>
            <w:tcBorders>
              <w:bottom w:val="single" w:sz="8" w:color="2AD2C8"/>
              <w:right w:val="single" w:sz="8" w:color="auto"/>
            </w:tcBorders>
            <w:shd w:val="clear" w:color="auto" w:fill="2AD2C8"/>
          </w:tcPr>
          <w:p>
            <w:pPr>
              <w:spacing w:after="0"/>
              <w:rPr>
                <w:sz w:val="19"/>
                <w:szCs w:val="19"/>
                <w:color w:val="auto"/>
              </w:rPr>
            </w:pPr>
          </w:p>
        </w:tc>
        <w:tc>
          <w:tcPr>
            <w:tcW w:w="920" w:type="dxa"/>
            <w:vAlign w:val="bottom"/>
            <w:tcBorders>
              <w:bottom w:val="single" w:sz="8" w:color="2AD2C8"/>
              <w:right w:val="single" w:sz="8" w:color="auto"/>
            </w:tcBorders>
            <w:gridSpan w:val="2"/>
            <w:shd w:val="clear" w:color="auto" w:fill="2AD2C8"/>
          </w:tcPr>
          <w:p>
            <w:pPr>
              <w:jc w:val="center"/>
              <w:ind w:right="20"/>
              <w:spacing w:after="0"/>
              <w:rPr>
                <w:sz w:val="20"/>
                <w:szCs w:val="20"/>
                <w:color w:val="auto"/>
              </w:rPr>
            </w:pPr>
            <w:r>
              <w:rPr>
                <w:rFonts w:ascii="Calibri" w:cs="Calibri" w:eastAsia="Calibri" w:hAnsi="Calibri"/>
                <w:sz w:val="13"/>
                <w:szCs w:val="13"/>
                <w:b w:val="1"/>
                <w:bCs w:val="1"/>
                <w:color w:val="FFFFFF"/>
              </w:rPr>
              <w:t>4Q24</w:t>
            </w:r>
          </w:p>
        </w:tc>
        <w:tc>
          <w:tcPr>
            <w:tcW w:w="600" w:type="dxa"/>
            <w:vAlign w:val="bottom"/>
            <w:tcBorders>
              <w:bottom w:val="single" w:sz="8" w:color="2AD2C8"/>
            </w:tcBorders>
            <w:shd w:val="clear" w:color="auto" w:fill="2AD2C8"/>
          </w:tcPr>
          <w:p>
            <w:pPr>
              <w:jc w:val="center"/>
              <w:ind w:left="61"/>
              <w:spacing w:after="0"/>
              <w:rPr>
                <w:sz w:val="20"/>
                <w:szCs w:val="20"/>
                <w:color w:val="auto"/>
              </w:rPr>
            </w:pPr>
            <w:r>
              <w:rPr>
                <w:rFonts w:ascii="Calibri" w:cs="Calibri" w:eastAsia="Calibri" w:hAnsi="Calibri"/>
                <w:sz w:val="13"/>
                <w:szCs w:val="13"/>
                <w:b w:val="1"/>
                <w:bCs w:val="1"/>
                <w:color w:val="FFFFFF"/>
                <w:w w:val="96"/>
              </w:rPr>
              <w:t>QoQ</w:t>
            </w:r>
          </w:p>
        </w:tc>
        <w:tc>
          <w:tcPr>
            <w:tcW w:w="260" w:type="dxa"/>
            <w:vAlign w:val="bottom"/>
            <w:tcBorders>
              <w:bottom w:val="single" w:sz="8" w:color="2AD2C8"/>
            </w:tcBorders>
            <w:shd w:val="clear" w:color="auto" w:fill="2AD2C8"/>
          </w:tcPr>
          <w:p>
            <w:pPr>
              <w:spacing w:after="0"/>
              <w:rPr>
                <w:sz w:val="19"/>
                <w:szCs w:val="19"/>
                <w:color w:val="auto"/>
              </w:rPr>
            </w:pPr>
          </w:p>
        </w:tc>
        <w:tc>
          <w:tcPr>
            <w:tcW w:w="420" w:type="dxa"/>
            <w:vAlign w:val="bottom"/>
            <w:tcBorders>
              <w:bottom w:val="single" w:sz="8" w:color="2AD2C8"/>
            </w:tcBorders>
            <w:shd w:val="clear" w:color="auto" w:fill="2AD2C8"/>
          </w:tcPr>
          <w:p>
            <w:pPr>
              <w:jc w:val="center"/>
              <w:ind w:left="4"/>
              <w:spacing w:after="0"/>
              <w:rPr>
                <w:sz w:val="20"/>
                <w:szCs w:val="20"/>
                <w:color w:val="auto"/>
              </w:rPr>
            </w:pPr>
            <w:r>
              <w:rPr>
                <w:rFonts w:ascii="Calibri" w:cs="Calibri" w:eastAsia="Calibri" w:hAnsi="Calibri"/>
                <w:sz w:val="13"/>
                <w:szCs w:val="13"/>
                <w:b w:val="1"/>
                <w:bCs w:val="1"/>
                <w:color w:val="FFFFFF"/>
                <w:w w:val="97"/>
              </w:rPr>
              <w:t>YoY</w:t>
            </w:r>
          </w:p>
        </w:tc>
        <w:tc>
          <w:tcPr>
            <w:tcW w:w="160" w:type="dxa"/>
            <w:vAlign w:val="bottom"/>
            <w:tcBorders>
              <w:bottom w:val="single" w:sz="8" w:color="2AD2C8"/>
              <w:right w:val="single" w:sz="8" w:color="auto"/>
            </w:tcBorders>
            <w:shd w:val="clear" w:color="auto" w:fill="2AD2C8"/>
          </w:tcPr>
          <w:p>
            <w:pPr>
              <w:spacing w:after="0"/>
              <w:rPr>
                <w:sz w:val="19"/>
                <w:szCs w:val="19"/>
                <w:color w:val="auto"/>
              </w:rPr>
            </w:pPr>
          </w:p>
        </w:tc>
        <w:tc>
          <w:tcPr>
            <w:tcW w:w="620" w:type="dxa"/>
            <w:vAlign w:val="bottom"/>
            <w:tcBorders>
              <w:bottom w:val="single" w:sz="8" w:color="2AD2C8"/>
            </w:tcBorders>
            <w:shd w:val="clear" w:color="auto" w:fill="2AD2C8"/>
          </w:tcPr>
          <w:p>
            <w:pPr>
              <w:jc w:val="center"/>
              <w:ind w:left="126"/>
              <w:spacing w:after="0"/>
              <w:rPr>
                <w:sz w:val="20"/>
                <w:szCs w:val="20"/>
                <w:color w:val="auto"/>
              </w:rPr>
            </w:pPr>
            <w:r>
              <w:rPr>
                <w:rFonts w:ascii="Calibri" w:cs="Calibri" w:eastAsia="Calibri" w:hAnsi="Calibri"/>
                <w:sz w:val="13"/>
                <w:szCs w:val="13"/>
                <w:b w:val="1"/>
                <w:bCs w:val="1"/>
                <w:color w:val="FFFFFF"/>
                <w:w w:val="99"/>
              </w:rPr>
              <w:t>Dec 23</w:t>
            </w:r>
          </w:p>
        </w:tc>
        <w:tc>
          <w:tcPr>
            <w:tcW w:w="120" w:type="dxa"/>
            <w:vAlign w:val="bottom"/>
            <w:tcBorders>
              <w:bottom w:val="single" w:sz="8" w:color="2AD2C8"/>
              <w:right w:val="single" w:sz="8" w:color="2AD2C8"/>
            </w:tcBorders>
            <w:shd w:val="clear" w:color="auto" w:fill="2AD2C8"/>
          </w:tcPr>
          <w:p>
            <w:pPr>
              <w:spacing w:after="0"/>
              <w:rPr>
                <w:sz w:val="19"/>
                <w:szCs w:val="19"/>
                <w:color w:val="auto"/>
              </w:rPr>
            </w:pPr>
          </w:p>
        </w:tc>
        <w:tc>
          <w:tcPr>
            <w:tcW w:w="900" w:type="dxa"/>
            <w:vAlign w:val="bottom"/>
            <w:tcBorders>
              <w:bottom w:val="single" w:sz="8" w:color="2AD2C8"/>
              <w:right w:val="single" w:sz="8" w:color="auto"/>
            </w:tcBorders>
            <w:shd w:val="clear" w:color="auto" w:fill="2AD2C8"/>
          </w:tcPr>
          <w:p>
            <w:pPr>
              <w:jc w:val="right"/>
              <w:ind w:right="235"/>
              <w:spacing w:after="0"/>
              <w:rPr>
                <w:sz w:val="20"/>
                <w:szCs w:val="20"/>
                <w:color w:val="auto"/>
              </w:rPr>
            </w:pPr>
            <w:r>
              <w:rPr>
                <w:rFonts w:ascii="Calibri" w:cs="Calibri" w:eastAsia="Calibri" w:hAnsi="Calibri"/>
                <w:sz w:val="13"/>
                <w:szCs w:val="13"/>
                <w:b w:val="1"/>
                <w:bCs w:val="1"/>
                <w:color w:val="FFFFFF"/>
              </w:rPr>
              <w:t>Dec 24</w:t>
            </w:r>
          </w:p>
        </w:tc>
        <w:tc>
          <w:tcPr>
            <w:tcW w:w="1140" w:type="dxa"/>
            <w:vAlign w:val="bottom"/>
            <w:tcBorders>
              <w:bottom w:val="single" w:sz="8" w:color="2AD2C8"/>
              <w:right w:val="single" w:sz="8" w:color="auto"/>
            </w:tcBorders>
            <w:shd w:val="clear" w:color="auto" w:fill="2AD2C8"/>
          </w:tcPr>
          <w:p>
            <w:pPr>
              <w:jc w:val="center"/>
              <w:spacing w:after="0"/>
              <w:rPr>
                <w:sz w:val="20"/>
                <w:szCs w:val="20"/>
                <w:color w:val="auto"/>
              </w:rPr>
            </w:pPr>
            <w:r>
              <w:rPr>
                <w:rFonts w:ascii="Calibri" w:cs="Calibri" w:eastAsia="Calibri" w:hAnsi="Calibri"/>
                <w:sz w:val="13"/>
                <w:szCs w:val="13"/>
                <w:b w:val="1"/>
                <w:bCs w:val="1"/>
                <w:color w:val="FFFFFF"/>
              </w:rPr>
              <w:t>Dec 24 /Dec 23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320" w:type="dxa"/>
            <w:vAlign w:val="bottom"/>
            <w:tcBorders>
              <w:right w:val="single" w:sz="8" w:color="auto"/>
            </w:tcBorders>
          </w:tcPr>
          <w:p>
            <w:pPr>
              <w:spacing w:after="0"/>
              <w:rPr>
                <w:sz w:val="10"/>
                <w:szCs w:val="10"/>
                <w:color w:val="auto"/>
              </w:rPr>
            </w:pPr>
          </w:p>
        </w:tc>
        <w:tc>
          <w:tcPr>
            <w:tcW w:w="2560" w:type="dxa"/>
            <w:vAlign w:val="bottom"/>
            <w:tcBorders>
              <w:top w:val="single" w:sz="8" w:color="auto"/>
            </w:tcBorders>
          </w:tcPr>
          <w:p>
            <w:pPr>
              <w:spacing w:after="0"/>
              <w:rPr>
                <w:sz w:val="20"/>
                <w:szCs w:val="20"/>
                <w:color w:val="auto"/>
              </w:rPr>
            </w:pPr>
            <w:r>
              <w:rPr>
                <w:rFonts w:ascii="Calibri" w:cs="Calibri" w:eastAsia="Calibri" w:hAnsi="Calibri"/>
                <w:sz w:val="10"/>
                <w:szCs w:val="10"/>
                <w:color w:val="auto"/>
              </w:rPr>
              <w:t>Efciency rato</w:t>
            </w:r>
          </w:p>
        </w:tc>
        <w:tc>
          <w:tcPr>
            <w:tcW w:w="700" w:type="dxa"/>
            <w:vAlign w:val="bottom"/>
            <w:tcBorders>
              <w:top w:val="single" w:sz="8" w:color="auto"/>
            </w:tcBorders>
          </w:tcPr>
          <w:p>
            <w:pPr>
              <w:spacing w:after="0"/>
              <w:rPr>
                <w:sz w:val="10"/>
                <w:szCs w:val="10"/>
                <w:color w:val="auto"/>
              </w:rPr>
            </w:pPr>
          </w:p>
        </w:tc>
        <w:tc>
          <w:tcPr>
            <w:tcW w:w="36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tcBorders>
          </w:tcPr>
          <w:p>
            <w:pPr>
              <w:jc w:val="center"/>
              <w:ind w:left="207"/>
              <w:spacing w:after="0"/>
              <w:rPr>
                <w:sz w:val="20"/>
                <w:szCs w:val="20"/>
                <w:color w:val="auto"/>
              </w:rPr>
            </w:pPr>
            <w:r>
              <w:rPr>
                <w:rFonts w:ascii="Calibri" w:cs="Calibri" w:eastAsia="Calibri" w:hAnsi="Calibri"/>
                <w:sz w:val="10"/>
                <w:szCs w:val="10"/>
                <w:color w:val="auto"/>
              </w:rPr>
              <w:t>59.0%</w:t>
            </w:r>
          </w:p>
        </w:tc>
        <w:tc>
          <w:tcPr>
            <w:tcW w:w="920" w:type="dxa"/>
            <w:vAlign w:val="bottom"/>
            <w:tcBorders>
              <w:top w:val="single" w:sz="8" w:color="auto"/>
            </w:tcBorders>
            <w:gridSpan w:val="2"/>
          </w:tcPr>
          <w:p>
            <w:pPr>
              <w:jc w:val="center"/>
              <w:ind w:left="522"/>
              <w:spacing w:after="0"/>
              <w:rPr>
                <w:sz w:val="20"/>
                <w:szCs w:val="20"/>
                <w:color w:val="auto"/>
              </w:rPr>
            </w:pPr>
            <w:r>
              <w:rPr>
                <w:rFonts w:ascii="Calibri" w:cs="Calibri" w:eastAsia="Calibri" w:hAnsi="Calibri"/>
                <w:sz w:val="10"/>
                <w:szCs w:val="10"/>
                <w:color w:val="auto"/>
              </w:rPr>
              <w:t>80.3%</w:t>
            </w:r>
          </w:p>
        </w:tc>
        <w:tc>
          <w:tcPr>
            <w:tcW w:w="34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tcBorders>
          </w:tcPr>
          <w:p>
            <w:pPr>
              <w:jc w:val="center"/>
              <w:ind w:left="47"/>
              <w:spacing w:after="0"/>
              <w:rPr>
                <w:sz w:val="20"/>
                <w:szCs w:val="20"/>
                <w:color w:val="auto"/>
              </w:rPr>
            </w:pPr>
            <w:r>
              <w:rPr>
                <w:rFonts w:ascii="Calibri" w:cs="Calibri" w:eastAsia="Calibri" w:hAnsi="Calibri"/>
                <w:sz w:val="10"/>
                <w:szCs w:val="10"/>
                <w:color w:val="auto"/>
              </w:rPr>
              <w:t>63.0%</w:t>
            </w:r>
          </w:p>
        </w:tc>
        <w:tc>
          <w:tcPr>
            <w:tcW w:w="12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tcBorders>
          </w:tcPr>
          <w:p>
            <w:pPr>
              <w:jc w:val="center"/>
              <w:ind w:left="81"/>
              <w:spacing w:after="0"/>
              <w:rPr>
                <w:sz w:val="20"/>
                <w:szCs w:val="20"/>
                <w:color w:val="auto"/>
              </w:rPr>
            </w:pPr>
            <w:r>
              <w:rPr>
                <w:rFonts w:ascii="Calibri" w:cs="Calibri" w:eastAsia="Calibri" w:hAnsi="Calibri"/>
                <w:sz w:val="10"/>
                <w:szCs w:val="10"/>
                <w:color w:val="auto"/>
              </w:rPr>
              <w:t>-1732 pbs</w:t>
            </w:r>
          </w:p>
        </w:tc>
        <w:tc>
          <w:tcPr>
            <w:tcW w:w="2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rPr>
                <w:sz w:val="20"/>
                <w:szCs w:val="20"/>
                <w:color w:val="auto"/>
              </w:rPr>
            </w:pPr>
            <w:r>
              <w:rPr>
                <w:rFonts w:ascii="Calibri" w:cs="Calibri" w:eastAsia="Calibri" w:hAnsi="Calibri"/>
                <w:sz w:val="10"/>
                <w:szCs w:val="10"/>
                <w:color w:val="auto"/>
              </w:rPr>
              <w:t>397 pbs</w:t>
            </w:r>
          </w:p>
        </w:tc>
        <w:tc>
          <w:tcPr>
            <w:tcW w:w="160" w:type="dxa"/>
            <w:vAlign w:val="bottom"/>
            <w:tcBorders>
              <w:top w:val="single" w:sz="8" w:color="auto"/>
              <w:right w:val="single" w:sz="8" w:color="auto"/>
            </w:tcBorders>
          </w:tcPr>
          <w:p>
            <w:pPr>
              <w:spacing w:after="0"/>
              <w:rPr>
                <w:sz w:val="10"/>
                <w:szCs w:val="10"/>
                <w:color w:val="auto"/>
              </w:rPr>
            </w:pPr>
          </w:p>
        </w:tc>
        <w:tc>
          <w:tcPr>
            <w:tcW w:w="620" w:type="dxa"/>
            <w:vAlign w:val="bottom"/>
            <w:tcBorders>
              <w:top w:val="single" w:sz="8" w:color="auto"/>
            </w:tcBorders>
          </w:tcPr>
          <w:p>
            <w:pPr>
              <w:jc w:val="right"/>
              <w:ind w:right="46"/>
              <w:spacing w:after="0"/>
              <w:rPr>
                <w:sz w:val="20"/>
                <w:szCs w:val="20"/>
                <w:color w:val="auto"/>
              </w:rPr>
            </w:pPr>
            <w:r>
              <w:rPr>
                <w:rFonts w:ascii="Calibri" w:cs="Calibri" w:eastAsia="Calibri" w:hAnsi="Calibri"/>
                <w:sz w:val="10"/>
                <w:szCs w:val="10"/>
                <w:color w:val="auto"/>
              </w:rPr>
              <w:t>61.3%</w:t>
            </w:r>
          </w:p>
        </w:tc>
        <w:tc>
          <w:tcPr>
            <w:tcW w:w="1020" w:type="dxa"/>
            <w:vAlign w:val="bottom"/>
            <w:tcBorders>
              <w:top w:val="single" w:sz="8" w:color="auto"/>
              <w:right w:val="single" w:sz="8" w:color="auto"/>
            </w:tcBorders>
            <w:gridSpan w:val="2"/>
          </w:tcPr>
          <w:p>
            <w:pPr>
              <w:jc w:val="right"/>
              <w:ind w:right="295"/>
              <w:spacing w:after="0"/>
              <w:rPr>
                <w:sz w:val="20"/>
                <w:szCs w:val="20"/>
                <w:color w:val="auto"/>
              </w:rPr>
            </w:pPr>
            <w:r>
              <w:rPr>
                <w:rFonts w:ascii="Calibri" w:cs="Calibri" w:eastAsia="Calibri" w:hAnsi="Calibri"/>
                <w:sz w:val="10"/>
                <w:szCs w:val="10"/>
                <w:color w:val="auto"/>
              </w:rPr>
              <w:t>63.9%</w:t>
            </w:r>
          </w:p>
        </w:tc>
        <w:tc>
          <w:tcPr>
            <w:tcW w:w="11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0"/>
                <w:szCs w:val="10"/>
                <w:color w:val="auto"/>
              </w:rPr>
              <w:t>262 pbs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ROAE</w:t>
            </w:r>
          </w:p>
        </w:tc>
        <w:tc>
          <w:tcPr>
            <w:tcW w:w="7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40" w:type="dxa"/>
            <w:vAlign w:val="bottom"/>
          </w:tcPr>
          <w:p>
            <w:pPr>
              <w:jc w:val="center"/>
              <w:ind w:left="207"/>
              <w:spacing w:after="0"/>
              <w:rPr>
                <w:sz w:val="20"/>
                <w:szCs w:val="20"/>
                <w:color w:val="auto"/>
              </w:rPr>
            </w:pPr>
            <w:r>
              <w:rPr>
                <w:rFonts w:ascii="Calibri" w:cs="Calibri" w:eastAsia="Calibri" w:hAnsi="Calibri"/>
                <w:sz w:val="10"/>
                <w:szCs w:val="10"/>
                <w:color w:val="auto"/>
              </w:rPr>
              <w:t>8.8%</w:t>
            </w:r>
          </w:p>
        </w:tc>
        <w:tc>
          <w:tcPr>
            <w:tcW w:w="920" w:type="dxa"/>
            <w:vAlign w:val="bottom"/>
            <w:gridSpan w:val="2"/>
          </w:tcPr>
          <w:p>
            <w:pPr>
              <w:jc w:val="center"/>
              <w:ind w:left="542"/>
              <w:spacing w:after="0"/>
              <w:rPr>
                <w:sz w:val="20"/>
                <w:szCs w:val="20"/>
                <w:color w:val="auto"/>
              </w:rPr>
            </w:pPr>
            <w:r>
              <w:rPr>
                <w:rFonts w:ascii="Calibri" w:cs="Calibri" w:eastAsia="Calibri" w:hAnsi="Calibri"/>
                <w:sz w:val="10"/>
                <w:szCs w:val="10"/>
                <w:color w:val="auto"/>
              </w:rPr>
              <w:t>6.8%</w:t>
            </w:r>
          </w:p>
        </w:tc>
        <w:tc>
          <w:tcPr>
            <w:tcW w:w="340" w:type="dxa"/>
            <w:vAlign w:val="bottom"/>
            <w:tcBorders>
              <w:right w:val="single" w:sz="8" w:color="auto"/>
            </w:tcBorders>
          </w:tcPr>
          <w:p>
            <w:pPr>
              <w:spacing w:after="0"/>
              <w:rPr>
                <w:sz w:val="11"/>
                <w:szCs w:val="11"/>
                <w:color w:val="auto"/>
              </w:rPr>
            </w:pPr>
          </w:p>
        </w:tc>
        <w:tc>
          <w:tcPr>
            <w:tcW w:w="800" w:type="dxa"/>
            <w:vAlign w:val="bottom"/>
          </w:tcPr>
          <w:p>
            <w:pPr>
              <w:jc w:val="center"/>
              <w:ind w:left="47"/>
              <w:spacing w:after="0"/>
              <w:rPr>
                <w:sz w:val="20"/>
                <w:szCs w:val="20"/>
                <w:color w:val="auto"/>
              </w:rPr>
            </w:pPr>
            <w:r>
              <w:rPr>
                <w:rFonts w:ascii="Calibri" w:cs="Calibri" w:eastAsia="Calibri" w:hAnsi="Calibri"/>
                <w:sz w:val="10"/>
                <w:szCs w:val="10"/>
                <w:color w:val="auto"/>
              </w:rPr>
              <w:t>9.5%</w:t>
            </w:r>
          </w:p>
        </w:tc>
        <w:tc>
          <w:tcPr>
            <w:tcW w:w="120" w:type="dxa"/>
            <w:vAlign w:val="bottom"/>
            <w:tcBorders>
              <w:right w:val="single" w:sz="8" w:color="auto"/>
            </w:tcBorders>
          </w:tcPr>
          <w:p>
            <w:pPr>
              <w:spacing w:after="0"/>
              <w:rPr>
                <w:sz w:val="11"/>
                <w:szCs w:val="11"/>
                <w:color w:val="auto"/>
              </w:rPr>
            </w:pPr>
          </w:p>
        </w:tc>
        <w:tc>
          <w:tcPr>
            <w:tcW w:w="600" w:type="dxa"/>
            <w:vAlign w:val="bottom"/>
          </w:tcPr>
          <w:p>
            <w:pPr>
              <w:jc w:val="center"/>
              <w:ind w:left="81"/>
              <w:spacing w:after="0"/>
              <w:rPr>
                <w:sz w:val="20"/>
                <w:szCs w:val="20"/>
                <w:color w:val="auto"/>
              </w:rPr>
            </w:pPr>
            <w:r>
              <w:rPr>
                <w:rFonts w:ascii="Calibri" w:cs="Calibri" w:eastAsia="Calibri" w:hAnsi="Calibri"/>
                <w:sz w:val="10"/>
                <w:szCs w:val="10"/>
                <w:color w:val="auto"/>
              </w:rPr>
              <w:t>271 pbs</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68 pbs</w:t>
            </w:r>
          </w:p>
        </w:tc>
        <w:tc>
          <w:tcPr>
            <w:tcW w:w="160" w:type="dxa"/>
            <w:vAlign w:val="bottom"/>
            <w:tcBorders>
              <w:right w:val="single" w:sz="8" w:color="auto"/>
            </w:tcBorders>
          </w:tcPr>
          <w:p>
            <w:pPr>
              <w:spacing w:after="0"/>
              <w:rPr>
                <w:sz w:val="11"/>
                <w:szCs w:val="11"/>
                <w:color w:val="auto"/>
              </w:rPr>
            </w:pPr>
          </w:p>
        </w:tc>
        <w:tc>
          <w:tcPr>
            <w:tcW w:w="620" w:type="dxa"/>
            <w:vAlign w:val="bottom"/>
          </w:tcPr>
          <w:p>
            <w:pPr>
              <w:jc w:val="right"/>
              <w:ind w:right="66"/>
              <w:spacing w:after="0"/>
              <w:rPr>
                <w:sz w:val="20"/>
                <w:szCs w:val="20"/>
                <w:color w:val="auto"/>
              </w:rPr>
            </w:pPr>
            <w:r>
              <w:rPr>
                <w:rFonts w:ascii="Calibri" w:cs="Calibri" w:eastAsia="Calibri" w:hAnsi="Calibri"/>
                <w:sz w:val="10"/>
                <w:szCs w:val="10"/>
                <w:color w:val="auto"/>
              </w:rPr>
              <w:t>9.5%</w:t>
            </w:r>
          </w:p>
        </w:tc>
        <w:tc>
          <w:tcPr>
            <w:tcW w:w="1020" w:type="dxa"/>
            <w:vAlign w:val="bottom"/>
            <w:tcBorders>
              <w:right w:val="single" w:sz="8" w:color="auto"/>
            </w:tcBorders>
            <w:gridSpan w:val="2"/>
          </w:tcPr>
          <w:p>
            <w:pPr>
              <w:jc w:val="right"/>
              <w:ind w:right="335"/>
              <w:spacing w:after="0"/>
              <w:rPr>
                <w:sz w:val="20"/>
                <w:szCs w:val="20"/>
                <w:color w:val="auto"/>
              </w:rPr>
            </w:pPr>
            <w:r>
              <w:rPr>
                <w:rFonts w:ascii="Calibri" w:cs="Calibri" w:eastAsia="Calibri" w:hAnsi="Calibri"/>
                <w:sz w:val="10"/>
                <w:szCs w:val="10"/>
                <w:color w:val="auto"/>
              </w:rPr>
              <w:t>9.9%</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0"/>
                <w:szCs w:val="10"/>
                <w:color w:val="auto"/>
              </w:rPr>
              <w:t>37 pbs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20" w:type="dxa"/>
            <w:vAlign w:val="bottom"/>
            <w:tcBorders>
              <w:right w:val="single" w:sz="8" w:color="auto"/>
            </w:tcBorders>
          </w:tcPr>
          <w:p>
            <w:pPr>
              <w:spacing w:after="0"/>
              <w:rPr>
                <w:sz w:val="2"/>
                <w:szCs w:val="2"/>
                <w:color w:val="auto"/>
              </w:rPr>
            </w:pPr>
          </w:p>
        </w:tc>
        <w:tc>
          <w:tcPr>
            <w:tcW w:w="2560" w:type="dxa"/>
            <w:vAlign w:val="bottom"/>
            <w:vMerge w:val="restart"/>
          </w:tcPr>
          <w:p>
            <w:pPr>
              <w:spacing w:after="0"/>
              <w:rPr>
                <w:sz w:val="20"/>
                <w:szCs w:val="20"/>
                <w:color w:val="auto"/>
              </w:rPr>
            </w:pPr>
            <w:r>
              <w:rPr>
                <w:rFonts w:ascii="Calibri" w:cs="Calibri" w:eastAsia="Calibri" w:hAnsi="Calibri"/>
                <w:sz w:val="10"/>
                <w:szCs w:val="10"/>
                <w:color w:val="auto"/>
              </w:rPr>
              <w:t>L/D rato</w:t>
            </w:r>
          </w:p>
        </w:tc>
        <w:tc>
          <w:tcPr>
            <w:tcW w:w="7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40" w:type="dxa"/>
            <w:vAlign w:val="bottom"/>
            <w:vMerge w:val="restart"/>
          </w:tcPr>
          <w:p>
            <w:pPr>
              <w:jc w:val="center"/>
              <w:ind w:left="207"/>
              <w:spacing w:after="0"/>
              <w:rPr>
                <w:sz w:val="20"/>
                <w:szCs w:val="20"/>
                <w:color w:val="auto"/>
              </w:rPr>
            </w:pPr>
            <w:r>
              <w:rPr>
                <w:rFonts w:ascii="Calibri" w:cs="Calibri" w:eastAsia="Calibri" w:hAnsi="Calibri"/>
                <w:sz w:val="10"/>
                <w:szCs w:val="10"/>
                <w:color w:val="auto"/>
              </w:rPr>
              <w:t>81.9%</w:t>
            </w:r>
          </w:p>
        </w:tc>
        <w:tc>
          <w:tcPr>
            <w:tcW w:w="920" w:type="dxa"/>
            <w:vAlign w:val="bottom"/>
            <w:gridSpan w:val="2"/>
            <w:vMerge w:val="restart"/>
          </w:tcPr>
          <w:p>
            <w:pPr>
              <w:jc w:val="center"/>
              <w:ind w:left="522"/>
              <w:spacing w:after="0"/>
              <w:rPr>
                <w:sz w:val="20"/>
                <w:szCs w:val="20"/>
                <w:color w:val="auto"/>
              </w:rPr>
            </w:pPr>
            <w:r>
              <w:rPr>
                <w:rFonts w:ascii="Calibri" w:cs="Calibri" w:eastAsia="Calibri" w:hAnsi="Calibri"/>
                <w:sz w:val="10"/>
                <w:szCs w:val="10"/>
                <w:color w:val="auto"/>
              </w:rPr>
              <w:t>84.0%</w:t>
            </w:r>
          </w:p>
        </w:tc>
        <w:tc>
          <w:tcPr>
            <w:tcW w:w="340" w:type="dxa"/>
            <w:vAlign w:val="bottom"/>
            <w:tcBorders>
              <w:right w:val="single" w:sz="8" w:color="auto"/>
            </w:tcBorders>
          </w:tcPr>
          <w:p>
            <w:pPr>
              <w:spacing w:after="0"/>
              <w:rPr>
                <w:sz w:val="2"/>
                <w:szCs w:val="2"/>
                <w:color w:val="auto"/>
              </w:rPr>
            </w:pPr>
          </w:p>
        </w:tc>
        <w:tc>
          <w:tcPr>
            <w:tcW w:w="800" w:type="dxa"/>
            <w:vAlign w:val="bottom"/>
            <w:vMerge w:val="restart"/>
          </w:tcPr>
          <w:p>
            <w:pPr>
              <w:jc w:val="center"/>
              <w:ind w:left="47"/>
              <w:spacing w:after="0"/>
              <w:rPr>
                <w:sz w:val="20"/>
                <w:szCs w:val="20"/>
                <w:color w:val="auto"/>
              </w:rPr>
            </w:pPr>
            <w:r>
              <w:rPr>
                <w:rFonts w:ascii="Calibri" w:cs="Calibri" w:eastAsia="Calibri" w:hAnsi="Calibri"/>
                <w:sz w:val="10"/>
                <w:szCs w:val="10"/>
                <w:color w:val="auto"/>
              </w:rPr>
              <w:t>81.8%</w:t>
            </w:r>
          </w:p>
        </w:tc>
        <w:tc>
          <w:tcPr>
            <w:tcW w:w="120" w:type="dxa"/>
            <w:vAlign w:val="bottom"/>
            <w:tcBorders>
              <w:right w:val="single" w:sz="8" w:color="auto"/>
            </w:tcBorders>
          </w:tcPr>
          <w:p>
            <w:pPr>
              <w:spacing w:after="0"/>
              <w:rPr>
                <w:sz w:val="2"/>
                <w:szCs w:val="2"/>
                <w:color w:val="auto"/>
              </w:rPr>
            </w:pPr>
          </w:p>
        </w:tc>
        <w:tc>
          <w:tcPr>
            <w:tcW w:w="600" w:type="dxa"/>
            <w:vAlign w:val="bottom"/>
            <w:vMerge w:val="restart"/>
          </w:tcPr>
          <w:p>
            <w:pPr>
              <w:jc w:val="center"/>
              <w:ind w:left="61"/>
              <w:spacing w:after="0"/>
              <w:rPr>
                <w:sz w:val="20"/>
                <w:szCs w:val="20"/>
                <w:color w:val="auto"/>
              </w:rPr>
            </w:pPr>
            <w:r>
              <w:rPr>
                <w:rFonts w:ascii="Calibri" w:cs="Calibri" w:eastAsia="Calibri" w:hAnsi="Calibri"/>
                <w:sz w:val="10"/>
                <w:szCs w:val="10"/>
                <w:color w:val="auto"/>
              </w:rPr>
              <w:t>-215 pbs</w:t>
            </w:r>
          </w:p>
        </w:tc>
        <w:tc>
          <w:tcPr>
            <w:tcW w:w="260" w:type="dxa"/>
            <w:vAlign w:val="bottom"/>
          </w:tcPr>
          <w:p>
            <w:pPr>
              <w:spacing w:after="0"/>
              <w:rPr>
                <w:sz w:val="2"/>
                <w:szCs w:val="2"/>
                <w:color w:val="auto"/>
              </w:rPr>
            </w:pPr>
          </w:p>
        </w:tc>
        <w:tc>
          <w:tcPr>
            <w:tcW w:w="420" w:type="dxa"/>
            <w:vAlign w:val="bottom"/>
            <w:vMerge w:val="restart"/>
          </w:tcPr>
          <w:p>
            <w:pPr>
              <w:jc w:val="center"/>
              <w:spacing w:after="0"/>
              <w:rPr>
                <w:sz w:val="20"/>
                <w:szCs w:val="20"/>
                <w:color w:val="auto"/>
              </w:rPr>
            </w:pPr>
            <w:r>
              <w:rPr>
                <w:rFonts w:ascii="Calibri" w:cs="Calibri" w:eastAsia="Calibri" w:hAnsi="Calibri"/>
                <w:sz w:val="10"/>
                <w:szCs w:val="10"/>
                <w:color w:val="auto"/>
              </w:rPr>
              <w:t>-5 pbs</w:t>
            </w:r>
          </w:p>
        </w:tc>
        <w:tc>
          <w:tcPr>
            <w:tcW w:w="160" w:type="dxa"/>
            <w:vAlign w:val="bottom"/>
            <w:tcBorders>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320" w:type="dxa"/>
            <w:vAlign w:val="bottom"/>
            <w:tcBorders>
              <w:right w:val="single" w:sz="8" w:color="auto"/>
            </w:tcBorders>
          </w:tcPr>
          <w:p>
            <w:pPr>
              <w:spacing w:after="0"/>
              <w:rPr>
                <w:sz w:val="9"/>
                <w:szCs w:val="9"/>
                <w:color w:val="auto"/>
              </w:rPr>
            </w:pPr>
          </w:p>
        </w:tc>
        <w:tc>
          <w:tcPr>
            <w:tcW w:w="25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IOL rato</w:t>
            </w:r>
          </w:p>
        </w:tc>
        <w:tc>
          <w:tcPr>
            <w:tcW w:w="7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40" w:type="dxa"/>
            <w:vAlign w:val="bottom"/>
          </w:tcPr>
          <w:p>
            <w:pPr>
              <w:jc w:val="center"/>
              <w:ind w:left="207"/>
              <w:spacing w:after="0"/>
              <w:rPr>
                <w:sz w:val="20"/>
                <w:szCs w:val="20"/>
                <w:color w:val="auto"/>
              </w:rPr>
            </w:pPr>
            <w:r>
              <w:rPr>
                <w:rFonts w:ascii="Calibri" w:cs="Calibri" w:eastAsia="Calibri" w:hAnsi="Calibri"/>
                <w:sz w:val="10"/>
                <w:szCs w:val="10"/>
                <w:color w:val="auto"/>
              </w:rPr>
              <w:t>2.6%</w:t>
            </w:r>
          </w:p>
        </w:tc>
        <w:tc>
          <w:tcPr>
            <w:tcW w:w="920" w:type="dxa"/>
            <w:vAlign w:val="bottom"/>
            <w:gridSpan w:val="2"/>
          </w:tcPr>
          <w:p>
            <w:pPr>
              <w:jc w:val="center"/>
              <w:ind w:left="542"/>
              <w:spacing w:after="0"/>
              <w:rPr>
                <w:sz w:val="20"/>
                <w:szCs w:val="20"/>
                <w:color w:val="auto"/>
              </w:rPr>
            </w:pPr>
            <w:r>
              <w:rPr>
                <w:rFonts w:ascii="Calibri" w:cs="Calibri" w:eastAsia="Calibri" w:hAnsi="Calibri"/>
                <w:sz w:val="10"/>
                <w:szCs w:val="10"/>
                <w:color w:val="auto"/>
              </w:rPr>
              <w:t>2.8%</w:t>
            </w:r>
          </w:p>
        </w:tc>
        <w:tc>
          <w:tcPr>
            <w:tcW w:w="340" w:type="dxa"/>
            <w:vAlign w:val="bottom"/>
            <w:tcBorders>
              <w:right w:val="single" w:sz="8" w:color="auto"/>
            </w:tcBorders>
          </w:tcPr>
          <w:p>
            <w:pPr>
              <w:spacing w:after="0"/>
              <w:rPr>
                <w:sz w:val="11"/>
                <w:szCs w:val="11"/>
                <w:color w:val="auto"/>
              </w:rPr>
            </w:pPr>
          </w:p>
        </w:tc>
        <w:tc>
          <w:tcPr>
            <w:tcW w:w="800" w:type="dxa"/>
            <w:vAlign w:val="bottom"/>
          </w:tcPr>
          <w:p>
            <w:pPr>
              <w:jc w:val="center"/>
              <w:ind w:left="47"/>
              <w:spacing w:after="0"/>
              <w:rPr>
                <w:sz w:val="20"/>
                <w:szCs w:val="20"/>
                <w:color w:val="auto"/>
              </w:rPr>
            </w:pPr>
            <w:r>
              <w:rPr>
                <w:rFonts w:ascii="Calibri" w:cs="Calibri" w:eastAsia="Calibri" w:hAnsi="Calibri"/>
                <w:sz w:val="10"/>
                <w:szCs w:val="10"/>
                <w:color w:val="auto"/>
              </w:rPr>
              <w:t>2.7%</w:t>
            </w:r>
          </w:p>
        </w:tc>
        <w:tc>
          <w:tcPr>
            <w:tcW w:w="120" w:type="dxa"/>
            <w:vAlign w:val="bottom"/>
            <w:tcBorders>
              <w:right w:val="single" w:sz="8" w:color="auto"/>
            </w:tcBorders>
          </w:tcPr>
          <w:p>
            <w:pPr>
              <w:spacing w:after="0"/>
              <w:rPr>
                <w:sz w:val="11"/>
                <w:szCs w:val="11"/>
                <w:color w:val="auto"/>
              </w:rPr>
            </w:pPr>
          </w:p>
        </w:tc>
        <w:tc>
          <w:tcPr>
            <w:tcW w:w="600" w:type="dxa"/>
            <w:vAlign w:val="bottom"/>
          </w:tcPr>
          <w:p>
            <w:pPr>
              <w:jc w:val="center"/>
              <w:ind w:left="81"/>
              <w:spacing w:after="0"/>
              <w:rPr>
                <w:sz w:val="20"/>
                <w:szCs w:val="20"/>
                <w:color w:val="auto"/>
              </w:rPr>
            </w:pPr>
            <w:r>
              <w:rPr>
                <w:rFonts w:ascii="Calibri" w:cs="Calibri" w:eastAsia="Calibri" w:hAnsi="Calibri"/>
                <w:sz w:val="10"/>
                <w:szCs w:val="10"/>
                <w:color w:val="auto"/>
              </w:rPr>
              <w:t>-7 pbs</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12 pbs</w:t>
            </w:r>
          </w:p>
        </w:tc>
        <w:tc>
          <w:tcPr>
            <w:tcW w:w="16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NPL rato</w:t>
            </w:r>
          </w:p>
        </w:tc>
        <w:tc>
          <w:tcPr>
            <w:tcW w:w="7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Pr>
          <w:p>
            <w:pPr>
              <w:jc w:val="center"/>
              <w:ind w:left="207"/>
              <w:spacing w:after="0"/>
              <w:rPr>
                <w:sz w:val="20"/>
                <w:szCs w:val="20"/>
                <w:color w:val="auto"/>
              </w:rPr>
            </w:pPr>
            <w:r>
              <w:rPr>
                <w:rFonts w:ascii="Calibri" w:cs="Calibri" w:eastAsia="Calibri" w:hAnsi="Calibri"/>
                <w:sz w:val="10"/>
                <w:szCs w:val="10"/>
                <w:color w:val="auto"/>
              </w:rPr>
              <w:t>3.1%</w:t>
            </w:r>
          </w:p>
        </w:tc>
        <w:tc>
          <w:tcPr>
            <w:tcW w:w="920" w:type="dxa"/>
            <w:vAlign w:val="bottom"/>
            <w:gridSpan w:val="2"/>
          </w:tcPr>
          <w:p>
            <w:pPr>
              <w:jc w:val="center"/>
              <w:ind w:left="542"/>
              <w:spacing w:after="0"/>
              <w:rPr>
                <w:sz w:val="20"/>
                <w:szCs w:val="20"/>
                <w:color w:val="auto"/>
              </w:rPr>
            </w:pPr>
            <w:r>
              <w:rPr>
                <w:rFonts w:ascii="Calibri" w:cs="Calibri" w:eastAsia="Calibri" w:hAnsi="Calibri"/>
                <w:sz w:val="10"/>
                <w:szCs w:val="10"/>
                <w:color w:val="auto"/>
              </w:rPr>
              <w:t>3.3%</w:t>
            </w:r>
          </w:p>
        </w:tc>
        <w:tc>
          <w:tcPr>
            <w:tcW w:w="340" w:type="dxa"/>
            <w:vAlign w:val="bottom"/>
            <w:tcBorders>
              <w:right w:val="single" w:sz="8" w:color="auto"/>
            </w:tcBorders>
          </w:tcPr>
          <w:p>
            <w:pPr>
              <w:spacing w:after="0"/>
              <w:rPr>
                <w:sz w:val="12"/>
                <w:szCs w:val="12"/>
                <w:color w:val="auto"/>
              </w:rPr>
            </w:pPr>
          </w:p>
        </w:tc>
        <w:tc>
          <w:tcPr>
            <w:tcW w:w="800" w:type="dxa"/>
            <w:vAlign w:val="bottom"/>
          </w:tcPr>
          <w:p>
            <w:pPr>
              <w:jc w:val="center"/>
              <w:ind w:left="47"/>
              <w:spacing w:after="0"/>
              <w:rPr>
                <w:sz w:val="20"/>
                <w:szCs w:val="20"/>
                <w:color w:val="auto"/>
              </w:rPr>
            </w:pPr>
            <w:r>
              <w:rPr>
                <w:rFonts w:ascii="Calibri" w:cs="Calibri" w:eastAsia="Calibri" w:hAnsi="Calibri"/>
                <w:sz w:val="10"/>
                <w:szCs w:val="10"/>
                <w:color w:val="auto"/>
              </w:rPr>
              <w:t>3.3%</w:t>
            </w:r>
          </w:p>
        </w:tc>
        <w:tc>
          <w:tcPr>
            <w:tcW w:w="120" w:type="dxa"/>
            <w:vAlign w:val="bottom"/>
            <w:tcBorders>
              <w:right w:val="single" w:sz="8" w:color="auto"/>
            </w:tcBorders>
          </w:tcPr>
          <w:p>
            <w:pPr>
              <w:spacing w:after="0"/>
              <w:rPr>
                <w:sz w:val="12"/>
                <w:szCs w:val="12"/>
                <w:color w:val="auto"/>
              </w:rPr>
            </w:pPr>
          </w:p>
        </w:tc>
        <w:tc>
          <w:tcPr>
            <w:tcW w:w="600" w:type="dxa"/>
            <w:vAlign w:val="bottom"/>
          </w:tcPr>
          <w:p>
            <w:pPr>
              <w:jc w:val="center"/>
              <w:ind w:left="81"/>
              <w:spacing w:after="0"/>
              <w:rPr>
                <w:sz w:val="20"/>
                <w:szCs w:val="20"/>
                <w:color w:val="auto"/>
              </w:rPr>
            </w:pPr>
            <w:r>
              <w:rPr>
                <w:rFonts w:ascii="Calibri" w:cs="Calibri" w:eastAsia="Calibri" w:hAnsi="Calibri"/>
                <w:sz w:val="10"/>
                <w:szCs w:val="10"/>
                <w:color w:val="auto"/>
              </w:rPr>
              <w:t>1 pbs</w:t>
            </w:r>
          </w:p>
        </w:tc>
        <w:tc>
          <w:tcPr>
            <w:tcW w:w="26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24 pbs</w:t>
            </w:r>
          </w:p>
        </w:tc>
        <w:tc>
          <w:tcPr>
            <w:tcW w:w="1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Coverage of IOLs</w:t>
            </w:r>
          </w:p>
        </w:tc>
        <w:tc>
          <w:tcPr>
            <w:tcW w:w="7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Pr>
          <w:p>
            <w:pPr>
              <w:jc w:val="center"/>
              <w:ind w:left="207"/>
              <w:spacing w:after="0"/>
              <w:rPr>
                <w:sz w:val="20"/>
                <w:szCs w:val="20"/>
                <w:color w:val="auto"/>
              </w:rPr>
            </w:pPr>
            <w:r>
              <w:rPr>
                <w:rFonts w:ascii="Calibri" w:cs="Calibri" w:eastAsia="Calibri" w:hAnsi="Calibri"/>
                <w:sz w:val="10"/>
                <w:szCs w:val="10"/>
                <w:color w:val="auto"/>
              </w:rPr>
              <w:t>146.2%</w:t>
            </w:r>
          </w:p>
        </w:tc>
        <w:tc>
          <w:tcPr>
            <w:tcW w:w="920" w:type="dxa"/>
            <w:vAlign w:val="bottom"/>
            <w:gridSpan w:val="2"/>
          </w:tcPr>
          <w:p>
            <w:pPr>
              <w:jc w:val="center"/>
              <w:ind w:left="542"/>
              <w:spacing w:after="0"/>
              <w:rPr>
                <w:sz w:val="20"/>
                <w:szCs w:val="20"/>
                <w:color w:val="auto"/>
              </w:rPr>
            </w:pPr>
            <w:r>
              <w:rPr>
                <w:rFonts w:ascii="Calibri" w:cs="Calibri" w:eastAsia="Calibri" w:hAnsi="Calibri"/>
                <w:sz w:val="10"/>
                <w:szCs w:val="10"/>
                <w:color w:val="auto"/>
              </w:rPr>
              <w:t>132.3%</w:t>
            </w:r>
          </w:p>
        </w:tc>
        <w:tc>
          <w:tcPr>
            <w:tcW w:w="340" w:type="dxa"/>
            <w:vAlign w:val="bottom"/>
            <w:tcBorders>
              <w:right w:val="single" w:sz="8" w:color="auto"/>
            </w:tcBorders>
          </w:tcPr>
          <w:p>
            <w:pPr>
              <w:spacing w:after="0"/>
              <w:rPr>
                <w:sz w:val="12"/>
                <w:szCs w:val="12"/>
                <w:color w:val="auto"/>
              </w:rPr>
            </w:pPr>
          </w:p>
        </w:tc>
        <w:tc>
          <w:tcPr>
            <w:tcW w:w="800" w:type="dxa"/>
            <w:vAlign w:val="bottom"/>
          </w:tcPr>
          <w:p>
            <w:pPr>
              <w:jc w:val="center"/>
              <w:ind w:left="27"/>
              <w:spacing w:after="0"/>
              <w:rPr>
                <w:sz w:val="20"/>
                <w:szCs w:val="20"/>
                <w:color w:val="auto"/>
              </w:rPr>
            </w:pPr>
            <w:r>
              <w:rPr>
                <w:rFonts w:ascii="Calibri" w:cs="Calibri" w:eastAsia="Calibri" w:hAnsi="Calibri"/>
                <w:sz w:val="10"/>
                <w:szCs w:val="10"/>
                <w:color w:val="auto"/>
              </w:rPr>
              <w:t>137.7%</w:t>
            </w:r>
          </w:p>
        </w:tc>
        <w:tc>
          <w:tcPr>
            <w:tcW w:w="120" w:type="dxa"/>
            <w:vAlign w:val="bottom"/>
            <w:tcBorders>
              <w:right w:val="single" w:sz="8" w:color="auto"/>
            </w:tcBorders>
          </w:tcPr>
          <w:p>
            <w:pPr>
              <w:spacing w:after="0"/>
              <w:rPr>
                <w:sz w:val="12"/>
                <w:szCs w:val="12"/>
                <w:color w:val="auto"/>
              </w:rPr>
            </w:pPr>
          </w:p>
        </w:tc>
        <w:tc>
          <w:tcPr>
            <w:tcW w:w="600" w:type="dxa"/>
            <w:vAlign w:val="bottom"/>
          </w:tcPr>
          <w:p>
            <w:pPr>
              <w:jc w:val="center"/>
              <w:ind w:left="81"/>
              <w:spacing w:after="0"/>
              <w:rPr>
                <w:sz w:val="20"/>
                <w:szCs w:val="20"/>
                <w:color w:val="auto"/>
              </w:rPr>
            </w:pPr>
            <w:r>
              <w:rPr>
                <w:rFonts w:ascii="Calibri" w:cs="Calibri" w:eastAsia="Calibri" w:hAnsi="Calibri"/>
                <w:sz w:val="10"/>
                <w:szCs w:val="10"/>
                <w:color w:val="auto"/>
              </w:rPr>
              <w:t>543 pbs</w:t>
            </w:r>
          </w:p>
        </w:tc>
        <w:tc>
          <w:tcPr>
            <w:tcW w:w="26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-851 pbs</w:t>
            </w:r>
          </w:p>
        </w:tc>
        <w:tc>
          <w:tcPr>
            <w:tcW w:w="1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Coverage of NPLs</w:t>
            </w:r>
          </w:p>
        </w:tc>
        <w:tc>
          <w:tcPr>
            <w:tcW w:w="7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Pr>
          <w:p>
            <w:pPr>
              <w:jc w:val="center"/>
              <w:ind w:left="207"/>
              <w:spacing w:after="0"/>
              <w:rPr>
                <w:sz w:val="20"/>
                <w:szCs w:val="20"/>
                <w:color w:val="auto"/>
              </w:rPr>
            </w:pPr>
            <w:r>
              <w:rPr>
                <w:rFonts w:ascii="Calibri" w:cs="Calibri" w:eastAsia="Calibri" w:hAnsi="Calibri"/>
                <w:sz w:val="10"/>
                <w:szCs w:val="10"/>
                <w:color w:val="auto"/>
              </w:rPr>
              <w:t>121.5%</w:t>
            </w:r>
          </w:p>
        </w:tc>
        <w:tc>
          <w:tcPr>
            <w:tcW w:w="920" w:type="dxa"/>
            <w:vAlign w:val="bottom"/>
            <w:gridSpan w:val="2"/>
          </w:tcPr>
          <w:p>
            <w:pPr>
              <w:jc w:val="center"/>
              <w:ind w:left="542"/>
              <w:spacing w:after="0"/>
              <w:rPr>
                <w:sz w:val="20"/>
                <w:szCs w:val="20"/>
                <w:color w:val="auto"/>
              </w:rPr>
            </w:pPr>
            <w:r>
              <w:rPr>
                <w:rFonts w:ascii="Calibri" w:cs="Calibri" w:eastAsia="Calibri" w:hAnsi="Calibri"/>
                <w:sz w:val="10"/>
                <w:szCs w:val="10"/>
                <w:color w:val="auto"/>
              </w:rPr>
              <w:t>109.9%</w:t>
            </w:r>
          </w:p>
        </w:tc>
        <w:tc>
          <w:tcPr>
            <w:tcW w:w="340" w:type="dxa"/>
            <w:vAlign w:val="bottom"/>
            <w:tcBorders>
              <w:right w:val="single" w:sz="8" w:color="auto"/>
            </w:tcBorders>
          </w:tcPr>
          <w:p>
            <w:pPr>
              <w:spacing w:after="0"/>
              <w:rPr>
                <w:sz w:val="12"/>
                <w:szCs w:val="12"/>
                <w:color w:val="auto"/>
              </w:rPr>
            </w:pPr>
          </w:p>
        </w:tc>
        <w:tc>
          <w:tcPr>
            <w:tcW w:w="800" w:type="dxa"/>
            <w:vAlign w:val="bottom"/>
          </w:tcPr>
          <w:p>
            <w:pPr>
              <w:jc w:val="center"/>
              <w:ind w:left="27"/>
              <w:spacing w:after="0"/>
              <w:rPr>
                <w:sz w:val="20"/>
                <w:szCs w:val="20"/>
                <w:color w:val="auto"/>
              </w:rPr>
            </w:pPr>
            <w:r>
              <w:rPr>
                <w:rFonts w:ascii="Calibri" w:cs="Calibri" w:eastAsia="Calibri" w:hAnsi="Calibri"/>
                <w:sz w:val="10"/>
                <w:szCs w:val="10"/>
                <w:color w:val="auto"/>
              </w:rPr>
              <w:t>111.3%</w:t>
            </w:r>
          </w:p>
        </w:tc>
        <w:tc>
          <w:tcPr>
            <w:tcW w:w="120" w:type="dxa"/>
            <w:vAlign w:val="bottom"/>
            <w:tcBorders>
              <w:right w:val="single" w:sz="8" w:color="auto"/>
            </w:tcBorders>
          </w:tcPr>
          <w:p>
            <w:pPr>
              <w:spacing w:after="0"/>
              <w:rPr>
                <w:sz w:val="12"/>
                <w:szCs w:val="12"/>
                <w:color w:val="auto"/>
              </w:rPr>
            </w:pPr>
          </w:p>
        </w:tc>
        <w:tc>
          <w:tcPr>
            <w:tcW w:w="600" w:type="dxa"/>
            <w:vAlign w:val="bottom"/>
          </w:tcPr>
          <w:p>
            <w:pPr>
              <w:jc w:val="center"/>
              <w:ind w:left="81"/>
              <w:spacing w:after="0"/>
              <w:rPr>
                <w:sz w:val="20"/>
                <w:szCs w:val="20"/>
                <w:color w:val="auto"/>
              </w:rPr>
            </w:pPr>
            <w:r>
              <w:rPr>
                <w:rFonts w:ascii="Calibri" w:cs="Calibri" w:eastAsia="Calibri" w:hAnsi="Calibri"/>
                <w:sz w:val="10"/>
                <w:szCs w:val="10"/>
                <w:color w:val="auto"/>
              </w:rPr>
              <w:t>136 pbs</w:t>
            </w:r>
          </w:p>
        </w:tc>
        <w:tc>
          <w:tcPr>
            <w:tcW w:w="260" w:type="dxa"/>
            <w:vAlign w:val="bottom"/>
          </w:tcPr>
          <w:p>
            <w:pPr>
              <w:spacing w:after="0"/>
              <w:rPr>
                <w:sz w:val="12"/>
                <w:szCs w:val="12"/>
                <w:color w:val="auto"/>
              </w:rPr>
            </w:pPr>
          </w:p>
        </w:tc>
        <w:tc>
          <w:tcPr>
            <w:tcW w:w="580" w:type="dxa"/>
            <w:vAlign w:val="bottom"/>
            <w:tcBorders>
              <w:right w:val="single" w:sz="8" w:color="auto"/>
            </w:tcBorders>
            <w:gridSpan w:val="2"/>
          </w:tcPr>
          <w:p>
            <w:pPr>
              <w:jc w:val="center"/>
              <w:ind w:right="54"/>
              <w:spacing w:after="0"/>
              <w:rPr>
                <w:sz w:val="20"/>
                <w:szCs w:val="20"/>
                <w:color w:val="auto"/>
              </w:rPr>
            </w:pPr>
            <w:r>
              <w:rPr>
                <w:rFonts w:ascii="Calibri" w:cs="Calibri" w:eastAsia="Calibri" w:hAnsi="Calibri"/>
                <w:sz w:val="10"/>
                <w:szCs w:val="10"/>
                <w:color w:val="auto"/>
              </w:rPr>
              <w:t>-1019 pbs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Branches</w:t>
            </w:r>
          </w:p>
        </w:tc>
        <w:tc>
          <w:tcPr>
            <w:tcW w:w="7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40" w:type="dxa"/>
            <w:vAlign w:val="bottom"/>
          </w:tcPr>
          <w:p>
            <w:pPr>
              <w:jc w:val="center"/>
              <w:ind w:left="207"/>
              <w:spacing w:after="0"/>
              <w:rPr>
                <w:sz w:val="20"/>
                <w:szCs w:val="20"/>
                <w:color w:val="auto"/>
              </w:rPr>
            </w:pPr>
            <w:r>
              <w:rPr>
                <w:rFonts w:ascii="Calibri" w:cs="Calibri" w:eastAsia="Calibri" w:hAnsi="Calibri"/>
                <w:sz w:val="10"/>
                <w:szCs w:val="10"/>
                <w:color w:val="auto"/>
                <w:w w:val="98"/>
              </w:rPr>
              <w:t>46</w:t>
            </w:r>
          </w:p>
        </w:tc>
        <w:tc>
          <w:tcPr>
            <w:tcW w:w="920" w:type="dxa"/>
            <w:vAlign w:val="bottom"/>
            <w:gridSpan w:val="2"/>
          </w:tcPr>
          <w:p>
            <w:pPr>
              <w:jc w:val="center"/>
              <w:ind w:left="522"/>
              <w:spacing w:after="0"/>
              <w:rPr>
                <w:sz w:val="20"/>
                <w:szCs w:val="20"/>
                <w:color w:val="auto"/>
              </w:rPr>
            </w:pPr>
            <w:r>
              <w:rPr>
                <w:rFonts w:ascii="Calibri" w:cs="Calibri" w:eastAsia="Calibri" w:hAnsi="Calibri"/>
                <w:sz w:val="10"/>
                <w:szCs w:val="10"/>
                <w:color w:val="auto"/>
                <w:w w:val="98"/>
              </w:rPr>
              <w:t>46</w:t>
            </w:r>
          </w:p>
        </w:tc>
        <w:tc>
          <w:tcPr>
            <w:tcW w:w="340" w:type="dxa"/>
            <w:vAlign w:val="bottom"/>
            <w:tcBorders>
              <w:right w:val="single" w:sz="8" w:color="auto"/>
            </w:tcBorders>
          </w:tcPr>
          <w:p>
            <w:pPr>
              <w:spacing w:after="0"/>
              <w:rPr>
                <w:sz w:val="12"/>
                <w:szCs w:val="12"/>
                <w:color w:val="auto"/>
              </w:rPr>
            </w:pPr>
          </w:p>
        </w:tc>
        <w:tc>
          <w:tcPr>
            <w:tcW w:w="800" w:type="dxa"/>
            <w:vAlign w:val="bottom"/>
          </w:tcPr>
          <w:p>
            <w:pPr>
              <w:jc w:val="center"/>
              <w:ind w:left="27"/>
              <w:spacing w:after="0"/>
              <w:rPr>
                <w:sz w:val="20"/>
                <w:szCs w:val="20"/>
                <w:color w:val="auto"/>
              </w:rPr>
            </w:pPr>
            <w:r>
              <w:rPr>
                <w:rFonts w:ascii="Calibri" w:cs="Calibri" w:eastAsia="Calibri" w:hAnsi="Calibri"/>
                <w:sz w:val="10"/>
                <w:szCs w:val="10"/>
                <w:color w:val="auto"/>
              </w:rPr>
              <w:t>46</w:t>
            </w:r>
          </w:p>
        </w:tc>
        <w:tc>
          <w:tcPr>
            <w:tcW w:w="120" w:type="dxa"/>
            <w:vAlign w:val="bottom"/>
            <w:tcBorders>
              <w:right w:val="single" w:sz="8" w:color="auto"/>
            </w:tcBorders>
          </w:tcPr>
          <w:p>
            <w:pPr>
              <w:spacing w:after="0"/>
              <w:rPr>
                <w:sz w:val="12"/>
                <w:szCs w:val="12"/>
                <w:color w:val="auto"/>
              </w:rPr>
            </w:pPr>
          </w:p>
        </w:tc>
        <w:tc>
          <w:tcPr>
            <w:tcW w:w="600" w:type="dxa"/>
            <w:vAlign w:val="bottom"/>
          </w:tcPr>
          <w:p>
            <w:pPr>
              <w:jc w:val="center"/>
              <w:ind w:left="61"/>
              <w:spacing w:after="0"/>
              <w:rPr>
                <w:sz w:val="20"/>
                <w:szCs w:val="20"/>
                <w:color w:val="auto"/>
              </w:rPr>
            </w:pPr>
            <w:r>
              <w:rPr>
                <w:rFonts w:ascii="Calibri" w:cs="Calibri" w:eastAsia="Calibri" w:hAnsi="Calibri"/>
                <w:sz w:val="10"/>
                <w:szCs w:val="10"/>
                <w:color w:val="auto"/>
              </w:rPr>
              <w:t>0.0%</w:t>
            </w:r>
          </w:p>
        </w:tc>
        <w:tc>
          <w:tcPr>
            <w:tcW w:w="26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0.0%</w:t>
            </w:r>
          </w:p>
        </w:tc>
        <w:tc>
          <w:tcPr>
            <w:tcW w:w="1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Agentes</w:t>
            </w:r>
          </w:p>
        </w:tc>
        <w:tc>
          <w:tcPr>
            <w:tcW w:w="7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40" w:type="dxa"/>
            <w:vAlign w:val="bottom"/>
          </w:tcPr>
          <w:p>
            <w:pPr>
              <w:jc w:val="center"/>
              <w:ind w:left="187"/>
              <w:spacing w:after="0"/>
              <w:rPr>
                <w:sz w:val="20"/>
                <w:szCs w:val="20"/>
                <w:color w:val="auto"/>
              </w:rPr>
            </w:pPr>
            <w:r>
              <w:rPr>
                <w:rFonts w:ascii="Calibri" w:cs="Calibri" w:eastAsia="Calibri" w:hAnsi="Calibri"/>
                <w:sz w:val="10"/>
                <w:szCs w:val="10"/>
                <w:color w:val="auto"/>
              </w:rPr>
              <w:t>1,350</w:t>
            </w:r>
          </w:p>
        </w:tc>
        <w:tc>
          <w:tcPr>
            <w:tcW w:w="920" w:type="dxa"/>
            <w:vAlign w:val="bottom"/>
            <w:gridSpan w:val="2"/>
          </w:tcPr>
          <w:p>
            <w:pPr>
              <w:jc w:val="center"/>
              <w:ind w:left="522"/>
              <w:spacing w:after="0"/>
              <w:rPr>
                <w:sz w:val="20"/>
                <w:szCs w:val="20"/>
                <w:color w:val="auto"/>
              </w:rPr>
            </w:pPr>
            <w:r>
              <w:rPr>
                <w:rFonts w:ascii="Calibri" w:cs="Calibri" w:eastAsia="Calibri" w:hAnsi="Calibri"/>
                <w:sz w:val="10"/>
                <w:szCs w:val="10"/>
                <w:color w:val="auto"/>
                <w:w w:val="96"/>
              </w:rPr>
              <w:t>1,541</w:t>
            </w:r>
          </w:p>
        </w:tc>
        <w:tc>
          <w:tcPr>
            <w:tcW w:w="340" w:type="dxa"/>
            <w:vAlign w:val="bottom"/>
            <w:tcBorders>
              <w:right w:val="single" w:sz="8" w:color="auto"/>
            </w:tcBorders>
          </w:tcPr>
          <w:p>
            <w:pPr>
              <w:spacing w:after="0"/>
              <w:rPr>
                <w:sz w:val="11"/>
                <w:szCs w:val="11"/>
                <w:color w:val="auto"/>
              </w:rPr>
            </w:pPr>
          </w:p>
        </w:tc>
        <w:tc>
          <w:tcPr>
            <w:tcW w:w="800" w:type="dxa"/>
            <w:vAlign w:val="bottom"/>
          </w:tcPr>
          <w:p>
            <w:pPr>
              <w:jc w:val="center"/>
              <w:ind w:left="27"/>
              <w:spacing w:after="0"/>
              <w:rPr>
                <w:sz w:val="20"/>
                <w:szCs w:val="20"/>
                <w:color w:val="auto"/>
              </w:rPr>
            </w:pPr>
            <w:r>
              <w:rPr>
                <w:rFonts w:ascii="Calibri" w:cs="Calibri" w:eastAsia="Calibri" w:hAnsi="Calibri"/>
                <w:sz w:val="10"/>
                <w:szCs w:val="10"/>
                <w:color w:val="auto"/>
              </w:rPr>
              <w:t>1,834</w:t>
            </w:r>
          </w:p>
        </w:tc>
        <w:tc>
          <w:tcPr>
            <w:tcW w:w="120" w:type="dxa"/>
            <w:vAlign w:val="bottom"/>
            <w:tcBorders>
              <w:right w:val="single" w:sz="8" w:color="auto"/>
            </w:tcBorders>
          </w:tcPr>
          <w:p>
            <w:pPr>
              <w:spacing w:after="0"/>
              <w:rPr>
                <w:sz w:val="11"/>
                <w:szCs w:val="11"/>
                <w:color w:val="auto"/>
              </w:rPr>
            </w:pPr>
          </w:p>
        </w:tc>
        <w:tc>
          <w:tcPr>
            <w:tcW w:w="600" w:type="dxa"/>
            <w:vAlign w:val="bottom"/>
          </w:tcPr>
          <w:p>
            <w:pPr>
              <w:jc w:val="center"/>
              <w:ind w:left="81"/>
              <w:spacing w:after="0"/>
              <w:rPr>
                <w:sz w:val="20"/>
                <w:szCs w:val="20"/>
                <w:color w:val="auto"/>
              </w:rPr>
            </w:pPr>
            <w:r>
              <w:rPr>
                <w:rFonts w:ascii="Calibri" w:cs="Calibri" w:eastAsia="Calibri" w:hAnsi="Calibri"/>
                <w:sz w:val="10"/>
                <w:szCs w:val="10"/>
                <w:color w:val="auto"/>
              </w:rPr>
              <w:t>19.0%</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35.9%</w:t>
            </w:r>
          </w:p>
        </w:tc>
        <w:tc>
          <w:tcPr>
            <w:tcW w:w="16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 w:type="dxa"/>
            <w:vAlign w:val="bottom"/>
            <w:tcBorders>
              <w:right w:val="single" w:sz="8" w:color="auto"/>
            </w:tcBorders>
          </w:tcPr>
          <w:p>
            <w:pPr>
              <w:spacing w:after="0"/>
              <w:rPr>
                <w:sz w:val="11"/>
                <w:szCs w:val="11"/>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ATMs</w:t>
            </w:r>
          </w:p>
        </w:tc>
        <w:tc>
          <w:tcPr>
            <w:tcW w:w="7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40" w:type="dxa"/>
            <w:vAlign w:val="bottom"/>
          </w:tcPr>
          <w:p>
            <w:pPr>
              <w:jc w:val="center"/>
              <w:ind w:left="187"/>
              <w:spacing w:after="0"/>
              <w:rPr>
                <w:sz w:val="20"/>
                <w:szCs w:val="20"/>
                <w:color w:val="auto"/>
              </w:rPr>
            </w:pPr>
            <w:r>
              <w:rPr>
                <w:rFonts w:ascii="Calibri" w:cs="Calibri" w:eastAsia="Calibri" w:hAnsi="Calibri"/>
                <w:sz w:val="10"/>
                <w:szCs w:val="10"/>
                <w:color w:val="auto"/>
              </w:rPr>
              <w:t>315</w:t>
            </w:r>
          </w:p>
        </w:tc>
        <w:tc>
          <w:tcPr>
            <w:tcW w:w="920" w:type="dxa"/>
            <w:vAlign w:val="bottom"/>
            <w:gridSpan w:val="2"/>
          </w:tcPr>
          <w:p>
            <w:pPr>
              <w:jc w:val="center"/>
              <w:ind w:left="542"/>
              <w:spacing w:after="0"/>
              <w:rPr>
                <w:sz w:val="20"/>
                <w:szCs w:val="20"/>
                <w:color w:val="auto"/>
              </w:rPr>
            </w:pPr>
            <w:r>
              <w:rPr>
                <w:rFonts w:ascii="Calibri" w:cs="Calibri" w:eastAsia="Calibri" w:hAnsi="Calibri"/>
                <w:sz w:val="10"/>
                <w:szCs w:val="10"/>
                <w:color w:val="auto"/>
              </w:rPr>
              <w:t>314</w:t>
            </w:r>
          </w:p>
        </w:tc>
        <w:tc>
          <w:tcPr>
            <w:tcW w:w="340" w:type="dxa"/>
            <w:vAlign w:val="bottom"/>
            <w:tcBorders>
              <w:right w:val="single" w:sz="8" w:color="auto"/>
            </w:tcBorders>
          </w:tcPr>
          <w:p>
            <w:pPr>
              <w:spacing w:after="0"/>
              <w:rPr>
                <w:sz w:val="11"/>
                <w:szCs w:val="11"/>
                <w:color w:val="auto"/>
              </w:rPr>
            </w:pPr>
          </w:p>
        </w:tc>
        <w:tc>
          <w:tcPr>
            <w:tcW w:w="800" w:type="dxa"/>
            <w:vAlign w:val="bottom"/>
          </w:tcPr>
          <w:p>
            <w:pPr>
              <w:jc w:val="center"/>
              <w:ind w:left="27"/>
              <w:spacing w:after="0"/>
              <w:rPr>
                <w:sz w:val="20"/>
                <w:szCs w:val="20"/>
                <w:color w:val="auto"/>
              </w:rPr>
            </w:pPr>
            <w:r>
              <w:rPr>
                <w:rFonts w:ascii="Calibri" w:cs="Calibri" w:eastAsia="Calibri" w:hAnsi="Calibri"/>
                <w:sz w:val="10"/>
                <w:szCs w:val="10"/>
                <w:color w:val="auto"/>
              </w:rPr>
              <w:t>314</w:t>
            </w:r>
          </w:p>
        </w:tc>
        <w:tc>
          <w:tcPr>
            <w:tcW w:w="120" w:type="dxa"/>
            <w:vAlign w:val="bottom"/>
            <w:tcBorders>
              <w:right w:val="single" w:sz="8" w:color="auto"/>
            </w:tcBorders>
          </w:tcPr>
          <w:p>
            <w:pPr>
              <w:spacing w:after="0"/>
              <w:rPr>
                <w:sz w:val="11"/>
                <w:szCs w:val="11"/>
                <w:color w:val="auto"/>
              </w:rPr>
            </w:pPr>
          </w:p>
        </w:tc>
        <w:tc>
          <w:tcPr>
            <w:tcW w:w="600" w:type="dxa"/>
            <w:vAlign w:val="bottom"/>
          </w:tcPr>
          <w:p>
            <w:pPr>
              <w:jc w:val="center"/>
              <w:ind w:left="61"/>
              <w:spacing w:after="0"/>
              <w:rPr>
                <w:sz w:val="20"/>
                <w:szCs w:val="20"/>
                <w:color w:val="auto"/>
              </w:rPr>
            </w:pPr>
            <w:r>
              <w:rPr>
                <w:rFonts w:ascii="Calibri" w:cs="Calibri" w:eastAsia="Calibri" w:hAnsi="Calibri"/>
                <w:sz w:val="10"/>
                <w:szCs w:val="10"/>
                <w:color w:val="auto"/>
              </w:rPr>
              <w:t>0.0%</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0.3%</w:t>
            </w:r>
          </w:p>
        </w:tc>
        <w:tc>
          <w:tcPr>
            <w:tcW w:w="16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0" w:type="dxa"/>
            <w:vAlign w:val="bottom"/>
            <w:tcBorders>
              <w:right w:val="single" w:sz="8" w:color="auto"/>
            </w:tcBorders>
          </w:tcPr>
          <w:p>
            <w:pPr>
              <w:spacing w:after="0"/>
              <w:rPr>
                <w:sz w:val="10"/>
                <w:szCs w:val="10"/>
                <w:color w:val="auto"/>
              </w:rPr>
            </w:pPr>
          </w:p>
        </w:tc>
        <w:tc>
          <w:tcPr>
            <w:tcW w:w="2560" w:type="dxa"/>
            <w:vAlign w:val="bottom"/>
          </w:tcPr>
          <w:p>
            <w:pPr>
              <w:spacing w:after="0"/>
              <w:rPr>
                <w:sz w:val="20"/>
                <w:szCs w:val="20"/>
                <w:color w:val="auto"/>
              </w:rPr>
            </w:pPr>
            <w:r>
              <w:rPr>
                <w:rFonts w:ascii="Calibri" w:cs="Calibri" w:eastAsia="Calibri" w:hAnsi="Calibri"/>
                <w:sz w:val="10"/>
                <w:szCs w:val="10"/>
                <w:color w:val="auto"/>
              </w:rPr>
              <w:t>Employees</w:t>
            </w:r>
          </w:p>
        </w:tc>
        <w:tc>
          <w:tcPr>
            <w:tcW w:w="7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40" w:type="dxa"/>
            <w:vAlign w:val="bottom"/>
          </w:tcPr>
          <w:p>
            <w:pPr>
              <w:jc w:val="center"/>
              <w:ind w:left="187"/>
              <w:spacing w:after="0"/>
              <w:rPr>
                <w:sz w:val="20"/>
                <w:szCs w:val="20"/>
                <w:color w:val="auto"/>
              </w:rPr>
            </w:pPr>
            <w:r>
              <w:rPr>
                <w:rFonts w:ascii="Calibri" w:cs="Calibri" w:eastAsia="Calibri" w:hAnsi="Calibri"/>
                <w:sz w:val="10"/>
                <w:szCs w:val="10"/>
                <w:color w:val="auto"/>
              </w:rPr>
              <w:t>1,726</w:t>
            </w:r>
          </w:p>
        </w:tc>
        <w:tc>
          <w:tcPr>
            <w:tcW w:w="920" w:type="dxa"/>
            <w:vAlign w:val="bottom"/>
            <w:gridSpan w:val="2"/>
          </w:tcPr>
          <w:p>
            <w:pPr>
              <w:jc w:val="center"/>
              <w:ind w:left="522"/>
              <w:spacing w:after="0"/>
              <w:rPr>
                <w:sz w:val="20"/>
                <w:szCs w:val="20"/>
                <w:color w:val="auto"/>
              </w:rPr>
            </w:pPr>
            <w:r>
              <w:rPr>
                <w:rFonts w:ascii="Calibri" w:cs="Calibri" w:eastAsia="Calibri" w:hAnsi="Calibri"/>
                <w:sz w:val="10"/>
                <w:szCs w:val="10"/>
                <w:color w:val="auto"/>
                <w:w w:val="96"/>
              </w:rPr>
              <w:t>1,791</w:t>
            </w:r>
          </w:p>
        </w:tc>
        <w:tc>
          <w:tcPr>
            <w:tcW w:w="340" w:type="dxa"/>
            <w:vAlign w:val="bottom"/>
            <w:tcBorders>
              <w:right w:val="single" w:sz="8" w:color="auto"/>
            </w:tcBorders>
          </w:tcPr>
          <w:p>
            <w:pPr>
              <w:spacing w:after="0"/>
              <w:rPr>
                <w:sz w:val="10"/>
                <w:szCs w:val="10"/>
                <w:color w:val="auto"/>
              </w:rPr>
            </w:pPr>
          </w:p>
        </w:tc>
        <w:tc>
          <w:tcPr>
            <w:tcW w:w="800" w:type="dxa"/>
            <w:vAlign w:val="bottom"/>
          </w:tcPr>
          <w:p>
            <w:pPr>
              <w:jc w:val="center"/>
              <w:ind w:left="27"/>
              <w:spacing w:after="0"/>
              <w:rPr>
                <w:sz w:val="20"/>
                <w:szCs w:val="20"/>
                <w:color w:val="auto"/>
              </w:rPr>
            </w:pPr>
            <w:r>
              <w:rPr>
                <w:rFonts w:ascii="Calibri" w:cs="Calibri" w:eastAsia="Calibri" w:hAnsi="Calibri"/>
                <w:sz w:val="10"/>
                <w:szCs w:val="10"/>
                <w:color w:val="auto"/>
              </w:rPr>
              <w:t>1,819</w:t>
            </w:r>
          </w:p>
        </w:tc>
        <w:tc>
          <w:tcPr>
            <w:tcW w:w="120" w:type="dxa"/>
            <w:vAlign w:val="bottom"/>
            <w:tcBorders>
              <w:right w:val="single" w:sz="8" w:color="auto"/>
            </w:tcBorders>
          </w:tcPr>
          <w:p>
            <w:pPr>
              <w:spacing w:after="0"/>
              <w:rPr>
                <w:sz w:val="10"/>
                <w:szCs w:val="10"/>
                <w:color w:val="auto"/>
              </w:rPr>
            </w:pPr>
          </w:p>
        </w:tc>
        <w:tc>
          <w:tcPr>
            <w:tcW w:w="600" w:type="dxa"/>
            <w:vAlign w:val="bottom"/>
          </w:tcPr>
          <w:p>
            <w:pPr>
              <w:jc w:val="center"/>
              <w:ind w:left="61"/>
              <w:spacing w:after="0"/>
              <w:rPr>
                <w:sz w:val="20"/>
                <w:szCs w:val="20"/>
                <w:color w:val="auto"/>
              </w:rPr>
            </w:pPr>
            <w:r>
              <w:rPr>
                <w:rFonts w:ascii="Calibri" w:cs="Calibri" w:eastAsia="Calibri" w:hAnsi="Calibri"/>
                <w:sz w:val="10"/>
                <w:szCs w:val="10"/>
                <w:color w:val="auto"/>
              </w:rPr>
              <w:t>1.6%</w:t>
            </w:r>
          </w:p>
        </w:tc>
        <w:tc>
          <w:tcPr>
            <w:tcW w:w="2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Calibri" w:cs="Calibri" w:eastAsia="Calibri" w:hAnsi="Calibri"/>
                <w:sz w:val="10"/>
                <w:szCs w:val="10"/>
                <w:color w:val="auto"/>
              </w:rPr>
              <w:t>5.4%</w:t>
            </w:r>
          </w:p>
        </w:tc>
        <w:tc>
          <w:tcPr>
            <w:tcW w:w="1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20" w:type="dxa"/>
            <w:vAlign w:val="bottom"/>
            <w:tcBorders>
              <w:right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-6927215</wp:posOffset>
            </wp:positionV>
            <wp:extent cx="1016000" cy="141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415"/>
        </w:trPr>
        <w:tc>
          <w:tcPr>
            <w:tcW w:w="2960" w:type="dxa"/>
            <w:vAlign w:val="bottom"/>
            <w:gridSpan w:val="3"/>
            <w:shd w:val="clear" w:color="auto" w:fill="000000"/>
          </w:tcPr>
          <w:p>
            <w:pPr>
              <w:jc w:val="right"/>
              <w:ind w:right="180"/>
              <w:spacing w:after="0"/>
              <w:rPr>
                <w:sz w:val="20"/>
                <w:szCs w:val="20"/>
                <w:color w:val="auto"/>
              </w:rPr>
            </w:pPr>
            <w:r>
              <w:rPr>
                <w:rFonts w:ascii="Calibri" w:cs="Calibri" w:eastAsia="Calibri" w:hAnsi="Calibri"/>
                <w:sz w:val="19"/>
                <w:szCs w:val="19"/>
                <w:color w:val="A6A6A6"/>
              </w:rPr>
              <w:t>|</w:t>
            </w:r>
          </w:p>
        </w:tc>
        <w:tc>
          <w:tcPr>
            <w:tcW w:w="2160" w:type="dxa"/>
            <w:vAlign w:val="bottom"/>
            <w:gridSpan w:val="4"/>
            <w:shd w:val="clear" w:color="auto" w:fill="000000"/>
          </w:tcPr>
          <w:p>
            <w:pPr>
              <w:ind w:left="20"/>
              <w:spacing w:after="0"/>
              <w:rPr>
                <w:sz w:val="20"/>
                <w:szCs w:val="20"/>
                <w:color w:val="auto"/>
              </w:rPr>
            </w:pPr>
            <w:r>
              <w:rPr>
                <w:rFonts w:ascii="Calibri" w:cs="Calibri" w:eastAsia="Calibri" w:hAnsi="Calibri"/>
                <w:sz w:val="16"/>
                <w:szCs w:val="16"/>
                <w:color w:val="FFFFFF"/>
              </w:rPr>
              <w:t>Earnings Release 4Q / 2024</w:t>
            </w:r>
          </w:p>
        </w:tc>
        <w:tc>
          <w:tcPr>
            <w:tcW w:w="940" w:type="dxa"/>
            <w:vAlign w:val="bottom"/>
            <w:tcBorders>
              <w:right w:val="single" w:sz="8" w:color="auto"/>
            </w:tcBorders>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160" w:type="dxa"/>
            <w:vAlign w:val="bottom"/>
            <w:tcBorders>
              <w:right w:val="single" w:sz="8" w:color="auto"/>
            </w:tcBorders>
            <w:shd w:val="clear" w:color="auto" w:fill="000000"/>
          </w:tcPr>
          <w:p>
            <w:pPr>
              <w:spacing w:after="0"/>
              <w:rPr>
                <w:sz w:val="24"/>
                <w:szCs w:val="24"/>
                <w:color w:val="auto"/>
              </w:rPr>
            </w:pPr>
          </w:p>
        </w:tc>
        <w:tc>
          <w:tcPr>
            <w:tcW w:w="720" w:type="dxa"/>
            <w:vAlign w:val="bottom"/>
            <w:shd w:val="clear" w:color="auto" w:fill="000000"/>
          </w:tcPr>
          <w:p>
            <w:pPr>
              <w:spacing w:after="0"/>
              <w:rPr>
                <w:sz w:val="24"/>
                <w:szCs w:val="24"/>
                <w:color w:val="auto"/>
              </w:rPr>
            </w:pPr>
          </w:p>
        </w:tc>
        <w:tc>
          <w:tcPr>
            <w:tcW w:w="4060" w:type="dxa"/>
            <w:vAlign w:val="bottom"/>
            <w:gridSpan w:val="11"/>
            <w:shd w:val="clear" w:color="auto" w:fill="000000"/>
          </w:tcPr>
          <w:p>
            <w:pPr>
              <w:ind w:left="480"/>
              <w:spacing w:after="0"/>
              <w:rPr>
                <w:sz w:val="20"/>
                <w:szCs w:val="20"/>
                <w:color w:val="auto"/>
              </w:rPr>
            </w:pPr>
            <w:r>
              <w:rPr>
                <w:rFonts w:ascii="Calibri" w:cs="Calibri" w:eastAsia="Calibri" w:hAnsi="Calibri"/>
                <w:sz w:val="16"/>
                <w:szCs w:val="16"/>
                <w:color w:val="ED3FA8"/>
              </w:rPr>
              <w:t>Analysis of 4Q24 Consolidated Results</w:t>
            </w:r>
          </w:p>
        </w:tc>
        <w:tc>
          <w:tcPr>
            <w:tcW w:w="0" w:type="dxa"/>
            <w:vAlign w:val="bottom"/>
          </w:tcPr>
          <w:p>
            <w:pPr>
              <w:spacing w:after="0"/>
              <w:rPr>
                <w:sz w:val="1"/>
                <w:szCs w:val="1"/>
                <w:color w:val="auto"/>
              </w:rPr>
            </w:pPr>
          </w:p>
        </w:tc>
      </w:tr>
      <w:tr>
        <w:trPr>
          <w:trHeight w:val="240"/>
        </w:trPr>
        <w:tc>
          <w:tcPr>
            <w:tcW w:w="320" w:type="dxa"/>
            <w:vAlign w:val="bottom"/>
            <w:tcBorders>
              <w:right w:val="single" w:sz="8" w:color="auto"/>
            </w:tcBorders>
            <w:shd w:val="clear" w:color="auto" w:fill="000000"/>
          </w:tcPr>
          <w:p>
            <w:pPr>
              <w:spacing w:after="0"/>
              <w:rPr>
                <w:sz w:val="20"/>
                <w:szCs w:val="20"/>
                <w:color w:val="auto"/>
              </w:rPr>
            </w:pPr>
          </w:p>
        </w:tc>
        <w:tc>
          <w:tcPr>
            <w:tcW w:w="2360" w:type="dxa"/>
            <w:vAlign w:val="bottom"/>
            <w:tcBorders>
              <w:right w:val="single" w:sz="8" w:color="auto"/>
            </w:tcBorders>
            <w:shd w:val="clear" w:color="auto" w:fill="000000"/>
          </w:tcPr>
          <w:p>
            <w:pPr>
              <w:spacing w:after="0"/>
              <w:rPr>
                <w:sz w:val="20"/>
                <w:szCs w:val="20"/>
                <w:color w:val="auto"/>
              </w:rPr>
            </w:pPr>
          </w:p>
        </w:tc>
        <w:tc>
          <w:tcPr>
            <w:tcW w:w="280" w:type="dxa"/>
            <w:vAlign w:val="bottom"/>
            <w:shd w:val="clear" w:color="auto" w:fill="000000"/>
          </w:tcPr>
          <w:p>
            <w:pPr>
              <w:spacing w:after="0"/>
              <w:rPr>
                <w:sz w:val="20"/>
                <w:szCs w:val="20"/>
                <w:color w:val="auto"/>
              </w:rPr>
            </w:pPr>
          </w:p>
        </w:tc>
        <w:tc>
          <w:tcPr>
            <w:tcW w:w="260" w:type="dxa"/>
            <w:vAlign w:val="bottom"/>
            <w:tcBorders>
              <w:right w:val="single" w:sz="8" w:color="auto"/>
            </w:tcBorders>
            <w:shd w:val="clear" w:color="auto" w:fill="000000"/>
          </w:tcPr>
          <w:p>
            <w:pPr>
              <w:spacing w:after="0"/>
              <w:rPr>
                <w:sz w:val="20"/>
                <w:szCs w:val="20"/>
                <w:color w:val="auto"/>
              </w:rPr>
            </w:pPr>
          </w:p>
        </w:tc>
        <w:tc>
          <w:tcPr>
            <w:tcW w:w="820" w:type="dxa"/>
            <w:vAlign w:val="bottom"/>
            <w:shd w:val="clear" w:color="auto" w:fill="000000"/>
          </w:tcPr>
          <w:p>
            <w:pPr>
              <w:spacing w:after="0"/>
              <w:rPr>
                <w:sz w:val="20"/>
                <w:szCs w:val="20"/>
                <w:color w:val="auto"/>
              </w:rPr>
            </w:pPr>
          </w:p>
        </w:tc>
        <w:tc>
          <w:tcPr>
            <w:tcW w:w="900" w:type="dxa"/>
            <w:vAlign w:val="bottom"/>
            <w:tcBorders>
              <w:right w:val="single" w:sz="8" w:color="auto"/>
            </w:tcBorders>
            <w:shd w:val="clear" w:color="auto" w:fill="000000"/>
          </w:tcPr>
          <w:p>
            <w:pPr>
              <w:spacing w:after="0"/>
              <w:rPr>
                <w:sz w:val="20"/>
                <w:szCs w:val="20"/>
                <w:color w:val="auto"/>
              </w:rPr>
            </w:pPr>
          </w:p>
        </w:tc>
        <w:tc>
          <w:tcPr>
            <w:tcW w:w="180" w:type="dxa"/>
            <w:vAlign w:val="bottom"/>
            <w:shd w:val="clear" w:color="auto" w:fill="000000"/>
          </w:tcPr>
          <w:p>
            <w:pPr>
              <w:spacing w:after="0"/>
              <w:rPr>
                <w:sz w:val="20"/>
                <w:szCs w:val="20"/>
                <w:color w:val="auto"/>
              </w:rPr>
            </w:pPr>
          </w:p>
        </w:tc>
        <w:tc>
          <w:tcPr>
            <w:tcW w:w="940" w:type="dxa"/>
            <w:vAlign w:val="bottom"/>
            <w:tcBorders>
              <w:right w:val="single" w:sz="8" w:color="auto"/>
            </w:tcBorders>
            <w:shd w:val="clear" w:color="auto" w:fill="000000"/>
          </w:tcPr>
          <w:p>
            <w:pPr>
              <w:spacing w:after="0"/>
              <w:rPr>
                <w:sz w:val="20"/>
                <w:szCs w:val="20"/>
                <w:color w:val="auto"/>
              </w:rPr>
            </w:pPr>
          </w:p>
        </w:tc>
        <w:tc>
          <w:tcPr>
            <w:tcW w:w="240" w:type="dxa"/>
            <w:vAlign w:val="bottom"/>
            <w:shd w:val="clear" w:color="auto" w:fill="000000"/>
          </w:tcPr>
          <w:p>
            <w:pPr>
              <w:spacing w:after="0"/>
              <w:rPr>
                <w:sz w:val="20"/>
                <w:szCs w:val="20"/>
                <w:color w:val="auto"/>
              </w:rPr>
            </w:pPr>
          </w:p>
        </w:tc>
        <w:tc>
          <w:tcPr>
            <w:tcW w:w="160" w:type="dxa"/>
            <w:vAlign w:val="bottom"/>
            <w:tcBorders>
              <w:right w:val="single" w:sz="8" w:color="auto"/>
            </w:tcBorders>
            <w:shd w:val="clear" w:color="auto" w:fill="000000"/>
          </w:tcPr>
          <w:p>
            <w:pPr>
              <w:spacing w:after="0"/>
              <w:rPr>
                <w:sz w:val="20"/>
                <w:szCs w:val="20"/>
                <w:color w:val="auto"/>
              </w:rPr>
            </w:pPr>
          </w:p>
        </w:tc>
        <w:tc>
          <w:tcPr>
            <w:tcW w:w="720" w:type="dxa"/>
            <w:vAlign w:val="bottom"/>
            <w:shd w:val="clear" w:color="auto" w:fill="000000"/>
          </w:tcPr>
          <w:p>
            <w:pPr>
              <w:spacing w:after="0"/>
              <w:rPr>
                <w:sz w:val="20"/>
                <w:szCs w:val="20"/>
                <w:color w:val="auto"/>
              </w:rPr>
            </w:pPr>
          </w:p>
        </w:tc>
        <w:tc>
          <w:tcPr>
            <w:tcW w:w="680" w:type="dxa"/>
            <w:vAlign w:val="bottom"/>
            <w:tcBorders>
              <w:right w:val="single" w:sz="8" w:color="auto"/>
            </w:tcBorders>
            <w:shd w:val="clear" w:color="auto" w:fill="000000"/>
          </w:tcPr>
          <w:p>
            <w:pPr>
              <w:spacing w:after="0"/>
              <w:rPr>
                <w:sz w:val="20"/>
                <w:szCs w:val="20"/>
                <w:color w:val="auto"/>
              </w:rPr>
            </w:pPr>
          </w:p>
        </w:tc>
        <w:tc>
          <w:tcPr>
            <w:tcW w:w="120" w:type="dxa"/>
            <w:vAlign w:val="bottom"/>
            <w:tcBorders>
              <w:right w:val="single" w:sz="8" w:color="auto"/>
            </w:tcBorders>
            <w:shd w:val="clear" w:color="auto" w:fill="000000"/>
          </w:tcPr>
          <w:p>
            <w:pPr>
              <w:spacing w:after="0"/>
              <w:rPr>
                <w:sz w:val="20"/>
                <w:szCs w:val="20"/>
                <w:color w:val="auto"/>
              </w:rPr>
            </w:pPr>
          </w:p>
        </w:tc>
        <w:tc>
          <w:tcPr>
            <w:tcW w:w="560" w:type="dxa"/>
            <w:vAlign w:val="bottom"/>
            <w:shd w:val="clear" w:color="auto" w:fill="000000"/>
          </w:tcPr>
          <w:p>
            <w:pPr>
              <w:spacing w:after="0"/>
              <w:rPr>
                <w:sz w:val="20"/>
                <w:szCs w:val="20"/>
                <w:color w:val="auto"/>
              </w:rPr>
            </w:pPr>
          </w:p>
        </w:tc>
        <w:tc>
          <w:tcPr>
            <w:tcW w:w="80" w:type="dxa"/>
            <w:vAlign w:val="bottom"/>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100" w:type="dxa"/>
            <w:vAlign w:val="bottom"/>
            <w:tcBorders>
              <w:right w:val="single" w:sz="8" w:color="auto"/>
            </w:tcBorders>
            <w:shd w:val="clear" w:color="auto" w:fill="000000"/>
          </w:tcPr>
          <w:p>
            <w:pPr>
              <w:spacing w:after="0"/>
              <w:rPr>
                <w:sz w:val="20"/>
                <w:szCs w:val="20"/>
                <w:color w:val="auto"/>
              </w:rPr>
            </w:pPr>
          </w:p>
        </w:tc>
        <w:tc>
          <w:tcPr>
            <w:tcW w:w="580" w:type="dxa"/>
            <w:vAlign w:val="bottom"/>
            <w:tcBorders>
              <w:right w:val="single" w:sz="8" w:color="auto"/>
            </w:tcBorders>
            <w:shd w:val="clear" w:color="auto" w:fill="000000"/>
          </w:tcPr>
          <w:p>
            <w:pPr>
              <w:spacing w:after="0"/>
              <w:rPr>
                <w:sz w:val="20"/>
                <w:szCs w:val="20"/>
                <w:color w:val="auto"/>
              </w:rPr>
            </w:pPr>
          </w:p>
        </w:tc>
        <w:tc>
          <w:tcPr>
            <w:tcW w:w="80" w:type="dxa"/>
            <w:vAlign w:val="bottom"/>
            <w:tcBorders>
              <w:right w:val="single" w:sz="8" w:color="auto"/>
            </w:tcBorders>
            <w:shd w:val="clear" w:color="auto" w:fill="000000"/>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380" w:type="dxa"/>
            <w:vAlign w:val="bottom"/>
            <w:tcBorders>
              <w:right w:val="single" w:sz="8" w:color="auto"/>
            </w:tcBorders>
            <w:shd w:val="clear" w:color="auto" w:fill="000000"/>
          </w:tcPr>
          <w:p>
            <w:pPr>
              <w:spacing w:after="0"/>
              <w:rPr>
                <w:sz w:val="20"/>
                <w:szCs w:val="20"/>
                <w:color w:val="auto"/>
              </w:rPr>
            </w:pPr>
          </w:p>
        </w:tc>
        <w:tc>
          <w:tcPr>
            <w:tcW w:w="26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960" w:type="dxa"/>
            <w:vAlign w:val="bottom"/>
            <w:gridSpan w:val="3"/>
            <w:shd w:val="clear" w:color="auto" w:fill="E93BAC"/>
          </w:tcPr>
          <w:p>
            <w:pPr>
              <w:jc w:val="right"/>
              <w:ind w:right="1820"/>
              <w:spacing w:after="0"/>
              <w:rPr>
                <w:sz w:val="20"/>
                <w:szCs w:val="20"/>
                <w:color w:val="auto"/>
              </w:rPr>
            </w:pPr>
            <w:r>
              <w:rPr>
                <w:rFonts w:ascii="Calibri" w:cs="Calibri" w:eastAsia="Calibri" w:hAnsi="Calibri"/>
                <w:sz w:val="19"/>
                <w:szCs w:val="19"/>
                <w:b w:val="1"/>
                <w:bCs w:val="1"/>
                <w:color w:val="FFFFFF"/>
              </w:rPr>
              <w:t>12. Appendix</w:t>
            </w:r>
          </w:p>
        </w:tc>
        <w:tc>
          <w:tcPr>
            <w:tcW w:w="260" w:type="dxa"/>
            <w:vAlign w:val="bottom"/>
            <w:tcBorders>
              <w:right w:val="single" w:sz="8" w:color="E93BAC"/>
            </w:tcBorders>
            <w:shd w:val="clear" w:color="auto" w:fill="E93BAC"/>
          </w:tcPr>
          <w:p>
            <w:pPr>
              <w:spacing w:after="0"/>
              <w:rPr>
                <w:sz w:val="22"/>
                <w:szCs w:val="22"/>
                <w:color w:val="auto"/>
              </w:rPr>
            </w:pPr>
          </w:p>
        </w:tc>
        <w:tc>
          <w:tcPr>
            <w:tcW w:w="820" w:type="dxa"/>
            <w:vAlign w:val="bottom"/>
            <w:shd w:val="clear" w:color="auto" w:fill="E93BAC"/>
          </w:tcPr>
          <w:p>
            <w:pPr>
              <w:spacing w:after="0"/>
              <w:rPr>
                <w:sz w:val="22"/>
                <w:szCs w:val="22"/>
                <w:color w:val="auto"/>
              </w:rPr>
            </w:pPr>
          </w:p>
        </w:tc>
        <w:tc>
          <w:tcPr>
            <w:tcW w:w="900" w:type="dxa"/>
            <w:vAlign w:val="bottom"/>
            <w:tcBorders>
              <w:right w:val="single" w:sz="8" w:color="E93BAC"/>
            </w:tcBorders>
            <w:shd w:val="clear" w:color="auto" w:fill="E93BAC"/>
          </w:tcPr>
          <w:p>
            <w:pPr>
              <w:spacing w:after="0"/>
              <w:rPr>
                <w:sz w:val="22"/>
                <w:szCs w:val="22"/>
                <w:color w:val="auto"/>
              </w:rPr>
            </w:pPr>
          </w:p>
        </w:tc>
        <w:tc>
          <w:tcPr>
            <w:tcW w:w="180" w:type="dxa"/>
            <w:vAlign w:val="bottom"/>
            <w:shd w:val="clear" w:color="auto" w:fill="E93BAC"/>
          </w:tcPr>
          <w:p>
            <w:pPr>
              <w:spacing w:after="0"/>
              <w:rPr>
                <w:sz w:val="22"/>
                <w:szCs w:val="22"/>
                <w:color w:val="auto"/>
              </w:rPr>
            </w:pPr>
          </w:p>
        </w:tc>
        <w:tc>
          <w:tcPr>
            <w:tcW w:w="940" w:type="dxa"/>
            <w:vAlign w:val="bottom"/>
            <w:tcBorders>
              <w:right w:val="single" w:sz="8" w:color="E93BAC"/>
            </w:tcBorders>
            <w:shd w:val="clear" w:color="auto" w:fill="E93BAC"/>
          </w:tcPr>
          <w:p>
            <w:pPr>
              <w:spacing w:after="0"/>
              <w:rPr>
                <w:sz w:val="22"/>
                <w:szCs w:val="22"/>
                <w:color w:val="auto"/>
              </w:rPr>
            </w:pPr>
          </w:p>
        </w:tc>
        <w:tc>
          <w:tcPr>
            <w:tcW w:w="240" w:type="dxa"/>
            <w:vAlign w:val="bottom"/>
            <w:shd w:val="clear" w:color="auto" w:fill="E93BAC"/>
          </w:tcPr>
          <w:p>
            <w:pPr>
              <w:spacing w:after="0"/>
              <w:rPr>
                <w:sz w:val="22"/>
                <w:szCs w:val="22"/>
                <w:color w:val="auto"/>
              </w:rPr>
            </w:pPr>
          </w:p>
        </w:tc>
        <w:tc>
          <w:tcPr>
            <w:tcW w:w="160" w:type="dxa"/>
            <w:vAlign w:val="bottom"/>
            <w:tcBorders>
              <w:right w:val="single" w:sz="8" w:color="E93BAC"/>
            </w:tcBorders>
            <w:shd w:val="clear" w:color="auto" w:fill="E93BAC"/>
          </w:tcPr>
          <w:p>
            <w:pPr>
              <w:spacing w:after="0"/>
              <w:rPr>
                <w:sz w:val="22"/>
                <w:szCs w:val="22"/>
                <w:color w:val="auto"/>
              </w:rPr>
            </w:pPr>
          </w:p>
        </w:tc>
        <w:tc>
          <w:tcPr>
            <w:tcW w:w="720" w:type="dxa"/>
            <w:vAlign w:val="bottom"/>
            <w:shd w:val="clear" w:color="auto" w:fill="E93BAC"/>
          </w:tcPr>
          <w:p>
            <w:pPr>
              <w:spacing w:after="0"/>
              <w:rPr>
                <w:sz w:val="22"/>
                <w:szCs w:val="22"/>
                <w:color w:val="auto"/>
              </w:rPr>
            </w:pPr>
          </w:p>
        </w:tc>
        <w:tc>
          <w:tcPr>
            <w:tcW w:w="680" w:type="dxa"/>
            <w:vAlign w:val="bottom"/>
            <w:tcBorders>
              <w:right w:val="single" w:sz="8" w:color="E93BAC"/>
            </w:tcBorders>
            <w:shd w:val="clear" w:color="auto" w:fill="E93BAC"/>
          </w:tcPr>
          <w:p>
            <w:pPr>
              <w:spacing w:after="0"/>
              <w:rPr>
                <w:sz w:val="22"/>
                <w:szCs w:val="22"/>
                <w:color w:val="auto"/>
              </w:rPr>
            </w:pPr>
          </w:p>
        </w:tc>
        <w:tc>
          <w:tcPr>
            <w:tcW w:w="120" w:type="dxa"/>
            <w:vAlign w:val="bottom"/>
            <w:tcBorders>
              <w:right w:val="single" w:sz="8" w:color="E93BAC"/>
            </w:tcBorders>
            <w:shd w:val="clear" w:color="auto" w:fill="E93BAC"/>
          </w:tcPr>
          <w:p>
            <w:pPr>
              <w:spacing w:after="0"/>
              <w:rPr>
                <w:sz w:val="22"/>
                <w:szCs w:val="22"/>
                <w:color w:val="auto"/>
              </w:rPr>
            </w:pPr>
          </w:p>
        </w:tc>
        <w:tc>
          <w:tcPr>
            <w:tcW w:w="560" w:type="dxa"/>
            <w:vAlign w:val="bottom"/>
            <w:shd w:val="clear" w:color="auto" w:fill="E93BAC"/>
          </w:tcPr>
          <w:p>
            <w:pPr>
              <w:spacing w:after="0"/>
              <w:rPr>
                <w:sz w:val="22"/>
                <w:szCs w:val="22"/>
                <w:color w:val="auto"/>
              </w:rPr>
            </w:pPr>
          </w:p>
        </w:tc>
        <w:tc>
          <w:tcPr>
            <w:tcW w:w="80" w:type="dxa"/>
            <w:vAlign w:val="bottom"/>
            <w:shd w:val="clear" w:color="auto" w:fill="E93BAC"/>
          </w:tcPr>
          <w:p>
            <w:pPr>
              <w:spacing w:after="0"/>
              <w:rPr>
                <w:sz w:val="22"/>
                <w:szCs w:val="22"/>
                <w:color w:val="auto"/>
              </w:rPr>
            </w:pPr>
          </w:p>
        </w:tc>
        <w:tc>
          <w:tcPr>
            <w:tcW w:w="200" w:type="dxa"/>
            <w:vAlign w:val="bottom"/>
            <w:shd w:val="clear" w:color="auto" w:fill="E93BAC"/>
          </w:tcPr>
          <w:p>
            <w:pPr>
              <w:spacing w:after="0"/>
              <w:rPr>
                <w:sz w:val="22"/>
                <w:szCs w:val="22"/>
                <w:color w:val="auto"/>
              </w:rPr>
            </w:pPr>
          </w:p>
        </w:tc>
        <w:tc>
          <w:tcPr>
            <w:tcW w:w="100" w:type="dxa"/>
            <w:vAlign w:val="bottom"/>
            <w:tcBorders>
              <w:right w:val="single" w:sz="8" w:color="E93BAC"/>
            </w:tcBorders>
            <w:shd w:val="clear" w:color="auto" w:fill="E93BAC"/>
          </w:tcPr>
          <w:p>
            <w:pPr>
              <w:spacing w:after="0"/>
              <w:rPr>
                <w:sz w:val="22"/>
                <w:szCs w:val="22"/>
                <w:color w:val="auto"/>
              </w:rPr>
            </w:pPr>
          </w:p>
        </w:tc>
        <w:tc>
          <w:tcPr>
            <w:tcW w:w="580" w:type="dxa"/>
            <w:vAlign w:val="bottom"/>
            <w:tcBorders>
              <w:right w:val="single" w:sz="8" w:color="E93BAC"/>
            </w:tcBorders>
            <w:shd w:val="clear" w:color="auto" w:fill="E93BAC"/>
          </w:tcPr>
          <w:p>
            <w:pPr>
              <w:spacing w:after="0"/>
              <w:rPr>
                <w:sz w:val="22"/>
                <w:szCs w:val="22"/>
                <w:color w:val="auto"/>
              </w:rPr>
            </w:pPr>
          </w:p>
        </w:tc>
        <w:tc>
          <w:tcPr>
            <w:tcW w:w="80" w:type="dxa"/>
            <w:vAlign w:val="bottom"/>
            <w:tcBorders>
              <w:right w:val="single" w:sz="8" w:color="E93BAC"/>
            </w:tcBorders>
            <w:shd w:val="clear" w:color="auto" w:fill="E93BAC"/>
          </w:tcPr>
          <w:p>
            <w:pPr>
              <w:spacing w:after="0"/>
              <w:rPr>
                <w:sz w:val="22"/>
                <w:szCs w:val="22"/>
                <w:color w:val="auto"/>
              </w:rPr>
            </w:pPr>
          </w:p>
        </w:tc>
        <w:tc>
          <w:tcPr>
            <w:tcW w:w="20" w:type="dxa"/>
            <w:vAlign w:val="bottom"/>
            <w:shd w:val="clear" w:color="auto" w:fill="E93BAC"/>
          </w:tcPr>
          <w:p>
            <w:pPr>
              <w:spacing w:after="0"/>
              <w:rPr>
                <w:sz w:val="22"/>
                <w:szCs w:val="22"/>
                <w:color w:val="auto"/>
              </w:rPr>
            </w:pPr>
          </w:p>
        </w:tc>
        <w:tc>
          <w:tcPr>
            <w:tcW w:w="1380" w:type="dxa"/>
            <w:vAlign w:val="bottom"/>
            <w:tcBorders>
              <w:right w:val="single" w:sz="8" w:color="E93BAC"/>
            </w:tcBorders>
            <w:shd w:val="clear" w:color="auto" w:fill="E93BAC"/>
          </w:tcPr>
          <w:p>
            <w:pPr>
              <w:spacing w:after="0"/>
              <w:rPr>
                <w:sz w:val="22"/>
                <w:szCs w:val="22"/>
                <w:color w:val="auto"/>
              </w:rPr>
            </w:pPr>
          </w:p>
        </w:tc>
        <w:tc>
          <w:tcPr>
            <w:tcW w:w="260" w:type="dxa"/>
            <w:vAlign w:val="bottom"/>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320" w:type="dxa"/>
            <w:vAlign w:val="bottom"/>
            <w:tcBorders>
              <w:right w:val="single" w:sz="8" w:color="E93BAC"/>
            </w:tcBorders>
            <w:shd w:val="clear" w:color="auto" w:fill="E93BAC"/>
          </w:tcPr>
          <w:p>
            <w:pPr>
              <w:spacing w:after="0"/>
              <w:rPr>
                <w:sz w:val="7"/>
                <w:szCs w:val="7"/>
                <w:color w:val="auto"/>
              </w:rPr>
            </w:pPr>
          </w:p>
        </w:tc>
        <w:tc>
          <w:tcPr>
            <w:tcW w:w="2360" w:type="dxa"/>
            <w:vAlign w:val="bottom"/>
            <w:tcBorders>
              <w:right w:val="single" w:sz="8" w:color="E93BAC"/>
            </w:tcBorders>
            <w:shd w:val="clear" w:color="auto" w:fill="E93BAC"/>
          </w:tcPr>
          <w:p>
            <w:pPr>
              <w:spacing w:after="0"/>
              <w:rPr>
                <w:sz w:val="7"/>
                <w:szCs w:val="7"/>
                <w:color w:val="auto"/>
              </w:rPr>
            </w:pPr>
          </w:p>
        </w:tc>
        <w:tc>
          <w:tcPr>
            <w:tcW w:w="280" w:type="dxa"/>
            <w:vAlign w:val="bottom"/>
            <w:shd w:val="clear" w:color="auto" w:fill="E93BAC"/>
          </w:tcPr>
          <w:p>
            <w:pPr>
              <w:spacing w:after="0"/>
              <w:rPr>
                <w:sz w:val="7"/>
                <w:szCs w:val="7"/>
                <w:color w:val="auto"/>
              </w:rPr>
            </w:pPr>
          </w:p>
        </w:tc>
        <w:tc>
          <w:tcPr>
            <w:tcW w:w="260" w:type="dxa"/>
            <w:vAlign w:val="bottom"/>
            <w:tcBorders>
              <w:right w:val="single" w:sz="8" w:color="E93BAC"/>
            </w:tcBorders>
            <w:shd w:val="clear" w:color="auto" w:fill="E93BAC"/>
          </w:tcPr>
          <w:p>
            <w:pPr>
              <w:spacing w:after="0"/>
              <w:rPr>
                <w:sz w:val="7"/>
                <w:szCs w:val="7"/>
                <w:color w:val="auto"/>
              </w:rPr>
            </w:pPr>
          </w:p>
        </w:tc>
        <w:tc>
          <w:tcPr>
            <w:tcW w:w="820" w:type="dxa"/>
            <w:vAlign w:val="bottom"/>
            <w:shd w:val="clear" w:color="auto" w:fill="E93BAC"/>
          </w:tcPr>
          <w:p>
            <w:pPr>
              <w:spacing w:after="0"/>
              <w:rPr>
                <w:sz w:val="7"/>
                <w:szCs w:val="7"/>
                <w:color w:val="auto"/>
              </w:rPr>
            </w:pPr>
          </w:p>
        </w:tc>
        <w:tc>
          <w:tcPr>
            <w:tcW w:w="900" w:type="dxa"/>
            <w:vAlign w:val="bottom"/>
            <w:tcBorders>
              <w:right w:val="single" w:sz="8" w:color="E93BAC"/>
            </w:tcBorders>
            <w:shd w:val="clear" w:color="auto" w:fill="E93BAC"/>
          </w:tcPr>
          <w:p>
            <w:pPr>
              <w:spacing w:after="0"/>
              <w:rPr>
                <w:sz w:val="7"/>
                <w:szCs w:val="7"/>
                <w:color w:val="auto"/>
              </w:rPr>
            </w:pPr>
          </w:p>
        </w:tc>
        <w:tc>
          <w:tcPr>
            <w:tcW w:w="180" w:type="dxa"/>
            <w:vAlign w:val="bottom"/>
            <w:shd w:val="clear" w:color="auto" w:fill="E93BAC"/>
          </w:tcPr>
          <w:p>
            <w:pPr>
              <w:spacing w:after="0"/>
              <w:rPr>
                <w:sz w:val="7"/>
                <w:szCs w:val="7"/>
                <w:color w:val="auto"/>
              </w:rPr>
            </w:pPr>
          </w:p>
        </w:tc>
        <w:tc>
          <w:tcPr>
            <w:tcW w:w="940" w:type="dxa"/>
            <w:vAlign w:val="bottom"/>
            <w:tcBorders>
              <w:right w:val="single" w:sz="8" w:color="E93BAC"/>
            </w:tcBorders>
            <w:shd w:val="clear" w:color="auto" w:fill="E93BAC"/>
          </w:tcPr>
          <w:p>
            <w:pPr>
              <w:spacing w:after="0"/>
              <w:rPr>
                <w:sz w:val="7"/>
                <w:szCs w:val="7"/>
                <w:color w:val="auto"/>
              </w:rPr>
            </w:pPr>
          </w:p>
        </w:tc>
        <w:tc>
          <w:tcPr>
            <w:tcW w:w="240" w:type="dxa"/>
            <w:vAlign w:val="bottom"/>
            <w:shd w:val="clear" w:color="auto" w:fill="E93BAC"/>
          </w:tcPr>
          <w:p>
            <w:pPr>
              <w:spacing w:after="0"/>
              <w:rPr>
                <w:sz w:val="7"/>
                <w:szCs w:val="7"/>
                <w:color w:val="auto"/>
              </w:rPr>
            </w:pPr>
          </w:p>
        </w:tc>
        <w:tc>
          <w:tcPr>
            <w:tcW w:w="160" w:type="dxa"/>
            <w:vAlign w:val="bottom"/>
            <w:tcBorders>
              <w:right w:val="single" w:sz="8" w:color="E93BAC"/>
            </w:tcBorders>
            <w:shd w:val="clear" w:color="auto" w:fill="E93BAC"/>
          </w:tcPr>
          <w:p>
            <w:pPr>
              <w:spacing w:after="0"/>
              <w:rPr>
                <w:sz w:val="7"/>
                <w:szCs w:val="7"/>
                <w:color w:val="auto"/>
              </w:rPr>
            </w:pPr>
          </w:p>
        </w:tc>
        <w:tc>
          <w:tcPr>
            <w:tcW w:w="720" w:type="dxa"/>
            <w:vAlign w:val="bottom"/>
            <w:shd w:val="clear" w:color="auto" w:fill="E93BAC"/>
          </w:tcPr>
          <w:p>
            <w:pPr>
              <w:spacing w:after="0"/>
              <w:rPr>
                <w:sz w:val="7"/>
                <w:szCs w:val="7"/>
                <w:color w:val="auto"/>
              </w:rPr>
            </w:pPr>
          </w:p>
        </w:tc>
        <w:tc>
          <w:tcPr>
            <w:tcW w:w="680" w:type="dxa"/>
            <w:vAlign w:val="bottom"/>
            <w:tcBorders>
              <w:right w:val="single" w:sz="8" w:color="E93BAC"/>
            </w:tcBorders>
            <w:shd w:val="clear" w:color="auto" w:fill="E93BAC"/>
          </w:tcPr>
          <w:p>
            <w:pPr>
              <w:spacing w:after="0"/>
              <w:rPr>
                <w:sz w:val="7"/>
                <w:szCs w:val="7"/>
                <w:color w:val="auto"/>
              </w:rPr>
            </w:pPr>
          </w:p>
        </w:tc>
        <w:tc>
          <w:tcPr>
            <w:tcW w:w="120" w:type="dxa"/>
            <w:vAlign w:val="bottom"/>
            <w:tcBorders>
              <w:right w:val="single" w:sz="8" w:color="E93BAC"/>
            </w:tcBorders>
            <w:shd w:val="clear" w:color="auto" w:fill="E93BAC"/>
          </w:tcPr>
          <w:p>
            <w:pPr>
              <w:spacing w:after="0"/>
              <w:rPr>
                <w:sz w:val="7"/>
                <w:szCs w:val="7"/>
                <w:color w:val="auto"/>
              </w:rPr>
            </w:pPr>
          </w:p>
        </w:tc>
        <w:tc>
          <w:tcPr>
            <w:tcW w:w="560" w:type="dxa"/>
            <w:vAlign w:val="bottom"/>
            <w:shd w:val="clear" w:color="auto" w:fill="E93BAC"/>
          </w:tcPr>
          <w:p>
            <w:pPr>
              <w:spacing w:after="0"/>
              <w:rPr>
                <w:sz w:val="7"/>
                <w:szCs w:val="7"/>
                <w:color w:val="auto"/>
              </w:rPr>
            </w:pPr>
          </w:p>
        </w:tc>
        <w:tc>
          <w:tcPr>
            <w:tcW w:w="80" w:type="dxa"/>
            <w:vAlign w:val="bottom"/>
            <w:shd w:val="clear" w:color="auto" w:fill="E93BAC"/>
          </w:tcPr>
          <w:p>
            <w:pPr>
              <w:spacing w:after="0"/>
              <w:rPr>
                <w:sz w:val="7"/>
                <w:szCs w:val="7"/>
                <w:color w:val="auto"/>
              </w:rPr>
            </w:pPr>
          </w:p>
        </w:tc>
        <w:tc>
          <w:tcPr>
            <w:tcW w:w="200" w:type="dxa"/>
            <w:vAlign w:val="bottom"/>
            <w:shd w:val="clear" w:color="auto" w:fill="E93BAC"/>
          </w:tcPr>
          <w:p>
            <w:pPr>
              <w:spacing w:after="0"/>
              <w:rPr>
                <w:sz w:val="7"/>
                <w:szCs w:val="7"/>
                <w:color w:val="auto"/>
              </w:rPr>
            </w:pPr>
          </w:p>
        </w:tc>
        <w:tc>
          <w:tcPr>
            <w:tcW w:w="100" w:type="dxa"/>
            <w:vAlign w:val="bottom"/>
            <w:tcBorders>
              <w:right w:val="single" w:sz="8" w:color="E93BAC"/>
            </w:tcBorders>
            <w:shd w:val="clear" w:color="auto" w:fill="E93BAC"/>
          </w:tcPr>
          <w:p>
            <w:pPr>
              <w:spacing w:after="0"/>
              <w:rPr>
                <w:sz w:val="7"/>
                <w:szCs w:val="7"/>
                <w:color w:val="auto"/>
              </w:rPr>
            </w:pPr>
          </w:p>
        </w:tc>
        <w:tc>
          <w:tcPr>
            <w:tcW w:w="580" w:type="dxa"/>
            <w:vAlign w:val="bottom"/>
            <w:tcBorders>
              <w:right w:val="single" w:sz="8" w:color="E93BAC"/>
            </w:tcBorders>
            <w:shd w:val="clear" w:color="auto" w:fill="E93BAC"/>
          </w:tcPr>
          <w:p>
            <w:pPr>
              <w:spacing w:after="0"/>
              <w:rPr>
                <w:sz w:val="7"/>
                <w:szCs w:val="7"/>
                <w:color w:val="auto"/>
              </w:rPr>
            </w:pPr>
          </w:p>
        </w:tc>
        <w:tc>
          <w:tcPr>
            <w:tcW w:w="80" w:type="dxa"/>
            <w:vAlign w:val="bottom"/>
            <w:tcBorders>
              <w:right w:val="single" w:sz="8" w:color="E93BAC"/>
            </w:tcBorders>
            <w:shd w:val="clear" w:color="auto" w:fill="E93BAC"/>
          </w:tcPr>
          <w:p>
            <w:pPr>
              <w:spacing w:after="0"/>
              <w:rPr>
                <w:sz w:val="7"/>
                <w:szCs w:val="7"/>
                <w:color w:val="auto"/>
              </w:rPr>
            </w:pPr>
          </w:p>
        </w:tc>
        <w:tc>
          <w:tcPr>
            <w:tcW w:w="20" w:type="dxa"/>
            <w:vAlign w:val="bottom"/>
            <w:shd w:val="clear" w:color="auto" w:fill="E93BAC"/>
          </w:tcPr>
          <w:p>
            <w:pPr>
              <w:spacing w:after="0"/>
              <w:rPr>
                <w:sz w:val="7"/>
                <w:szCs w:val="7"/>
                <w:color w:val="auto"/>
              </w:rPr>
            </w:pPr>
          </w:p>
        </w:tc>
        <w:tc>
          <w:tcPr>
            <w:tcW w:w="1380" w:type="dxa"/>
            <w:vAlign w:val="bottom"/>
            <w:tcBorders>
              <w:right w:val="single" w:sz="8" w:color="E93BAC"/>
            </w:tcBorders>
            <w:shd w:val="clear" w:color="auto" w:fill="E93BAC"/>
          </w:tcPr>
          <w:p>
            <w:pPr>
              <w:spacing w:after="0"/>
              <w:rPr>
                <w:sz w:val="7"/>
                <w:szCs w:val="7"/>
                <w:color w:val="auto"/>
              </w:rPr>
            </w:pPr>
          </w:p>
        </w:tc>
        <w:tc>
          <w:tcPr>
            <w:tcW w:w="260" w:type="dxa"/>
            <w:vAlign w:val="bottom"/>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Calibri" w:cs="Calibri" w:eastAsia="Calibri" w:hAnsi="Calibri"/>
                <w:sz w:val="17"/>
                <w:szCs w:val="17"/>
                <w:b w:val="1"/>
                <w:bCs w:val="1"/>
                <w:color w:val="auto"/>
              </w:rPr>
              <w:t>12.6.6. Mibanco</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140" w:type="dxa"/>
            <w:vAlign w:val="bottom"/>
            <w:gridSpan w:val="6"/>
          </w:tcPr>
          <w:p>
            <w:pPr>
              <w:jc w:val="center"/>
              <w:spacing w:after="0" w:line="193" w:lineRule="exact"/>
              <w:rPr>
                <w:sz w:val="20"/>
                <w:szCs w:val="20"/>
                <w:color w:val="auto"/>
              </w:rPr>
            </w:pPr>
            <w:r>
              <w:rPr>
                <w:rFonts w:ascii="Calibri" w:cs="Calibri" w:eastAsia="Calibri" w:hAnsi="Calibri"/>
                <w:sz w:val="16"/>
                <w:szCs w:val="16"/>
                <w:b w:val="1"/>
                <w:bCs w:val="1"/>
                <w:color w:val="auto"/>
                <w:w w:val="99"/>
              </w:rPr>
              <w:t>Statement of Financial Positon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gridSpan w:val="3"/>
          </w:tcPr>
          <w:p>
            <w:pPr>
              <w:jc w:val="center"/>
              <w:spacing w:after="0"/>
              <w:rPr>
                <w:sz w:val="20"/>
                <w:szCs w:val="20"/>
                <w:color w:val="auto"/>
              </w:rPr>
            </w:pPr>
            <w:r>
              <w:rPr>
                <w:rFonts w:ascii="Calibri" w:cs="Calibri" w:eastAsia="Calibri" w:hAnsi="Calibri"/>
                <w:sz w:val="16"/>
                <w:szCs w:val="16"/>
                <w:b w:val="1"/>
                <w:bCs w:val="1"/>
                <w:color w:val="auto"/>
                <w:w w:val="97"/>
              </w:rPr>
              <w:t>(S/ Thousands, IFRS)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0" w:type="dxa"/>
            <w:vAlign w:val="bottom"/>
            <w:tcBorders>
              <w:right w:val="single" w:sz="8" w:color="auto"/>
            </w:tcBorders>
          </w:tcPr>
          <w:p>
            <w:pPr>
              <w:spacing w:after="0"/>
              <w:rPr>
                <w:sz w:val="14"/>
                <w:szCs w:val="14"/>
                <w:color w:val="auto"/>
              </w:rPr>
            </w:pPr>
          </w:p>
        </w:tc>
        <w:tc>
          <w:tcPr>
            <w:tcW w:w="2360" w:type="dxa"/>
            <w:vAlign w:val="bottom"/>
            <w:tcBorders>
              <w:right w:val="single" w:sz="8" w:color="2AD2C8"/>
            </w:tcBorders>
            <w:shd w:val="clear" w:color="auto" w:fill="2AD2C8"/>
          </w:tcPr>
          <w:p>
            <w:pPr>
              <w:spacing w:after="0"/>
              <w:rPr>
                <w:sz w:val="14"/>
                <w:szCs w:val="14"/>
                <w:color w:val="auto"/>
              </w:rPr>
            </w:pPr>
          </w:p>
        </w:tc>
        <w:tc>
          <w:tcPr>
            <w:tcW w:w="280" w:type="dxa"/>
            <w:vAlign w:val="bottom"/>
            <w:shd w:val="clear" w:color="auto" w:fill="2AD2C8"/>
          </w:tcPr>
          <w:p>
            <w:pPr>
              <w:spacing w:after="0"/>
              <w:rPr>
                <w:sz w:val="14"/>
                <w:szCs w:val="14"/>
                <w:color w:val="auto"/>
              </w:rPr>
            </w:pPr>
          </w:p>
        </w:tc>
        <w:tc>
          <w:tcPr>
            <w:tcW w:w="260" w:type="dxa"/>
            <w:vAlign w:val="bottom"/>
            <w:tcBorders>
              <w:right w:val="single" w:sz="8" w:color="2AD2C8"/>
            </w:tcBorders>
            <w:shd w:val="clear" w:color="auto" w:fill="2AD2C8"/>
          </w:tcPr>
          <w:p>
            <w:pPr>
              <w:spacing w:after="0"/>
              <w:rPr>
                <w:sz w:val="14"/>
                <w:szCs w:val="14"/>
                <w:color w:val="auto"/>
              </w:rPr>
            </w:pPr>
          </w:p>
        </w:tc>
        <w:tc>
          <w:tcPr>
            <w:tcW w:w="820" w:type="dxa"/>
            <w:vAlign w:val="bottom"/>
            <w:shd w:val="clear" w:color="auto" w:fill="2AD2C8"/>
          </w:tcPr>
          <w:p>
            <w:pPr>
              <w:spacing w:after="0"/>
              <w:rPr>
                <w:sz w:val="14"/>
                <w:szCs w:val="14"/>
                <w:color w:val="auto"/>
              </w:rPr>
            </w:pPr>
          </w:p>
        </w:tc>
        <w:tc>
          <w:tcPr>
            <w:tcW w:w="900" w:type="dxa"/>
            <w:vAlign w:val="bottom"/>
            <w:tcBorders>
              <w:right w:val="single" w:sz="8" w:color="auto"/>
            </w:tcBorders>
            <w:shd w:val="clear" w:color="auto" w:fill="2AD2C8"/>
          </w:tcPr>
          <w:p>
            <w:pPr>
              <w:spacing w:after="0"/>
              <w:rPr>
                <w:sz w:val="14"/>
                <w:szCs w:val="14"/>
                <w:color w:val="auto"/>
              </w:rPr>
            </w:pPr>
          </w:p>
        </w:tc>
        <w:tc>
          <w:tcPr>
            <w:tcW w:w="180" w:type="dxa"/>
            <w:vAlign w:val="bottom"/>
            <w:shd w:val="clear" w:color="auto" w:fill="2AD2C8"/>
          </w:tcPr>
          <w:p>
            <w:pPr>
              <w:spacing w:after="0"/>
              <w:rPr>
                <w:sz w:val="14"/>
                <w:szCs w:val="14"/>
                <w:color w:val="auto"/>
              </w:rPr>
            </w:pPr>
          </w:p>
        </w:tc>
        <w:tc>
          <w:tcPr>
            <w:tcW w:w="940" w:type="dxa"/>
            <w:vAlign w:val="bottom"/>
            <w:tcBorders>
              <w:right w:val="single" w:sz="8" w:color="2AD2C8"/>
            </w:tcBorders>
            <w:shd w:val="clear" w:color="auto" w:fill="2AD2C8"/>
          </w:tcPr>
          <w:p>
            <w:pPr>
              <w:spacing w:after="0"/>
              <w:rPr>
                <w:sz w:val="14"/>
                <w:szCs w:val="14"/>
                <w:color w:val="auto"/>
              </w:rPr>
            </w:pPr>
          </w:p>
        </w:tc>
        <w:tc>
          <w:tcPr>
            <w:tcW w:w="240" w:type="dxa"/>
            <w:vAlign w:val="bottom"/>
            <w:shd w:val="clear" w:color="auto" w:fill="2AD2C8"/>
          </w:tcPr>
          <w:p>
            <w:pPr>
              <w:spacing w:after="0"/>
              <w:rPr>
                <w:sz w:val="14"/>
                <w:szCs w:val="14"/>
                <w:color w:val="auto"/>
              </w:rPr>
            </w:pPr>
          </w:p>
        </w:tc>
        <w:tc>
          <w:tcPr>
            <w:tcW w:w="160" w:type="dxa"/>
            <w:vAlign w:val="bottom"/>
            <w:tcBorders>
              <w:right w:val="single" w:sz="8" w:color="2AD2C8"/>
            </w:tcBorders>
            <w:shd w:val="clear" w:color="auto" w:fill="2AD2C8"/>
          </w:tcPr>
          <w:p>
            <w:pPr>
              <w:spacing w:after="0"/>
              <w:rPr>
                <w:sz w:val="14"/>
                <w:szCs w:val="14"/>
                <w:color w:val="auto"/>
              </w:rPr>
            </w:pPr>
          </w:p>
        </w:tc>
        <w:tc>
          <w:tcPr>
            <w:tcW w:w="720" w:type="dxa"/>
            <w:vAlign w:val="bottom"/>
            <w:shd w:val="clear" w:color="auto" w:fill="2AD2C8"/>
          </w:tcPr>
          <w:p>
            <w:pPr>
              <w:ind w:left="280"/>
              <w:spacing w:after="0" w:line="157" w:lineRule="exact"/>
              <w:rPr>
                <w:sz w:val="20"/>
                <w:szCs w:val="20"/>
                <w:color w:val="auto"/>
              </w:rPr>
            </w:pPr>
            <w:r>
              <w:rPr>
                <w:rFonts w:ascii="Calibri" w:cs="Calibri" w:eastAsia="Calibri" w:hAnsi="Calibri"/>
                <w:sz w:val="13"/>
                <w:szCs w:val="13"/>
                <w:b w:val="1"/>
                <w:bCs w:val="1"/>
                <w:color w:val="FFFFFF"/>
              </w:rPr>
              <w:t>As of</w:t>
            </w:r>
          </w:p>
        </w:tc>
        <w:tc>
          <w:tcPr>
            <w:tcW w:w="680" w:type="dxa"/>
            <w:vAlign w:val="bottom"/>
            <w:tcBorders>
              <w:right w:val="single" w:sz="8" w:color="2AD2C8"/>
            </w:tcBorders>
            <w:shd w:val="clear" w:color="auto" w:fill="2AD2C8"/>
          </w:tcPr>
          <w:p>
            <w:pPr>
              <w:spacing w:after="0"/>
              <w:rPr>
                <w:sz w:val="14"/>
                <w:szCs w:val="14"/>
                <w:color w:val="auto"/>
              </w:rPr>
            </w:pPr>
          </w:p>
        </w:tc>
        <w:tc>
          <w:tcPr>
            <w:tcW w:w="120" w:type="dxa"/>
            <w:vAlign w:val="bottom"/>
            <w:tcBorders>
              <w:right w:val="single" w:sz="8" w:color="2AD2C8"/>
            </w:tcBorders>
            <w:shd w:val="clear" w:color="auto" w:fill="2AD2C8"/>
          </w:tcPr>
          <w:p>
            <w:pPr>
              <w:spacing w:after="0"/>
              <w:rPr>
                <w:sz w:val="14"/>
                <w:szCs w:val="14"/>
                <w:color w:val="auto"/>
              </w:rPr>
            </w:pPr>
          </w:p>
        </w:tc>
        <w:tc>
          <w:tcPr>
            <w:tcW w:w="560" w:type="dxa"/>
            <w:vAlign w:val="bottom"/>
            <w:shd w:val="clear" w:color="auto" w:fill="2AD2C8"/>
          </w:tcPr>
          <w:p>
            <w:pPr>
              <w:spacing w:after="0"/>
              <w:rPr>
                <w:sz w:val="14"/>
                <w:szCs w:val="14"/>
                <w:color w:val="auto"/>
              </w:rPr>
            </w:pPr>
          </w:p>
        </w:tc>
        <w:tc>
          <w:tcPr>
            <w:tcW w:w="80" w:type="dxa"/>
            <w:vAlign w:val="bottom"/>
            <w:shd w:val="clear" w:color="auto" w:fill="2AD2C8"/>
          </w:tcPr>
          <w:p>
            <w:pPr>
              <w:spacing w:after="0"/>
              <w:rPr>
                <w:sz w:val="14"/>
                <w:szCs w:val="14"/>
                <w:color w:val="auto"/>
              </w:rPr>
            </w:pPr>
          </w:p>
        </w:tc>
        <w:tc>
          <w:tcPr>
            <w:tcW w:w="200" w:type="dxa"/>
            <w:vAlign w:val="bottom"/>
            <w:shd w:val="clear" w:color="auto" w:fill="2AD2C8"/>
          </w:tcPr>
          <w:p>
            <w:pPr>
              <w:spacing w:after="0"/>
              <w:rPr>
                <w:sz w:val="14"/>
                <w:szCs w:val="14"/>
                <w:color w:val="auto"/>
              </w:rPr>
            </w:pPr>
          </w:p>
        </w:tc>
        <w:tc>
          <w:tcPr>
            <w:tcW w:w="100" w:type="dxa"/>
            <w:vAlign w:val="bottom"/>
            <w:tcBorders>
              <w:right w:val="single" w:sz="8" w:color="auto"/>
            </w:tcBorders>
            <w:shd w:val="clear" w:color="auto" w:fill="2AD2C8"/>
          </w:tcPr>
          <w:p>
            <w:pPr>
              <w:spacing w:after="0"/>
              <w:rPr>
                <w:sz w:val="14"/>
                <w:szCs w:val="14"/>
                <w:color w:val="auto"/>
              </w:rPr>
            </w:pPr>
          </w:p>
        </w:tc>
        <w:tc>
          <w:tcPr>
            <w:tcW w:w="580" w:type="dxa"/>
            <w:vAlign w:val="bottom"/>
            <w:tcBorders>
              <w:right w:val="single" w:sz="8" w:color="2AD2C8"/>
            </w:tcBorders>
            <w:shd w:val="clear" w:color="auto" w:fill="2AD2C8"/>
          </w:tcPr>
          <w:p>
            <w:pPr>
              <w:spacing w:after="0"/>
              <w:rPr>
                <w:sz w:val="14"/>
                <w:szCs w:val="14"/>
                <w:color w:val="auto"/>
              </w:rPr>
            </w:pPr>
          </w:p>
        </w:tc>
        <w:tc>
          <w:tcPr>
            <w:tcW w:w="80" w:type="dxa"/>
            <w:vAlign w:val="bottom"/>
            <w:tcBorders>
              <w:right w:val="single" w:sz="8" w:color="2AD2C8"/>
            </w:tcBorders>
            <w:shd w:val="clear" w:color="auto" w:fill="2AD2C8"/>
          </w:tcPr>
          <w:p>
            <w:pPr>
              <w:spacing w:after="0"/>
              <w:rPr>
                <w:sz w:val="14"/>
                <w:szCs w:val="14"/>
                <w:color w:val="auto"/>
              </w:rPr>
            </w:pPr>
          </w:p>
        </w:tc>
        <w:tc>
          <w:tcPr>
            <w:tcW w:w="20" w:type="dxa"/>
            <w:vAlign w:val="bottom"/>
            <w:shd w:val="clear" w:color="auto" w:fill="2AD2C8"/>
          </w:tcPr>
          <w:p>
            <w:pPr>
              <w:spacing w:after="0"/>
              <w:rPr>
                <w:sz w:val="14"/>
                <w:szCs w:val="14"/>
                <w:color w:val="auto"/>
              </w:rPr>
            </w:pPr>
          </w:p>
        </w:tc>
        <w:tc>
          <w:tcPr>
            <w:tcW w:w="1380" w:type="dxa"/>
            <w:vAlign w:val="bottom"/>
            <w:tcBorders>
              <w:right w:val="single" w:sz="8" w:color="auto"/>
            </w:tcBorders>
            <w:shd w:val="clear" w:color="auto" w:fill="2AD2C8"/>
          </w:tcPr>
          <w:p>
            <w:pPr>
              <w:ind w:left="20"/>
              <w:spacing w:after="0"/>
              <w:rPr>
                <w:sz w:val="20"/>
                <w:szCs w:val="20"/>
                <w:color w:val="auto"/>
              </w:rPr>
            </w:pPr>
            <w:r>
              <w:rPr>
                <w:rFonts w:ascii="Arial" w:cs="Arial" w:eastAsia="Arial" w:hAnsi="Arial"/>
                <w:sz w:val="13"/>
                <w:szCs w:val="13"/>
                <w:b w:val="1"/>
                <w:bCs w:val="1"/>
                <w:color w:val="FFFFFF"/>
              </w:rPr>
              <w:t>% 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20" w:type="dxa"/>
            <w:vAlign w:val="bottom"/>
            <w:tcBorders>
              <w:right w:val="single" w:sz="8" w:color="auto"/>
            </w:tcBorders>
          </w:tcPr>
          <w:p>
            <w:pPr>
              <w:spacing w:after="0"/>
              <w:rPr>
                <w:sz w:val="18"/>
                <w:szCs w:val="18"/>
                <w:color w:val="auto"/>
              </w:rPr>
            </w:pPr>
          </w:p>
        </w:tc>
        <w:tc>
          <w:tcPr>
            <w:tcW w:w="2360" w:type="dxa"/>
            <w:vAlign w:val="bottom"/>
            <w:tcBorders>
              <w:bottom w:val="single" w:sz="8" w:color="2AD2C8"/>
              <w:right w:val="single" w:sz="8" w:color="2AD2C8"/>
            </w:tcBorders>
            <w:shd w:val="clear" w:color="auto" w:fill="2AD2C8"/>
          </w:tcPr>
          <w:p>
            <w:pPr>
              <w:spacing w:after="0"/>
              <w:rPr>
                <w:sz w:val="18"/>
                <w:szCs w:val="18"/>
                <w:color w:val="auto"/>
              </w:rPr>
            </w:pPr>
          </w:p>
        </w:tc>
        <w:tc>
          <w:tcPr>
            <w:tcW w:w="280" w:type="dxa"/>
            <w:vAlign w:val="bottom"/>
            <w:tcBorders>
              <w:bottom w:val="single" w:sz="8" w:color="2AD2C8"/>
            </w:tcBorders>
            <w:shd w:val="clear" w:color="auto" w:fill="2AD2C8"/>
          </w:tcPr>
          <w:p>
            <w:pPr>
              <w:spacing w:after="0"/>
              <w:rPr>
                <w:sz w:val="18"/>
                <w:szCs w:val="18"/>
                <w:color w:val="auto"/>
              </w:rPr>
            </w:pPr>
          </w:p>
        </w:tc>
        <w:tc>
          <w:tcPr>
            <w:tcW w:w="260" w:type="dxa"/>
            <w:vAlign w:val="bottom"/>
            <w:tcBorders>
              <w:bottom w:val="single" w:sz="8" w:color="2AD2C8"/>
              <w:right w:val="single" w:sz="8" w:color="2AD2C8"/>
            </w:tcBorders>
            <w:shd w:val="clear" w:color="auto" w:fill="2AD2C8"/>
          </w:tcPr>
          <w:p>
            <w:pPr>
              <w:spacing w:after="0"/>
              <w:rPr>
                <w:sz w:val="18"/>
                <w:szCs w:val="18"/>
                <w:color w:val="auto"/>
              </w:rPr>
            </w:pPr>
          </w:p>
        </w:tc>
        <w:tc>
          <w:tcPr>
            <w:tcW w:w="820" w:type="dxa"/>
            <w:vAlign w:val="bottom"/>
            <w:tcBorders>
              <w:bottom w:val="single" w:sz="8" w:color="2AD2C8"/>
            </w:tcBorders>
            <w:shd w:val="clear" w:color="auto" w:fill="2AD2C8"/>
          </w:tcPr>
          <w:p>
            <w:pPr>
              <w:spacing w:after="0"/>
              <w:rPr>
                <w:sz w:val="18"/>
                <w:szCs w:val="18"/>
                <w:color w:val="auto"/>
              </w:rPr>
            </w:pPr>
          </w:p>
        </w:tc>
        <w:tc>
          <w:tcPr>
            <w:tcW w:w="900" w:type="dxa"/>
            <w:vAlign w:val="bottom"/>
            <w:tcBorders>
              <w:bottom w:val="single" w:sz="8" w:color="2AD2C8"/>
              <w:right w:val="single" w:sz="8" w:color="auto"/>
            </w:tcBorders>
            <w:shd w:val="clear" w:color="auto" w:fill="2AD2C8"/>
          </w:tcPr>
          <w:p>
            <w:pPr>
              <w:spacing w:after="0"/>
              <w:rPr>
                <w:sz w:val="18"/>
                <w:szCs w:val="18"/>
                <w:color w:val="auto"/>
              </w:rPr>
            </w:pPr>
          </w:p>
        </w:tc>
        <w:tc>
          <w:tcPr>
            <w:tcW w:w="180" w:type="dxa"/>
            <w:vAlign w:val="bottom"/>
            <w:tcBorders>
              <w:bottom w:val="single" w:sz="8" w:color="2AD2C8"/>
            </w:tcBorders>
            <w:shd w:val="clear" w:color="auto" w:fill="2AD2C8"/>
          </w:tcPr>
          <w:p>
            <w:pPr>
              <w:spacing w:after="0"/>
              <w:rPr>
                <w:sz w:val="18"/>
                <w:szCs w:val="18"/>
                <w:color w:val="auto"/>
              </w:rPr>
            </w:pPr>
          </w:p>
        </w:tc>
        <w:tc>
          <w:tcPr>
            <w:tcW w:w="1180" w:type="dxa"/>
            <w:vAlign w:val="bottom"/>
            <w:tcBorders>
              <w:bottom w:val="single" w:sz="8" w:color="2AD2C8"/>
            </w:tcBorders>
            <w:gridSpan w:val="2"/>
            <w:shd w:val="clear" w:color="auto" w:fill="2AD2C8"/>
          </w:tcPr>
          <w:p>
            <w:pPr>
              <w:ind w:left="260"/>
              <w:spacing w:after="0" w:line="157" w:lineRule="exact"/>
              <w:rPr>
                <w:sz w:val="20"/>
                <w:szCs w:val="20"/>
                <w:color w:val="auto"/>
              </w:rPr>
            </w:pPr>
            <w:r>
              <w:rPr>
                <w:rFonts w:ascii="Calibri" w:cs="Calibri" w:eastAsia="Calibri" w:hAnsi="Calibri"/>
                <w:sz w:val="13"/>
                <w:szCs w:val="13"/>
                <w:b w:val="1"/>
                <w:bCs w:val="1"/>
                <w:color w:val="FFFFFF"/>
              </w:rPr>
              <w:t>Dec 23</w:t>
            </w:r>
          </w:p>
        </w:tc>
        <w:tc>
          <w:tcPr>
            <w:tcW w:w="160" w:type="dxa"/>
            <w:vAlign w:val="bottom"/>
            <w:tcBorders>
              <w:bottom w:val="single" w:sz="8" w:color="2AD2C8"/>
              <w:right w:val="single" w:sz="8" w:color="2AD2C8"/>
            </w:tcBorders>
            <w:shd w:val="clear" w:color="auto" w:fill="2AD2C8"/>
          </w:tcPr>
          <w:p>
            <w:pPr>
              <w:spacing w:after="0"/>
              <w:rPr>
                <w:sz w:val="18"/>
                <w:szCs w:val="18"/>
                <w:color w:val="auto"/>
              </w:rPr>
            </w:pPr>
          </w:p>
        </w:tc>
        <w:tc>
          <w:tcPr>
            <w:tcW w:w="720" w:type="dxa"/>
            <w:vAlign w:val="bottom"/>
            <w:tcBorders>
              <w:bottom w:val="single" w:sz="8" w:color="2AD2C8"/>
            </w:tcBorders>
            <w:shd w:val="clear" w:color="auto" w:fill="2AD2C8"/>
          </w:tcPr>
          <w:p>
            <w:pPr>
              <w:ind w:left="220"/>
              <w:spacing w:after="0"/>
              <w:rPr>
                <w:sz w:val="20"/>
                <w:szCs w:val="20"/>
                <w:color w:val="auto"/>
              </w:rPr>
            </w:pPr>
            <w:r>
              <w:rPr>
                <w:rFonts w:ascii="Calibri" w:cs="Calibri" w:eastAsia="Calibri" w:hAnsi="Calibri"/>
                <w:sz w:val="13"/>
                <w:szCs w:val="13"/>
                <w:b w:val="1"/>
                <w:bCs w:val="1"/>
                <w:color w:val="FFFFFF"/>
              </w:rPr>
              <w:t>Sep 24</w:t>
            </w:r>
          </w:p>
        </w:tc>
        <w:tc>
          <w:tcPr>
            <w:tcW w:w="680" w:type="dxa"/>
            <w:vAlign w:val="bottom"/>
            <w:tcBorders>
              <w:bottom w:val="single" w:sz="8" w:color="2AD2C8"/>
              <w:right w:val="single" w:sz="8" w:color="2AD2C8"/>
            </w:tcBorders>
            <w:shd w:val="clear" w:color="auto" w:fill="2AD2C8"/>
          </w:tcPr>
          <w:p>
            <w:pPr>
              <w:spacing w:after="0"/>
              <w:rPr>
                <w:sz w:val="18"/>
                <w:szCs w:val="18"/>
                <w:color w:val="auto"/>
              </w:rPr>
            </w:pPr>
          </w:p>
        </w:tc>
        <w:tc>
          <w:tcPr>
            <w:tcW w:w="120" w:type="dxa"/>
            <w:vAlign w:val="bottom"/>
            <w:tcBorders>
              <w:bottom w:val="single" w:sz="8" w:color="2AD2C8"/>
              <w:right w:val="single" w:sz="8" w:color="2AD2C8"/>
            </w:tcBorders>
            <w:shd w:val="clear" w:color="auto" w:fill="2AD2C8"/>
          </w:tcPr>
          <w:p>
            <w:pPr>
              <w:spacing w:after="0"/>
              <w:rPr>
                <w:sz w:val="18"/>
                <w:szCs w:val="18"/>
                <w:color w:val="auto"/>
              </w:rPr>
            </w:pPr>
          </w:p>
        </w:tc>
        <w:tc>
          <w:tcPr>
            <w:tcW w:w="560" w:type="dxa"/>
            <w:vAlign w:val="bottom"/>
            <w:tcBorders>
              <w:bottom w:val="single" w:sz="8" w:color="2AD2C8"/>
            </w:tcBorders>
            <w:shd w:val="clear" w:color="auto" w:fill="2AD2C8"/>
          </w:tcPr>
          <w:p>
            <w:pPr>
              <w:ind w:left="60"/>
              <w:spacing w:after="0" w:line="157" w:lineRule="exact"/>
              <w:rPr>
                <w:sz w:val="20"/>
                <w:szCs w:val="20"/>
                <w:color w:val="auto"/>
              </w:rPr>
            </w:pPr>
            <w:r>
              <w:rPr>
                <w:rFonts w:ascii="Calibri" w:cs="Calibri" w:eastAsia="Calibri" w:hAnsi="Calibri"/>
                <w:sz w:val="13"/>
                <w:szCs w:val="13"/>
                <w:b w:val="1"/>
                <w:bCs w:val="1"/>
                <w:color w:val="FFFFFF"/>
              </w:rPr>
              <w:t>Dec 24</w:t>
            </w:r>
          </w:p>
        </w:tc>
        <w:tc>
          <w:tcPr>
            <w:tcW w:w="80" w:type="dxa"/>
            <w:vAlign w:val="bottom"/>
            <w:tcBorders>
              <w:bottom w:val="single" w:sz="8" w:color="2AD2C8"/>
            </w:tcBorders>
            <w:shd w:val="clear" w:color="auto" w:fill="2AD2C8"/>
          </w:tcPr>
          <w:p>
            <w:pPr>
              <w:spacing w:after="0"/>
              <w:rPr>
                <w:sz w:val="18"/>
                <w:szCs w:val="18"/>
                <w:color w:val="auto"/>
              </w:rPr>
            </w:pPr>
          </w:p>
        </w:tc>
        <w:tc>
          <w:tcPr>
            <w:tcW w:w="200" w:type="dxa"/>
            <w:vAlign w:val="bottom"/>
            <w:tcBorders>
              <w:bottom w:val="single" w:sz="8" w:color="2AD2C8"/>
            </w:tcBorders>
            <w:shd w:val="clear" w:color="auto" w:fill="2AD2C8"/>
          </w:tcPr>
          <w:p>
            <w:pPr>
              <w:spacing w:after="0"/>
              <w:rPr>
                <w:sz w:val="18"/>
                <w:szCs w:val="18"/>
                <w:color w:val="auto"/>
              </w:rPr>
            </w:pPr>
          </w:p>
        </w:tc>
        <w:tc>
          <w:tcPr>
            <w:tcW w:w="100" w:type="dxa"/>
            <w:vAlign w:val="bottom"/>
            <w:tcBorders>
              <w:bottom w:val="single" w:sz="8" w:color="2AD2C8"/>
              <w:right w:val="single" w:sz="8" w:color="auto"/>
            </w:tcBorders>
            <w:shd w:val="clear" w:color="auto" w:fill="2AD2C8"/>
          </w:tcPr>
          <w:p>
            <w:pPr>
              <w:spacing w:after="0"/>
              <w:rPr>
                <w:sz w:val="18"/>
                <w:szCs w:val="18"/>
                <w:color w:val="auto"/>
              </w:rPr>
            </w:pPr>
          </w:p>
        </w:tc>
        <w:tc>
          <w:tcPr>
            <w:tcW w:w="680" w:type="dxa"/>
            <w:vAlign w:val="bottom"/>
            <w:tcBorders>
              <w:bottom w:val="single" w:sz="8" w:color="2AD2C8"/>
            </w:tcBorders>
            <w:gridSpan w:val="3"/>
            <w:shd w:val="clear" w:color="auto" w:fill="2AD2C8"/>
          </w:tcPr>
          <w:p>
            <w:pPr>
              <w:ind w:left="380"/>
              <w:spacing w:after="0"/>
              <w:rPr>
                <w:sz w:val="20"/>
                <w:szCs w:val="20"/>
                <w:color w:val="auto"/>
              </w:rPr>
            </w:pPr>
            <w:r>
              <w:rPr>
                <w:rFonts w:ascii="Calibri" w:cs="Calibri" w:eastAsia="Calibri" w:hAnsi="Calibri"/>
                <w:sz w:val="13"/>
                <w:szCs w:val="13"/>
                <w:b w:val="1"/>
                <w:bCs w:val="1"/>
                <w:color w:val="FFFFFF"/>
              </w:rPr>
              <w:t>QoQ</w:t>
            </w:r>
          </w:p>
        </w:tc>
        <w:tc>
          <w:tcPr>
            <w:tcW w:w="1380" w:type="dxa"/>
            <w:vAlign w:val="bottom"/>
            <w:tcBorders>
              <w:bottom w:val="single" w:sz="8" w:color="2AD2C8"/>
              <w:right w:val="single" w:sz="8" w:color="auto"/>
            </w:tcBorders>
            <w:shd w:val="clear" w:color="auto" w:fill="2AD2C8"/>
          </w:tcPr>
          <w:p>
            <w:pPr>
              <w:ind w:left="740"/>
              <w:spacing w:after="0"/>
              <w:rPr>
                <w:sz w:val="20"/>
                <w:szCs w:val="20"/>
                <w:color w:val="auto"/>
              </w:rPr>
            </w:pPr>
            <w:r>
              <w:rPr>
                <w:rFonts w:ascii="Calibri" w:cs="Calibri" w:eastAsia="Calibri" w:hAnsi="Calibri"/>
                <w:sz w:val="13"/>
                <w:szCs w:val="13"/>
                <w:b w:val="1"/>
                <w:bCs w:val="1"/>
                <w:color w:val="FFFFFF"/>
              </w:rPr>
              <w:t>YoY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 w:type="dxa"/>
            <w:vAlign w:val="bottom"/>
            <w:tcBorders>
              <w:right w:val="single" w:sz="8" w:color="auto"/>
            </w:tcBorders>
          </w:tcPr>
          <w:p>
            <w:pPr>
              <w:spacing w:after="0"/>
              <w:rPr>
                <w:sz w:val="12"/>
                <w:szCs w:val="12"/>
                <w:color w:val="auto"/>
              </w:rPr>
            </w:pPr>
          </w:p>
        </w:tc>
        <w:tc>
          <w:tcPr>
            <w:tcW w:w="2640" w:type="dxa"/>
            <w:vAlign w:val="bottom"/>
            <w:tcBorders>
              <w:top w:val="single" w:sz="8" w:color="auto"/>
            </w:tcBorders>
            <w:gridSpan w:val="2"/>
          </w:tcPr>
          <w:p>
            <w:pPr>
              <w:spacing w:after="0" w:line="150" w:lineRule="exact"/>
              <w:rPr>
                <w:sz w:val="20"/>
                <w:szCs w:val="20"/>
                <w:color w:val="auto"/>
              </w:rPr>
            </w:pPr>
            <w:r>
              <w:rPr>
                <w:rFonts w:ascii="Calibri" w:cs="Calibri" w:eastAsia="Calibri" w:hAnsi="Calibri"/>
                <w:sz w:val="13"/>
                <w:szCs w:val="13"/>
                <w:b w:val="1"/>
                <w:bCs w:val="1"/>
                <w:color w:val="auto"/>
              </w:rPr>
              <w:t>ASSETS</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0" w:type="dxa"/>
            <w:vAlign w:val="bottom"/>
            <w:tcBorders>
              <w:right w:val="single" w:sz="8" w:color="auto"/>
            </w:tcBorders>
          </w:tcPr>
          <w:p>
            <w:pPr>
              <w:spacing w:after="0"/>
              <w:rPr>
                <w:sz w:val="15"/>
                <w:szCs w:val="15"/>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color w:val="auto"/>
              </w:rPr>
              <w:t>Cash and due from banks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alibri" w:cs="Calibri" w:eastAsia="Calibri" w:hAnsi="Calibri"/>
                <w:sz w:val="13"/>
                <w:szCs w:val="13"/>
                <w:color w:val="auto"/>
              </w:rPr>
              <w:t>1,121,452</w:t>
            </w:r>
          </w:p>
        </w:tc>
        <w:tc>
          <w:tcPr>
            <w:tcW w:w="240" w:type="dxa"/>
            <w:vAlign w:val="bottom"/>
          </w:tcPr>
          <w:p>
            <w:pPr>
              <w:spacing w:after="0"/>
              <w:rPr>
                <w:sz w:val="15"/>
                <w:szCs w:val="15"/>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rPr>
              <w:t>1,590,356</w:t>
            </w:r>
          </w:p>
        </w:tc>
        <w:tc>
          <w:tcPr>
            <w:tcW w:w="6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w w:val="98"/>
              </w:rPr>
              <w:t>1,833,225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80" w:type="dxa"/>
            <w:vAlign w:val="bottom"/>
            <w:gridSpan w:val="3"/>
          </w:tcPr>
          <w:p>
            <w:pPr>
              <w:jc w:val="center"/>
              <w:ind w:left="256"/>
              <w:spacing w:after="0"/>
              <w:rPr>
                <w:sz w:val="20"/>
                <w:szCs w:val="20"/>
                <w:color w:val="auto"/>
              </w:rPr>
            </w:pPr>
            <w:r>
              <w:rPr>
                <w:rFonts w:ascii="Calibri" w:cs="Calibri" w:eastAsia="Calibri" w:hAnsi="Calibri"/>
                <w:sz w:val="13"/>
                <w:szCs w:val="13"/>
                <w:color w:val="auto"/>
                <w:w w:val="98"/>
              </w:rPr>
              <w:t>15.3%</w:t>
            </w:r>
          </w:p>
        </w:tc>
        <w:tc>
          <w:tcPr>
            <w:tcW w:w="1380" w:type="dxa"/>
            <w:vAlign w:val="bottom"/>
            <w:tcBorders>
              <w:right w:val="single" w:sz="8" w:color="auto"/>
            </w:tcBorders>
          </w:tcPr>
          <w:p>
            <w:pPr>
              <w:jc w:val="center"/>
              <w:ind w:left="240"/>
              <w:spacing w:after="0"/>
              <w:rPr>
                <w:sz w:val="20"/>
                <w:szCs w:val="20"/>
                <w:color w:val="auto"/>
              </w:rPr>
            </w:pPr>
            <w:r>
              <w:rPr>
                <w:rFonts w:ascii="Calibri" w:cs="Calibri" w:eastAsia="Calibri" w:hAnsi="Calibri"/>
                <w:sz w:val="13"/>
                <w:szCs w:val="13"/>
                <w:color w:val="auto"/>
                <w:w w:val="98"/>
              </w:rPr>
              <w:t>63.5%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Borders>
              <w:right w:val="single" w:sz="8" w:color="auto"/>
            </w:tcBorders>
          </w:tcPr>
          <w:p>
            <w:pPr>
              <w:spacing w:after="0"/>
              <w:rPr>
                <w:sz w:val="15"/>
                <w:szCs w:val="15"/>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color w:val="auto"/>
              </w:rPr>
              <w:t>Investments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alibri" w:cs="Calibri" w:eastAsia="Calibri" w:hAnsi="Calibri"/>
                <w:sz w:val="13"/>
                <w:szCs w:val="13"/>
                <w:color w:val="auto"/>
              </w:rPr>
              <w:t>2,556,436</w:t>
            </w:r>
          </w:p>
        </w:tc>
        <w:tc>
          <w:tcPr>
            <w:tcW w:w="240" w:type="dxa"/>
            <w:vAlign w:val="bottom"/>
          </w:tcPr>
          <w:p>
            <w:pPr>
              <w:spacing w:after="0"/>
              <w:rPr>
                <w:sz w:val="15"/>
                <w:szCs w:val="15"/>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rPr>
              <w:t>3,094,635</w:t>
            </w:r>
          </w:p>
        </w:tc>
        <w:tc>
          <w:tcPr>
            <w:tcW w:w="6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w w:val="98"/>
              </w:rPr>
              <w:t>2,917,396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8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color w:val="auto"/>
              </w:rPr>
              <w:t>-</w:t>
            </w:r>
            <w:r>
              <w:rPr>
                <w:rFonts w:ascii="Calibri" w:cs="Calibri" w:eastAsia="Calibri" w:hAnsi="Calibri"/>
                <w:sz w:val="13"/>
                <w:szCs w:val="13"/>
                <w:color w:val="auto"/>
              </w:rPr>
              <w:t>5.7%</w:t>
            </w:r>
          </w:p>
        </w:tc>
        <w:tc>
          <w:tcPr>
            <w:tcW w:w="1380" w:type="dxa"/>
            <w:vAlign w:val="bottom"/>
            <w:tcBorders>
              <w:right w:val="single" w:sz="8" w:color="auto"/>
            </w:tcBorders>
          </w:tcPr>
          <w:p>
            <w:pPr>
              <w:jc w:val="center"/>
              <w:ind w:left="240"/>
              <w:spacing w:after="0"/>
              <w:rPr>
                <w:sz w:val="20"/>
                <w:szCs w:val="20"/>
                <w:color w:val="auto"/>
              </w:rPr>
            </w:pPr>
            <w:r>
              <w:rPr>
                <w:rFonts w:ascii="Calibri" w:cs="Calibri" w:eastAsia="Calibri" w:hAnsi="Calibri"/>
                <w:sz w:val="13"/>
                <w:szCs w:val="13"/>
                <w:color w:val="auto"/>
                <w:w w:val="98"/>
              </w:rPr>
              <w:t>14.1%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b w:val="1"/>
                <w:bCs w:val="1"/>
                <w:color w:val="auto"/>
              </w:rPr>
              <w:t>Total loans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b w:val="1"/>
                <w:bCs w:val="1"/>
                <w:color w:val="auto"/>
              </w:rPr>
              <w:t>13,269,018</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b w:val="1"/>
                <w:bCs w:val="1"/>
                <w:color w:val="auto"/>
                <w:w w:val="97"/>
              </w:rPr>
              <w:t>12,118,953</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b w:val="1"/>
                <w:bCs w:val="1"/>
                <w:color w:val="auto"/>
              </w:rPr>
              <w:t>12,239,171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276"/>
              <w:spacing w:after="0"/>
              <w:rPr>
                <w:sz w:val="20"/>
                <w:szCs w:val="20"/>
                <w:color w:val="auto"/>
              </w:rPr>
            </w:pPr>
            <w:r>
              <w:rPr>
                <w:rFonts w:ascii="Calibri" w:cs="Calibri" w:eastAsia="Calibri" w:hAnsi="Calibri"/>
                <w:sz w:val="13"/>
                <w:szCs w:val="13"/>
                <w:b w:val="1"/>
                <w:bCs w:val="1"/>
                <w:color w:val="auto"/>
              </w:rPr>
              <w:t>1.0%</w:t>
            </w:r>
          </w:p>
        </w:tc>
        <w:tc>
          <w:tcPr>
            <w:tcW w:w="20" w:type="dxa"/>
            <w:vAlign w:val="bottom"/>
          </w:tcPr>
          <w:p>
            <w:pPr>
              <w:spacing w:after="0"/>
              <w:rPr>
                <w:sz w:val="14"/>
                <w:szCs w:val="14"/>
                <w:color w:val="auto"/>
              </w:rPr>
            </w:pPr>
          </w:p>
        </w:tc>
        <w:tc>
          <w:tcPr>
            <w:tcW w:w="1380" w:type="dxa"/>
            <w:vAlign w:val="bottom"/>
            <w:tcBorders>
              <w:right w:val="single" w:sz="8" w:color="auto"/>
            </w:tcBorders>
          </w:tcPr>
          <w:p>
            <w:pPr>
              <w:jc w:val="center"/>
              <w:ind w:left="240"/>
              <w:spacing w:after="0"/>
              <w:rPr>
                <w:sz w:val="20"/>
                <w:szCs w:val="20"/>
                <w:color w:val="auto"/>
              </w:rPr>
            </w:pPr>
            <w:r>
              <w:rPr>
                <w:rFonts w:ascii="Times New Roman" w:cs="Times New Roman" w:eastAsia="Times New Roman" w:hAnsi="Times New Roman"/>
                <w:sz w:val="13"/>
                <w:szCs w:val="13"/>
                <w:b w:val="1"/>
                <w:bCs w:val="1"/>
                <w:color w:val="auto"/>
              </w:rPr>
              <w:t>-</w:t>
            </w:r>
            <w:r>
              <w:rPr>
                <w:rFonts w:ascii="Calibri" w:cs="Calibri" w:eastAsia="Calibri" w:hAnsi="Calibri"/>
                <w:sz w:val="13"/>
                <w:szCs w:val="13"/>
                <w:b w:val="1"/>
                <w:bCs w:val="1"/>
                <w:color w:val="auto"/>
              </w:rPr>
              <w:t>7.8%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ind w:left="140"/>
              <w:spacing w:after="0"/>
              <w:rPr>
                <w:sz w:val="20"/>
                <w:szCs w:val="20"/>
                <w:color w:val="auto"/>
              </w:rPr>
            </w:pPr>
            <w:r>
              <w:rPr>
                <w:rFonts w:ascii="Calibri" w:cs="Calibri" w:eastAsia="Calibri" w:hAnsi="Calibri"/>
                <w:sz w:val="13"/>
                <w:szCs w:val="13"/>
                <w:color w:val="auto"/>
              </w:rPr>
              <w:t>Current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color w:val="auto"/>
              </w:rPr>
              <w:t>12,333,980</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7"/>
              </w:rPr>
              <w:t>11,168,560</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11,330,124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296"/>
              <w:spacing w:after="0"/>
              <w:rPr>
                <w:sz w:val="20"/>
                <w:szCs w:val="20"/>
                <w:color w:val="auto"/>
              </w:rPr>
            </w:pPr>
            <w:r>
              <w:rPr>
                <w:rFonts w:ascii="Calibri" w:cs="Calibri" w:eastAsia="Calibri" w:hAnsi="Calibri"/>
                <w:sz w:val="13"/>
                <w:szCs w:val="13"/>
                <w:color w:val="auto"/>
              </w:rPr>
              <w:t>1.4%</w:t>
            </w:r>
          </w:p>
        </w:tc>
        <w:tc>
          <w:tcPr>
            <w:tcW w:w="20" w:type="dxa"/>
            <w:vAlign w:val="bottom"/>
          </w:tcPr>
          <w:p>
            <w:pPr>
              <w:spacing w:after="0"/>
              <w:rPr>
                <w:sz w:val="14"/>
                <w:szCs w:val="14"/>
                <w:color w:val="auto"/>
              </w:rPr>
            </w:pPr>
          </w:p>
        </w:tc>
        <w:tc>
          <w:tcPr>
            <w:tcW w:w="1380" w:type="dxa"/>
            <w:vAlign w:val="bottom"/>
            <w:tcBorders>
              <w:right w:val="single" w:sz="8" w:color="auto"/>
            </w:tcBorders>
          </w:tcPr>
          <w:p>
            <w:pPr>
              <w:jc w:val="center"/>
              <w:ind w:left="220"/>
              <w:spacing w:after="0"/>
              <w:rPr>
                <w:sz w:val="20"/>
                <w:szCs w:val="20"/>
                <w:color w:val="auto"/>
              </w:rPr>
            </w:pPr>
            <w:r>
              <w:rPr>
                <w:rFonts w:ascii="Times New Roman" w:cs="Times New Roman" w:eastAsia="Times New Roman" w:hAnsi="Times New Roman"/>
                <w:sz w:val="13"/>
                <w:szCs w:val="13"/>
                <w:color w:val="auto"/>
                <w:w w:val="99"/>
              </w:rPr>
              <w:t>-</w:t>
            </w:r>
            <w:r>
              <w:rPr>
                <w:rFonts w:ascii="Calibri" w:cs="Calibri" w:eastAsia="Calibri" w:hAnsi="Calibri"/>
                <w:sz w:val="13"/>
                <w:szCs w:val="13"/>
                <w:color w:val="auto"/>
                <w:w w:val="99"/>
              </w:rPr>
              <w:t>8.1%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ind w:left="140"/>
              <w:spacing w:after="0"/>
              <w:rPr>
                <w:sz w:val="20"/>
                <w:szCs w:val="20"/>
                <w:color w:val="auto"/>
              </w:rPr>
            </w:pPr>
            <w:r>
              <w:rPr>
                <w:rFonts w:ascii="Calibri" w:cs="Calibri" w:eastAsia="Calibri" w:hAnsi="Calibri"/>
                <w:sz w:val="13"/>
                <w:szCs w:val="13"/>
                <w:color w:val="auto"/>
              </w:rPr>
              <w:t>Internal overdue loans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color w:val="auto"/>
              </w:rPr>
              <w:t>834,356</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8"/>
              </w:rPr>
              <w:t>846,455</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802,133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8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color w:val="auto"/>
              </w:rPr>
              <w:t>-</w:t>
            </w:r>
            <w:r>
              <w:rPr>
                <w:rFonts w:ascii="Calibri" w:cs="Calibri" w:eastAsia="Calibri" w:hAnsi="Calibri"/>
                <w:sz w:val="13"/>
                <w:szCs w:val="13"/>
                <w:color w:val="auto"/>
              </w:rPr>
              <w:t>5.2%</w:t>
            </w:r>
          </w:p>
        </w:tc>
        <w:tc>
          <w:tcPr>
            <w:tcW w:w="1380" w:type="dxa"/>
            <w:vAlign w:val="bottom"/>
            <w:tcBorders>
              <w:right w:val="single" w:sz="8" w:color="auto"/>
            </w:tcBorders>
          </w:tcPr>
          <w:p>
            <w:pPr>
              <w:jc w:val="center"/>
              <w:ind w:left="220"/>
              <w:spacing w:after="0"/>
              <w:rPr>
                <w:sz w:val="20"/>
                <w:szCs w:val="20"/>
                <w:color w:val="auto"/>
              </w:rPr>
            </w:pPr>
            <w:r>
              <w:rPr>
                <w:rFonts w:ascii="Times New Roman" w:cs="Times New Roman" w:eastAsia="Times New Roman" w:hAnsi="Times New Roman"/>
                <w:sz w:val="13"/>
                <w:szCs w:val="13"/>
                <w:color w:val="auto"/>
                <w:w w:val="99"/>
              </w:rPr>
              <w:t>-</w:t>
            </w:r>
            <w:r>
              <w:rPr>
                <w:rFonts w:ascii="Calibri" w:cs="Calibri" w:eastAsia="Calibri" w:hAnsi="Calibri"/>
                <w:sz w:val="13"/>
                <w:szCs w:val="13"/>
                <w:color w:val="auto"/>
                <w:w w:val="99"/>
              </w:rPr>
              <w:t>3.9%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ind w:left="140"/>
              <w:spacing w:after="0"/>
              <w:rPr>
                <w:sz w:val="20"/>
                <w:szCs w:val="20"/>
                <w:color w:val="auto"/>
              </w:rPr>
            </w:pPr>
            <w:r>
              <w:rPr>
                <w:rFonts w:ascii="Calibri" w:cs="Calibri" w:eastAsia="Calibri" w:hAnsi="Calibri"/>
                <w:sz w:val="13"/>
                <w:szCs w:val="13"/>
                <w:color w:val="auto"/>
              </w:rPr>
              <w:t>Refnanced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color w:val="auto"/>
              </w:rPr>
              <w:t>100,682</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8"/>
              </w:rPr>
              <w:t>103,938</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106,914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296"/>
              <w:spacing w:after="0"/>
              <w:rPr>
                <w:sz w:val="20"/>
                <w:szCs w:val="20"/>
                <w:color w:val="auto"/>
              </w:rPr>
            </w:pPr>
            <w:r>
              <w:rPr>
                <w:rFonts w:ascii="Calibri" w:cs="Calibri" w:eastAsia="Calibri" w:hAnsi="Calibri"/>
                <w:sz w:val="13"/>
                <w:szCs w:val="13"/>
                <w:color w:val="auto"/>
              </w:rPr>
              <w:t>2.9%</w:t>
            </w:r>
          </w:p>
        </w:tc>
        <w:tc>
          <w:tcPr>
            <w:tcW w:w="20" w:type="dxa"/>
            <w:vAlign w:val="bottom"/>
          </w:tcPr>
          <w:p>
            <w:pPr>
              <w:spacing w:after="0"/>
              <w:rPr>
                <w:sz w:val="14"/>
                <w:szCs w:val="14"/>
                <w:color w:val="auto"/>
              </w:rPr>
            </w:pPr>
          </w:p>
        </w:tc>
        <w:tc>
          <w:tcPr>
            <w:tcW w:w="1380" w:type="dxa"/>
            <w:vAlign w:val="bottom"/>
            <w:tcBorders>
              <w:right w:val="single" w:sz="8" w:color="auto"/>
            </w:tcBorders>
          </w:tcPr>
          <w:p>
            <w:pPr>
              <w:jc w:val="center"/>
              <w:ind w:left="220"/>
              <w:spacing w:after="0"/>
              <w:rPr>
                <w:sz w:val="20"/>
                <w:szCs w:val="20"/>
                <w:color w:val="auto"/>
              </w:rPr>
            </w:pPr>
            <w:r>
              <w:rPr>
                <w:rFonts w:ascii="Calibri" w:cs="Calibri" w:eastAsia="Calibri" w:hAnsi="Calibri"/>
                <w:sz w:val="13"/>
                <w:szCs w:val="13"/>
                <w:color w:val="auto"/>
              </w:rPr>
              <w:t>6.2%</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 w:type="dxa"/>
            <w:vAlign w:val="bottom"/>
            <w:tcBorders>
              <w:right w:val="single" w:sz="8" w:color="auto"/>
            </w:tcBorders>
          </w:tcPr>
          <w:p>
            <w:pPr>
              <w:spacing w:after="0"/>
              <w:rPr>
                <w:sz w:val="15"/>
                <w:szCs w:val="15"/>
                <w:color w:val="auto"/>
              </w:rPr>
            </w:pPr>
          </w:p>
        </w:tc>
        <w:tc>
          <w:tcPr>
            <w:tcW w:w="2640" w:type="dxa"/>
            <w:vAlign w:val="bottom"/>
            <w:gridSpan w:val="2"/>
          </w:tcPr>
          <w:p>
            <w:pPr>
              <w:ind w:left="140"/>
              <w:spacing w:after="0"/>
              <w:rPr>
                <w:sz w:val="20"/>
                <w:szCs w:val="20"/>
                <w:color w:val="auto"/>
              </w:rPr>
            </w:pPr>
            <w:r>
              <w:rPr>
                <w:rFonts w:ascii="Calibri" w:cs="Calibri" w:eastAsia="Calibri" w:hAnsi="Calibri"/>
                <w:sz w:val="13"/>
                <w:szCs w:val="13"/>
                <w:color w:val="auto"/>
              </w:rPr>
              <w:t>Allowance for loan losses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alibri" w:cs="Calibri" w:eastAsia="Calibri" w:hAnsi="Calibri"/>
                <w:sz w:val="13"/>
                <w:szCs w:val="13"/>
                <w:color w:val="auto"/>
              </w:rPr>
              <w:t>(1,002,847)</w:t>
            </w:r>
          </w:p>
        </w:tc>
        <w:tc>
          <w:tcPr>
            <w:tcW w:w="240" w:type="dxa"/>
            <w:vAlign w:val="bottom"/>
          </w:tcPr>
          <w:p>
            <w:pPr>
              <w:spacing w:after="0"/>
              <w:rPr>
                <w:sz w:val="15"/>
                <w:szCs w:val="15"/>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8"/>
              </w:rPr>
              <w:t>(940,310)</w:t>
            </w:r>
          </w:p>
        </w:tc>
        <w:tc>
          <w:tcPr>
            <w:tcW w:w="6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(924,703)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8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color w:val="auto"/>
              </w:rPr>
              <w:t>-</w:t>
            </w:r>
            <w:r>
              <w:rPr>
                <w:rFonts w:ascii="Calibri" w:cs="Calibri" w:eastAsia="Calibri" w:hAnsi="Calibri"/>
                <w:sz w:val="13"/>
                <w:szCs w:val="13"/>
                <w:color w:val="auto"/>
              </w:rPr>
              <w:t>1.7%</w:t>
            </w:r>
          </w:p>
        </w:tc>
        <w:tc>
          <w:tcPr>
            <w:tcW w:w="1380" w:type="dxa"/>
            <w:vAlign w:val="bottom"/>
            <w:tcBorders>
              <w:right w:val="single" w:sz="8" w:color="auto"/>
            </w:tcBorders>
          </w:tcPr>
          <w:p>
            <w:pPr>
              <w:jc w:val="center"/>
              <w:ind w:left="220"/>
              <w:spacing w:after="0"/>
              <w:rPr>
                <w:sz w:val="20"/>
                <w:szCs w:val="20"/>
                <w:color w:val="auto"/>
              </w:rPr>
            </w:pPr>
            <w:r>
              <w:rPr>
                <w:rFonts w:ascii="Times New Roman" w:cs="Times New Roman" w:eastAsia="Times New Roman" w:hAnsi="Times New Roman"/>
                <w:sz w:val="13"/>
                <w:szCs w:val="13"/>
                <w:color w:val="auto"/>
                <w:w w:val="99"/>
              </w:rPr>
              <w:t>-</w:t>
            </w:r>
            <w:r>
              <w:rPr>
                <w:rFonts w:ascii="Calibri" w:cs="Calibri" w:eastAsia="Calibri" w:hAnsi="Calibri"/>
                <w:sz w:val="13"/>
                <w:szCs w:val="13"/>
                <w:color w:val="auto"/>
                <w:w w:val="99"/>
              </w:rPr>
              <w:t>7.8%</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b w:val="1"/>
                <w:bCs w:val="1"/>
                <w:color w:val="auto"/>
              </w:rPr>
              <w:t>Net loans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b w:val="1"/>
                <w:bCs w:val="1"/>
                <w:color w:val="auto"/>
              </w:rPr>
              <w:t>12,266,171</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b w:val="1"/>
                <w:bCs w:val="1"/>
                <w:color w:val="auto"/>
                <w:w w:val="97"/>
              </w:rPr>
              <w:t>11,178,643</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b w:val="1"/>
                <w:bCs w:val="1"/>
                <w:color w:val="auto"/>
              </w:rPr>
              <w:t>11,314,468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276"/>
              <w:spacing w:after="0"/>
              <w:rPr>
                <w:sz w:val="20"/>
                <w:szCs w:val="20"/>
                <w:color w:val="auto"/>
              </w:rPr>
            </w:pPr>
            <w:r>
              <w:rPr>
                <w:rFonts w:ascii="Calibri" w:cs="Calibri" w:eastAsia="Calibri" w:hAnsi="Calibri"/>
                <w:sz w:val="13"/>
                <w:szCs w:val="13"/>
                <w:b w:val="1"/>
                <w:bCs w:val="1"/>
                <w:color w:val="auto"/>
              </w:rPr>
              <w:t>1.2%</w:t>
            </w:r>
          </w:p>
        </w:tc>
        <w:tc>
          <w:tcPr>
            <w:tcW w:w="20" w:type="dxa"/>
            <w:vAlign w:val="bottom"/>
          </w:tcPr>
          <w:p>
            <w:pPr>
              <w:spacing w:after="0"/>
              <w:rPr>
                <w:sz w:val="14"/>
                <w:szCs w:val="14"/>
                <w:color w:val="auto"/>
              </w:rPr>
            </w:pPr>
          </w:p>
        </w:tc>
        <w:tc>
          <w:tcPr>
            <w:tcW w:w="1380" w:type="dxa"/>
            <w:vAlign w:val="bottom"/>
            <w:tcBorders>
              <w:right w:val="single" w:sz="8" w:color="auto"/>
            </w:tcBorders>
          </w:tcPr>
          <w:p>
            <w:pPr>
              <w:jc w:val="center"/>
              <w:ind w:left="240"/>
              <w:spacing w:after="0"/>
              <w:rPr>
                <w:sz w:val="20"/>
                <w:szCs w:val="20"/>
                <w:color w:val="auto"/>
              </w:rPr>
            </w:pPr>
            <w:r>
              <w:rPr>
                <w:rFonts w:ascii="Times New Roman" w:cs="Times New Roman" w:eastAsia="Times New Roman" w:hAnsi="Times New Roman"/>
                <w:sz w:val="13"/>
                <w:szCs w:val="13"/>
                <w:b w:val="1"/>
                <w:bCs w:val="1"/>
                <w:color w:val="auto"/>
              </w:rPr>
              <w:t>-</w:t>
            </w:r>
            <w:r>
              <w:rPr>
                <w:rFonts w:ascii="Calibri" w:cs="Calibri" w:eastAsia="Calibri" w:hAnsi="Calibri"/>
                <w:sz w:val="13"/>
                <w:szCs w:val="13"/>
                <w:b w:val="1"/>
                <w:bCs w:val="1"/>
                <w:color w:val="auto"/>
              </w:rPr>
              <w:t>7.8%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color w:val="auto"/>
              </w:rPr>
              <w:t>Property, plant and equipment, net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color w:val="auto"/>
              </w:rPr>
              <w:t>139,064</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8"/>
              </w:rPr>
              <w:t>132,430</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131,261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8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color w:val="auto"/>
              </w:rPr>
              <w:t>-</w:t>
            </w:r>
            <w:r>
              <w:rPr>
                <w:rFonts w:ascii="Calibri" w:cs="Calibri" w:eastAsia="Calibri" w:hAnsi="Calibri"/>
                <w:sz w:val="13"/>
                <w:szCs w:val="13"/>
                <w:color w:val="auto"/>
              </w:rPr>
              <w:t>0.9%</w:t>
            </w:r>
          </w:p>
        </w:tc>
        <w:tc>
          <w:tcPr>
            <w:tcW w:w="1380" w:type="dxa"/>
            <w:vAlign w:val="bottom"/>
            <w:tcBorders>
              <w:right w:val="single" w:sz="8" w:color="auto"/>
            </w:tcBorders>
          </w:tcPr>
          <w:p>
            <w:pPr>
              <w:jc w:val="center"/>
              <w:ind w:left="220"/>
              <w:spacing w:after="0"/>
              <w:rPr>
                <w:sz w:val="20"/>
                <w:szCs w:val="20"/>
                <w:color w:val="auto"/>
              </w:rPr>
            </w:pPr>
            <w:r>
              <w:rPr>
                <w:rFonts w:ascii="Times New Roman" w:cs="Times New Roman" w:eastAsia="Times New Roman" w:hAnsi="Times New Roman"/>
                <w:sz w:val="13"/>
                <w:szCs w:val="13"/>
                <w:color w:val="auto"/>
                <w:w w:val="99"/>
              </w:rPr>
              <w:t>-</w:t>
            </w:r>
            <w:r>
              <w:rPr>
                <w:rFonts w:ascii="Calibri" w:cs="Calibri" w:eastAsia="Calibri" w:hAnsi="Calibri"/>
                <w:sz w:val="13"/>
                <w:szCs w:val="13"/>
                <w:color w:val="auto"/>
                <w:w w:val="99"/>
              </w:rPr>
              <w:t>5.6%</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color w:val="auto"/>
              </w:rPr>
              <w:t>Other assets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color w:val="auto"/>
              </w:rPr>
              <w:t>815,263</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8"/>
              </w:rPr>
              <w:t>795,856</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750,972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8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color w:val="auto"/>
              </w:rPr>
              <w:t>-</w:t>
            </w:r>
            <w:r>
              <w:rPr>
                <w:rFonts w:ascii="Calibri" w:cs="Calibri" w:eastAsia="Calibri" w:hAnsi="Calibri"/>
                <w:sz w:val="13"/>
                <w:szCs w:val="13"/>
                <w:color w:val="auto"/>
              </w:rPr>
              <w:t>5.6%</w:t>
            </w:r>
          </w:p>
        </w:tc>
        <w:tc>
          <w:tcPr>
            <w:tcW w:w="1380" w:type="dxa"/>
            <w:vAlign w:val="bottom"/>
            <w:tcBorders>
              <w:right w:val="single" w:sz="8" w:color="auto"/>
            </w:tcBorders>
          </w:tcPr>
          <w:p>
            <w:pPr>
              <w:jc w:val="center"/>
              <w:ind w:left="220"/>
              <w:spacing w:after="0"/>
              <w:rPr>
                <w:sz w:val="20"/>
                <w:szCs w:val="20"/>
                <w:color w:val="auto"/>
              </w:rPr>
            </w:pPr>
            <w:r>
              <w:rPr>
                <w:rFonts w:ascii="Times New Roman" w:cs="Times New Roman" w:eastAsia="Times New Roman" w:hAnsi="Times New Roman"/>
                <w:sz w:val="13"/>
                <w:szCs w:val="13"/>
                <w:color w:val="auto"/>
                <w:w w:val="99"/>
              </w:rPr>
              <w:t>-</w:t>
            </w:r>
            <w:r>
              <w:rPr>
                <w:rFonts w:ascii="Calibri" w:cs="Calibri" w:eastAsia="Calibri" w:hAnsi="Calibri"/>
                <w:sz w:val="13"/>
                <w:szCs w:val="13"/>
                <w:color w:val="auto"/>
                <w:w w:val="99"/>
              </w:rPr>
              <w:t>7.9%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ind w:left="1980"/>
              <w:spacing w:after="0"/>
              <w:rPr>
                <w:sz w:val="20"/>
                <w:szCs w:val="20"/>
                <w:color w:val="auto"/>
              </w:rPr>
            </w:pPr>
            <w:r>
              <w:rPr>
                <w:rFonts w:ascii="Calibri" w:cs="Calibri" w:eastAsia="Calibri" w:hAnsi="Calibri"/>
                <w:sz w:val="13"/>
                <w:szCs w:val="13"/>
                <w:b w:val="1"/>
                <w:bCs w:val="1"/>
                <w:color w:val="auto"/>
              </w:rPr>
              <w:t>Total assets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b w:val="1"/>
                <w:bCs w:val="1"/>
                <w:color w:val="auto"/>
              </w:rPr>
              <w:t>16,898,386</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b w:val="1"/>
                <w:bCs w:val="1"/>
                <w:color w:val="auto"/>
                <w:w w:val="97"/>
              </w:rPr>
              <w:t>16,791,920</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b w:val="1"/>
                <w:bCs w:val="1"/>
                <w:color w:val="auto"/>
              </w:rPr>
              <w:t>16,947,322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276"/>
              <w:spacing w:after="0"/>
              <w:rPr>
                <w:sz w:val="20"/>
                <w:szCs w:val="20"/>
                <w:color w:val="auto"/>
              </w:rPr>
            </w:pPr>
            <w:r>
              <w:rPr>
                <w:rFonts w:ascii="Calibri" w:cs="Calibri" w:eastAsia="Calibri" w:hAnsi="Calibri"/>
                <w:sz w:val="13"/>
                <w:szCs w:val="13"/>
                <w:b w:val="1"/>
                <w:bCs w:val="1"/>
                <w:color w:val="auto"/>
              </w:rPr>
              <w:t>0.9%</w:t>
            </w:r>
          </w:p>
        </w:tc>
        <w:tc>
          <w:tcPr>
            <w:tcW w:w="20" w:type="dxa"/>
            <w:vAlign w:val="bottom"/>
          </w:tcPr>
          <w:p>
            <w:pPr>
              <w:spacing w:after="0"/>
              <w:rPr>
                <w:sz w:val="14"/>
                <w:szCs w:val="14"/>
                <w:color w:val="auto"/>
              </w:rPr>
            </w:pPr>
          </w:p>
        </w:tc>
        <w:tc>
          <w:tcPr>
            <w:tcW w:w="1380" w:type="dxa"/>
            <w:vAlign w:val="bottom"/>
            <w:tcBorders>
              <w:right w:val="single" w:sz="8" w:color="auto"/>
            </w:tcBorders>
          </w:tcPr>
          <w:p>
            <w:pPr>
              <w:jc w:val="center"/>
              <w:ind w:left="220"/>
              <w:spacing w:after="0"/>
              <w:rPr>
                <w:sz w:val="20"/>
                <w:szCs w:val="20"/>
                <w:color w:val="auto"/>
              </w:rPr>
            </w:pPr>
            <w:r>
              <w:rPr>
                <w:rFonts w:ascii="Calibri" w:cs="Calibri" w:eastAsia="Calibri" w:hAnsi="Calibri"/>
                <w:sz w:val="13"/>
                <w:szCs w:val="13"/>
                <w:b w:val="1"/>
                <w:bCs w:val="1"/>
                <w:color w:val="auto"/>
                <w:w w:val="99"/>
              </w:rPr>
              <w:t>0.3%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320" w:type="dxa"/>
            <w:vAlign w:val="bottom"/>
            <w:tcBorders>
              <w:right w:val="single" w:sz="8" w:color="auto"/>
            </w:tcBorders>
          </w:tcPr>
          <w:p>
            <w:pPr>
              <w:spacing w:after="0"/>
              <w:rPr>
                <w:sz w:val="24"/>
                <w:szCs w:val="24"/>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b w:val="1"/>
                <w:bCs w:val="1"/>
                <w:color w:val="auto"/>
              </w:rPr>
              <w:t>LIABILITIES AND NET SHAREHOLDERS' EQUITY</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0" w:type="dxa"/>
            <w:vAlign w:val="bottom"/>
            <w:tcBorders>
              <w:right w:val="single" w:sz="8" w:color="auto"/>
            </w:tcBorders>
          </w:tcPr>
          <w:p>
            <w:pPr>
              <w:spacing w:after="0"/>
              <w:rPr>
                <w:sz w:val="15"/>
                <w:szCs w:val="15"/>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color w:val="auto"/>
              </w:rPr>
              <w:t>Deposits and obligatons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alibri" w:cs="Calibri" w:eastAsia="Calibri" w:hAnsi="Calibri"/>
                <w:sz w:val="13"/>
                <w:szCs w:val="13"/>
                <w:color w:val="auto"/>
              </w:rPr>
              <w:t>9,999,230</w:t>
            </w:r>
          </w:p>
        </w:tc>
        <w:tc>
          <w:tcPr>
            <w:tcW w:w="240" w:type="dxa"/>
            <w:vAlign w:val="bottom"/>
          </w:tcPr>
          <w:p>
            <w:pPr>
              <w:spacing w:after="0"/>
              <w:rPr>
                <w:sz w:val="15"/>
                <w:szCs w:val="15"/>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7"/>
              </w:rPr>
              <w:t>10,800,163</w:t>
            </w:r>
          </w:p>
        </w:tc>
        <w:tc>
          <w:tcPr>
            <w:tcW w:w="6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11,060,598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60" w:type="dxa"/>
            <w:vAlign w:val="bottom"/>
            <w:gridSpan w:val="2"/>
          </w:tcPr>
          <w:p>
            <w:pPr>
              <w:jc w:val="center"/>
              <w:ind w:left="296"/>
              <w:spacing w:after="0"/>
              <w:rPr>
                <w:sz w:val="20"/>
                <w:szCs w:val="20"/>
                <w:color w:val="auto"/>
              </w:rPr>
            </w:pPr>
            <w:r>
              <w:rPr>
                <w:rFonts w:ascii="Calibri" w:cs="Calibri" w:eastAsia="Calibri" w:hAnsi="Calibri"/>
                <w:sz w:val="13"/>
                <w:szCs w:val="13"/>
                <w:color w:val="auto"/>
              </w:rPr>
              <w:t>2.4%</w:t>
            </w:r>
          </w:p>
        </w:tc>
        <w:tc>
          <w:tcPr>
            <w:tcW w:w="20" w:type="dxa"/>
            <w:vAlign w:val="bottom"/>
          </w:tcPr>
          <w:p>
            <w:pPr>
              <w:spacing w:after="0"/>
              <w:rPr>
                <w:sz w:val="15"/>
                <w:szCs w:val="15"/>
                <w:color w:val="auto"/>
              </w:rPr>
            </w:pPr>
          </w:p>
        </w:tc>
        <w:tc>
          <w:tcPr>
            <w:tcW w:w="1380" w:type="dxa"/>
            <w:vAlign w:val="bottom"/>
            <w:tcBorders>
              <w:right w:val="single" w:sz="8" w:color="auto"/>
            </w:tcBorders>
          </w:tcPr>
          <w:p>
            <w:pPr>
              <w:jc w:val="center"/>
              <w:ind w:left="240"/>
              <w:spacing w:after="0"/>
              <w:rPr>
                <w:sz w:val="20"/>
                <w:szCs w:val="20"/>
                <w:color w:val="auto"/>
              </w:rPr>
            </w:pPr>
            <w:r>
              <w:rPr>
                <w:rFonts w:ascii="Calibri" w:cs="Calibri" w:eastAsia="Calibri" w:hAnsi="Calibri"/>
                <w:sz w:val="13"/>
                <w:szCs w:val="13"/>
                <w:color w:val="auto"/>
                <w:w w:val="98"/>
              </w:rPr>
              <w:t>10.6%</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color w:val="auto"/>
              </w:rPr>
              <w:t>Due to banks and correspondents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alibri" w:cs="Calibri" w:eastAsia="Calibri" w:hAnsi="Calibri"/>
                <w:sz w:val="13"/>
                <w:szCs w:val="13"/>
                <w:color w:val="auto"/>
              </w:rPr>
              <w:t>2,411,642</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rPr>
              <w:t>1,958,657</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w w:val="98"/>
              </w:rPr>
              <w:t>1,985,746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296"/>
              <w:spacing w:after="0"/>
              <w:rPr>
                <w:sz w:val="20"/>
                <w:szCs w:val="20"/>
                <w:color w:val="auto"/>
              </w:rPr>
            </w:pPr>
            <w:r>
              <w:rPr>
                <w:rFonts w:ascii="Calibri" w:cs="Calibri" w:eastAsia="Calibri" w:hAnsi="Calibri"/>
                <w:sz w:val="13"/>
                <w:szCs w:val="13"/>
                <w:color w:val="auto"/>
              </w:rPr>
              <w:t>1.4%</w:t>
            </w:r>
          </w:p>
        </w:tc>
        <w:tc>
          <w:tcPr>
            <w:tcW w:w="20" w:type="dxa"/>
            <w:vAlign w:val="bottom"/>
          </w:tcPr>
          <w:p>
            <w:pPr>
              <w:spacing w:after="0"/>
              <w:rPr>
                <w:sz w:val="14"/>
                <w:szCs w:val="14"/>
                <w:color w:val="auto"/>
              </w:rPr>
            </w:pPr>
          </w:p>
        </w:tc>
        <w:tc>
          <w:tcPr>
            <w:tcW w:w="1380" w:type="dxa"/>
            <w:vAlign w:val="bottom"/>
            <w:tcBorders>
              <w:right w:val="single" w:sz="8" w:color="auto"/>
            </w:tcBorders>
          </w:tcPr>
          <w:p>
            <w:pPr>
              <w:jc w:val="center"/>
              <w:ind w:left="240"/>
              <w:spacing w:after="0"/>
              <w:rPr>
                <w:sz w:val="20"/>
                <w:szCs w:val="20"/>
                <w:color w:val="auto"/>
              </w:rPr>
            </w:pPr>
            <w:r>
              <w:rPr>
                <w:rFonts w:ascii="Calibri" w:cs="Calibri" w:eastAsia="Calibri" w:hAnsi="Calibri"/>
                <w:sz w:val="13"/>
                <w:szCs w:val="13"/>
                <w:color w:val="auto"/>
                <w:w w:val="98"/>
              </w:rPr>
              <w:t>-17.7%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0" w:type="dxa"/>
            <w:vAlign w:val="bottom"/>
            <w:tcBorders>
              <w:right w:val="single" w:sz="8" w:color="auto"/>
            </w:tcBorders>
          </w:tcPr>
          <w:p>
            <w:pPr>
              <w:spacing w:after="0"/>
              <w:rPr>
                <w:sz w:val="14"/>
                <w:szCs w:val="14"/>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color w:val="auto"/>
              </w:rPr>
              <w:t>Bonds and subordinated debt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color w:val="auto"/>
              </w:rPr>
              <w:t>611,166</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8"/>
              </w:rPr>
              <w:t>306,113</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309,551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296"/>
              <w:spacing w:after="0"/>
              <w:rPr>
                <w:sz w:val="20"/>
                <w:szCs w:val="20"/>
                <w:color w:val="auto"/>
              </w:rPr>
            </w:pPr>
            <w:r>
              <w:rPr>
                <w:rFonts w:ascii="Calibri" w:cs="Calibri" w:eastAsia="Calibri" w:hAnsi="Calibri"/>
                <w:sz w:val="13"/>
                <w:szCs w:val="13"/>
                <w:color w:val="auto"/>
              </w:rPr>
              <w:t>1.1%</w:t>
            </w:r>
          </w:p>
        </w:tc>
        <w:tc>
          <w:tcPr>
            <w:tcW w:w="20" w:type="dxa"/>
            <w:vAlign w:val="bottom"/>
          </w:tcPr>
          <w:p>
            <w:pPr>
              <w:spacing w:after="0"/>
              <w:rPr>
                <w:sz w:val="14"/>
                <w:szCs w:val="14"/>
                <w:color w:val="auto"/>
              </w:rPr>
            </w:pPr>
          </w:p>
        </w:tc>
        <w:tc>
          <w:tcPr>
            <w:tcW w:w="1380" w:type="dxa"/>
            <w:vAlign w:val="bottom"/>
            <w:tcBorders>
              <w:right w:val="single" w:sz="8" w:color="auto"/>
            </w:tcBorders>
          </w:tcPr>
          <w:p>
            <w:pPr>
              <w:jc w:val="center"/>
              <w:ind w:left="240"/>
              <w:spacing w:after="0"/>
              <w:rPr>
                <w:sz w:val="20"/>
                <w:szCs w:val="20"/>
                <w:color w:val="auto"/>
              </w:rPr>
            </w:pPr>
            <w:r>
              <w:rPr>
                <w:rFonts w:ascii="Calibri" w:cs="Calibri" w:eastAsia="Calibri" w:hAnsi="Calibri"/>
                <w:sz w:val="13"/>
                <w:szCs w:val="13"/>
                <w:color w:val="auto"/>
                <w:w w:val="98"/>
              </w:rPr>
              <w:t>-49.4%</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0" w:type="dxa"/>
            <w:vAlign w:val="bottom"/>
            <w:tcBorders>
              <w:right w:val="single" w:sz="8" w:color="auto"/>
            </w:tcBorders>
          </w:tcPr>
          <w:p>
            <w:pPr>
              <w:spacing w:after="0"/>
              <w:rPr>
                <w:sz w:val="15"/>
                <w:szCs w:val="15"/>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color w:val="auto"/>
              </w:rPr>
              <w:t>Other liabilites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color w:val="auto"/>
              </w:rPr>
              <w:t>879,725</w:t>
            </w:r>
          </w:p>
        </w:tc>
        <w:tc>
          <w:tcPr>
            <w:tcW w:w="240" w:type="dxa"/>
            <w:vAlign w:val="bottom"/>
          </w:tcPr>
          <w:p>
            <w:pPr>
              <w:spacing w:after="0"/>
              <w:rPr>
                <w:sz w:val="15"/>
                <w:szCs w:val="15"/>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color w:val="auto"/>
                <w:w w:val="98"/>
              </w:rPr>
              <w:t>983,614</w:t>
            </w:r>
          </w:p>
        </w:tc>
        <w:tc>
          <w:tcPr>
            <w:tcW w:w="6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color w:val="auto"/>
              </w:rPr>
              <w:t>923,059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80" w:type="dxa"/>
            <w:vAlign w:val="bottom"/>
            <w:gridSpan w:val="3"/>
          </w:tcPr>
          <w:p>
            <w:pPr>
              <w:jc w:val="center"/>
              <w:ind w:left="256"/>
              <w:spacing w:after="0"/>
              <w:rPr>
                <w:sz w:val="20"/>
                <w:szCs w:val="20"/>
                <w:color w:val="auto"/>
              </w:rPr>
            </w:pPr>
            <w:r>
              <w:rPr>
                <w:rFonts w:ascii="Times New Roman" w:cs="Times New Roman" w:eastAsia="Times New Roman" w:hAnsi="Times New Roman"/>
                <w:sz w:val="13"/>
                <w:szCs w:val="13"/>
                <w:color w:val="auto"/>
              </w:rPr>
              <w:t>-</w:t>
            </w:r>
            <w:r>
              <w:rPr>
                <w:rFonts w:ascii="Calibri" w:cs="Calibri" w:eastAsia="Calibri" w:hAnsi="Calibri"/>
                <w:sz w:val="13"/>
                <w:szCs w:val="13"/>
                <w:color w:val="auto"/>
              </w:rPr>
              <w:t>6.2%</w:t>
            </w:r>
          </w:p>
        </w:tc>
        <w:tc>
          <w:tcPr>
            <w:tcW w:w="1380" w:type="dxa"/>
            <w:vAlign w:val="bottom"/>
            <w:tcBorders>
              <w:right w:val="single" w:sz="8" w:color="auto"/>
            </w:tcBorders>
          </w:tcPr>
          <w:p>
            <w:pPr>
              <w:jc w:val="center"/>
              <w:ind w:left="220"/>
              <w:spacing w:after="0"/>
              <w:rPr>
                <w:sz w:val="20"/>
                <w:szCs w:val="20"/>
                <w:color w:val="auto"/>
              </w:rPr>
            </w:pPr>
            <w:r>
              <w:rPr>
                <w:rFonts w:ascii="Calibri" w:cs="Calibri" w:eastAsia="Calibri" w:hAnsi="Calibri"/>
                <w:sz w:val="13"/>
                <w:szCs w:val="13"/>
                <w:color w:val="auto"/>
              </w:rPr>
              <w:t>4.9%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 w:type="dxa"/>
            <w:vAlign w:val="bottom"/>
            <w:tcBorders>
              <w:right w:val="single" w:sz="8" w:color="auto"/>
            </w:tcBorders>
          </w:tcPr>
          <w:p>
            <w:pPr>
              <w:spacing w:after="0"/>
              <w:rPr>
                <w:sz w:val="14"/>
                <w:szCs w:val="14"/>
                <w:color w:val="auto"/>
              </w:rPr>
            </w:pPr>
          </w:p>
        </w:tc>
        <w:tc>
          <w:tcPr>
            <w:tcW w:w="3720" w:type="dxa"/>
            <w:vAlign w:val="bottom"/>
            <w:gridSpan w:val="4"/>
          </w:tcPr>
          <w:p>
            <w:pPr>
              <w:ind w:left="1900"/>
              <w:spacing w:after="0"/>
              <w:rPr>
                <w:sz w:val="20"/>
                <w:szCs w:val="20"/>
                <w:color w:val="auto"/>
              </w:rPr>
            </w:pPr>
            <w:r>
              <w:rPr>
                <w:rFonts w:ascii="Calibri" w:cs="Calibri" w:eastAsia="Calibri" w:hAnsi="Calibri"/>
                <w:sz w:val="13"/>
                <w:szCs w:val="13"/>
                <w:b w:val="1"/>
                <w:bCs w:val="1"/>
                <w:color w:val="auto"/>
              </w:rPr>
              <w:t>Total liabilites</w:t>
            </w: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
              <w:spacing w:after="0"/>
              <w:rPr>
                <w:sz w:val="20"/>
                <w:szCs w:val="20"/>
                <w:color w:val="auto"/>
              </w:rPr>
            </w:pPr>
            <w:r>
              <w:rPr>
                <w:rFonts w:ascii="Calibri" w:cs="Calibri" w:eastAsia="Calibri" w:hAnsi="Calibri"/>
                <w:sz w:val="13"/>
                <w:szCs w:val="13"/>
                <w:b w:val="1"/>
                <w:bCs w:val="1"/>
                <w:color w:val="auto"/>
              </w:rPr>
              <w:t>13,901,763</w:t>
            </w:r>
          </w:p>
        </w:tc>
        <w:tc>
          <w:tcPr>
            <w:tcW w:w="240" w:type="dxa"/>
            <w:vAlign w:val="bottom"/>
          </w:tcPr>
          <w:p>
            <w:pPr>
              <w:spacing w:after="0"/>
              <w:rPr>
                <w:sz w:val="14"/>
                <w:szCs w:val="14"/>
                <w:color w:val="auto"/>
              </w:rPr>
            </w:pPr>
          </w:p>
        </w:tc>
        <w:tc>
          <w:tcPr>
            <w:tcW w:w="880" w:type="dxa"/>
            <w:vAlign w:val="bottom"/>
            <w:gridSpan w:val="2"/>
          </w:tcPr>
          <w:p>
            <w:pPr>
              <w:jc w:val="center"/>
              <w:ind w:left="199"/>
              <w:spacing w:after="0"/>
              <w:rPr>
                <w:sz w:val="20"/>
                <w:szCs w:val="20"/>
                <w:color w:val="auto"/>
              </w:rPr>
            </w:pPr>
            <w:r>
              <w:rPr>
                <w:rFonts w:ascii="Calibri" w:cs="Calibri" w:eastAsia="Calibri" w:hAnsi="Calibri"/>
                <w:sz w:val="13"/>
                <w:szCs w:val="13"/>
                <w:b w:val="1"/>
                <w:bCs w:val="1"/>
                <w:color w:val="auto"/>
                <w:w w:val="97"/>
              </w:rPr>
              <w:t>14,048,547</w:t>
            </w:r>
          </w:p>
        </w:tc>
        <w:tc>
          <w:tcPr>
            <w:tcW w:w="6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3"/>
                <w:szCs w:val="13"/>
                <w:b w:val="1"/>
                <w:bCs w:val="1"/>
                <w:color w:val="auto"/>
              </w:rPr>
              <w:t>14,278,954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276"/>
              <w:spacing w:after="0"/>
              <w:rPr>
                <w:sz w:val="20"/>
                <w:szCs w:val="20"/>
                <w:color w:val="auto"/>
              </w:rPr>
            </w:pPr>
            <w:r>
              <w:rPr>
                <w:rFonts w:ascii="Calibri" w:cs="Calibri" w:eastAsia="Calibri" w:hAnsi="Calibri"/>
                <w:sz w:val="13"/>
                <w:szCs w:val="13"/>
                <w:b w:val="1"/>
                <w:bCs w:val="1"/>
                <w:color w:val="auto"/>
              </w:rPr>
              <w:t>1.6%</w:t>
            </w:r>
          </w:p>
        </w:tc>
        <w:tc>
          <w:tcPr>
            <w:tcW w:w="20" w:type="dxa"/>
            <w:vAlign w:val="bottom"/>
          </w:tcPr>
          <w:p>
            <w:pPr>
              <w:spacing w:after="0"/>
              <w:rPr>
                <w:sz w:val="14"/>
                <w:szCs w:val="14"/>
                <w:color w:val="auto"/>
              </w:rPr>
            </w:pPr>
          </w:p>
        </w:tc>
        <w:tc>
          <w:tcPr>
            <w:tcW w:w="1380" w:type="dxa"/>
            <w:vAlign w:val="bottom"/>
            <w:tcBorders>
              <w:right w:val="single" w:sz="8" w:color="auto"/>
            </w:tcBorders>
          </w:tcPr>
          <w:p>
            <w:pPr>
              <w:jc w:val="center"/>
              <w:ind w:left="220"/>
              <w:spacing w:after="0"/>
              <w:rPr>
                <w:sz w:val="20"/>
                <w:szCs w:val="20"/>
                <w:color w:val="auto"/>
              </w:rPr>
            </w:pPr>
            <w:r>
              <w:rPr>
                <w:rFonts w:ascii="Calibri" w:cs="Calibri" w:eastAsia="Calibri" w:hAnsi="Calibri"/>
                <w:sz w:val="13"/>
                <w:szCs w:val="13"/>
                <w:b w:val="1"/>
                <w:bCs w:val="1"/>
                <w:color w:val="auto"/>
                <w:w w:val="99"/>
              </w:rPr>
              <w:t>2.7%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320" w:type="dxa"/>
            <w:vAlign w:val="bottom"/>
            <w:tcBorders>
              <w:right w:val="single" w:sz="8" w:color="auto"/>
            </w:tcBorders>
          </w:tcPr>
          <w:p>
            <w:pPr>
              <w:spacing w:after="0"/>
              <w:rPr>
                <w:sz w:val="24"/>
                <w:szCs w:val="24"/>
                <w:color w:val="auto"/>
              </w:rPr>
            </w:pPr>
          </w:p>
        </w:tc>
        <w:tc>
          <w:tcPr>
            <w:tcW w:w="2640" w:type="dxa"/>
            <w:vAlign w:val="bottom"/>
            <w:gridSpan w:val="2"/>
          </w:tcPr>
          <w:p>
            <w:pPr>
              <w:spacing w:after="0"/>
              <w:rPr>
                <w:sz w:val="20"/>
                <w:szCs w:val="20"/>
                <w:color w:val="auto"/>
              </w:rPr>
            </w:pPr>
            <w:r>
              <w:rPr>
                <w:rFonts w:ascii="Calibri" w:cs="Calibri" w:eastAsia="Calibri" w:hAnsi="Calibri"/>
                <w:sz w:val="13"/>
                <w:szCs w:val="13"/>
                <w:b w:val="1"/>
                <w:bCs w:val="1"/>
                <w:color w:val="auto"/>
              </w:rPr>
              <w:t>Net equity</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rPr>
              <w:t>2,996,623</w:t>
            </w:r>
          </w:p>
        </w:tc>
        <w:tc>
          <w:tcPr>
            <w:tcW w:w="240" w:type="dxa"/>
            <w:vAlign w:val="bottom"/>
          </w:tcPr>
          <w:p>
            <w:pPr>
              <w:spacing w:after="0"/>
              <w:rPr>
                <w:sz w:val="24"/>
                <w:szCs w:val="24"/>
                <w:color w:val="auto"/>
              </w:rPr>
            </w:pPr>
          </w:p>
        </w:tc>
        <w:tc>
          <w:tcPr>
            <w:tcW w:w="880" w:type="dxa"/>
            <w:vAlign w:val="bottom"/>
            <w:gridSpan w:val="2"/>
            <w:vMerge w:val="restart"/>
          </w:tcPr>
          <w:p>
            <w:pPr>
              <w:jc w:val="center"/>
              <w:ind w:left="199"/>
              <w:spacing w:after="0"/>
              <w:rPr>
                <w:sz w:val="20"/>
                <w:szCs w:val="20"/>
                <w:color w:val="auto"/>
              </w:rPr>
            </w:pPr>
            <w:r>
              <w:rPr>
                <w:rFonts w:ascii="Calibri" w:cs="Calibri" w:eastAsia="Calibri" w:hAnsi="Calibri"/>
                <w:sz w:val="13"/>
                <w:szCs w:val="13"/>
                <w:b w:val="1"/>
                <w:bCs w:val="1"/>
                <w:color w:val="auto"/>
              </w:rPr>
              <w:t>2,743,373</w:t>
            </w:r>
          </w:p>
        </w:tc>
        <w:tc>
          <w:tcPr>
            <w:tcW w:w="680" w:type="dxa"/>
            <w:vAlign w:val="bottom"/>
          </w:tcPr>
          <w:p>
            <w:pPr>
              <w:spacing w:after="0"/>
              <w:rPr>
                <w:sz w:val="24"/>
                <w:szCs w:val="24"/>
                <w:color w:val="auto"/>
              </w:rPr>
            </w:pPr>
          </w:p>
        </w:tc>
        <w:tc>
          <w:tcPr>
            <w:tcW w:w="680" w:type="dxa"/>
            <w:vAlign w:val="bottom"/>
            <w:gridSpan w:val="2"/>
            <w:vMerge w:val="restart"/>
          </w:tcPr>
          <w:p>
            <w:pPr>
              <w:jc w:val="center"/>
              <w:spacing w:after="0"/>
              <w:rPr>
                <w:sz w:val="20"/>
                <w:szCs w:val="20"/>
                <w:color w:val="auto"/>
              </w:rPr>
            </w:pPr>
            <w:r>
              <w:rPr>
                <w:rFonts w:ascii="Calibri" w:cs="Calibri" w:eastAsia="Calibri" w:hAnsi="Calibri"/>
                <w:sz w:val="13"/>
                <w:szCs w:val="13"/>
                <w:b w:val="1"/>
                <w:bCs w:val="1"/>
                <w:color w:val="auto"/>
                <w:w w:val="98"/>
              </w:rPr>
              <w:t>2,668,368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80" w:type="dxa"/>
            <w:vAlign w:val="bottom"/>
            <w:gridSpan w:val="3"/>
            <w:vMerge w:val="restart"/>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rPr>
              <w:t>-</w:t>
            </w:r>
            <w:r>
              <w:rPr>
                <w:rFonts w:ascii="Calibri" w:cs="Calibri" w:eastAsia="Calibri" w:hAnsi="Calibri"/>
                <w:sz w:val="13"/>
                <w:szCs w:val="13"/>
                <w:b w:val="1"/>
                <w:bCs w:val="1"/>
                <w:color w:val="auto"/>
              </w:rPr>
              <w:t>2.7%</w:t>
            </w:r>
          </w:p>
        </w:tc>
        <w:tc>
          <w:tcPr>
            <w:tcW w:w="1380" w:type="dxa"/>
            <w:vAlign w:val="bottom"/>
            <w:tcBorders>
              <w:right w:val="single" w:sz="8" w:color="auto"/>
            </w:tcBorders>
            <w:vMerge w:val="restart"/>
          </w:tcPr>
          <w:p>
            <w:pPr>
              <w:jc w:val="center"/>
              <w:ind w:left="240"/>
              <w:spacing w:after="0"/>
              <w:rPr>
                <w:sz w:val="20"/>
                <w:szCs w:val="20"/>
                <w:color w:val="auto"/>
              </w:rPr>
            </w:pPr>
            <w:r>
              <w:rPr>
                <w:rFonts w:ascii="Calibri" w:cs="Calibri" w:eastAsia="Calibri" w:hAnsi="Calibri"/>
                <w:sz w:val="13"/>
                <w:szCs w:val="13"/>
                <w:b w:val="1"/>
                <w:bCs w:val="1"/>
                <w:color w:val="auto"/>
                <w:w w:val="97"/>
              </w:rPr>
              <w:t>-11.0%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20" w:type="dxa"/>
            <w:vAlign w:val="bottom"/>
            <w:tcBorders>
              <w:right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20" w:type="dxa"/>
            <w:vAlign w:val="bottom"/>
            <w:tcBorders>
              <w:right w:val="single" w:sz="8" w:color="auto"/>
            </w:tcBorders>
          </w:tcPr>
          <w:p>
            <w:pPr>
              <w:spacing w:after="0"/>
              <w:rPr>
                <w:sz w:val="14"/>
                <w:szCs w:val="14"/>
                <w:color w:val="auto"/>
              </w:rPr>
            </w:pPr>
          </w:p>
        </w:tc>
        <w:tc>
          <w:tcPr>
            <w:tcW w:w="3720" w:type="dxa"/>
            <w:vAlign w:val="bottom"/>
            <w:gridSpan w:val="4"/>
          </w:tcPr>
          <w:p>
            <w:pPr>
              <w:spacing w:after="0"/>
              <w:rPr>
                <w:sz w:val="20"/>
                <w:szCs w:val="20"/>
                <w:color w:val="auto"/>
              </w:rPr>
            </w:pPr>
            <w:r>
              <w:rPr>
                <w:rFonts w:ascii="Calibri" w:cs="Calibri" w:eastAsia="Calibri" w:hAnsi="Calibri"/>
                <w:sz w:val="13"/>
                <w:szCs w:val="13"/>
                <w:b w:val="1"/>
                <w:bCs w:val="1"/>
                <w:color w:val="auto"/>
              </w:rPr>
              <w:t>TOTAL LIABILITIES AND NET SHAREHOLDERS' EQUITY</w:t>
            </w:r>
          </w:p>
        </w:tc>
        <w:tc>
          <w:tcPr>
            <w:tcW w:w="9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1"/>
              <w:spacing w:after="0"/>
              <w:rPr>
                <w:sz w:val="20"/>
                <w:szCs w:val="20"/>
                <w:color w:val="auto"/>
              </w:rPr>
            </w:pPr>
            <w:r>
              <w:rPr>
                <w:rFonts w:ascii="Calibri" w:cs="Calibri" w:eastAsia="Calibri" w:hAnsi="Calibri"/>
                <w:sz w:val="13"/>
                <w:szCs w:val="13"/>
                <w:b w:val="1"/>
                <w:bCs w:val="1"/>
                <w:color w:val="auto"/>
              </w:rPr>
              <w:t>16,898,386</w:t>
            </w:r>
          </w:p>
        </w:tc>
        <w:tc>
          <w:tcPr>
            <w:tcW w:w="240" w:type="dxa"/>
            <w:vAlign w:val="bottom"/>
          </w:tcPr>
          <w:p>
            <w:pPr>
              <w:spacing w:after="0"/>
              <w:rPr>
                <w:sz w:val="14"/>
                <w:szCs w:val="14"/>
                <w:color w:val="auto"/>
              </w:rPr>
            </w:pPr>
          </w:p>
        </w:tc>
        <w:tc>
          <w:tcPr>
            <w:tcW w:w="880" w:type="dxa"/>
            <w:vAlign w:val="bottom"/>
            <w:gridSpan w:val="2"/>
            <w:vMerge w:val="restart"/>
          </w:tcPr>
          <w:p>
            <w:pPr>
              <w:jc w:val="center"/>
              <w:ind w:left="199"/>
              <w:spacing w:after="0"/>
              <w:rPr>
                <w:sz w:val="20"/>
                <w:szCs w:val="20"/>
                <w:color w:val="auto"/>
              </w:rPr>
            </w:pPr>
            <w:r>
              <w:rPr>
                <w:rFonts w:ascii="Calibri" w:cs="Calibri" w:eastAsia="Calibri" w:hAnsi="Calibri"/>
                <w:sz w:val="13"/>
                <w:szCs w:val="13"/>
                <w:b w:val="1"/>
                <w:bCs w:val="1"/>
                <w:color w:val="auto"/>
                <w:w w:val="97"/>
              </w:rPr>
              <w:t>16,791,920</w:t>
            </w:r>
          </w:p>
        </w:tc>
        <w:tc>
          <w:tcPr>
            <w:tcW w:w="680" w:type="dxa"/>
            <w:vAlign w:val="bottom"/>
          </w:tcPr>
          <w:p>
            <w:pPr>
              <w:spacing w:after="0"/>
              <w:rPr>
                <w:sz w:val="14"/>
                <w:szCs w:val="14"/>
                <w:color w:val="auto"/>
              </w:rPr>
            </w:pPr>
          </w:p>
        </w:tc>
        <w:tc>
          <w:tcPr>
            <w:tcW w:w="680" w:type="dxa"/>
            <w:vAlign w:val="bottom"/>
            <w:gridSpan w:val="2"/>
            <w:vMerge w:val="restart"/>
          </w:tcPr>
          <w:p>
            <w:pPr>
              <w:jc w:val="center"/>
              <w:spacing w:after="0"/>
              <w:rPr>
                <w:sz w:val="20"/>
                <w:szCs w:val="20"/>
                <w:color w:val="auto"/>
              </w:rPr>
            </w:pPr>
            <w:r>
              <w:rPr>
                <w:rFonts w:ascii="Calibri" w:cs="Calibri" w:eastAsia="Calibri" w:hAnsi="Calibri"/>
                <w:sz w:val="13"/>
                <w:szCs w:val="13"/>
                <w:b w:val="1"/>
                <w:bCs w:val="1"/>
                <w:color w:val="auto"/>
              </w:rPr>
              <w:t>16,947,322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gridSpan w:val="2"/>
            <w:vMerge w:val="restart"/>
          </w:tcPr>
          <w:p>
            <w:pPr>
              <w:jc w:val="center"/>
              <w:ind w:left="276"/>
              <w:spacing w:after="0"/>
              <w:rPr>
                <w:sz w:val="20"/>
                <w:szCs w:val="20"/>
                <w:color w:val="auto"/>
              </w:rPr>
            </w:pPr>
            <w:r>
              <w:rPr>
                <w:rFonts w:ascii="Calibri" w:cs="Calibri" w:eastAsia="Calibri" w:hAnsi="Calibri"/>
                <w:sz w:val="13"/>
                <w:szCs w:val="13"/>
                <w:b w:val="1"/>
                <w:bCs w:val="1"/>
                <w:color w:val="auto"/>
              </w:rPr>
              <w:t>0.9%</w:t>
            </w:r>
          </w:p>
        </w:tc>
        <w:tc>
          <w:tcPr>
            <w:tcW w:w="20" w:type="dxa"/>
            <w:vAlign w:val="bottom"/>
          </w:tcPr>
          <w:p>
            <w:pPr>
              <w:spacing w:after="0"/>
              <w:rPr>
                <w:sz w:val="14"/>
                <w:szCs w:val="14"/>
                <w:color w:val="auto"/>
              </w:rPr>
            </w:pPr>
          </w:p>
        </w:tc>
        <w:tc>
          <w:tcPr>
            <w:tcW w:w="1380" w:type="dxa"/>
            <w:vAlign w:val="bottom"/>
            <w:tcBorders>
              <w:right w:val="single" w:sz="8" w:color="auto"/>
            </w:tcBorders>
            <w:vMerge w:val="restart"/>
          </w:tcPr>
          <w:p>
            <w:pPr>
              <w:jc w:val="center"/>
              <w:ind w:left="220"/>
              <w:spacing w:after="0"/>
              <w:rPr>
                <w:sz w:val="20"/>
                <w:szCs w:val="20"/>
                <w:color w:val="auto"/>
              </w:rPr>
            </w:pPr>
            <w:r>
              <w:rPr>
                <w:rFonts w:ascii="Calibri" w:cs="Calibri" w:eastAsia="Calibri" w:hAnsi="Calibri"/>
                <w:sz w:val="13"/>
                <w:szCs w:val="13"/>
                <w:b w:val="1"/>
                <w:bCs w:val="1"/>
                <w:color w:val="auto"/>
                <w:w w:val="99"/>
              </w:rPr>
              <w:t>0.3%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320" w:type="dxa"/>
            <w:vAlign w:val="bottom"/>
            <w:tcBorders>
              <w:right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Calibri" w:cs="Calibri" w:eastAsia="Calibri" w:hAnsi="Calibri"/>
                <w:sz w:val="16"/>
                <w:szCs w:val="16"/>
                <w:b w:val="1"/>
                <w:bCs w:val="1"/>
                <w:color w:val="auto"/>
                <w:w w:val="97"/>
              </w:rPr>
              <w:t>Statement of Income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gridSpan w:val="3"/>
          </w:tcPr>
          <w:p>
            <w:pPr>
              <w:jc w:val="center"/>
              <w:spacing w:after="0"/>
              <w:rPr>
                <w:sz w:val="20"/>
                <w:szCs w:val="20"/>
                <w:color w:val="auto"/>
              </w:rPr>
            </w:pPr>
            <w:r>
              <w:rPr>
                <w:rFonts w:ascii="Calibri" w:cs="Calibri" w:eastAsia="Calibri" w:hAnsi="Calibri"/>
                <w:sz w:val="16"/>
                <w:szCs w:val="16"/>
                <w:b w:val="1"/>
                <w:bCs w:val="1"/>
                <w:color w:val="auto"/>
                <w:w w:val="97"/>
              </w:rPr>
              <w:t>(S/ Thousands, IFRS)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20" w:type="dxa"/>
            <w:vAlign w:val="bottom"/>
            <w:tcBorders>
              <w:right w:val="single" w:sz="8" w:color="auto"/>
            </w:tcBorders>
          </w:tcPr>
          <w:p>
            <w:pPr>
              <w:spacing w:after="0"/>
              <w:rPr>
                <w:sz w:val="11"/>
                <w:szCs w:val="11"/>
                <w:color w:val="auto"/>
              </w:rPr>
            </w:pPr>
          </w:p>
        </w:tc>
        <w:tc>
          <w:tcPr>
            <w:tcW w:w="2360" w:type="dxa"/>
            <w:vAlign w:val="bottom"/>
            <w:tcBorders>
              <w:top w:val="single" w:sz="8" w:color="auto"/>
              <w:right w:val="single" w:sz="8" w:color="2AD2C8"/>
            </w:tcBorders>
            <w:shd w:val="clear" w:color="auto" w:fill="2AD2C8"/>
          </w:tcPr>
          <w:p>
            <w:pPr>
              <w:spacing w:after="0"/>
              <w:rPr>
                <w:sz w:val="11"/>
                <w:szCs w:val="11"/>
                <w:color w:val="auto"/>
              </w:rPr>
            </w:pPr>
          </w:p>
        </w:tc>
        <w:tc>
          <w:tcPr>
            <w:tcW w:w="280" w:type="dxa"/>
            <w:vAlign w:val="bottom"/>
            <w:tcBorders>
              <w:top w:val="single" w:sz="8" w:color="auto"/>
            </w:tcBorders>
            <w:shd w:val="clear" w:color="auto" w:fill="2AD2C8"/>
          </w:tcPr>
          <w:p>
            <w:pPr>
              <w:spacing w:after="0"/>
              <w:rPr>
                <w:sz w:val="11"/>
                <w:szCs w:val="11"/>
                <w:color w:val="auto"/>
              </w:rPr>
            </w:pPr>
          </w:p>
        </w:tc>
        <w:tc>
          <w:tcPr>
            <w:tcW w:w="260" w:type="dxa"/>
            <w:vAlign w:val="bottom"/>
            <w:tcBorders>
              <w:top w:val="single" w:sz="8" w:color="auto"/>
              <w:right w:val="single" w:sz="8" w:color="auto"/>
            </w:tcBorders>
            <w:shd w:val="clear" w:color="auto" w:fill="2AD2C8"/>
          </w:tcPr>
          <w:p>
            <w:pPr>
              <w:spacing w:after="0"/>
              <w:rPr>
                <w:sz w:val="11"/>
                <w:szCs w:val="11"/>
                <w:color w:val="auto"/>
              </w:rPr>
            </w:pPr>
          </w:p>
        </w:tc>
        <w:tc>
          <w:tcPr>
            <w:tcW w:w="820" w:type="dxa"/>
            <w:vAlign w:val="bottom"/>
            <w:tcBorders>
              <w:top w:val="single" w:sz="8" w:color="auto"/>
            </w:tcBorders>
            <w:shd w:val="clear" w:color="auto" w:fill="2AD2C8"/>
          </w:tcPr>
          <w:p>
            <w:pPr>
              <w:spacing w:after="0"/>
              <w:rPr>
                <w:sz w:val="11"/>
                <w:szCs w:val="11"/>
                <w:color w:val="auto"/>
              </w:rPr>
            </w:pPr>
          </w:p>
        </w:tc>
        <w:tc>
          <w:tcPr>
            <w:tcW w:w="1080" w:type="dxa"/>
            <w:vAlign w:val="bottom"/>
            <w:tcBorders>
              <w:top w:val="single" w:sz="8" w:color="auto"/>
            </w:tcBorders>
            <w:gridSpan w:val="2"/>
            <w:shd w:val="clear" w:color="auto" w:fill="2AD2C8"/>
          </w:tcPr>
          <w:p>
            <w:pPr>
              <w:ind w:left="560"/>
              <w:spacing w:after="0"/>
              <w:rPr>
                <w:sz w:val="20"/>
                <w:szCs w:val="20"/>
                <w:color w:val="auto"/>
              </w:rPr>
            </w:pPr>
            <w:r>
              <w:rPr>
                <w:rFonts w:ascii="Calibri" w:cs="Calibri" w:eastAsia="Calibri" w:hAnsi="Calibri"/>
                <w:sz w:val="10"/>
                <w:szCs w:val="10"/>
                <w:b w:val="1"/>
                <w:bCs w:val="1"/>
                <w:color w:val="FFFFFF"/>
              </w:rPr>
              <w:t>Quarter</w:t>
            </w:r>
          </w:p>
        </w:tc>
        <w:tc>
          <w:tcPr>
            <w:tcW w:w="940" w:type="dxa"/>
            <w:vAlign w:val="bottom"/>
            <w:tcBorders>
              <w:top w:val="single" w:sz="8" w:color="auto"/>
              <w:right w:val="single" w:sz="8" w:color="2AD2C8"/>
            </w:tcBorders>
            <w:shd w:val="clear" w:color="auto" w:fill="2AD2C8"/>
          </w:tcPr>
          <w:p>
            <w:pPr>
              <w:spacing w:after="0"/>
              <w:rPr>
                <w:sz w:val="11"/>
                <w:szCs w:val="11"/>
                <w:color w:val="auto"/>
              </w:rPr>
            </w:pPr>
          </w:p>
        </w:tc>
        <w:tc>
          <w:tcPr>
            <w:tcW w:w="240" w:type="dxa"/>
            <w:vAlign w:val="bottom"/>
            <w:tcBorders>
              <w:top w:val="single" w:sz="8" w:color="auto"/>
            </w:tcBorders>
            <w:shd w:val="clear" w:color="auto" w:fill="2AD2C8"/>
          </w:tcPr>
          <w:p>
            <w:pPr>
              <w:spacing w:after="0"/>
              <w:rPr>
                <w:sz w:val="11"/>
                <w:szCs w:val="11"/>
                <w:color w:val="auto"/>
              </w:rPr>
            </w:pPr>
          </w:p>
        </w:tc>
        <w:tc>
          <w:tcPr>
            <w:tcW w:w="160" w:type="dxa"/>
            <w:vAlign w:val="bottom"/>
            <w:tcBorders>
              <w:top w:val="single" w:sz="8" w:color="auto"/>
              <w:right w:val="single" w:sz="8" w:color="auto"/>
            </w:tcBorders>
            <w:shd w:val="clear" w:color="auto" w:fill="2AD2C8"/>
          </w:tcPr>
          <w:p>
            <w:pPr>
              <w:spacing w:after="0"/>
              <w:rPr>
                <w:sz w:val="11"/>
                <w:szCs w:val="11"/>
                <w:color w:val="auto"/>
              </w:rPr>
            </w:pPr>
          </w:p>
        </w:tc>
        <w:tc>
          <w:tcPr>
            <w:tcW w:w="1400" w:type="dxa"/>
            <w:vAlign w:val="bottom"/>
            <w:tcBorders>
              <w:top w:val="single" w:sz="8" w:color="auto"/>
              <w:right w:val="single" w:sz="8" w:color="2AD2C8"/>
            </w:tcBorders>
            <w:gridSpan w:val="2"/>
            <w:shd w:val="clear" w:color="auto" w:fill="2AD2C8"/>
          </w:tcPr>
          <w:p>
            <w:pPr>
              <w:ind w:left="540"/>
              <w:spacing w:after="0"/>
              <w:rPr>
                <w:sz w:val="20"/>
                <w:szCs w:val="20"/>
                <w:color w:val="auto"/>
              </w:rPr>
            </w:pPr>
            <w:r>
              <w:rPr>
                <w:rFonts w:ascii="Calibri" w:cs="Calibri" w:eastAsia="Calibri" w:hAnsi="Calibri"/>
                <w:sz w:val="10"/>
                <w:szCs w:val="10"/>
                <w:b w:val="1"/>
                <w:bCs w:val="1"/>
                <w:color w:val="FFFFFF"/>
              </w:rPr>
              <w:t>% change</w:t>
            </w:r>
          </w:p>
        </w:tc>
        <w:tc>
          <w:tcPr>
            <w:tcW w:w="120" w:type="dxa"/>
            <w:vAlign w:val="bottom"/>
            <w:tcBorders>
              <w:top w:val="single" w:sz="8" w:color="auto"/>
              <w:right w:val="single" w:sz="8" w:color="auto"/>
            </w:tcBorders>
            <w:shd w:val="clear" w:color="auto" w:fill="2AD2C8"/>
          </w:tcPr>
          <w:p>
            <w:pPr>
              <w:spacing w:after="0"/>
              <w:rPr>
                <w:sz w:val="11"/>
                <w:szCs w:val="11"/>
                <w:color w:val="auto"/>
              </w:rPr>
            </w:pPr>
          </w:p>
        </w:tc>
        <w:tc>
          <w:tcPr>
            <w:tcW w:w="560" w:type="dxa"/>
            <w:vAlign w:val="bottom"/>
            <w:tcBorders>
              <w:top w:val="single" w:sz="8" w:color="auto"/>
            </w:tcBorders>
            <w:shd w:val="clear" w:color="auto" w:fill="2AD2C8"/>
          </w:tcPr>
          <w:p>
            <w:pPr>
              <w:spacing w:after="0"/>
              <w:rPr>
                <w:sz w:val="11"/>
                <w:szCs w:val="11"/>
                <w:color w:val="auto"/>
              </w:rPr>
            </w:pPr>
          </w:p>
        </w:tc>
        <w:tc>
          <w:tcPr>
            <w:tcW w:w="80" w:type="dxa"/>
            <w:vAlign w:val="bottom"/>
            <w:tcBorders>
              <w:top w:val="single" w:sz="8" w:color="auto"/>
            </w:tcBorders>
            <w:shd w:val="clear" w:color="auto" w:fill="2AD2C8"/>
          </w:tcPr>
          <w:p>
            <w:pPr>
              <w:spacing w:after="0"/>
              <w:rPr>
                <w:sz w:val="11"/>
                <w:szCs w:val="11"/>
                <w:color w:val="auto"/>
              </w:rPr>
            </w:pPr>
          </w:p>
        </w:tc>
        <w:tc>
          <w:tcPr>
            <w:tcW w:w="960" w:type="dxa"/>
            <w:vAlign w:val="bottom"/>
            <w:tcBorders>
              <w:top w:val="single" w:sz="8" w:color="auto"/>
              <w:right w:val="single" w:sz="8" w:color="auto"/>
            </w:tcBorders>
            <w:gridSpan w:val="4"/>
            <w:shd w:val="clear" w:color="auto" w:fill="2AD2C8"/>
          </w:tcPr>
          <w:p>
            <w:pPr>
              <w:ind w:left="20"/>
              <w:spacing w:after="0"/>
              <w:rPr>
                <w:sz w:val="20"/>
                <w:szCs w:val="20"/>
                <w:color w:val="auto"/>
              </w:rPr>
            </w:pPr>
            <w:r>
              <w:rPr>
                <w:rFonts w:ascii="Arial" w:cs="Arial" w:eastAsia="Arial" w:hAnsi="Arial"/>
                <w:sz w:val="10"/>
                <w:szCs w:val="10"/>
                <w:b w:val="1"/>
                <w:bCs w:val="1"/>
                <w:color w:val="FFFFFF"/>
              </w:rPr>
              <w:t>Up to</w:t>
            </w:r>
          </w:p>
        </w:tc>
        <w:tc>
          <w:tcPr>
            <w:tcW w:w="20" w:type="dxa"/>
            <w:vAlign w:val="bottom"/>
            <w:tcBorders>
              <w:top w:val="single" w:sz="8" w:color="auto"/>
            </w:tcBorders>
            <w:shd w:val="clear" w:color="auto" w:fill="2AD2C8"/>
          </w:tcPr>
          <w:p>
            <w:pPr>
              <w:spacing w:after="0"/>
              <w:rPr>
                <w:sz w:val="11"/>
                <w:szCs w:val="11"/>
                <w:color w:val="auto"/>
              </w:rPr>
            </w:pPr>
          </w:p>
        </w:tc>
        <w:tc>
          <w:tcPr>
            <w:tcW w:w="1380" w:type="dxa"/>
            <w:vAlign w:val="bottom"/>
            <w:tcBorders>
              <w:top w:val="single" w:sz="8" w:color="auto"/>
              <w:right w:val="single" w:sz="8" w:color="auto"/>
            </w:tcBorders>
            <w:shd w:val="clear" w:color="auto" w:fill="2AD2C8"/>
          </w:tcPr>
          <w:p>
            <w:pPr>
              <w:jc w:val="center"/>
              <w:ind w:right="20"/>
              <w:spacing w:after="0"/>
              <w:rPr>
                <w:sz w:val="20"/>
                <w:szCs w:val="20"/>
                <w:color w:val="auto"/>
              </w:rPr>
            </w:pPr>
            <w:r>
              <w:rPr>
                <w:rFonts w:ascii="Calibri" w:cs="Calibri" w:eastAsia="Calibri" w:hAnsi="Calibri"/>
                <w:sz w:val="10"/>
                <w:szCs w:val="10"/>
                <w:b w:val="1"/>
                <w:bCs w:val="1"/>
                <w:color w:val="FFFFFF"/>
              </w:rPr>
              <w:t>% 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20" w:type="dxa"/>
            <w:vAlign w:val="bottom"/>
            <w:tcBorders>
              <w:right w:val="single" w:sz="8" w:color="auto"/>
            </w:tcBorders>
          </w:tcPr>
          <w:p>
            <w:pPr>
              <w:spacing w:after="0"/>
              <w:rPr>
                <w:sz w:val="19"/>
                <w:szCs w:val="19"/>
                <w:color w:val="auto"/>
              </w:rPr>
            </w:pPr>
          </w:p>
        </w:tc>
        <w:tc>
          <w:tcPr>
            <w:tcW w:w="2360" w:type="dxa"/>
            <w:vAlign w:val="bottom"/>
            <w:tcBorders>
              <w:bottom w:val="single" w:sz="8" w:color="2AD2C8"/>
              <w:right w:val="single" w:sz="8" w:color="2AD2C8"/>
            </w:tcBorders>
            <w:shd w:val="clear" w:color="auto" w:fill="2AD2C8"/>
          </w:tcPr>
          <w:p>
            <w:pPr>
              <w:spacing w:after="0"/>
              <w:rPr>
                <w:sz w:val="19"/>
                <w:szCs w:val="19"/>
                <w:color w:val="auto"/>
              </w:rPr>
            </w:pPr>
          </w:p>
        </w:tc>
        <w:tc>
          <w:tcPr>
            <w:tcW w:w="280" w:type="dxa"/>
            <w:vAlign w:val="bottom"/>
            <w:tcBorders>
              <w:bottom w:val="single" w:sz="8" w:color="2AD2C8"/>
            </w:tcBorders>
            <w:shd w:val="clear" w:color="auto" w:fill="2AD2C8"/>
          </w:tcPr>
          <w:p>
            <w:pPr>
              <w:spacing w:after="0"/>
              <w:rPr>
                <w:sz w:val="19"/>
                <w:szCs w:val="19"/>
                <w:color w:val="auto"/>
              </w:rPr>
            </w:pPr>
          </w:p>
        </w:tc>
        <w:tc>
          <w:tcPr>
            <w:tcW w:w="260" w:type="dxa"/>
            <w:vAlign w:val="bottom"/>
            <w:tcBorders>
              <w:bottom w:val="single" w:sz="8" w:color="2AD2C8"/>
              <w:right w:val="single" w:sz="8" w:color="auto"/>
            </w:tcBorders>
            <w:shd w:val="clear" w:color="auto" w:fill="2AD2C8"/>
          </w:tcPr>
          <w:p>
            <w:pPr>
              <w:spacing w:after="0"/>
              <w:rPr>
                <w:sz w:val="19"/>
                <w:szCs w:val="19"/>
                <w:color w:val="auto"/>
              </w:rPr>
            </w:pPr>
          </w:p>
        </w:tc>
        <w:tc>
          <w:tcPr>
            <w:tcW w:w="820" w:type="dxa"/>
            <w:vAlign w:val="bottom"/>
            <w:tcBorders>
              <w:bottom w:val="single" w:sz="8" w:color="2AD2C8"/>
            </w:tcBorders>
            <w:shd w:val="clear" w:color="auto" w:fill="2AD2C8"/>
          </w:tcPr>
          <w:p>
            <w:pPr>
              <w:jc w:val="center"/>
              <w:ind w:left="128"/>
              <w:spacing w:after="0"/>
              <w:rPr>
                <w:sz w:val="20"/>
                <w:szCs w:val="20"/>
                <w:color w:val="auto"/>
              </w:rPr>
            </w:pPr>
            <w:r>
              <w:rPr>
                <w:rFonts w:ascii="Calibri" w:cs="Calibri" w:eastAsia="Calibri" w:hAnsi="Calibri"/>
                <w:sz w:val="10"/>
                <w:szCs w:val="10"/>
                <w:b w:val="1"/>
                <w:bCs w:val="1"/>
                <w:color w:val="FFFFFF"/>
              </w:rPr>
              <w:t>4Q23</w:t>
            </w:r>
          </w:p>
        </w:tc>
        <w:tc>
          <w:tcPr>
            <w:tcW w:w="1080" w:type="dxa"/>
            <w:vAlign w:val="bottom"/>
            <w:tcBorders>
              <w:bottom w:val="single" w:sz="8" w:color="2AD2C8"/>
            </w:tcBorders>
            <w:gridSpan w:val="2"/>
            <w:shd w:val="clear" w:color="auto" w:fill="2AD2C8"/>
          </w:tcPr>
          <w:p>
            <w:pPr>
              <w:jc w:val="center"/>
              <w:ind w:left="345"/>
              <w:spacing w:after="0"/>
              <w:rPr>
                <w:sz w:val="20"/>
                <w:szCs w:val="20"/>
                <w:color w:val="auto"/>
              </w:rPr>
            </w:pPr>
            <w:r>
              <w:rPr>
                <w:rFonts w:ascii="Calibri" w:cs="Calibri" w:eastAsia="Calibri" w:hAnsi="Calibri"/>
                <w:sz w:val="10"/>
                <w:szCs w:val="10"/>
                <w:b w:val="1"/>
                <w:bCs w:val="1"/>
                <w:color w:val="FFFFFF"/>
              </w:rPr>
              <w:t>3Q24</w:t>
            </w:r>
          </w:p>
        </w:tc>
        <w:tc>
          <w:tcPr>
            <w:tcW w:w="1180" w:type="dxa"/>
            <w:vAlign w:val="bottom"/>
            <w:tcBorders>
              <w:bottom w:val="single" w:sz="8" w:color="2AD2C8"/>
            </w:tcBorders>
            <w:gridSpan w:val="2"/>
            <w:shd w:val="clear" w:color="auto" w:fill="2AD2C8"/>
          </w:tcPr>
          <w:p>
            <w:pPr>
              <w:jc w:val="center"/>
              <w:ind w:left="261"/>
              <w:spacing w:after="0"/>
              <w:rPr>
                <w:sz w:val="20"/>
                <w:szCs w:val="20"/>
                <w:color w:val="auto"/>
              </w:rPr>
            </w:pPr>
            <w:r>
              <w:rPr>
                <w:rFonts w:ascii="Calibri" w:cs="Calibri" w:eastAsia="Calibri" w:hAnsi="Calibri"/>
                <w:sz w:val="10"/>
                <w:szCs w:val="10"/>
                <w:b w:val="1"/>
                <w:bCs w:val="1"/>
                <w:color w:val="FFFFFF"/>
                <w:w w:val="99"/>
              </w:rPr>
              <w:t>4Q24</w:t>
            </w:r>
          </w:p>
        </w:tc>
        <w:tc>
          <w:tcPr>
            <w:tcW w:w="160" w:type="dxa"/>
            <w:vAlign w:val="bottom"/>
            <w:tcBorders>
              <w:bottom w:val="single" w:sz="8" w:color="2AD2C8"/>
              <w:right w:val="single" w:sz="8" w:color="auto"/>
            </w:tcBorders>
            <w:shd w:val="clear" w:color="auto" w:fill="2AD2C8"/>
          </w:tcPr>
          <w:p>
            <w:pPr>
              <w:spacing w:after="0"/>
              <w:rPr>
                <w:sz w:val="19"/>
                <w:szCs w:val="19"/>
                <w:color w:val="auto"/>
              </w:rPr>
            </w:pPr>
          </w:p>
        </w:tc>
        <w:tc>
          <w:tcPr>
            <w:tcW w:w="720" w:type="dxa"/>
            <w:vAlign w:val="bottom"/>
            <w:tcBorders>
              <w:bottom w:val="single" w:sz="8" w:color="2AD2C8"/>
            </w:tcBorders>
            <w:shd w:val="clear" w:color="auto" w:fill="2AD2C8"/>
          </w:tcPr>
          <w:p>
            <w:pPr>
              <w:ind w:left="260"/>
              <w:spacing w:after="0"/>
              <w:rPr>
                <w:sz w:val="20"/>
                <w:szCs w:val="20"/>
                <w:color w:val="auto"/>
              </w:rPr>
            </w:pPr>
            <w:r>
              <w:rPr>
                <w:rFonts w:ascii="Calibri" w:cs="Calibri" w:eastAsia="Calibri" w:hAnsi="Calibri"/>
                <w:sz w:val="10"/>
                <w:szCs w:val="10"/>
                <w:b w:val="1"/>
                <w:bCs w:val="1"/>
                <w:color w:val="FFFFFF"/>
              </w:rPr>
              <w:t>QoQ</w:t>
            </w:r>
          </w:p>
        </w:tc>
        <w:tc>
          <w:tcPr>
            <w:tcW w:w="680" w:type="dxa"/>
            <w:vAlign w:val="bottom"/>
            <w:tcBorders>
              <w:bottom w:val="single" w:sz="8" w:color="2AD2C8"/>
              <w:right w:val="single" w:sz="8" w:color="2AD2C8"/>
            </w:tcBorders>
            <w:shd w:val="clear" w:color="auto" w:fill="2AD2C8"/>
          </w:tcPr>
          <w:p>
            <w:pPr>
              <w:ind w:left="320"/>
              <w:spacing w:after="0"/>
              <w:rPr>
                <w:sz w:val="20"/>
                <w:szCs w:val="20"/>
                <w:color w:val="auto"/>
              </w:rPr>
            </w:pPr>
            <w:r>
              <w:rPr>
                <w:rFonts w:ascii="Calibri" w:cs="Calibri" w:eastAsia="Calibri" w:hAnsi="Calibri"/>
                <w:sz w:val="10"/>
                <w:szCs w:val="10"/>
                <w:b w:val="1"/>
                <w:bCs w:val="1"/>
                <w:color w:val="FFFFFF"/>
              </w:rPr>
              <w:t>YoY</w:t>
            </w:r>
          </w:p>
        </w:tc>
        <w:tc>
          <w:tcPr>
            <w:tcW w:w="120" w:type="dxa"/>
            <w:vAlign w:val="bottom"/>
            <w:tcBorders>
              <w:bottom w:val="single" w:sz="8" w:color="2AD2C8"/>
              <w:right w:val="single" w:sz="8" w:color="auto"/>
            </w:tcBorders>
            <w:shd w:val="clear" w:color="auto" w:fill="2AD2C8"/>
          </w:tcPr>
          <w:p>
            <w:pPr>
              <w:spacing w:after="0"/>
              <w:rPr>
                <w:sz w:val="19"/>
                <w:szCs w:val="19"/>
                <w:color w:val="auto"/>
              </w:rPr>
            </w:pPr>
          </w:p>
        </w:tc>
        <w:tc>
          <w:tcPr>
            <w:tcW w:w="560" w:type="dxa"/>
            <w:vAlign w:val="bottom"/>
            <w:tcBorders>
              <w:bottom w:val="single" w:sz="8" w:color="2AD2C8"/>
            </w:tcBorders>
            <w:shd w:val="clear" w:color="auto" w:fill="2AD2C8"/>
          </w:tcPr>
          <w:p>
            <w:pPr>
              <w:ind w:left="220"/>
              <w:spacing w:after="0"/>
              <w:rPr>
                <w:sz w:val="20"/>
                <w:szCs w:val="20"/>
                <w:color w:val="auto"/>
              </w:rPr>
            </w:pPr>
            <w:r>
              <w:rPr>
                <w:rFonts w:ascii="Calibri" w:cs="Calibri" w:eastAsia="Calibri" w:hAnsi="Calibri"/>
                <w:sz w:val="10"/>
                <w:szCs w:val="10"/>
                <w:b w:val="1"/>
                <w:bCs w:val="1"/>
                <w:color w:val="FFFFFF"/>
              </w:rPr>
              <w:t>Dec 23</w:t>
            </w:r>
          </w:p>
        </w:tc>
        <w:tc>
          <w:tcPr>
            <w:tcW w:w="80" w:type="dxa"/>
            <w:vAlign w:val="bottom"/>
            <w:tcBorders>
              <w:bottom w:val="single" w:sz="8" w:color="2AD2C8"/>
            </w:tcBorders>
            <w:shd w:val="clear" w:color="auto" w:fill="2AD2C8"/>
          </w:tcPr>
          <w:p>
            <w:pPr>
              <w:spacing w:after="0"/>
              <w:rPr>
                <w:sz w:val="19"/>
                <w:szCs w:val="19"/>
                <w:color w:val="auto"/>
              </w:rPr>
            </w:pPr>
          </w:p>
        </w:tc>
        <w:tc>
          <w:tcPr>
            <w:tcW w:w="200" w:type="dxa"/>
            <w:vAlign w:val="bottom"/>
            <w:tcBorders>
              <w:bottom w:val="single" w:sz="8" w:color="2AD2C8"/>
            </w:tcBorders>
            <w:shd w:val="clear" w:color="auto" w:fill="2AD2C8"/>
          </w:tcPr>
          <w:p>
            <w:pPr>
              <w:spacing w:after="0"/>
              <w:rPr>
                <w:sz w:val="19"/>
                <w:szCs w:val="19"/>
                <w:color w:val="auto"/>
              </w:rPr>
            </w:pPr>
          </w:p>
        </w:tc>
        <w:tc>
          <w:tcPr>
            <w:tcW w:w="100" w:type="dxa"/>
            <w:vAlign w:val="bottom"/>
            <w:tcBorders>
              <w:bottom w:val="single" w:sz="8" w:color="2AD2C8"/>
              <w:right w:val="single" w:sz="8" w:color="2AD2C8"/>
            </w:tcBorders>
            <w:shd w:val="clear" w:color="auto" w:fill="2AD2C8"/>
          </w:tcPr>
          <w:p>
            <w:pPr>
              <w:spacing w:after="0"/>
              <w:rPr>
                <w:sz w:val="19"/>
                <w:szCs w:val="19"/>
                <w:color w:val="auto"/>
              </w:rPr>
            </w:pPr>
          </w:p>
        </w:tc>
        <w:tc>
          <w:tcPr>
            <w:tcW w:w="660" w:type="dxa"/>
            <w:vAlign w:val="bottom"/>
            <w:tcBorders>
              <w:bottom w:val="single" w:sz="8" w:color="2AD2C8"/>
              <w:right w:val="single" w:sz="8" w:color="auto"/>
            </w:tcBorders>
            <w:gridSpan w:val="2"/>
            <w:shd w:val="clear" w:color="auto" w:fill="2AD2C8"/>
          </w:tcPr>
          <w:p>
            <w:pPr>
              <w:ind w:left="80"/>
              <w:spacing w:after="0"/>
              <w:rPr>
                <w:sz w:val="20"/>
                <w:szCs w:val="20"/>
                <w:color w:val="auto"/>
              </w:rPr>
            </w:pPr>
            <w:r>
              <w:rPr>
                <w:rFonts w:ascii="Calibri" w:cs="Calibri" w:eastAsia="Calibri" w:hAnsi="Calibri"/>
                <w:sz w:val="10"/>
                <w:szCs w:val="10"/>
                <w:b w:val="1"/>
                <w:bCs w:val="1"/>
                <w:color w:val="FFFFFF"/>
              </w:rPr>
              <w:t>Dec 24</w:t>
            </w:r>
          </w:p>
        </w:tc>
        <w:tc>
          <w:tcPr>
            <w:tcW w:w="20" w:type="dxa"/>
            <w:vAlign w:val="bottom"/>
            <w:tcBorders>
              <w:bottom w:val="single" w:sz="8" w:color="2AD2C8"/>
            </w:tcBorders>
            <w:shd w:val="clear" w:color="auto" w:fill="2AD2C8"/>
          </w:tcPr>
          <w:p>
            <w:pPr>
              <w:spacing w:after="0"/>
              <w:rPr>
                <w:sz w:val="19"/>
                <w:szCs w:val="19"/>
                <w:color w:val="auto"/>
              </w:rPr>
            </w:pPr>
          </w:p>
        </w:tc>
        <w:tc>
          <w:tcPr>
            <w:tcW w:w="1380" w:type="dxa"/>
            <w:vAlign w:val="bottom"/>
            <w:tcBorders>
              <w:bottom w:val="single" w:sz="8" w:color="2AD2C8"/>
              <w:right w:val="single" w:sz="8" w:color="auto"/>
            </w:tcBorders>
            <w:shd w:val="clear" w:color="auto" w:fill="2AD2C8"/>
          </w:tcPr>
          <w:p>
            <w:pPr>
              <w:jc w:val="center"/>
              <w:spacing w:after="0"/>
              <w:rPr>
                <w:sz w:val="20"/>
                <w:szCs w:val="20"/>
                <w:color w:val="auto"/>
              </w:rPr>
            </w:pPr>
            <w:r>
              <w:rPr>
                <w:rFonts w:ascii="Calibri" w:cs="Calibri" w:eastAsia="Calibri" w:hAnsi="Calibri"/>
                <w:sz w:val="10"/>
                <w:szCs w:val="10"/>
                <w:b w:val="1"/>
                <w:bCs w:val="1"/>
                <w:color w:val="FFFFFF"/>
              </w:rPr>
              <w:t>Dec 24 / Dec 23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320" w:type="dxa"/>
            <w:vAlign w:val="bottom"/>
            <w:tcBorders>
              <w:right w:val="single" w:sz="8" w:color="auto"/>
            </w:tcBorders>
          </w:tcPr>
          <w:p>
            <w:pPr>
              <w:spacing w:after="0"/>
              <w:rPr>
                <w:sz w:val="10"/>
                <w:szCs w:val="10"/>
                <w:color w:val="auto"/>
              </w:rPr>
            </w:pPr>
          </w:p>
        </w:tc>
        <w:tc>
          <w:tcPr>
            <w:tcW w:w="2640" w:type="dxa"/>
            <w:vAlign w:val="bottom"/>
            <w:tcBorders>
              <w:top w:val="single" w:sz="8" w:color="auto"/>
            </w:tcBorders>
            <w:gridSpan w:val="2"/>
          </w:tcPr>
          <w:p>
            <w:pPr>
              <w:spacing w:after="0"/>
              <w:rPr>
                <w:sz w:val="20"/>
                <w:szCs w:val="20"/>
                <w:color w:val="auto"/>
              </w:rPr>
            </w:pPr>
            <w:r>
              <w:rPr>
                <w:rFonts w:ascii="Calibri" w:cs="Calibri" w:eastAsia="Calibri" w:hAnsi="Calibri"/>
                <w:sz w:val="10"/>
                <w:szCs w:val="10"/>
                <w:color w:val="auto"/>
              </w:rPr>
              <w:t>Net interest income</w:t>
            </w:r>
          </w:p>
        </w:tc>
        <w:tc>
          <w:tcPr>
            <w:tcW w:w="260" w:type="dxa"/>
            <w:vAlign w:val="bottom"/>
            <w:tcBorders>
              <w:top w:val="single" w:sz="8" w:color="auto"/>
              <w:right w:val="single" w:sz="8" w:color="auto"/>
            </w:tcBorders>
          </w:tcPr>
          <w:p>
            <w:pPr>
              <w:spacing w:after="0"/>
              <w:rPr>
                <w:sz w:val="10"/>
                <w:szCs w:val="10"/>
                <w:color w:val="auto"/>
              </w:rPr>
            </w:pPr>
          </w:p>
        </w:tc>
        <w:tc>
          <w:tcPr>
            <w:tcW w:w="820" w:type="dxa"/>
            <w:vAlign w:val="bottom"/>
            <w:tcBorders>
              <w:top w:val="single" w:sz="8" w:color="auto"/>
            </w:tcBorders>
          </w:tcPr>
          <w:p>
            <w:pPr>
              <w:jc w:val="center"/>
              <w:ind w:left="108"/>
              <w:spacing w:after="0"/>
              <w:rPr>
                <w:sz w:val="20"/>
                <w:szCs w:val="20"/>
                <w:color w:val="auto"/>
              </w:rPr>
            </w:pPr>
            <w:r>
              <w:rPr>
                <w:rFonts w:ascii="Calibri" w:cs="Calibri" w:eastAsia="Calibri" w:hAnsi="Calibri"/>
                <w:sz w:val="10"/>
                <w:szCs w:val="10"/>
                <w:color w:val="auto"/>
              </w:rPr>
              <w:t>538,522</w:t>
            </w:r>
          </w:p>
        </w:tc>
        <w:tc>
          <w:tcPr>
            <w:tcW w:w="1080" w:type="dxa"/>
            <w:vAlign w:val="bottom"/>
            <w:tcBorders>
              <w:top w:val="single" w:sz="8" w:color="auto"/>
            </w:tcBorders>
            <w:gridSpan w:val="2"/>
          </w:tcPr>
          <w:p>
            <w:pPr>
              <w:jc w:val="center"/>
              <w:ind w:left="345"/>
              <w:spacing w:after="0"/>
              <w:rPr>
                <w:sz w:val="20"/>
                <w:szCs w:val="20"/>
                <w:color w:val="auto"/>
              </w:rPr>
            </w:pPr>
            <w:r>
              <w:rPr>
                <w:rFonts w:ascii="Calibri" w:cs="Calibri" w:eastAsia="Calibri" w:hAnsi="Calibri"/>
                <w:sz w:val="10"/>
                <w:szCs w:val="10"/>
                <w:color w:val="auto"/>
              </w:rPr>
              <w:t>562,421</w:t>
            </w:r>
          </w:p>
        </w:tc>
        <w:tc>
          <w:tcPr>
            <w:tcW w:w="940" w:type="dxa"/>
            <w:vAlign w:val="bottom"/>
            <w:tcBorders>
              <w:top w:val="single" w:sz="8" w:color="auto"/>
            </w:tcBorders>
          </w:tcPr>
          <w:p>
            <w:pPr>
              <w:jc w:val="center"/>
              <w:ind w:left="501"/>
              <w:spacing w:after="0"/>
              <w:rPr>
                <w:sz w:val="20"/>
                <w:szCs w:val="20"/>
                <w:color w:val="auto"/>
              </w:rPr>
            </w:pPr>
            <w:r>
              <w:rPr>
                <w:rFonts w:ascii="Calibri" w:cs="Calibri" w:eastAsia="Calibri" w:hAnsi="Calibri"/>
                <w:sz w:val="10"/>
                <w:szCs w:val="10"/>
                <w:color w:val="auto"/>
              </w:rPr>
              <w:t>574,720</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right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rPr>
                <w:sz w:val="20"/>
                <w:szCs w:val="20"/>
                <w:color w:val="auto"/>
              </w:rPr>
            </w:pPr>
            <w:r>
              <w:rPr>
                <w:rFonts w:ascii="Calibri" w:cs="Calibri" w:eastAsia="Calibri" w:hAnsi="Calibri"/>
                <w:sz w:val="10"/>
                <w:szCs w:val="10"/>
                <w:color w:val="auto"/>
              </w:rPr>
              <w:t>2.2%</w:t>
            </w:r>
          </w:p>
        </w:tc>
        <w:tc>
          <w:tcPr>
            <w:tcW w:w="680" w:type="dxa"/>
            <w:vAlign w:val="bottom"/>
            <w:tcBorders>
              <w:top w:val="single" w:sz="8" w:color="auto"/>
            </w:tcBorders>
          </w:tcPr>
          <w:p>
            <w:pPr>
              <w:jc w:val="center"/>
              <w:ind w:left="46"/>
              <w:spacing w:after="0"/>
              <w:rPr>
                <w:sz w:val="20"/>
                <w:szCs w:val="20"/>
                <w:color w:val="auto"/>
              </w:rPr>
            </w:pPr>
            <w:r>
              <w:rPr>
                <w:rFonts w:ascii="Calibri" w:cs="Calibri" w:eastAsia="Calibri" w:hAnsi="Calibri"/>
                <w:sz w:val="10"/>
                <w:szCs w:val="10"/>
                <w:color w:val="auto"/>
              </w:rPr>
              <w:t>6.7%</w:t>
            </w:r>
          </w:p>
        </w:tc>
        <w:tc>
          <w:tcPr>
            <w:tcW w:w="12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left="46"/>
              <w:spacing w:after="0"/>
              <w:rPr>
                <w:sz w:val="20"/>
                <w:szCs w:val="20"/>
                <w:color w:val="auto"/>
              </w:rPr>
            </w:pPr>
            <w:r>
              <w:rPr>
                <w:rFonts w:ascii="Calibri" w:cs="Calibri" w:eastAsia="Calibri" w:hAnsi="Calibri"/>
                <w:sz w:val="10"/>
                <w:szCs w:val="10"/>
                <w:color w:val="auto"/>
              </w:rPr>
              <w:t>2,160,467</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rPr>
                <w:sz w:val="20"/>
                <w:szCs w:val="20"/>
                <w:color w:val="auto"/>
              </w:rPr>
            </w:pPr>
            <w:r>
              <w:rPr>
                <w:rFonts w:ascii="Calibri" w:cs="Calibri" w:eastAsia="Calibri" w:hAnsi="Calibri"/>
                <w:sz w:val="10"/>
                <w:szCs w:val="10"/>
                <w:color w:val="auto"/>
              </w:rPr>
              <w:t>2,240,270</w:t>
            </w:r>
          </w:p>
        </w:tc>
        <w:tc>
          <w:tcPr>
            <w:tcW w:w="80" w:type="dxa"/>
            <w:vAlign w:val="bottom"/>
            <w:tcBorders>
              <w:top w:val="single" w:sz="8" w:color="auto"/>
              <w:right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80" w:type="dxa"/>
            <w:vAlign w:val="bottom"/>
            <w:tcBorders>
              <w:top w:val="single" w:sz="8" w:color="auto"/>
              <w:right w:val="single" w:sz="8" w:color="auto"/>
            </w:tcBorders>
          </w:tcPr>
          <w:p>
            <w:pPr>
              <w:jc w:val="center"/>
              <w:ind w:right="20"/>
              <w:spacing w:after="0"/>
              <w:rPr>
                <w:sz w:val="20"/>
                <w:szCs w:val="20"/>
                <w:color w:val="auto"/>
              </w:rPr>
            </w:pPr>
            <w:r>
              <w:rPr>
                <w:rFonts w:ascii="Calibri" w:cs="Calibri" w:eastAsia="Calibri" w:hAnsi="Calibri"/>
                <w:sz w:val="10"/>
                <w:szCs w:val="10"/>
                <w:color w:val="auto"/>
              </w:rPr>
              <w:t>3.7%</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20" w:type="dxa"/>
            <w:vAlign w:val="bottom"/>
            <w:tcBorders>
              <w:right w:val="single" w:sz="8" w:color="auto"/>
            </w:tcBorders>
          </w:tcPr>
          <w:p>
            <w:pPr>
              <w:spacing w:after="0"/>
              <w:rPr>
                <w:sz w:val="11"/>
                <w:szCs w:val="11"/>
                <w:color w:val="auto"/>
              </w:rPr>
            </w:pPr>
          </w:p>
        </w:tc>
        <w:tc>
          <w:tcPr>
            <w:tcW w:w="2640" w:type="dxa"/>
            <w:vAlign w:val="bottom"/>
            <w:gridSpan w:val="2"/>
          </w:tcPr>
          <w:p>
            <w:pPr>
              <w:spacing w:after="0"/>
              <w:rPr>
                <w:sz w:val="20"/>
                <w:szCs w:val="20"/>
                <w:color w:val="auto"/>
              </w:rPr>
            </w:pPr>
            <w:r>
              <w:rPr>
                <w:rFonts w:ascii="Calibri" w:cs="Calibri" w:eastAsia="Calibri" w:hAnsi="Calibri"/>
                <w:sz w:val="10"/>
                <w:szCs w:val="10"/>
                <w:color w:val="auto"/>
              </w:rPr>
              <w:t>Provision for loan losses, net of recoveries</w:t>
            </w:r>
          </w:p>
        </w:tc>
        <w:tc>
          <w:tcPr>
            <w:tcW w:w="260" w:type="dxa"/>
            <w:vAlign w:val="bottom"/>
            <w:tcBorders>
              <w:right w:val="single" w:sz="8" w:color="auto"/>
            </w:tcBorders>
          </w:tcPr>
          <w:p>
            <w:pPr>
              <w:spacing w:after="0"/>
              <w:rPr>
                <w:sz w:val="11"/>
                <w:szCs w:val="11"/>
                <w:color w:val="auto"/>
              </w:rPr>
            </w:pPr>
          </w:p>
        </w:tc>
        <w:tc>
          <w:tcPr>
            <w:tcW w:w="820" w:type="dxa"/>
            <w:vAlign w:val="bottom"/>
          </w:tcPr>
          <w:p>
            <w:pPr>
              <w:jc w:val="center"/>
              <w:ind w:left="128"/>
              <w:spacing w:after="0"/>
              <w:rPr>
                <w:sz w:val="20"/>
                <w:szCs w:val="20"/>
                <w:color w:val="auto"/>
              </w:rPr>
            </w:pPr>
            <w:r>
              <w:rPr>
                <w:rFonts w:ascii="Calibri" w:cs="Calibri" w:eastAsia="Calibri" w:hAnsi="Calibri"/>
                <w:sz w:val="10"/>
                <w:szCs w:val="10"/>
                <w:color w:val="auto"/>
              </w:rPr>
              <w:t>(208,880)</w:t>
            </w:r>
          </w:p>
        </w:tc>
        <w:tc>
          <w:tcPr>
            <w:tcW w:w="1080" w:type="dxa"/>
            <w:vAlign w:val="bottom"/>
            <w:gridSpan w:val="2"/>
          </w:tcPr>
          <w:p>
            <w:pPr>
              <w:jc w:val="center"/>
              <w:ind w:left="345"/>
              <w:spacing w:after="0"/>
              <w:rPr>
                <w:sz w:val="20"/>
                <w:szCs w:val="20"/>
                <w:color w:val="auto"/>
              </w:rPr>
            </w:pPr>
            <w:r>
              <w:rPr>
                <w:rFonts w:ascii="Calibri" w:cs="Calibri" w:eastAsia="Calibri" w:hAnsi="Calibri"/>
                <w:sz w:val="10"/>
                <w:szCs w:val="10"/>
                <w:color w:val="auto"/>
              </w:rPr>
              <w:t>(192,435)</w:t>
            </w:r>
          </w:p>
        </w:tc>
        <w:tc>
          <w:tcPr>
            <w:tcW w:w="1180" w:type="dxa"/>
            <w:vAlign w:val="bottom"/>
            <w:gridSpan w:val="2"/>
          </w:tcPr>
          <w:p>
            <w:pPr>
              <w:jc w:val="center"/>
              <w:ind w:left="261"/>
              <w:spacing w:after="0"/>
              <w:rPr>
                <w:sz w:val="20"/>
                <w:szCs w:val="20"/>
                <w:color w:val="auto"/>
              </w:rPr>
            </w:pPr>
            <w:r>
              <w:rPr>
                <w:rFonts w:ascii="Calibri" w:cs="Calibri" w:eastAsia="Calibri" w:hAnsi="Calibri"/>
                <w:sz w:val="10"/>
                <w:szCs w:val="10"/>
                <w:color w:val="auto"/>
              </w:rPr>
              <w:t>(141,899)</w:t>
            </w:r>
          </w:p>
        </w:tc>
        <w:tc>
          <w:tcPr>
            <w:tcW w:w="160" w:type="dxa"/>
            <w:vAlign w:val="bottom"/>
            <w:tcBorders>
              <w:right w:val="single" w:sz="8" w:color="auto"/>
            </w:tcBorders>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26.3%</w:t>
            </w:r>
          </w:p>
        </w:tc>
        <w:tc>
          <w:tcPr>
            <w:tcW w:w="680" w:type="dxa"/>
            <w:vAlign w:val="bottom"/>
          </w:tcPr>
          <w:p>
            <w:pPr>
              <w:jc w:val="center"/>
              <w:ind w:left="46"/>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32.1%</w:t>
            </w:r>
          </w:p>
        </w:tc>
        <w:tc>
          <w:tcPr>
            <w:tcW w:w="120" w:type="dxa"/>
            <w:vAlign w:val="bottom"/>
            <w:tcBorders>
              <w:right w:val="single" w:sz="8" w:color="auto"/>
            </w:tcBorders>
          </w:tcPr>
          <w:p>
            <w:pPr>
              <w:spacing w:after="0"/>
              <w:rPr>
                <w:sz w:val="11"/>
                <w:szCs w:val="11"/>
                <w:color w:val="auto"/>
              </w:rPr>
            </w:pPr>
          </w:p>
        </w:tc>
        <w:tc>
          <w:tcPr>
            <w:tcW w:w="640" w:type="dxa"/>
            <w:vAlign w:val="bottom"/>
            <w:gridSpan w:val="2"/>
          </w:tcPr>
          <w:p>
            <w:pPr>
              <w:jc w:val="center"/>
              <w:ind w:left="46"/>
              <w:spacing w:after="0"/>
              <w:rPr>
                <w:sz w:val="20"/>
                <w:szCs w:val="20"/>
                <w:color w:val="auto"/>
              </w:rPr>
            </w:pPr>
            <w:r>
              <w:rPr>
                <w:rFonts w:ascii="Calibri" w:cs="Calibri" w:eastAsia="Calibri" w:hAnsi="Calibri"/>
                <w:sz w:val="10"/>
                <w:szCs w:val="10"/>
                <w:color w:val="auto"/>
              </w:rPr>
              <w:t>(822,663)</w:t>
            </w:r>
          </w:p>
        </w:tc>
        <w:tc>
          <w:tcPr>
            <w:tcW w:w="20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0"/>
                <w:szCs w:val="10"/>
                <w:color w:val="auto"/>
              </w:rPr>
              <w:t>(727,833)</w:t>
            </w:r>
          </w:p>
        </w:tc>
        <w:tc>
          <w:tcPr>
            <w:tcW w:w="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11.5%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0" w:type="dxa"/>
            <w:vAlign w:val="bottom"/>
            <w:tcBorders>
              <w:right w:val="single" w:sz="8" w:color="auto"/>
            </w:tcBorders>
          </w:tcPr>
          <w:p>
            <w:pPr>
              <w:spacing w:after="0"/>
              <w:rPr>
                <w:sz w:val="10"/>
                <w:szCs w:val="10"/>
                <w:color w:val="auto"/>
              </w:rPr>
            </w:pPr>
          </w:p>
        </w:tc>
        <w:tc>
          <w:tcPr>
            <w:tcW w:w="2640" w:type="dxa"/>
            <w:vAlign w:val="bottom"/>
            <w:gridSpan w:val="2"/>
          </w:tcPr>
          <w:p>
            <w:pPr>
              <w:spacing w:after="0"/>
              <w:rPr>
                <w:sz w:val="20"/>
                <w:szCs w:val="20"/>
                <w:color w:val="auto"/>
              </w:rPr>
            </w:pPr>
            <w:r>
              <w:rPr>
                <w:rFonts w:ascii="Calibri" w:cs="Calibri" w:eastAsia="Calibri" w:hAnsi="Calibri"/>
                <w:sz w:val="10"/>
                <w:szCs w:val="10"/>
                <w:b w:val="1"/>
                <w:bCs w:val="1"/>
                <w:color w:val="auto"/>
              </w:rPr>
              <w:t>Net interest income afer provisions</w:t>
            </w:r>
          </w:p>
        </w:tc>
        <w:tc>
          <w:tcPr>
            <w:tcW w:w="260" w:type="dxa"/>
            <w:vAlign w:val="bottom"/>
            <w:tcBorders>
              <w:right w:val="single" w:sz="8" w:color="auto"/>
            </w:tcBorders>
          </w:tcPr>
          <w:p>
            <w:pPr>
              <w:spacing w:after="0"/>
              <w:rPr>
                <w:sz w:val="10"/>
                <w:szCs w:val="10"/>
                <w:color w:val="auto"/>
              </w:rPr>
            </w:pPr>
          </w:p>
        </w:tc>
        <w:tc>
          <w:tcPr>
            <w:tcW w:w="820" w:type="dxa"/>
            <w:vAlign w:val="bottom"/>
          </w:tcPr>
          <w:p>
            <w:pPr>
              <w:jc w:val="center"/>
              <w:ind w:left="108"/>
              <w:spacing w:after="0"/>
              <w:rPr>
                <w:sz w:val="20"/>
                <w:szCs w:val="20"/>
                <w:color w:val="auto"/>
              </w:rPr>
            </w:pPr>
            <w:r>
              <w:rPr>
                <w:rFonts w:ascii="Calibri" w:cs="Calibri" w:eastAsia="Calibri" w:hAnsi="Calibri"/>
                <w:sz w:val="10"/>
                <w:szCs w:val="10"/>
                <w:b w:val="1"/>
                <w:bCs w:val="1"/>
                <w:color w:val="auto"/>
              </w:rPr>
              <w:t>329,642</w:t>
            </w:r>
          </w:p>
        </w:tc>
        <w:tc>
          <w:tcPr>
            <w:tcW w:w="1080" w:type="dxa"/>
            <w:vAlign w:val="bottom"/>
            <w:gridSpan w:val="2"/>
          </w:tcPr>
          <w:p>
            <w:pPr>
              <w:jc w:val="center"/>
              <w:ind w:left="345"/>
              <w:spacing w:after="0"/>
              <w:rPr>
                <w:sz w:val="20"/>
                <w:szCs w:val="20"/>
                <w:color w:val="auto"/>
              </w:rPr>
            </w:pPr>
            <w:r>
              <w:rPr>
                <w:rFonts w:ascii="Calibri" w:cs="Calibri" w:eastAsia="Calibri" w:hAnsi="Calibri"/>
                <w:sz w:val="10"/>
                <w:szCs w:val="10"/>
                <w:b w:val="1"/>
                <w:bCs w:val="1"/>
                <w:color w:val="auto"/>
              </w:rPr>
              <w:t>369,986</w:t>
            </w:r>
          </w:p>
        </w:tc>
        <w:tc>
          <w:tcPr>
            <w:tcW w:w="940" w:type="dxa"/>
            <w:vAlign w:val="bottom"/>
          </w:tcPr>
          <w:p>
            <w:pPr>
              <w:jc w:val="center"/>
              <w:ind w:left="501"/>
              <w:spacing w:after="0"/>
              <w:rPr>
                <w:sz w:val="20"/>
                <w:szCs w:val="20"/>
                <w:color w:val="auto"/>
              </w:rPr>
            </w:pPr>
            <w:r>
              <w:rPr>
                <w:rFonts w:ascii="Calibri" w:cs="Calibri" w:eastAsia="Calibri" w:hAnsi="Calibri"/>
                <w:sz w:val="10"/>
                <w:szCs w:val="10"/>
                <w:b w:val="1"/>
                <w:bCs w:val="1"/>
                <w:color w:val="auto"/>
              </w:rPr>
              <w:t>432,821</w:t>
            </w:r>
          </w:p>
        </w:tc>
        <w:tc>
          <w:tcPr>
            <w:tcW w:w="2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720" w:type="dxa"/>
            <w:vAlign w:val="bottom"/>
          </w:tcPr>
          <w:p>
            <w:pPr>
              <w:jc w:val="center"/>
              <w:spacing w:after="0"/>
              <w:rPr>
                <w:sz w:val="20"/>
                <w:szCs w:val="20"/>
                <w:color w:val="auto"/>
              </w:rPr>
            </w:pPr>
            <w:r>
              <w:rPr>
                <w:rFonts w:ascii="Calibri" w:cs="Calibri" w:eastAsia="Calibri" w:hAnsi="Calibri"/>
                <w:sz w:val="10"/>
                <w:szCs w:val="10"/>
                <w:b w:val="1"/>
                <w:bCs w:val="1"/>
                <w:color w:val="auto"/>
              </w:rPr>
              <w:t>17.0%</w:t>
            </w:r>
          </w:p>
        </w:tc>
        <w:tc>
          <w:tcPr>
            <w:tcW w:w="680" w:type="dxa"/>
            <w:vAlign w:val="bottom"/>
          </w:tcPr>
          <w:p>
            <w:pPr>
              <w:jc w:val="center"/>
              <w:ind w:left="46"/>
              <w:spacing w:after="0"/>
              <w:rPr>
                <w:sz w:val="20"/>
                <w:szCs w:val="20"/>
                <w:color w:val="auto"/>
              </w:rPr>
            </w:pPr>
            <w:r>
              <w:rPr>
                <w:rFonts w:ascii="Calibri" w:cs="Calibri" w:eastAsia="Calibri" w:hAnsi="Calibri"/>
                <w:sz w:val="10"/>
                <w:szCs w:val="10"/>
                <w:b w:val="1"/>
                <w:bCs w:val="1"/>
                <w:color w:val="auto"/>
              </w:rPr>
              <w:t>31.3%</w:t>
            </w:r>
          </w:p>
        </w:tc>
        <w:tc>
          <w:tcPr>
            <w:tcW w:w="120" w:type="dxa"/>
            <w:vAlign w:val="bottom"/>
            <w:tcBorders>
              <w:right w:val="single" w:sz="8" w:color="auto"/>
            </w:tcBorders>
          </w:tcPr>
          <w:p>
            <w:pPr>
              <w:spacing w:after="0"/>
              <w:rPr>
                <w:sz w:val="10"/>
                <w:szCs w:val="10"/>
                <w:color w:val="auto"/>
              </w:rPr>
            </w:pPr>
          </w:p>
        </w:tc>
        <w:tc>
          <w:tcPr>
            <w:tcW w:w="640" w:type="dxa"/>
            <w:vAlign w:val="bottom"/>
            <w:gridSpan w:val="2"/>
          </w:tcPr>
          <w:p>
            <w:pPr>
              <w:jc w:val="center"/>
              <w:ind w:left="46"/>
              <w:spacing w:after="0"/>
              <w:rPr>
                <w:sz w:val="20"/>
                <w:szCs w:val="20"/>
                <w:color w:val="auto"/>
              </w:rPr>
            </w:pPr>
            <w:r>
              <w:rPr>
                <w:rFonts w:ascii="Calibri" w:cs="Calibri" w:eastAsia="Calibri" w:hAnsi="Calibri"/>
                <w:sz w:val="10"/>
                <w:szCs w:val="10"/>
                <w:b w:val="1"/>
                <w:bCs w:val="1"/>
                <w:color w:val="auto"/>
              </w:rPr>
              <w:t>1,337,804</w:t>
            </w:r>
          </w:p>
        </w:tc>
        <w:tc>
          <w:tcPr>
            <w:tcW w:w="20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0"/>
                <w:szCs w:val="10"/>
                <w:b w:val="1"/>
                <w:bCs w:val="1"/>
                <w:color w:val="auto"/>
              </w:rPr>
              <w:t>1,512,437</w:t>
            </w:r>
          </w:p>
        </w:tc>
        <w:tc>
          <w:tcPr>
            <w:tcW w:w="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Borders>
              <w:right w:val="single" w:sz="8" w:color="auto"/>
            </w:tcBorders>
          </w:tcPr>
          <w:p>
            <w:pPr>
              <w:jc w:val="center"/>
              <w:ind w:right="20"/>
              <w:spacing w:after="0"/>
              <w:rPr>
                <w:sz w:val="20"/>
                <w:szCs w:val="20"/>
                <w:color w:val="auto"/>
              </w:rPr>
            </w:pPr>
            <w:r>
              <w:rPr>
                <w:rFonts w:ascii="Calibri" w:cs="Calibri" w:eastAsia="Calibri" w:hAnsi="Calibri"/>
                <w:sz w:val="10"/>
                <w:szCs w:val="10"/>
                <w:b w:val="1"/>
                <w:bCs w:val="1"/>
                <w:color w:val="auto"/>
              </w:rPr>
              <w:t>13.1%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gridSpan w:val="2"/>
          </w:tcPr>
          <w:p>
            <w:pPr>
              <w:spacing w:after="0"/>
              <w:rPr>
                <w:sz w:val="20"/>
                <w:szCs w:val="20"/>
                <w:color w:val="auto"/>
              </w:rPr>
            </w:pPr>
            <w:r>
              <w:rPr>
                <w:rFonts w:ascii="Calibri" w:cs="Calibri" w:eastAsia="Calibri" w:hAnsi="Calibri"/>
                <w:sz w:val="10"/>
                <w:szCs w:val="10"/>
                <w:color w:val="auto"/>
              </w:rPr>
              <w:t>Non-fnancial income</w:t>
            </w:r>
          </w:p>
        </w:tc>
        <w:tc>
          <w:tcPr>
            <w:tcW w:w="260" w:type="dxa"/>
            <w:vAlign w:val="bottom"/>
            <w:tcBorders>
              <w:right w:val="single" w:sz="8" w:color="auto"/>
            </w:tcBorders>
          </w:tcPr>
          <w:p>
            <w:pPr>
              <w:spacing w:after="0"/>
              <w:rPr>
                <w:sz w:val="11"/>
                <w:szCs w:val="11"/>
                <w:color w:val="auto"/>
              </w:rPr>
            </w:pPr>
          </w:p>
        </w:tc>
        <w:tc>
          <w:tcPr>
            <w:tcW w:w="820" w:type="dxa"/>
            <w:vAlign w:val="bottom"/>
          </w:tcPr>
          <w:p>
            <w:pPr>
              <w:jc w:val="center"/>
              <w:ind w:left="128"/>
              <w:spacing w:after="0"/>
              <w:rPr>
                <w:sz w:val="20"/>
                <w:szCs w:val="20"/>
                <w:color w:val="auto"/>
              </w:rPr>
            </w:pPr>
            <w:r>
              <w:rPr>
                <w:rFonts w:ascii="Calibri" w:cs="Calibri" w:eastAsia="Calibri" w:hAnsi="Calibri"/>
                <w:sz w:val="10"/>
                <w:szCs w:val="10"/>
                <w:color w:val="auto"/>
              </w:rPr>
              <w:t>56,230</w:t>
            </w:r>
          </w:p>
        </w:tc>
        <w:tc>
          <w:tcPr>
            <w:tcW w:w="900" w:type="dxa"/>
            <w:vAlign w:val="bottom"/>
          </w:tcPr>
          <w:p>
            <w:pPr>
              <w:jc w:val="center"/>
              <w:ind w:left="525"/>
              <w:spacing w:after="0"/>
              <w:rPr>
                <w:sz w:val="20"/>
                <w:szCs w:val="20"/>
                <w:color w:val="auto"/>
              </w:rPr>
            </w:pPr>
            <w:r>
              <w:rPr>
                <w:rFonts w:ascii="Calibri" w:cs="Calibri" w:eastAsia="Calibri" w:hAnsi="Calibri"/>
                <w:sz w:val="10"/>
                <w:szCs w:val="10"/>
                <w:color w:val="auto"/>
              </w:rPr>
              <w:t>30,861</w:t>
            </w:r>
          </w:p>
        </w:tc>
        <w:tc>
          <w:tcPr>
            <w:tcW w:w="180" w:type="dxa"/>
            <w:vAlign w:val="bottom"/>
          </w:tcPr>
          <w:p>
            <w:pPr>
              <w:spacing w:after="0"/>
              <w:rPr>
                <w:sz w:val="11"/>
                <w:szCs w:val="11"/>
                <w:color w:val="auto"/>
              </w:rPr>
            </w:pPr>
          </w:p>
        </w:tc>
        <w:tc>
          <w:tcPr>
            <w:tcW w:w="940" w:type="dxa"/>
            <w:vAlign w:val="bottom"/>
          </w:tcPr>
          <w:p>
            <w:pPr>
              <w:jc w:val="center"/>
              <w:ind w:left="501"/>
              <w:spacing w:after="0"/>
              <w:rPr>
                <w:sz w:val="20"/>
                <w:szCs w:val="20"/>
                <w:color w:val="auto"/>
              </w:rPr>
            </w:pPr>
            <w:r>
              <w:rPr>
                <w:rFonts w:ascii="Calibri" w:cs="Calibri" w:eastAsia="Calibri" w:hAnsi="Calibri"/>
                <w:sz w:val="10"/>
                <w:szCs w:val="10"/>
                <w:color w:val="auto"/>
              </w:rPr>
              <w:t>32,748</w:t>
            </w:r>
          </w:p>
        </w:tc>
        <w:tc>
          <w:tcPr>
            <w:tcW w:w="2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20" w:type="dxa"/>
            <w:vAlign w:val="bottom"/>
          </w:tcPr>
          <w:p>
            <w:pPr>
              <w:jc w:val="center"/>
              <w:spacing w:after="0"/>
              <w:rPr>
                <w:sz w:val="20"/>
                <w:szCs w:val="20"/>
                <w:color w:val="auto"/>
              </w:rPr>
            </w:pPr>
            <w:r>
              <w:rPr>
                <w:rFonts w:ascii="Calibri" w:cs="Calibri" w:eastAsia="Calibri" w:hAnsi="Calibri"/>
                <w:sz w:val="10"/>
                <w:szCs w:val="10"/>
                <w:color w:val="auto"/>
              </w:rPr>
              <w:t>6.1%</w:t>
            </w:r>
          </w:p>
        </w:tc>
        <w:tc>
          <w:tcPr>
            <w:tcW w:w="680" w:type="dxa"/>
            <w:vAlign w:val="bottom"/>
          </w:tcPr>
          <w:p>
            <w:pPr>
              <w:jc w:val="center"/>
              <w:ind w:left="46"/>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41.8%</w:t>
            </w:r>
          </w:p>
        </w:tc>
        <w:tc>
          <w:tcPr>
            <w:tcW w:w="120" w:type="dxa"/>
            <w:vAlign w:val="bottom"/>
            <w:tcBorders>
              <w:right w:val="single" w:sz="8" w:color="auto"/>
            </w:tcBorders>
          </w:tcPr>
          <w:p>
            <w:pPr>
              <w:spacing w:after="0"/>
              <w:rPr>
                <w:sz w:val="11"/>
                <w:szCs w:val="11"/>
                <w:color w:val="auto"/>
              </w:rPr>
            </w:pPr>
          </w:p>
        </w:tc>
        <w:tc>
          <w:tcPr>
            <w:tcW w:w="560" w:type="dxa"/>
            <w:vAlign w:val="bottom"/>
          </w:tcPr>
          <w:p>
            <w:pPr>
              <w:jc w:val="center"/>
              <w:ind w:left="126"/>
              <w:spacing w:after="0"/>
              <w:rPr>
                <w:sz w:val="20"/>
                <w:szCs w:val="20"/>
                <w:color w:val="auto"/>
              </w:rPr>
            </w:pPr>
            <w:r>
              <w:rPr>
                <w:rFonts w:ascii="Calibri" w:cs="Calibri" w:eastAsia="Calibri" w:hAnsi="Calibri"/>
                <w:sz w:val="10"/>
                <w:szCs w:val="10"/>
                <w:color w:val="auto"/>
              </w:rPr>
              <w:t>165,258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0"/>
                <w:szCs w:val="10"/>
                <w:color w:val="auto"/>
              </w:rPr>
              <w:t>130,695</w:t>
            </w:r>
          </w:p>
        </w:tc>
        <w:tc>
          <w:tcPr>
            <w:tcW w:w="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20.9%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640" w:type="dxa"/>
            <w:vAlign w:val="bottom"/>
            <w:gridSpan w:val="2"/>
          </w:tcPr>
          <w:p>
            <w:pPr>
              <w:spacing w:after="0"/>
              <w:rPr>
                <w:sz w:val="20"/>
                <w:szCs w:val="20"/>
                <w:color w:val="auto"/>
              </w:rPr>
            </w:pPr>
            <w:r>
              <w:rPr>
                <w:rFonts w:ascii="Calibri" w:cs="Calibri" w:eastAsia="Calibri" w:hAnsi="Calibri"/>
                <w:sz w:val="10"/>
                <w:szCs w:val="10"/>
                <w:color w:val="auto"/>
              </w:rPr>
              <w:t>Total expenses</w:t>
            </w:r>
          </w:p>
        </w:tc>
        <w:tc>
          <w:tcPr>
            <w:tcW w:w="260" w:type="dxa"/>
            <w:vAlign w:val="bottom"/>
            <w:tcBorders>
              <w:right w:val="single" w:sz="8" w:color="auto"/>
            </w:tcBorders>
          </w:tcPr>
          <w:p>
            <w:pPr>
              <w:spacing w:after="0"/>
              <w:rPr>
                <w:sz w:val="11"/>
                <w:szCs w:val="11"/>
                <w:color w:val="auto"/>
              </w:rPr>
            </w:pPr>
          </w:p>
        </w:tc>
        <w:tc>
          <w:tcPr>
            <w:tcW w:w="820" w:type="dxa"/>
            <w:vAlign w:val="bottom"/>
          </w:tcPr>
          <w:p>
            <w:pPr>
              <w:jc w:val="center"/>
              <w:ind w:left="128"/>
              <w:spacing w:after="0"/>
              <w:rPr>
                <w:sz w:val="20"/>
                <w:szCs w:val="20"/>
                <w:color w:val="auto"/>
              </w:rPr>
            </w:pPr>
            <w:r>
              <w:rPr>
                <w:rFonts w:ascii="Calibri" w:cs="Calibri" w:eastAsia="Calibri" w:hAnsi="Calibri"/>
                <w:sz w:val="10"/>
                <w:szCs w:val="10"/>
                <w:color w:val="auto"/>
              </w:rPr>
              <w:t>(324,854)</w:t>
            </w:r>
          </w:p>
        </w:tc>
        <w:tc>
          <w:tcPr>
            <w:tcW w:w="1080" w:type="dxa"/>
            <w:vAlign w:val="bottom"/>
            <w:gridSpan w:val="2"/>
          </w:tcPr>
          <w:p>
            <w:pPr>
              <w:jc w:val="center"/>
              <w:ind w:left="345"/>
              <w:spacing w:after="0"/>
              <w:rPr>
                <w:sz w:val="20"/>
                <w:szCs w:val="20"/>
                <w:color w:val="auto"/>
              </w:rPr>
            </w:pPr>
            <w:r>
              <w:rPr>
                <w:rFonts w:ascii="Calibri" w:cs="Calibri" w:eastAsia="Calibri" w:hAnsi="Calibri"/>
                <w:sz w:val="10"/>
                <w:szCs w:val="10"/>
                <w:color w:val="auto"/>
              </w:rPr>
              <w:t>(320,796)</w:t>
            </w:r>
          </w:p>
        </w:tc>
        <w:tc>
          <w:tcPr>
            <w:tcW w:w="1180" w:type="dxa"/>
            <w:vAlign w:val="bottom"/>
            <w:gridSpan w:val="2"/>
          </w:tcPr>
          <w:p>
            <w:pPr>
              <w:jc w:val="center"/>
              <w:ind w:left="261"/>
              <w:spacing w:after="0"/>
              <w:rPr>
                <w:sz w:val="20"/>
                <w:szCs w:val="20"/>
                <w:color w:val="auto"/>
              </w:rPr>
            </w:pPr>
            <w:r>
              <w:rPr>
                <w:rFonts w:ascii="Calibri" w:cs="Calibri" w:eastAsia="Calibri" w:hAnsi="Calibri"/>
                <w:sz w:val="10"/>
                <w:szCs w:val="10"/>
                <w:color w:val="auto"/>
              </w:rPr>
              <w:t>(312,016)</w:t>
            </w:r>
          </w:p>
        </w:tc>
        <w:tc>
          <w:tcPr>
            <w:tcW w:w="160" w:type="dxa"/>
            <w:vAlign w:val="bottom"/>
            <w:tcBorders>
              <w:right w:val="single" w:sz="8" w:color="auto"/>
            </w:tcBorders>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2.7%</w:t>
            </w:r>
          </w:p>
        </w:tc>
        <w:tc>
          <w:tcPr>
            <w:tcW w:w="680" w:type="dxa"/>
            <w:vAlign w:val="bottom"/>
          </w:tcPr>
          <w:p>
            <w:pPr>
              <w:jc w:val="center"/>
              <w:ind w:left="66"/>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4.0%</w:t>
            </w:r>
          </w:p>
        </w:tc>
        <w:tc>
          <w:tcPr>
            <w:tcW w:w="120" w:type="dxa"/>
            <w:vAlign w:val="bottom"/>
            <w:tcBorders>
              <w:right w:val="single" w:sz="8" w:color="auto"/>
            </w:tcBorders>
          </w:tcPr>
          <w:p>
            <w:pPr>
              <w:spacing w:after="0"/>
              <w:rPr>
                <w:sz w:val="11"/>
                <w:szCs w:val="11"/>
                <w:color w:val="auto"/>
              </w:rPr>
            </w:pPr>
          </w:p>
        </w:tc>
        <w:tc>
          <w:tcPr>
            <w:tcW w:w="640" w:type="dxa"/>
            <w:vAlign w:val="bottom"/>
            <w:gridSpan w:val="2"/>
          </w:tcPr>
          <w:p>
            <w:pPr>
              <w:jc w:val="center"/>
              <w:ind w:left="46"/>
              <w:spacing w:after="0"/>
              <w:rPr>
                <w:sz w:val="20"/>
                <w:szCs w:val="20"/>
                <w:color w:val="auto"/>
              </w:rPr>
            </w:pPr>
            <w:r>
              <w:rPr>
                <w:rFonts w:ascii="Calibri" w:cs="Calibri" w:eastAsia="Calibri" w:hAnsi="Calibri"/>
                <w:sz w:val="10"/>
                <w:szCs w:val="10"/>
                <w:color w:val="auto"/>
              </w:rPr>
              <w:t>(1,248,582)</w:t>
            </w:r>
          </w:p>
        </w:tc>
        <w:tc>
          <w:tcPr>
            <w:tcW w:w="20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0"/>
                <w:szCs w:val="10"/>
                <w:color w:val="auto"/>
              </w:rPr>
              <w:t>(1,246,390)</w:t>
            </w:r>
          </w:p>
        </w:tc>
        <w:tc>
          <w:tcPr>
            <w:tcW w:w="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0.2%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 w:type="dxa"/>
            <w:vAlign w:val="bottom"/>
            <w:tcBorders>
              <w:right w:val="single" w:sz="8" w:color="auto"/>
            </w:tcBorders>
          </w:tcPr>
          <w:p>
            <w:pPr>
              <w:spacing w:after="0"/>
              <w:rPr>
                <w:sz w:val="11"/>
                <w:szCs w:val="11"/>
                <w:color w:val="auto"/>
              </w:rPr>
            </w:pPr>
          </w:p>
        </w:tc>
        <w:tc>
          <w:tcPr>
            <w:tcW w:w="2640" w:type="dxa"/>
            <w:vAlign w:val="bottom"/>
            <w:gridSpan w:val="2"/>
          </w:tcPr>
          <w:p>
            <w:pPr>
              <w:spacing w:after="0"/>
              <w:rPr>
                <w:sz w:val="20"/>
                <w:szCs w:val="20"/>
                <w:color w:val="auto"/>
              </w:rPr>
            </w:pPr>
            <w:r>
              <w:rPr>
                <w:rFonts w:ascii="Calibri" w:cs="Calibri" w:eastAsia="Calibri" w:hAnsi="Calibri"/>
                <w:sz w:val="10"/>
                <w:szCs w:val="10"/>
                <w:color w:val="auto"/>
              </w:rPr>
              <w:t>Translaton result</w:t>
            </w:r>
          </w:p>
        </w:tc>
        <w:tc>
          <w:tcPr>
            <w:tcW w:w="260" w:type="dxa"/>
            <w:vAlign w:val="bottom"/>
            <w:tcBorders>
              <w:right w:val="single" w:sz="8" w:color="auto"/>
            </w:tcBorders>
          </w:tcPr>
          <w:p>
            <w:pPr>
              <w:spacing w:after="0"/>
              <w:rPr>
                <w:sz w:val="11"/>
                <w:szCs w:val="11"/>
                <w:color w:val="auto"/>
              </w:rPr>
            </w:pPr>
          </w:p>
        </w:tc>
        <w:tc>
          <w:tcPr>
            <w:tcW w:w="820" w:type="dxa"/>
            <w:vAlign w:val="bottom"/>
          </w:tcPr>
          <w:p>
            <w:pPr>
              <w:jc w:val="center"/>
              <w:ind w:left="108"/>
              <w:spacing w:after="0"/>
              <w:rPr>
                <w:sz w:val="20"/>
                <w:szCs w:val="20"/>
                <w:color w:val="auto"/>
              </w:rPr>
            </w:pPr>
            <w:r>
              <w:rPr>
                <w:rFonts w:ascii="Calibri" w:cs="Calibri" w:eastAsia="Calibri" w:hAnsi="Calibri"/>
                <w:sz w:val="10"/>
                <w:szCs w:val="10"/>
                <w:color w:val="auto"/>
              </w:rPr>
              <w:t>(454)</w:t>
            </w:r>
          </w:p>
        </w:tc>
        <w:tc>
          <w:tcPr>
            <w:tcW w:w="900" w:type="dxa"/>
            <w:vAlign w:val="bottom"/>
          </w:tcPr>
          <w:p>
            <w:pPr>
              <w:jc w:val="center"/>
              <w:ind w:left="505"/>
              <w:spacing w:after="0"/>
              <w:rPr>
                <w:sz w:val="20"/>
                <w:szCs w:val="20"/>
                <w:color w:val="auto"/>
              </w:rPr>
            </w:pPr>
            <w:r>
              <w:rPr>
                <w:rFonts w:ascii="Calibri" w:cs="Calibri" w:eastAsia="Calibri" w:hAnsi="Calibri"/>
                <w:sz w:val="10"/>
                <w:szCs w:val="10"/>
                <w:color w:val="auto"/>
              </w:rPr>
              <w:t>(337)</w:t>
            </w:r>
          </w:p>
        </w:tc>
        <w:tc>
          <w:tcPr>
            <w:tcW w:w="180" w:type="dxa"/>
            <w:vAlign w:val="bottom"/>
          </w:tcPr>
          <w:p>
            <w:pPr>
              <w:spacing w:after="0"/>
              <w:rPr>
                <w:sz w:val="11"/>
                <w:szCs w:val="11"/>
                <w:color w:val="auto"/>
              </w:rPr>
            </w:pPr>
          </w:p>
        </w:tc>
        <w:tc>
          <w:tcPr>
            <w:tcW w:w="940" w:type="dxa"/>
            <w:vAlign w:val="bottom"/>
          </w:tcPr>
          <w:p>
            <w:pPr>
              <w:jc w:val="center"/>
              <w:ind w:left="501"/>
              <w:spacing w:after="0"/>
              <w:rPr>
                <w:sz w:val="20"/>
                <w:szCs w:val="20"/>
                <w:color w:val="auto"/>
              </w:rPr>
            </w:pPr>
            <w:r>
              <w:rPr>
                <w:rFonts w:ascii="Calibri" w:cs="Calibri" w:eastAsia="Calibri" w:hAnsi="Calibri"/>
                <w:sz w:val="10"/>
                <w:szCs w:val="10"/>
                <w:color w:val="auto"/>
              </w:rPr>
              <w:t>(466)</w:t>
            </w:r>
          </w:p>
        </w:tc>
        <w:tc>
          <w:tcPr>
            <w:tcW w:w="2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720" w:type="dxa"/>
            <w:vAlign w:val="bottom"/>
          </w:tcPr>
          <w:p>
            <w:pPr>
              <w:jc w:val="center"/>
              <w:spacing w:after="0"/>
              <w:rPr>
                <w:sz w:val="20"/>
                <w:szCs w:val="20"/>
                <w:color w:val="auto"/>
              </w:rPr>
            </w:pPr>
            <w:r>
              <w:rPr>
                <w:rFonts w:ascii="Calibri" w:cs="Calibri" w:eastAsia="Calibri" w:hAnsi="Calibri"/>
                <w:sz w:val="10"/>
                <w:szCs w:val="10"/>
                <w:color w:val="auto"/>
              </w:rPr>
              <w:t>38.3%</w:t>
            </w:r>
          </w:p>
        </w:tc>
        <w:tc>
          <w:tcPr>
            <w:tcW w:w="680" w:type="dxa"/>
            <w:vAlign w:val="bottom"/>
          </w:tcPr>
          <w:p>
            <w:pPr>
              <w:jc w:val="center"/>
              <w:ind w:left="46"/>
              <w:spacing w:after="0"/>
              <w:rPr>
                <w:sz w:val="20"/>
                <w:szCs w:val="20"/>
                <w:color w:val="auto"/>
              </w:rPr>
            </w:pPr>
            <w:r>
              <w:rPr>
                <w:rFonts w:ascii="Calibri" w:cs="Calibri" w:eastAsia="Calibri" w:hAnsi="Calibri"/>
                <w:sz w:val="10"/>
                <w:szCs w:val="10"/>
                <w:color w:val="auto"/>
              </w:rPr>
              <w:t>2.6%</w:t>
            </w:r>
          </w:p>
        </w:tc>
        <w:tc>
          <w:tcPr>
            <w:tcW w:w="120" w:type="dxa"/>
            <w:vAlign w:val="bottom"/>
            <w:tcBorders>
              <w:right w:val="single" w:sz="8" w:color="auto"/>
            </w:tcBorders>
          </w:tcPr>
          <w:p>
            <w:pPr>
              <w:spacing w:after="0"/>
              <w:rPr>
                <w:sz w:val="11"/>
                <w:szCs w:val="11"/>
                <w:color w:val="auto"/>
              </w:rPr>
            </w:pPr>
          </w:p>
        </w:tc>
        <w:tc>
          <w:tcPr>
            <w:tcW w:w="560" w:type="dxa"/>
            <w:vAlign w:val="bottom"/>
          </w:tcPr>
          <w:p>
            <w:pPr>
              <w:jc w:val="center"/>
              <w:ind w:left="126"/>
              <w:spacing w:after="0"/>
              <w:rPr>
                <w:sz w:val="20"/>
                <w:szCs w:val="20"/>
                <w:color w:val="auto"/>
              </w:rPr>
            </w:pPr>
            <w:r>
              <w:rPr>
                <w:rFonts w:ascii="Calibri" w:cs="Calibri" w:eastAsia="Calibri" w:hAnsi="Calibri"/>
                <w:sz w:val="10"/>
                <w:szCs w:val="10"/>
                <w:color w:val="auto"/>
              </w:rPr>
              <w:t>(3,813)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0"/>
                <w:szCs w:val="10"/>
                <w:color w:val="auto"/>
              </w:rPr>
              <w:t>(1,860)</w:t>
            </w:r>
          </w:p>
        </w:tc>
        <w:tc>
          <w:tcPr>
            <w:tcW w:w="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color w:val="auto"/>
              </w:rPr>
              <w:t>-</w:t>
            </w:r>
            <w:r>
              <w:rPr>
                <w:rFonts w:ascii="Calibri" w:cs="Calibri" w:eastAsia="Calibri" w:hAnsi="Calibri"/>
                <w:sz w:val="10"/>
                <w:szCs w:val="10"/>
                <w:color w:val="auto"/>
              </w:rPr>
              <w:t>51.2%</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0" w:type="dxa"/>
            <w:vAlign w:val="bottom"/>
            <w:tcBorders>
              <w:right w:val="single" w:sz="8" w:color="auto"/>
            </w:tcBorders>
          </w:tcPr>
          <w:p>
            <w:pPr>
              <w:spacing w:after="0"/>
              <w:rPr>
                <w:sz w:val="10"/>
                <w:szCs w:val="10"/>
                <w:color w:val="auto"/>
              </w:rPr>
            </w:pPr>
          </w:p>
        </w:tc>
        <w:tc>
          <w:tcPr>
            <w:tcW w:w="2640" w:type="dxa"/>
            <w:vAlign w:val="bottom"/>
            <w:gridSpan w:val="2"/>
          </w:tcPr>
          <w:p>
            <w:pPr>
              <w:spacing w:after="0"/>
              <w:rPr>
                <w:sz w:val="20"/>
                <w:szCs w:val="20"/>
                <w:color w:val="auto"/>
              </w:rPr>
            </w:pPr>
            <w:r>
              <w:rPr>
                <w:rFonts w:ascii="Calibri" w:cs="Calibri" w:eastAsia="Calibri" w:hAnsi="Calibri"/>
                <w:sz w:val="10"/>
                <w:szCs w:val="10"/>
                <w:color w:val="auto"/>
              </w:rPr>
              <w:t>Income taxes</w:t>
            </w:r>
          </w:p>
        </w:tc>
        <w:tc>
          <w:tcPr>
            <w:tcW w:w="260" w:type="dxa"/>
            <w:vAlign w:val="bottom"/>
            <w:tcBorders>
              <w:right w:val="single" w:sz="8" w:color="auto"/>
            </w:tcBorders>
          </w:tcPr>
          <w:p>
            <w:pPr>
              <w:spacing w:after="0"/>
              <w:rPr>
                <w:sz w:val="10"/>
                <w:szCs w:val="10"/>
                <w:color w:val="auto"/>
              </w:rPr>
            </w:pPr>
          </w:p>
        </w:tc>
        <w:tc>
          <w:tcPr>
            <w:tcW w:w="820" w:type="dxa"/>
            <w:vAlign w:val="bottom"/>
          </w:tcPr>
          <w:p>
            <w:pPr>
              <w:jc w:val="center"/>
              <w:ind w:left="108"/>
              <w:spacing w:after="0"/>
              <w:rPr>
                <w:sz w:val="20"/>
                <w:szCs w:val="20"/>
                <w:color w:val="auto"/>
              </w:rPr>
            </w:pPr>
            <w:r>
              <w:rPr>
                <w:rFonts w:ascii="Calibri" w:cs="Calibri" w:eastAsia="Calibri" w:hAnsi="Calibri"/>
                <w:sz w:val="10"/>
                <w:szCs w:val="10"/>
                <w:color w:val="auto"/>
              </w:rPr>
              <w:t>(6,670)</w:t>
            </w:r>
          </w:p>
        </w:tc>
        <w:tc>
          <w:tcPr>
            <w:tcW w:w="1080" w:type="dxa"/>
            <w:vAlign w:val="bottom"/>
            <w:gridSpan w:val="2"/>
          </w:tcPr>
          <w:p>
            <w:pPr>
              <w:jc w:val="center"/>
              <w:ind w:left="345"/>
              <w:spacing w:after="0"/>
              <w:rPr>
                <w:sz w:val="20"/>
                <w:szCs w:val="20"/>
                <w:color w:val="auto"/>
              </w:rPr>
            </w:pPr>
            <w:r>
              <w:rPr>
                <w:rFonts w:ascii="Calibri" w:cs="Calibri" w:eastAsia="Calibri" w:hAnsi="Calibri"/>
                <w:sz w:val="10"/>
                <w:szCs w:val="10"/>
                <w:color w:val="auto"/>
              </w:rPr>
              <w:t>(15,890)</w:t>
            </w:r>
          </w:p>
        </w:tc>
        <w:tc>
          <w:tcPr>
            <w:tcW w:w="1180" w:type="dxa"/>
            <w:vAlign w:val="bottom"/>
            <w:gridSpan w:val="2"/>
          </w:tcPr>
          <w:p>
            <w:pPr>
              <w:jc w:val="center"/>
              <w:ind w:left="281"/>
              <w:spacing w:after="0"/>
              <w:rPr>
                <w:sz w:val="20"/>
                <w:szCs w:val="20"/>
                <w:color w:val="auto"/>
              </w:rPr>
            </w:pPr>
            <w:r>
              <w:rPr>
                <w:rFonts w:ascii="Calibri" w:cs="Calibri" w:eastAsia="Calibri" w:hAnsi="Calibri"/>
                <w:sz w:val="10"/>
                <w:szCs w:val="10"/>
                <w:color w:val="auto"/>
              </w:rPr>
              <w:t>(36,098)</w:t>
            </w:r>
          </w:p>
        </w:tc>
        <w:tc>
          <w:tcPr>
            <w:tcW w:w="160" w:type="dxa"/>
            <w:vAlign w:val="bottom"/>
            <w:tcBorders>
              <w:right w:val="single" w:sz="8" w:color="auto"/>
            </w:tcBorders>
          </w:tcPr>
          <w:p>
            <w:pPr>
              <w:spacing w:after="0"/>
              <w:rPr>
                <w:sz w:val="10"/>
                <w:szCs w:val="10"/>
                <w:color w:val="auto"/>
              </w:rPr>
            </w:pPr>
          </w:p>
        </w:tc>
        <w:tc>
          <w:tcPr>
            <w:tcW w:w="720" w:type="dxa"/>
            <w:vAlign w:val="bottom"/>
          </w:tcPr>
          <w:p>
            <w:pPr>
              <w:jc w:val="center"/>
              <w:spacing w:after="0"/>
              <w:rPr>
                <w:sz w:val="20"/>
                <w:szCs w:val="20"/>
                <w:color w:val="auto"/>
              </w:rPr>
            </w:pPr>
            <w:r>
              <w:rPr>
                <w:rFonts w:ascii="Calibri" w:cs="Calibri" w:eastAsia="Calibri" w:hAnsi="Calibri"/>
                <w:sz w:val="10"/>
                <w:szCs w:val="10"/>
                <w:color w:val="auto"/>
              </w:rPr>
              <w:t>127.2%</w:t>
            </w:r>
          </w:p>
        </w:tc>
        <w:tc>
          <w:tcPr>
            <w:tcW w:w="680" w:type="dxa"/>
            <w:vAlign w:val="bottom"/>
          </w:tcPr>
          <w:p>
            <w:pPr>
              <w:jc w:val="center"/>
              <w:ind w:left="46"/>
              <w:spacing w:after="0"/>
              <w:rPr>
                <w:sz w:val="20"/>
                <w:szCs w:val="20"/>
                <w:color w:val="auto"/>
              </w:rPr>
            </w:pPr>
            <w:r>
              <w:rPr>
                <w:rFonts w:ascii="Calibri" w:cs="Calibri" w:eastAsia="Calibri" w:hAnsi="Calibri"/>
                <w:sz w:val="10"/>
                <w:szCs w:val="10"/>
                <w:color w:val="auto"/>
              </w:rPr>
              <w:t>441.2%</w:t>
            </w:r>
          </w:p>
        </w:tc>
        <w:tc>
          <w:tcPr>
            <w:tcW w:w="120" w:type="dxa"/>
            <w:vAlign w:val="bottom"/>
            <w:tcBorders>
              <w:right w:val="single" w:sz="8" w:color="auto"/>
            </w:tcBorders>
          </w:tcPr>
          <w:p>
            <w:pPr>
              <w:spacing w:after="0"/>
              <w:rPr>
                <w:sz w:val="10"/>
                <w:szCs w:val="10"/>
                <w:color w:val="auto"/>
              </w:rPr>
            </w:pPr>
          </w:p>
        </w:tc>
        <w:tc>
          <w:tcPr>
            <w:tcW w:w="560" w:type="dxa"/>
            <w:vAlign w:val="bottom"/>
          </w:tcPr>
          <w:p>
            <w:pPr>
              <w:ind w:left="200"/>
              <w:spacing w:after="0"/>
              <w:rPr>
                <w:sz w:val="20"/>
                <w:szCs w:val="20"/>
                <w:color w:val="auto"/>
              </w:rPr>
            </w:pPr>
            <w:r>
              <w:rPr>
                <w:rFonts w:ascii="Calibri" w:cs="Calibri" w:eastAsia="Calibri" w:hAnsi="Calibri"/>
                <w:sz w:val="10"/>
                <w:szCs w:val="10"/>
                <w:color w:val="auto"/>
              </w:rPr>
              <w:t>(46,892)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spacing w:after="0"/>
              <w:rPr>
                <w:sz w:val="20"/>
                <w:szCs w:val="20"/>
                <w:color w:val="auto"/>
              </w:rPr>
            </w:pPr>
            <w:r>
              <w:rPr>
                <w:rFonts w:ascii="Calibri" w:cs="Calibri" w:eastAsia="Calibri" w:hAnsi="Calibri"/>
                <w:sz w:val="10"/>
                <w:szCs w:val="10"/>
                <w:color w:val="auto"/>
              </w:rPr>
              <w:t>(85,782)</w:t>
            </w:r>
          </w:p>
        </w:tc>
        <w:tc>
          <w:tcPr>
            <w:tcW w:w="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Borders>
              <w:right w:val="single" w:sz="8" w:color="auto"/>
            </w:tcBorders>
          </w:tcPr>
          <w:p>
            <w:pPr>
              <w:jc w:val="center"/>
              <w:ind w:right="20"/>
              <w:spacing w:after="0"/>
              <w:rPr>
                <w:sz w:val="20"/>
                <w:szCs w:val="20"/>
                <w:color w:val="auto"/>
              </w:rPr>
            </w:pPr>
            <w:r>
              <w:rPr>
                <w:rFonts w:ascii="Calibri" w:cs="Calibri" w:eastAsia="Calibri" w:hAnsi="Calibri"/>
                <w:sz w:val="10"/>
                <w:szCs w:val="10"/>
                <w:color w:val="auto"/>
              </w:rPr>
              <w:t>82.9%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20" w:type="dxa"/>
            <w:vAlign w:val="bottom"/>
            <w:tcBorders>
              <w:right w:val="single" w:sz="8" w:color="auto"/>
            </w:tcBorders>
          </w:tcPr>
          <w:p>
            <w:pPr>
              <w:spacing w:after="0"/>
              <w:rPr>
                <w:sz w:val="11"/>
                <w:szCs w:val="11"/>
                <w:color w:val="auto"/>
              </w:rPr>
            </w:pPr>
          </w:p>
        </w:tc>
        <w:tc>
          <w:tcPr>
            <w:tcW w:w="2640" w:type="dxa"/>
            <w:vAlign w:val="bottom"/>
            <w:tcBorders>
              <w:bottom w:val="single" w:sz="8" w:color="auto"/>
            </w:tcBorders>
            <w:gridSpan w:val="2"/>
          </w:tcPr>
          <w:p>
            <w:pPr>
              <w:spacing w:after="0"/>
              <w:rPr>
                <w:sz w:val="20"/>
                <w:szCs w:val="20"/>
                <w:color w:val="auto"/>
              </w:rPr>
            </w:pPr>
            <w:r>
              <w:rPr>
                <w:rFonts w:ascii="Calibri" w:cs="Calibri" w:eastAsia="Calibri" w:hAnsi="Calibri"/>
                <w:sz w:val="10"/>
                <w:szCs w:val="10"/>
                <w:b w:val="1"/>
                <w:bCs w:val="1"/>
                <w:color w:val="auto"/>
              </w:rPr>
              <w:t>Net income</w:t>
            </w:r>
          </w:p>
        </w:tc>
        <w:tc>
          <w:tcPr>
            <w:tcW w:w="26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jc w:val="center"/>
              <w:ind w:left="108"/>
              <w:spacing w:after="0"/>
              <w:rPr>
                <w:sz w:val="20"/>
                <w:szCs w:val="20"/>
                <w:color w:val="auto"/>
              </w:rPr>
            </w:pPr>
            <w:r>
              <w:rPr>
                <w:rFonts w:ascii="Calibri" w:cs="Calibri" w:eastAsia="Calibri" w:hAnsi="Calibri"/>
                <w:sz w:val="10"/>
                <w:szCs w:val="10"/>
                <w:b w:val="1"/>
                <w:bCs w:val="1"/>
                <w:color w:val="auto"/>
              </w:rPr>
              <w:t>53,894</w:t>
            </w:r>
          </w:p>
        </w:tc>
        <w:tc>
          <w:tcPr>
            <w:tcW w:w="900" w:type="dxa"/>
            <w:vAlign w:val="bottom"/>
            <w:tcBorders>
              <w:bottom w:val="single" w:sz="8" w:color="auto"/>
            </w:tcBorders>
          </w:tcPr>
          <w:p>
            <w:pPr>
              <w:jc w:val="center"/>
              <w:ind w:left="525"/>
              <w:spacing w:after="0"/>
              <w:rPr>
                <w:sz w:val="20"/>
                <w:szCs w:val="20"/>
                <w:color w:val="auto"/>
              </w:rPr>
            </w:pPr>
            <w:r>
              <w:rPr>
                <w:rFonts w:ascii="Calibri" w:cs="Calibri" w:eastAsia="Calibri" w:hAnsi="Calibri"/>
                <w:sz w:val="10"/>
                <w:szCs w:val="10"/>
                <w:b w:val="1"/>
                <w:bCs w:val="1"/>
                <w:color w:val="auto"/>
              </w:rPr>
              <w:t>63,824</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left="501"/>
              <w:spacing w:after="0"/>
              <w:rPr>
                <w:sz w:val="20"/>
                <w:szCs w:val="20"/>
                <w:color w:val="auto"/>
              </w:rPr>
            </w:pPr>
            <w:r>
              <w:rPr>
                <w:rFonts w:ascii="Calibri" w:cs="Calibri" w:eastAsia="Calibri" w:hAnsi="Calibri"/>
                <w:sz w:val="10"/>
                <w:szCs w:val="10"/>
                <w:b w:val="1"/>
                <w:bCs w:val="1"/>
                <w:color w:val="auto"/>
              </w:rPr>
              <w:t>116,989</w:t>
            </w: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Calibri" w:cs="Calibri" w:eastAsia="Calibri" w:hAnsi="Calibri"/>
                <w:sz w:val="10"/>
                <w:szCs w:val="10"/>
                <w:b w:val="1"/>
                <w:bCs w:val="1"/>
                <w:color w:val="auto"/>
              </w:rPr>
              <w:t>83.3%</w:t>
            </w:r>
          </w:p>
        </w:tc>
        <w:tc>
          <w:tcPr>
            <w:tcW w:w="680" w:type="dxa"/>
            <w:vAlign w:val="bottom"/>
            <w:tcBorders>
              <w:bottom w:val="single" w:sz="8" w:color="auto"/>
            </w:tcBorders>
          </w:tcPr>
          <w:p>
            <w:pPr>
              <w:jc w:val="center"/>
              <w:ind w:left="66"/>
              <w:spacing w:after="0"/>
              <w:rPr>
                <w:sz w:val="20"/>
                <w:szCs w:val="20"/>
                <w:color w:val="auto"/>
              </w:rPr>
            </w:pPr>
            <w:r>
              <w:rPr>
                <w:rFonts w:ascii="Calibri" w:cs="Calibri" w:eastAsia="Calibri" w:hAnsi="Calibri"/>
                <w:sz w:val="10"/>
                <w:szCs w:val="10"/>
                <w:b w:val="1"/>
                <w:bCs w:val="1"/>
                <w:color w:val="auto"/>
              </w:rPr>
              <w:t>117.1%</w:t>
            </w:r>
          </w:p>
        </w:tc>
        <w:tc>
          <w:tcPr>
            <w:tcW w:w="12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jc w:val="center"/>
              <w:ind w:left="126"/>
              <w:spacing w:after="0"/>
              <w:rPr>
                <w:sz w:val="20"/>
                <w:szCs w:val="20"/>
                <w:color w:val="auto"/>
              </w:rPr>
            </w:pPr>
            <w:r>
              <w:rPr>
                <w:rFonts w:ascii="Calibri" w:cs="Calibri" w:eastAsia="Calibri" w:hAnsi="Calibri"/>
                <w:sz w:val="10"/>
                <w:szCs w:val="10"/>
                <w:b w:val="1"/>
                <w:bCs w:val="1"/>
                <w:color w:val="auto"/>
              </w:rPr>
              <w:t>203,775</w:t>
            </w: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0"/>
                <w:szCs w:val="10"/>
                <w:b w:val="1"/>
                <w:bCs w:val="1"/>
                <w:color w:val="auto"/>
              </w:rPr>
              <w:t>309,100</w:t>
            </w:r>
          </w:p>
        </w:tc>
        <w:tc>
          <w:tcPr>
            <w:tcW w:w="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jc w:val="center"/>
              <w:ind w:right="20"/>
              <w:spacing w:after="0"/>
              <w:rPr>
                <w:sz w:val="20"/>
                <w:szCs w:val="20"/>
                <w:color w:val="auto"/>
              </w:rPr>
            </w:pPr>
            <w:r>
              <w:rPr>
                <w:rFonts w:ascii="Calibri" w:cs="Calibri" w:eastAsia="Calibri" w:hAnsi="Calibri"/>
                <w:sz w:val="10"/>
                <w:szCs w:val="10"/>
                <w:b w:val="1"/>
                <w:bCs w:val="1"/>
                <w:color w:val="auto"/>
              </w:rPr>
              <w:t>51.7%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3"/>
        </w:trPr>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40" w:type="dxa"/>
            <w:vAlign w:val="bottom"/>
            <w:gridSpan w:val="6"/>
          </w:tcPr>
          <w:p>
            <w:pPr>
              <w:jc w:val="center"/>
              <w:spacing w:after="0"/>
              <w:rPr>
                <w:sz w:val="20"/>
                <w:szCs w:val="20"/>
                <w:color w:val="auto"/>
              </w:rPr>
            </w:pPr>
            <w:r>
              <w:rPr>
                <w:rFonts w:ascii="Calibri" w:cs="Calibri" w:eastAsia="Calibri" w:hAnsi="Calibri"/>
                <w:sz w:val="16"/>
                <w:szCs w:val="16"/>
                <w:b w:val="1"/>
                <w:bCs w:val="1"/>
                <w:color w:val="auto"/>
                <w:w w:val="97"/>
              </w:rPr>
              <w:t>Selected Financial Indicators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0" w:type="dxa"/>
            <w:vAlign w:val="bottom"/>
            <w:tcBorders>
              <w:right w:val="single" w:sz="8" w:color="auto"/>
            </w:tcBorders>
          </w:tcPr>
          <w:p>
            <w:pPr>
              <w:spacing w:after="0"/>
              <w:rPr>
                <w:sz w:val="15"/>
                <w:szCs w:val="15"/>
                <w:color w:val="auto"/>
              </w:rPr>
            </w:pPr>
          </w:p>
        </w:tc>
        <w:tc>
          <w:tcPr>
            <w:tcW w:w="2360" w:type="dxa"/>
            <w:vAlign w:val="bottom"/>
            <w:tcBorders>
              <w:top w:val="single" w:sz="8" w:color="auto"/>
              <w:bottom w:val="single" w:sz="8" w:color="2AD2C8"/>
              <w:right w:val="single" w:sz="8" w:color="auto"/>
            </w:tcBorders>
            <w:shd w:val="clear" w:color="auto" w:fill="2AD2C8"/>
          </w:tcPr>
          <w:p>
            <w:pPr>
              <w:spacing w:after="0"/>
              <w:rPr>
                <w:sz w:val="15"/>
                <w:szCs w:val="15"/>
                <w:color w:val="auto"/>
              </w:rPr>
            </w:pPr>
          </w:p>
        </w:tc>
        <w:tc>
          <w:tcPr>
            <w:tcW w:w="280" w:type="dxa"/>
            <w:vAlign w:val="bottom"/>
            <w:tcBorders>
              <w:top w:val="single" w:sz="8" w:color="auto"/>
              <w:bottom w:val="single" w:sz="8" w:color="2AD2C8"/>
            </w:tcBorders>
            <w:shd w:val="clear" w:color="auto" w:fill="2AD2C8"/>
          </w:tcPr>
          <w:p>
            <w:pPr>
              <w:spacing w:after="0"/>
              <w:rPr>
                <w:sz w:val="15"/>
                <w:szCs w:val="15"/>
                <w:color w:val="auto"/>
              </w:rPr>
            </w:pPr>
          </w:p>
        </w:tc>
        <w:tc>
          <w:tcPr>
            <w:tcW w:w="260" w:type="dxa"/>
            <w:vAlign w:val="bottom"/>
            <w:tcBorders>
              <w:top w:val="single" w:sz="8" w:color="auto"/>
              <w:bottom w:val="single" w:sz="8" w:color="2AD2C8"/>
              <w:right w:val="single" w:sz="8" w:color="2AD2C8"/>
            </w:tcBorders>
            <w:shd w:val="clear" w:color="auto" w:fill="2AD2C8"/>
          </w:tcPr>
          <w:p>
            <w:pPr>
              <w:spacing w:after="0"/>
              <w:rPr>
                <w:sz w:val="15"/>
                <w:szCs w:val="15"/>
                <w:color w:val="auto"/>
              </w:rPr>
            </w:pPr>
          </w:p>
        </w:tc>
        <w:tc>
          <w:tcPr>
            <w:tcW w:w="820" w:type="dxa"/>
            <w:vAlign w:val="bottom"/>
            <w:tcBorders>
              <w:top w:val="single" w:sz="8" w:color="auto"/>
              <w:bottom w:val="single" w:sz="8" w:color="2AD2C8"/>
            </w:tcBorders>
            <w:shd w:val="clear" w:color="auto" w:fill="2AD2C8"/>
          </w:tcPr>
          <w:p>
            <w:pPr>
              <w:spacing w:after="0"/>
              <w:rPr>
                <w:sz w:val="15"/>
                <w:szCs w:val="15"/>
                <w:color w:val="auto"/>
              </w:rPr>
            </w:pPr>
          </w:p>
        </w:tc>
        <w:tc>
          <w:tcPr>
            <w:tcW w:w="1080" w:type="dxa"/>
            <w:vAlign w:val="bottom"/>
            <w:tcBorders>
              <w:top w:val="single" w:sz="8" w:color="auto"/>
              <w:bottom w:val="single" w:sz="8" w:color="2AD2C8"/>
            </w:tcBorders>
            <w:gridSpan w:val="2"/>
            <w:shd w:val="clear" w:color="auto" w:fill="2AD2C8"/>
          </w:tcPr>
          <w:p>
            <w:pPr>
              <w:ind w:left="120"/>
              <w:spacing w:after="0"/>
              <w:rPr>
                <w:sz w:val="20"/>
                <w:szCs w:val="20"/>
                <w:color w:val="auto"/>
              </w:rPr>
            </w:pPr>
            <w:r>
              <w:rPr>
                <w:rFonts w:ascii="Calibri" w:cs="Calibri" w:eastAsia="Calibri" w:hAnsi="Calibri"/>
                <w:sz w:val="10"/>
                <w:szCs w:val="10"/>
                <w:b w:val="1"/>
                <w:bCs w:val="1"/>
                <w:color w:val="FFFFFF"/>
              </w:rPr>
              <w:t>Quarter</w:t>
            </w:r>
          </w:p>
        </w:tc>
        <w:tc>
          <w:tcPr>
            <w:tcW w:w="940" w:type="dxa"/>
            <w:vAlign w:val="bottom"/>
            <w:tcBorders>
              <w:top w:val="single" w:sz="8" w:color="auto"/>
              <w:bottom w:val="single" w:sz="8" w:color="2AD2C8"/>
              <w:right w:val="single" w:sz="8" w:color="auto"/>
            </w:tcBorders>
            <w:shd w:val="clear" w:color="auto" w:fill="2AD2C8"/>
          </w:tcPr>
          <w:p>
            <w:pPr>
              <w:spacing w:after="0"/>
              <w:rPr>
                <w:sz w:val="15"/>
                <w:szCs w:val="15"/>
                <w:color w:val="auto"/>
              </w:rPr>
            </w:pPr>
          </w:p>
        </w:tc>
        <w:tc>
          <w:tcPr>
            <w:tcW w:w="240" w:type="dxa"/>
            <w:vAlign w:val="bottom"/>
            <w:tcBorders>
              <w:top w:val="single" w:sz="8" w:color="auto"/>
              <w:bottom w:val="single" w:sz="8" w:color="2AD2C8"/>
            </w:tcBorders>
            <w:shd w:val="clear" w:color="auto" w:fill="2AD2C8"/>
          </w:tcPr>
          <w:p>
            <w:pPr>
              <w:spacing w:after="0"/>
              <w:rPr>
                <w:sz w:val="15"/>
                <w:szCs w:val="15"/>
                <w:color w:val="auto"/>
              </w:rPr>
            </w:pPr>
          </w:p>
        </w:tc>
        <w:tc>
          <w:tcPr>
            <w:tcW w:w="160" w:type="dxa"/>
            <w:vAlign w:val="bottom"/>
            <w:tcBorders>
              <w:top w:val="single" w:sz="8" w:color="auto"/>
              <w:bottom w:val="single" w:sz="8" w:color="2AD2C8"/>
              <w:right w:val="single" w:sz="8" w:color="2AD2C8"/>
            </w:tcBorders>
            <w:shd w:val="clear" w:color="auto" w:fill="2AD2C8"/>
          </w:tcPr>
          <w:p>
            <w:pPr>
              <w:spacing w:after="0"/>
              <w:rPr>
                <w:sz w:val="15"/>
                <w:szCs w:val="15"/>
                <w:color w:val="auto"/>
              </w:rPr>
            </w:pPr>
          </w:p>
        </w:tc>
        <w:tc>
          <w:tcPr>
            <w:tcW w:w="720" w:type="dxa"/>
            <w:vAlign w:val="bottom"/>
            <w:tcBorders>
              <w:top w:val="single" w:sz="8" w:color="auto"/>
              <w:bottom w:val="single" w:sz="8" w:color="2AD2C8"/>
            </w:tcBorders>
            <w:shd w:val="clear" w:color="auto" w:fill="2AD2C8"/>
          </w:tcPr>
          <w:p>
            <w:pPr>
              <w:ind w:left="280"/>
              <w:spacing w:after="0"/>
              <w:rPr>
                <w:sz w:val="20"/>
                <w:szCs w:val="20"/>
                <w:color w:val="auto"/>
              </w:rPr>
            </w:pPr>
            <w:r>
              <w:rPr>
                <w:rFonts w:ascii="Calibri" w:cs="Calibri" w:eastAsia="Calibri" w:hAnsi="Calibri"/>
                <w:sz w:val="10"/>
                <w:szCs w:val="10"/>
                <w:b w:val="1"/>
                <w:bCs w:val="1"/>
                <w:color w:val="FFFFFF"/>
              </w:rPr>
              <w:t>% change</w:t>
            </w:r>
          </w:p>
        </w:tc>
        <w:tc>
          <w:tcPr>
            <w:tcW w:w="680" w:type="dxa"/>
            <w:vAlign w:val="bottom"/>
            <w:tcBorders>
              <w:top w:val="single" w:sz="8" w:color="auto"/>
              <w:bottom w:val="single" w:sz="8" w:color="2AD2C8"/>
              <w:right w:val="single" w:sz="8" w:color="auto"/>
            </w:tcBorders>
            <w:shd w:val="clear" w:color="auto" w:fill="2AD2C8"/>
          </w:tcPr>
          <w:p>
            <w:pPr>
              <w:spacing w:after="0"/>
              <w:rPr>
                <w:sz w:val="15"/>
                <w:szCs w:val="15"/>
                <w:color w:val="auto"/>
              </w:rPr>
            </w:pPr>
          </w:p>
        </w:tc>
        <w:tc>
          <w:tcPr>
            <w:tcW w:w="120" w:type="dxa"/>
            <w:vAlign w:val="bottom"/>
            <w:tcBorders>
              <w:top w:val="single" w:sz="8" w:color="auto"/>
              <w:bottom w:val="single" w:sz="8" w:color="2AD2C8"/>
              <w:right w:val="single" w:sz="8" w:color="2AD2C8"/>
            </w:tcBorders>
            <w:shd w:val="clear" w:color="auto" w:fill="2AD2C8"/>
          </w:tcPr>
          <w:p>
            <w:pPr>
              <w:spacing w:after="0"/>
              <w:rPr>
                <w:sz w:val="15"/>
                <w:szCs w:val="15"/>
                <w:color w:val="auto"/>
              </w:rPr>
            </w:pPr>
          </w:p>
        </w:tc>
        <w:tc>
          <w:tcPr>
            <w:tcW w:w="560" w:type="dxa"/>
            <w:vAlign w:val="bottom"/>
            <w:tcBorders>
              <w:top w:val="single" w:sz="8" w:color="auto"/>
              <w:bottom w:val="single" w:sz="8" w:color="2AD2C8"/>
            </w:tcBorders>
            <w:shd w:val="clear" w:color="auto" w:fill="2AD2C8"/>
          </w:tcPr>
          <w:p>
            <w:pPr>
              <w:spacing w:after="0"/>
              <w:rPr>
                <w:sz w:val="15"/>
                <w:szCs w:val="15"/>
                <w:color w:val="auto"/>
              </w:rPr>
            </w:pPr>
          </w:p>
        </w:tc>
        <w:tc>
          <w:tcPr>
            <w:tcW w:w="80" w:type="dxa"/>
            <w:vAlign w:val="bottom"/>
            <w:tcBorders>
              <w:top w:val="single" w:sz="8" w:color="auto"/>
              <w:bottom w:val="single" w:sz="8" w:color="2AD2C8"/>
            </w:tcBorders>
            <w:shd w:val="clear" w:color="auto" w:fill="2AD2C8"/>
          </w:tcPr>
          <w:p>
            <w:pPr>
              <w:spacing w:after="0"/>
              <w:rPr>
                <w:sz w:val="15"/>
                <w:szCs w:val="15"/>
                <w:color w:val="auto"/>
              </w:rPr>
            </w:pPr>
          </w:p>
        </w:tc>
        <w:tc>
          <w:tcPr>
            <w:tcW w:w="200" w:type="dxa"/>
            <w:vAlign w:val="bottom"/>
            <w:tcBorders>
              <w:top w:val="single" w:sz="8" w:color="auto"/>
              <w:bottom w:val="single" w:sz="8" w:color="2AD2C8"/>
            </w:tcBorders>
            <w:shd w:val="clear" w:color="auto" w:fill="2AD2C8"/>
          </w:tcPr>
          <w:p>
            <w:pPr>
              <w:spacing w:after="0"/>
              <w:rPr>
                <w:sz w:val="15"/>
                <w:szCs w:val="15"/>
                <w:color w:val="auto"/>
              </w:rPr>
            </w:pPr>
          </w:p>
        </w:tc>
        <w:tc>
          <w:tcPr>
            <w:tcW w:w="100" w:type="dxa"/>
            <w:vAlign w:val="bottom"/>
            <w:tcBorders>
              <w:top w:val="single" w:sz="8" w:color="auto"/>
              <w:bottom w:val="single" w:sz="8" w:color="2AD2C8"/>
              <w:right w:val="single" w:sz="8" w:color="2AD2C8"/>
            </w:tcBorders>
            <w:shd w:val="clear" w:color="auto" w:fill="2AD2C8"/>
          </w:tcPr>
          <w:p>
            <w:pPr>
              <w:spacing w:after="0"/>
              <w:rPr>
                <w:sz w:val="15"/>
                <w:szCs w:val="15"/>
                <w:color w:val="auto"/>
              </w:rPr>
            </w:pPr>
          </w:p>
        </w:tc>
        <w:tc>
          <w:tcPr>
            <w:tcW w:w="580" w:type="dxa"/>
            <w:vAlign w:val="bottom"/>
            <w:tcBorders>
              <w:top w:val="single" w:sz="8" w:color="auto"/>
              <w:bottom w:val="single" w:sz="8" w:color="2AD2C8"/>
              <w:right w:val="single" w:sz="8" w:color="auto"/>
            </w:tcBorders>
            <w:shd w:val="clear" w:color="auto" w:fill="2AD2C8"/>
          </w:tcPr>
          <w:p>
            <w:pPr>
              <w:spacing w:after="0"/>
              <w:rPr>
                <w:sz w:val="15"/>
                <w:szCs w:val="15"/>
                <w:color w:val="auto"/>
              </w:rPr>
            </w:pPr>
          </w:p>
        </w:tc>
        <w:tc>
          <w:tcPr>
            <w:tcW w:w="80" w:type="dxa"/>
            <w:vAlign w:val="bottom"/>
            <w:tcBorders>
              <w:top w:val="single" w:sz="8" w:color="auto"/>
              <w:bottom w:val="single" w:sz="8" w:color="2AD2C8"/>
              <w:right w:val="single" w:sz="8" w:color="2AD2C8"/>
            </w:tcBorders>
            <w:shd w:val="clear" w:color="auto" w:fill="2AD2C8"/>
          </w:tcPr>
          <w:p>
            <w:pPr>
              <w:spacing w:after="0"/>
              <w:rPr>
                <w:sz w:val="15"/>
                <w:szCs w:val="15"/>
                <w:color w:val="auto"/>
              </w:rPr>
            </w:pPr>
          </w:p>
        </w:tc>
        <w:tc>
          <w:tcPr>
            <w:tcW w:w="20" w:type="dxa"/>
            <w:vAlign w:val="bottom"/>
            <w:tcBorders>
              <w:top w:val="single" w:sz="8" w:color="auto"/>
              <w:bottom w:val="single" w:sz="8" w:color="2AD2C8"/>
            </w:tcBorders>
            <w:shd w:val="clear" w:color="auto" w:fill="2AD2C8"/>
          </w:tcPr>
          <w:p>
            <w:pPr>
              <w:spacing w:after="0"/>
              <w:rPr>
                <w:sz w:val="15"/>
                <w:szCs w:val="15"/>
                <w:color w:val="auto"/>
              </w:rPr>
            </w:pPr>
          </w:p>
        </w:tc>
        <w:tc>
          <w:tcPr>
            <w:tcW w:w="1380" w:type="dxa"/>
            <w:vAlign w:val="bottom"/>
            <w:tcBorders>
              <w:top w:val="single" w:sz="8" w:color="auto"/>
              <w:bottom w:val="single" w:sz="8" w:color="2AD2C8"/>
              <w:right w:val="single" w:sz="8" w:color="auto"/>
            </w:tcBorders>
            <w:shd w:val="clear" w:color="auto" w:fill="2AD2C8"/>
          </w:tcPr>
          <w:p>
            <w:pPr>
              <w:jc w:val="center"/>
              <w:ind w:right="80"/>
              <w:spacing w:after="0"/>
              <w:rPr>
                <w:sz w:val="20"/>
                <w:szCs w:val="20"/>
                <w:color w:val="auto"/>
              </w:rPr>
            </w:pPr>
            <w:r>
              <w:rPr>
                <w:rFonts w:ascii="Calibri" w:cs="Calibri" w:eastAsia="Calibri" w:hAnsi="Calibri"/>
                <w:sz w:val="10"/>
                <w:szCs w:val="10"/>
                <w:b w:val="1"/>
                <w:bCs w:val="1"/>
                <w:color w:val="FFFFFF"/>
              </w:rPr>
              <w:t>% change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0" w:type="dxa"/>
            <w:vAlign w:val="bottom"/>
            <w:tcBorders>
              <w:right w:val="single" w:sz="8" w:color="auto"/>
            </w:tcBorders>
          </w:tcPr>
          <w:p>
            <w:pPr>
              <w:spacing w:after="0"/>
              <w:rPr>
                <w:sz w:val="15"/>
                <w:szCs w:val="15"/>
                <w:color w:val="auto"/>
              </w:rPr>
            </w:pPr>
          </w:p>
        </w:tc>
        <w:tc>
          <w:tcPr>
            <w:tcW w:w="2360" w:type="dxa"/>
            <w:vAlign w:val="bottom"/>
            <w:tcBorders>
              <w:top w:val="single" w:sz="8" w:color="auto"/>
              <w:bottom w:val="single" w:sz="8" w:color="2AD2C8"/>
              <w:right w:val="single" w:sz="8" w:color="auto"/>
            </w:tcBorders>
            <w:shd w:val="clear" w:color="auto" w:fill="2AD2C8"/>
          </w:tcPr>
          <w:p>
            <w:pPr>
              <w:spacing w:after="0"/>
              <w:rPr>
                <w:sz w:val="15"/>
                <w:szCs w:val="15"/>
                <w:color w:val="auto"/>
              </w:rPr>
            </w:pPr>
          </w:p>
        </w:tc>
        <w:tc>
          <w:tcPr>
            <w:tcW w:w="280" w:type="dxa"/>
            <w:vAlign w:val="bottom"/>
            <w:tcBorders>
              <w:top w:val="single" w:sz="8" w:color="auto"/>
              <w:bottom w:val="single" w:sz="8" w:color="2AD2C8"/>
            </w:tcBorders>
            <w:shd w:val="clear" w:color="auto" w:fill="2AD2C8"/>
          </w:tcPr>
          <w:p>
            <w:pPr>
              <w:spacing w:after="0"/>
              <w:rPr>
                <w:sz w:val="15"/>
                <w:szCs w:val="15"/>
                <w:color w:val="auto"/>
              </w:rPr>
            </w:pPr>
          </w:p>
        </w:tc>
        <w:tc>
          <w:tcPr>
            <w:tcW w:w="1080" w:type="dxa"/>
            <w:vAlign w:val="bottom"/>
            <w:tcBorders>
              <w:top w:val="single" w:sz="8" w:color="auto"/>
              <w:bottom w:val="single" w:sz="8" w:color="2AD2C8"/>
            </w:tcBorders>
            <w:gridSpan w:val="2"/>
            <w:shd w:val="clear" w:color="auto" w:fill="2AD2C8"/>
          </w:tcPr>
          <w:p>
            <w:pPr>
              <w:jc w:val="center"/>
              <w:ind w:right="508"/>
              <w:spacing w:after="0"/>
              <w:rPr>
                <w:sz w:val="20"/>
                <w:szCs w:val="20"/>
                <w:color w:val="auto"/>
              </w:rPr>
            </w:pPr>
            <w:r>
              <w:rPr>
                <w:rFonts w:ascii="Calibri" w:cs="Calibri" w:eastAsia="Calibri" w:hAnsi="Calibri"/>
                <w:sz w:val="10"/>
                <w:szCs w:val="10"/>
                <w:b w:val="1"/>
                <w:bCs w:val="1"/>
                <w:color w:val="FFFFFF"/>
              </w:rPr>
              <w:t>4Q23</w:t>
            </w:r>
          </w:p>
        </w:tc>
        <w:tc>
          <w:tcPr>
            <w:tcW w:w="1080" w:type="dxa"/>
            <w:vAlign w:val="bottom"/>
            <w:tcBorders>
              <w:top w:val="single" w:sz="8" w:color="auto"/>
              <w:bottom w:val="single" w:sz="8" w:color="2AD2C8"/>
            </w:tcBorders>
            <w:gridSpan w:val="2"/>
            <w:shd w:val="clear" w:color="auto" w:fill="2AD2C8"/>
          </w:tcPr>
          <w:p>
            <w:pPr>
              <w:jc w:val="center"/>
              <w:ind w:right="401"/>
              <w:spacing w:after="0"/>
              <w:rPr>
                <w:sz w:val="20"/>
                <w:szCs w:val="20"/>
                <w:color w:val="auto"/>
              </w:rPr>
            </w:pPr>
            <w:r>
              <w:rPr>
                <w:rFonts w:ascii="Calibri" w:cs="Calibri" w:eastAsia="Calibri" w:hAnsi="Calibri"/>
                <w:sz w:val="10"/>
                <w:szCs w:val="10"/>
                <w:b w:val="1"/>
                <w:bCs w:val="1"/>
                <w:color w:val="FFFFFF"/>
              </w:rPr>
              <w:t>3Q24</w:t>
            </w:r>
          </w:p>
        </w:tc>
        <w:tc>
          <w:tcPr>
            <w:tcW w:w="940" w:type="dxa"/>
            <w:vAlign w:val="bottom"/>
            <w:tcBorders>
              <w:top w:val="single" w:sz="8" w:color="auto"/>
              <w:bottom w:val="single" w:sz="8" w:color="2AD2C8"/>
              <w:right w:val="single" w:sz="8" w:color="auto"/>
            </w:tcBorders>
            <w:shd w:val="clear" w:color="auto" w:fill="2AD2C8"/>
          </w:tcPr>
          <w:p>
            <w:pPr>
              <w:jc w:val="center"/>
              <w:ind w:right="181"/>
              <w:spacing w:after="0"/>
              <w:rPr>
                <w:sz w:val="20"/>
                <w:szCs w:val="20"/>
                <w:color w:val="auto"/>
              </w:rPr>
            </w:pPr>
            <w:r>
              <w:rPr>
                <w:rFonts w:ascii="Calibri" w:cs="Calibri" w:eastAsia="Calibri" w:hAnsi="Calibri"/>
                <w:sz w:val="10"/>
                <w:szCs w:val="10"/>
                <w:b w:val="1"/>
                <w:bCs w:val="1"/>
                <w:color w:val="FFFFFF"/>
                <w:w w:val="99"/>
              </w:rPr>
              <w:t>4Q24</w:t>
            </w:r>
          </w:p>
        </w:tc>
        <w:tc>
          <w:tcPr>
            <w:tcW w:w="240" w:type="dxa"/>
            <w:vAlign w:val="bottom"/>
            <w:tcBorders>
              <w:top w:val="single" w:sz="8" w:color="auto"/>
              <w:bottom w:val="single" w:sz="8" w:color="2AD2C8"/>
            </w:tcBorders>
            <w:shd w:val="clear" w:color="auto" w:fill="2AD2C8"/>
          </w:tcPr>
          <w:p>
            <w:pPr>
              <w:spacing w:after="0"/>
              <w:rPr>
                <w:sz w:val="15"/>
                <w:szCs w:val="15"/>
                <w:color w:val="auto"/>
              </w:rPr>
            </w:pPr>
          </w:p>
        </w:tc>
        <w:tc>
          <w:tcPr>
            <w:tcW w:w="880" w:type="dxa"/>
            <w:vAlign w:val="bottom"/>
            <w:tcBorders>
              <w:top w:val="single" w:sz="8" w:color="auto"/>
              <w:bottom w:val="single" w:sz="8" w:color="2AD2C8"/>
            </w:tcBorders>
            <w:gridSpan w:val="2"/>
            <w:shd w:val="clear" w:color="auto" w:fill="2AD2C8"/>
          </w:tcPr>
          <w:p>
            <w:pPr>
              <w:jc w:val="center"/>
              <w:ind w:right="466"/>
              <w:spacing w:after="0"/>
              <w:rPr>
                <w:sz w:val="20"/>
                <w:szCs w:val="20"/>
                <w:color w:val="auto"/>
              </w:rPr>
            </w:pPr>
            <w:r>
              <w:rPr>
                <w:rFonts w:ascii="Calibri" w:cs="Calibri" w:eastAsia="Calibri" w:hAnsi="Calibri"/>
                <w:sz w:val="10"/>
                <w:szCs w:val="10"/>
                <w:b w:val="1"/>
                <w:bCs w:val="1"/>
                <w:color w:val="FFFFFF"/>
              </w:rPr>
              <w:t>QoQ</w:t>
            </w:r>
          </w:p>
        </w:tc>
        <w:tc>
          <w:tcPr>
            <w:tcW w:w="680" w:type="dxa"/>
            <w:vAlign w:val="bottom"/>
            <w:tcBorders>
              <w:top w:val="single" w:sz="8" w:color="auto"/>
              <w:bottom w:val="single" w:sz="8" w:color="2AD2C8"/>
              <w:right w:val="single" w:sz="8" w:color="auto"/>
            </w:tcBorders>
            <w:shd w:val="clear" w:color="auto" w:fill="2AD2C8"/>
          </w:tcPr>
          <w:p>
            <w:pPr>
              <w:jc w:val="center"/>
              <w:ind w:right="226"/>
              <w:spacing w:after="0"/>
              <w:rPr>
                <w:sz w:val="20"/>
                <w:szCs w:val="20"/>
                <w:color w:val="auto"/>
              </w:rPr>
            </w:pPr>
            <w:r>
              <w:rPr>
                <w:rFonts w:ascii="Calibri" w:cs="Calibri" w:eastAsia="Calibri" w:hAnsi="Calibri"/>
                <w:sz w:val="10"/>
                <w:szCs w:val="10"/>
                <w:b w:val="1"/>
                <w:bCs w:val="1"/>
                <w:color w:val="FFFFFF"/>
              </w:rPr>
              <w:t>YoY</w:t>
            </w:r>
          </w:p>
        </w:tc>
        <w:tc>
          <w:tcPr>
            <w:tcW w:w="120" w:type="dxa"/>
            <w:vAlign w:val="bottom"/>
            <w:tcBorders>
              <w:top w:val="single" w:sz="8" w:color="auto"/>
              <w:bottom w:val="single" w:sz="8" w:color="2AD2C8"/>
              <w:right w:val="single" w:sz="8" w:color="2AD2C8"/>
            </w:tcBorders>
            <w:shd w:val="clear" w:color="auto" w:fill="2AD2C8"/>
          </w:tcPr>
          <w:p>
            <w:pPr>
              <w:spacing w:after="0"/>
              <w:rPr>
                <w:sz w:val="15"/>
                <w:szCs w:val="15"/>
                <w:color w:val="auto"/>
              </w:rPr>
            </w:pPr>
          </w:p>
        </w:tc>
        <w:tc>
          <w:tcPr>
            <w:tcW w:w="560" w:type="dxa"/>
            <w:vAlign w:val="bottom"/>
            <w:tcBorders>
              <w:top w:val="single" w:sz="8" w:color="auto"/>
              <w:bottom w:val="single" w:sz="8" w:color="2AD2C8"/>
            </w:tcBorders>
            <w:shd w:val="clear" w:color="auto" w:fill="2AD2C8"/>
          </w:tcPr>
          <w:p>
            <w:pPr>
              <w:ind w:left="60"/>
              <w:spacing w:after="0"/>
              <w:rPr>
                <w:sz w:val="20"/>
                <w:szCs w:val="20"/>
                <w:color w:val="auto"/>
              </w:rPr>
            </w:pPr>
            <w:r>
              <w:rPr>
                <w:rFonts w:ascii="Calibri" w:cs="Calibri" w:eastAsia="Calibri" w:hAnsi="Calibri"/>
                <w:sz w:val="10"/>
                <w:szCs w:val="10"/>
                <w:b w:val="1"/>
                <w:bCs w:val="1"/>
                <w:color w:val="FFFFFF"/>
              </w:rPr>
              <w:t>Dec 23</w:t>
            </w:r>
          </w:p>
        </w:tc>
        <w:tc>
          <w:tcPr>
            <w:tcW w:w="280" w:type="dxa"/>
            <w:vAlign w:val="bottom"/>
            <w:tcBorders>
              <w:top w:val="single" w:sz="8" w:color="auto"/>
              <w:bottom w:val="single" w:sz="8" w:color="2AD2C8"/>
            </w:tcBorders>
            <w:gridSpan w:val="2"/>
            <w:shd w:val="clear" w:color="auto" w:fill="2AD2C8"/>
          </w:tcPr>
          <w:p>
            <w:pPr>
              <w:ind w:left="20"/>
              <w:spacing w:after="0"/>
              <w:rPr>
                <w:sz w:val="20"/>
                <w:szCs w:val="20"/>
                <w:color w:val="auto"/>
              </w:rPr>
            </w:pPr>
            <w:r>
              <w:rPr>
                <w:rFonts w:ascii="Calibri" w:cs="Calibri" w:eastAsia="Calibri" w:hAnsi="Calibri"/>
                <w:sz w:val="10"/>
                <w:szCs w:val="10"/>
                <w:b w:val="1"/>
                <w:bCs w:val="1"/>
                <w:color w:val="FFFFFF"/>
              </w:rPr>
              <w:t>Up to</w:t>
            </w:r>
          </w:p>
        </w:tc>
        <w:tc>
          <w:tcPr>
            <w:tcW w:w="100" w:type="dxa"/>
            <w:vAlign w:val="bottom"/>
            <w:tcBorders>
              <w:top w:val="single" w:sz="8" w:color="auto"/>
              <w:bottom w:val="single" w:sz="8" w:color="2AD2C8"/>
              <w:right w:val="single" w:sz="8" w:color="2AD2C8"/>
            </w:tcBorders>
            <w:shd w:val="clear" w:color="auto" w:fill="2AD2C8"/>
          </w:tcPr>
          <w:p>
            <w:pPr>
              <w:spacing w:after="0"/>
              <w:rPr>
                <w:sz w:val="15"/>
                <w:szCs w:val="15"/>
                <w:color w:val="auto"/>
              </w:rPr>
            </w:pPr>
          </w:p>
        </w:tc>
        <w:tc>
          <w:tcPr>
            <w:tcW w:w="580" w:type="dxa"/>
            <w:vAlign w:val="bottom"/>
            <w:tcBorders>
              <w:top w:val="single" w:sz="8" w:color="auto"/>
              <w:bottom w:val="single" w:sz="8" w:color="2AD2C8"/>
              <w:right w:val="single" w:sz="8" w:color="auto"/>
            </w:tcBorders>
            <w:shd w:val="clear" w:color="auto" w:fill="2AD2C8"/>
          </w:tcPr>
          <w:p>
            <w:pPr>
              <w:jc w:val="right"/>
              <w:ind w:right="136"/>
              <w:spacing w:after="0"/>
              <w:rPr>
                <w:sz w:val="20"/>
                <w:szCs w:val="20"/>
                <w:color w:val="auto"/>
              </w:rPr>
            </w:pPr>
            <w:r>
              <w:rPr>
                <w:rFonts w:ascii="Calibri" w:cs="Calibri" w:eastAsia="Calibri" w:hAnsi="Calibri"/>
                <w:sz w:val="10"/>
                <w:szCs w:val="10"/>
                <w:b w:val="1"/>
                <w:bCs w:val="1"/>
                <w:color w:val="FFFFFF"/>
              </w:rPr>
              <w:t>Dec 24</w:t>
            </w:r>
          </w:p>
        </w:tc>
        <w:tc>
          <w:tcPr>
            <w:tcW w:w="100" w:type="dxa"/>
            <w:vAlign w:val="bottom"/>
            <w:tcBorders>
              <w:top w:val="single" w:sz="8" w:color="auto"/>
              <w:bottom w:val="single" w:sz="8" w:color="2AD2C8"/>
            </w:tcBorders>
            <w:gridSpan w:val="2"/>
            <w:shd w:val="clear" w:color="auto" w:fill="2AD2C8"/>
          </w:tcPr>
          <w:p>
            <w:pPr>
              <w:spacing w:after="0"/>
              <w:rPr>
                <w:sz w:val="15"/>
                <w:szCs w:val="15"/>
                <w:color w:val="auto"/>
              </w:rPr>
            </w:pPr>
          </w:p>
        </w:tc>
        <w:tc>
          <w:tcPr>
            <w:tcW w:w="1380" w:type="dxa"/>
            <w:vAlign w:val="bottom"/>
            <w:tcBorders>
              <w:top w:val="single" w:sz="8" w:color="auto"/>
              <w:bottom w:val="single" w:sz="8" w:color="2AD2C8"/>
              <w:right w:val="single" w:sz="8" w:color="auto"/>
            </w:tcBorders>
            <w:shd w:val="clear" w:color="auto" w:fill="2AD2C8"/>
          </w:tcPr>
          <w:p>
            <w:pPr>
              <w:jc w:val="center"/>
              <w:ind w:right="80"/>
              <w:spacing w:after="0"/>
              <w:rPr>
                <w:sz w:val="20"/>
                <w:szCs w:val="20"/>
                <w:color w:val="auto"/>
              </w:rPr>
            </w:pPr>
            <w:r>
              <w:rPr>
                <w:rFonts w:ascii="Calibri" w:cs="Calibri" w:eastAsia="Calibri" w:hAnsi="Calibri"/>
                <w:sz w:val="10"/>
                <w:szCs w:val="10"/>
                <w:b w:val="1"/>
                <w:bCs w:val="1"/>
                <w:color w:val="FFFFFF"/>
              </w:rPr>
              <w:t>Dec 24 / Dec 23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20" w:type="dxa"/>
            <w:vAlign w:val="bottom"/>
            <w:tcBorders>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spacing w:after="0"/>
              <w:rPr>
                <w:sz w:val="20"/>
                <w:szCs w:val="20"/>
                <w:color w:val="auto"/>
              </w:rPr>
            </w:pPr>
            <w:r>
              <w:rPr>
                <w:rFonts w:ascii="Calibri" w:cs="Calibri" w:eastAsia="Calibri" w:hAnsi="Calibri"/>
                <w:sz w:val="10"/>
                <w:szCs w:val="10"/>
                <w:color w:val="auto"/>
              </w:rPr>
              <w:t>Efciency rato</w:t>
            </w: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528"/>
              <w:spacing w:after="0"/>
              <w:rPr>
                <w:sz w:val="20"/>
                <w:szCs w:val="20"/>
                <w:color w:val="auto"/>
              </w:rPr>
            </w:pPr>
            <w:r>
              <w:rPr>
                <w:rFonts w:ascii="Calibri" w:cs="Calibri" w:eastAsia="Calibri" w:hAnsi="Calibri"/>
                <w:sz w:val="10"/>
                <w:szCs w:val="10"/>
                <w:color w:val="auto"/>
              </w:rPr>
              <w:t>52.9%</w:t>
            </w:r>
          </w:p>
        </w:tc>
        <w:tc>
          <w:tcPr>
            <w:tcW w:w="900" w:type="dxa"/>
            <w:vAlign w:val="bottom"/>
            <w:tcBorders>
              <w:top w:val="single" w:sz="8" w:color="auto"/>
            </w:tcBorders>
          </w:tcPr>
          <w:p>
            <w:pPr>
              <w:jc w:val="center"/>
              <w:ind w:right="265"/>
              <w:spacing w:after="0"/>
              <w:rPr>
                <w:sz w:val="20"/>
                <w:szCs w:val="20"/>
                <w:color w:val="auto"/>
              </w:rPr>
            </w:pPr>
            <w:r>
              <w:rPr>
                <w:rFonts w:ascii="Calibri" w:cs="Calibri" w:eastAsia="Calibri" w:hAnsi="Calibri"/>
                <w:sz w:val="10"/>
                <w:szCs w:val="10"/>
                <w:color w:val="auto"/>
              </w:rPr>
              <w:t>54.2%</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jc w:val="center"/>
              <w:ind w:right="181"/>
              <w:spacing w:after="0"/>
              <w:rPr>
                <w:sz w:val="20"/>
                <w:szCs w:val="20"/>
                <w:color w:val="auto"/>
              </w:rPr>
            </w:pPr>
            <w:r>
              <w:rPr>
                <w:rFonts w:ascii="Calibri" w:cs="Calibri" w:eastAsia="Calibri" w:hAnsi="Calibri"/>
                <w:sz w:val="10"/>
                <w:szCs w:val="10"/>
                <w:color w:val="auto"/>
              </w:rPr>
              <w:t>52.2%</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446"/>
              <w:spacing w:after="0"/>
              <w:rPr>
                <w:sz w:val="20"/>
                <w:szCs w:val="20"/>
                <w:color w:val="auto"/>
              </w:rPr>
            </w:pPr>
            <w:r>
              <w:rPr>
                <w:rFonts w:ascii="Calibri" w:cs="Calibri" w:eastAsia="Calibri" w:hAnsi="Calibri"/>
                <w:sz w:val="10"/>
                <w:szCs w:val="10"/>
                <w:color w:val="auto"/>
              </w:rPr>
              <w:t>-197 bps</w:t>
            </w:r>
          </w:p>
        </w:tc>
        <w:tc>
          <w:tcPr>
            <w:tcW w:w="680" w:type="dxa"/>
            <w:vAlign w:val="bottom"/>
            <w:tcBorders>
              <w:top w:val="single" w:sz="8" w:color="auto"/>
              <w:right w:val="single" w:sz="8" w:color="auto"/>
            </w:tcBorders>
          </w:tcPr>
          <w:p>
            <w:pPr>
              <w:jc w:val="center"/>
              <w:ind w:right="206"/>
              <w:spacing w:after="0"/>
              <w:rPr>
                <w:sz w:val="20"/>
                <w:szCs w:val="20"/>
                <w:color w:val="auto"/>
              </w:rPr>
            </w:pPr>
            <w:r>
              <w:rPr>
                <w:rFonts w:ascii="Calibri" w:cs="Calibri" w:eastAsia="Calibri" w:hAnsi="Calibri"/>
                <w:sz w:val="10"/>
                <w:szCs w:val="10"/>
                <w:color w:val="auto"/>
              </w:rPr>
              <w:t>-67 bps</w:t>
            </w:r>
          </w:p>
        </w:tc>
        <w:tc>
          <w:tcPr>
            <w:tcW w:w="680" w:type="dxa"/>
            <w:vAlign w:val="bottom"/>
            <w:tcBorders>
              <w:top w:val="single" w:sz="8" w:color="auto"/>
            </w:tcBorders>
            <w:gridSpan w:val="2"/>
          </w:tcPr>
          <w:p>
            <w:pPr>
              <w:jc w:val="center"/>
              <w:spacing w:after="0"/>
              <w:rPr>
                <w:sz w:val="20"/>
                <w:szCs w:val="20"/>
                <w:color w:val="auto"/>
              </w:rPr>
            </w:pPr>
            <w:r>
              <w:rPr>
                <w:rFonts w:ascii="Calibri" w:cs="Calibri" w:eastAsia="Calibri" w:hAnsi="Calibri"/>
                <w:sz w:val="10"/>
                <w:szCs w:val="10"/>
                <w:color w:val="auto"/>
              </w:rPr>
              <w:t>52.7%</w:t>
            </w: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right w:val="single" w:sz="8" w:color="auto"/>
            </w:tcBorders>
            <w:gridSpan w:val="2"/>
          </w:tcPr>
          <w:p>
            <w:pPr>
              <w:jc w:val="right"/>
              <w:ind w:right="316"/>
              <w:spacing w:after="0"/>
              <w:rPr>
                <w:sz w:val="20"/>
                <w:szCs w:val="20"/>
                <w:color w:val="auto"/>
              </w:rPr>
            </w:pPr>
            <w:r>
              <w:rPr>
                <w:rFonts w:ascii="Calibri" w:cs="Calibri" w:eastAsia="Calibri" w:hAnsi="Calibri"/>
                <w:sz w:val="10"/>
                <w:szCs w:val="10"/>
                <w:color w:val="auto"/>
              </w:rPr>
              <w:t>52.7%</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0"/>
                <w:szCs w:val="10"/>
                <w:color w:val="auto"/>
              </w:rPr>
              <w:t xml:space="preserve">0 </w:t>
            </w:r>
            <w:r>
              <w:rPr>
                <w:rFonts w:ascii="Calibri" w:cs="Calibri" w:eastAsia="Calibri" w:hAnsi="Calibri"/>
                <w:sz w:val="10"/>
                <w:szCs w:val="10"/>
                <w:color w:val="auto"/>
              </w:rPr>
              <w:t>bps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20"/>
                <w:szCs w:val="20"/>
                <w:color w:val="auto"/>
              </w:rPr>
            </w:pPr>
            <w:r>
              <w:rPr>
                <w:rFonts w:ascii="Calibri" w:cs="Calibri" w:eastAsia="Calibri" w:hAnsi="Calibri"/>
                <w:sz w:val="10"/>
                <w:szCs w:val="10"/>
                <w:color w:val="auto"/>
              </w:rPr>
              <w:t>ROAE</w:t>
            </w:r>
          </w:p>
        </w:tc>
        <w:tc>
          <w:tcPr>
            <w:tcW w:w="280" w:type="dxa"/>
            <w:vAlign w:val="bottom"/>
          </w:tcPr>
          <w:p>
            <w:pPr>
              <w:spacing w:after="0"/>
              <w:rPr>
                <w:sz w:val="12"/>
                <w:szCs w:val="12"/>
                <w:color w:val="auto"/>
              </w:rPr>
            </w:pPr>
          </w:p>
        </w:tc>
        <w:tc>
          <w:tcPr>
            <w:tcW w:w="1080" w:type="dxa"/>
            <w:vAlign w:val="bottom"/>
            <w:gridSpan w:val="2"/>
          </w:tcPr>
          <w:p>
            <w:pPr>
              <w:jc w:val="center"/>
              <w:ind w:right="508"/>
              <w:spacing w:after="0"/>
              <w:rPr>
                <w:sz w:val="20"/>
                <w:szCs w:val="20"/>
                <w:color w:val="auto"/>
              </w:rPr>
            </w:pPr>
            <w:r>
              <w:rPr>
                <w:rFonts w:ascii="Calibri" w:cs="Calibri" w:eastAsia="Calibri" w:hAnsi="Calibri"/>
                <w:sz w:val="10"/>
                <w:szCs w:val="10"/>
                <w:color w:val="auto"/>
              </w:rPr>
              <w:t>7.3%</w:t>
            </w:r>
          </w:p>
        </w:tc>
        <w:tc>
          <w:tcPr>
            <w:tcW w:w="900" w:type="dxa"/>
            <w:vAlign w:val="bottom"/>
          </w:tcPr>
          <w:p>
            <w:pPr>
              <w:jc w:val="center"/>
              <w:ind w:right="245"/>
              <w:spacing w:after="0"/>
              <w:rPr>
                <w:sz w:val="20"/>
                <w:szCs w:val="20"/>
                <w:color w:val="auto"/>
              </w:rPr>
            </w:pPr>
            <w:r>
              <w:rPr>
                <w:rFonts w:ascii="Calibri" w:cs="Calibri" w:eastAsia="Calibri" w:hAnsi="Calibri"/>
                <w:sz w:val="10"/>
                <w:szCs w:val="10"/>
                <w:color w:val="auto"/>
              </w:rPr>
              <w:t>9.4%</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center"/>
              <w:ind w:right="181"/>
              <w:spacing w:after="0"/>
              <w:rPr>
                <w:sz w:val="20"/>
                <w:szCs w:val="20"/>
                <w:color w:val="auto"/>
              </w:rPr>
            </w:pPr>
            <w:r>
              <w:rPr>
                <w:rFonts w:ascii="Calibri" w:cs="Calibri" w:eastAsia="Calibri" w:hAnsi="Calibri"/>
                <w:sz w:val="10"/>
                <w:szCs w:val="10"/>
                <w:color w:val="auto"/>
              </w:rPr>
              <w:t>17.3%</w:t>
            </w:r>
          </w:p>
        </w:tc>
        <w:tc>
          <w:tcPr>
            <w:tcW w:w="240" w:type="dxa"/>
            <w:vAlign w:val="bottom"/>
          </w:tcPr>
          <w:p>
            <w:pPr>
              <w:spacing w:after="0"/>
              <w:rPr>
                <w:sz w:val="12"/>
                <w:szCs w:val="12"/>
                <w:color w:val="auto"/>
              </w:rPr>
            </w:pPr>
          </w:p>
        </w:tc>
        <w:tc>
          <w:tcPr>
            <w:tcW w:w="880" w:type="dxa"/>
            <w:vAlign w:val="bottom"/>
            <w:gridSpan w:val="2"/>
          </w:tcPr>
          <w:p>
            <w:pPr>
              <w:jc w:val="center"/>
              <w:ind w:right="446"/>
              <w:spacing w:after="0"/>
              <w:rPr>
                <w:sz w:val="20"/>
                <w:szCs w:val="20"/>
                <w:color w:val="auto"/>
              </w:rPr>
            </w:pPr>
            <w:r>
              <w:rPr>
                <w:rFonts w:ascii="Calibri" w:cs="Calibri" w:eastAsia="Calibri" w:hAnsi="Calibri"/>
                <w:sz w:val="10"/>
                <w:szCs w:val="10"/>
                <w:color w:val="auto"/>
              </w:rPr>
              <w:t>787 bps</w:t>
            </w:r>
          </w:p>
        </w:tc>
        <w:tc>
          <w:tcPr>
            <w:tcW w:w="680" w:type="dxa"/>
            <w:vAlign w:val="bottom"/>
            <w:tcBorders>
              <w:right w:val="single" w:sz="8" w:color="auto"/>
            </w:tcBorders>
          </w:tcPr>
          <w:p>
            <w:pPr>
              <w:jc w:val="center"/>
              <w:ind w:right="206"/>
              <w:spacing w:after="0"/>
              <w:rPr>
                <w:sz w:val="20"/>
                <w:szCs w:val="20"/>
                <w:color w:val="auto"/>
              </w:rPr>
            </w:pPr>
            <w:r>
              <w:rPr>
                <w:rFonts w:ascii="Calibri" w:cs="Calibri" w:eastAsia="Calibri" w:hAnsi="Calibri"/>
                <w:sz w:val="10"/>
                <w:szCs w:val="10"/>
                <w:color w:val="auto"/>
              </w:rPr>
              <w:t>1002 bps</w:t>
            </w:r>
          </w:p>
        </w:tc>
        <w:tc>
          <w:tcPr>
            <w:tcW w:w="680" w:type="dxa"/>
            <w:vAlign w:val="bottom"/>
            <w:gridSpan w:val="2"/>
          </w:tcPr>
          <w:p>
            <w:pPr>
              <w:jc w:val="center"/>
              <w:spacing w:after="0"/>
              <w:rPr>
                <w:sz w:val="20"/>
                <w:szCs w:val="20"/>
                <w:color w:val="auto"/>
              </w:rPr>
            </w:pPr>
            <w:r>
              <w:rPr>
                <w:rFonts w:ascii="Calibri" w:cs="Calibri" w:eastAsia="Calibri" w:hAnsi="Calibri"/>
                <w:sz w:val="10"/>
                <w:szCs w:val="10"/>
                <w:color w:val="auto"/>
              </w:rPr>
              <w:t>7.1%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316"/>
              <w:spacing w:after="0"/>
              <w:rPr>
                <w:sz w:val="20"/>
                <w:szCs w:val="20"/>
                <w:color w:val="auto"/>
              </w:rPr>
            </w:pPr>
            <w:r>
              <w:rPr>
                <w:rFonts w:ascii="Calibri" w:cs="Calibri" w:eastAsia="Calibri" w:hAnsi="Calibri"/>
                <w:sz w:val="10"/>
                <w:szCs w:val="10"/>
                <w:color w:val="auto"/>
              </w:rPr>
              <w:t>10.9%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Borders>
              <w:right w:val="single" w:sz="8" w:color="auto"/>
            </w:tcBorders>
          </w:tcPr>
          <w:p>
            <w:pPr>
              <w:jc w:val="center"/>
              <w:ind w:right="80"/>
              <w:spacing w:after="0"/>
              <w:rPr>
                <w:sz w:val="20"/>
                <w:szCs w:val="20"/>
                <w:color w:val="auto"/>
              </w:rPr>
            </w:pPr>
            <w:r>
              <w:rPr>
                <w:rFonts w:ascii="Calibri" w:cs="Calibri" w:eastAsia="Calibri" w:hAnsi="Calibri"/>
                <w:sz w:val="10"/>
                <w:szCs w:val="10"/>
                <w:color w:val="auto"/>
              </w:rPr>
              <w:t>386 bps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20"/>
                <w:szCs w:val="20"/>
                <w:color w:val="auto"/>
              </w:rPr>
            </w:pPr>
            <w:r>
              <w:rPr>
                <w:rFonts w:ascii="Calibri" w:cs="Calibri" w:eastAsia="Calibri" w:hAnsi="Calibri"/>
                <w:sz w:val="10"/>
                <w:szCs w:val="10"/>
                <w:color w:val="auto"/>
              </w:rPr>
              <w:t>ROAE incl. Goowdill</w:t>
            </w:r>
          </w:p>
        </w:tc>
        <w:tc>
          <w:tcPr>
            <w:tcW w:w="280" w:type="dxa"/>
            <w:vAlign w:val="bottom"/>
          </w:tcPr>
          <w:p>
            <w:pPr>
              <w:spacing w:after="0"/>
              <w:rPr>
                <w:sz w:val="12"/>
                <w:szCs w:val="12"/>
                <w:color w:val="auto"/>
              </w:rPr>
            </w:pPr>
          </w:p>
        </w:tc>
        <w:tc>
          <w:tcPr>
            <w:tcW w:w="1080" w:type="dxa"/>
            <w:vAlign w:val="bottom"/>
            <w:gridSpan w:val="2"/>
          </w:tcPr>
          <w:p>
            <w:pPr>
              <w:jc w:val="center"/>
              <w:ind w:right="508"/>
              <w:spacing w:after="0"/>
              <w:rPr>
                <w:sz w:val="20"/>
                <w:szCs w:val="20"/>
                <w:color w:val="auto"/>
              </w:rPr>
            </w:pPr>
            <w:r>
              <w:rPr>
                <w:rFonts w:ascii="Calibri" w:cs="Calibri" w:eastAsia="Calibri" w:hAnsi="Calibri"/>
                <w:sz w:val="10"/>
                <w:szCs w:val="10"/>
                <w:color w:val="auto"/>
              </w:rPr>
              <w:t>6.9%</w:t>
            </w:r>
          </w:p>
        </w:tc>
        <w:tc>
          <w:tcPr>
            <w:tcW w:w="900" w:type="dxa"/>
            <w:vAlign w:val="bottom"/>
          </w:tcPr>
          <w:p>
            <w:pPr>
              <w:jc w:val="center"/>
              <w:ind w:right="245"/>
              <w:spacing w:after="0"/>
              <w:rPr>
                <w:sz w:val="20"/>
                <w:szCs w:val="20"/>
                <w:color w:val="auto"/>
              </w:rPr>
            </w:pPr>
            <w:r>
              <w:rPr>
                <w:rFonts w:ascii="Calibri" w:cs="Calibri" w:eastAsia="Calibri" w:hAnsi="Calibri"/>
                <w:sz w:val="10"/>
                <w:szCs w:val="10"/>
                <w:color w:val="auto"/>
              </w:rPr>
              <w:t>9.0%</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center"/>
              <w:ind w:right="181"/>
              <w:spacing w:after="0"/>
              <w:rPr>
                <w:sz w:val="20"/>
                <w:szCs w:val="20"/>
                <w:color w:val="auto"/>
              </w:rPr>
            </w:pPr>
            <w:r>
              <w:rPr>
                <w:rFonts w:ascii="Calibri" w:cs="Calibri" w:eastAsia="Calibri" w:hAnsi="Calibri"/>
                <w:sz w:val="10"/>
                <w:szCs w:val="10"/>
                <w:color w:val="auto"/>
              </w:rPr>
              <w:t>16.4%</w:t>
            </w:r>
          </w:p>
        </w:tc>
        <w:tc>
          <w:tcPr>
            <w:tcW w:w="240" w:type="dxa"/>
            <w:vAlign w:val="bottom"/>
          </w:tcPr>
          <w:p>
            <w:pPr>
              <w:spacing w:after="0"/>
              <w:rPr>
                <w:sz w:val="12"/>
                <w:szCs w:val="12"/>
                <w:color w:val="auto"/>
              </w:rPr>
            </w:pPr>
          </w:p>
        </w:tc>
        <w:tc>
          <w:tcPr>
            <w:tcW w:w="880" w:type="dxa"/>
            <w:vAlign w:val="bottom"/>
            <w:gridSpan w:val="2"/>
          </w:tcPr>
          <w:p>
            <w:pPr>
              <w:jc w:val="center"/>
              <w:ind w:right="446"/>
              <w:spacing w:after="0"/>
              <w:rPr>
                <w:sz w:val="20"/>
                <w:szCs w:val="20"/>
                <w:color w:val="auto"/>
              </w:rPr>
            </w:pPr>
            <w:r>
              <w:rPr>
                <w:rFonts w:ascii="Calibri" w:cs="Calibri" w:eastAsia="Calibri" w:hAnsi="Calibri"/>
                <w:sz w:val="10"/>
                <w:szCs w:val="10"/>
                <w:color w:val="auto"/>
              </w:rPr>
              <w:t>748 bps</w:t>
            </w:r>
          </w:p>
        </w:tc>
        <w:tc>
          <w:tcPr>
            <w:tcW w:w="680" w:type="dxa"/>
            <w:vAlign w:val="bottom"/>
            <w:tcBorders>
              <w:right w:val="single" w:sz="8" w:color="auto"/>
            </w:tcBorders>
          </w:tcPr>
          <w:p>
            <w:pPr>
              <w:jc w:val="center"/>
              <w:ind w:right="206"/>
              <w:spacing w:after="0"/>
              <w:rPr>
                <w:sz w:val="20"/>
                <w:szCs w:val="20"/>
                <w:color w:val="auto"/>
              </w:rPr>
            </w:pPr>
            <w:r>
              <w:rPr>
                <w:rFonts w:ascii="Calibri" w:cs="Calibri" w:eastAsia="Calibri" w:hAnsi="Calibri"/>
                <w:sz w:val="10"/>
                <w:szCs w:val="10"/>
                <w:color w:val="auto"/>
              </w:rPr>
              <w:t>949 bps</w:t>
            </w:r>
          </w:p>
        </w:tc>
        <w:tc>
          <w:tcPr>
            <w:tcW w:w="680" w:type="dxa"/>
            <w:vAlign w:val="bottom"/>
            <w:gridSpan w:val="2"/>
          </w:tcPr>
          <w:p>
            <w:pPr>
              <w:jc w:val="center"/>
              <w:spacing w:after="0"/>
              <w:rPr>
                <w:sz w:val="20"/>
                <w:szCs w:val="20"/>
                <w:color w:val="auto"/>
              </w:rPr>
            </w:pPr>
            <w:r>
              <w:rPr>
                <w:rFonts w:ascii="Calibri" w:cs="Calibri" w:eastAsia="Calibri" w:hAnsi="Calibri"/>
                <w:sz w:val="10"/>
                <w:szCs w:val="10"/>
                <w:color w:val="auto"/>
              </w:rPr>
              <w:t>6.7%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316"/>
              <w:spacing w:after="0"/>
              <w:rPr>
                <w:sz w:val="20"/>
                <w:szCs w:val="20"/>
                <w:color w:val="auto"/>
              </w:rPr>
            </w:pPr>
            <w:r>
              <w:rPr>
                <w:rFonts w:ascii="Calibri" w:cs="Calibri" w:eastAsia="Calibri" w:hAnsi="Calibri"/>
                <w:sz w:val="10"/>
                <w:szCs w:val="10"/>
                <w:color w:val="auto"/>
              </w:rPr>
              <w:t>10.4%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Borders>
              <w:right w:val="single" w:sz="8" w:color="auto"/>
            </w:tcBorders>
          </w:tcPr>
          <w:p>
            <w:pPr>
              <w:jc w:val="center"/>
              <w:ind w:right="80"/>
              <w:spacing w:after="0"/>
              <w:rPr>
                <w:sz w:val="20"/>
                <w:szCs w:val="20"/>
                <w:color w:val="auto"/>
              </w:rPr>
            </w:pPr>
            <w:r>
              <w:rPr>
                <w:rFonts w:ascii="Calibri" w:cs="Calibri" w:eastAsia="Calibri" w:hAnsi="Calibri"/>
                <w:sz w:val="10"/>
                <w:szCs w:val="10"/>
                <w:color w:val="auto"/>
              </w:rPr>
              <w:t>367 bps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20" w:type="dxa"/>
            <w:vAlign w:val="bottom"/>
            <w:tcBorders>
              <w:right w:val="single" w:sz="8" w:color="auto"/>
            </w:tcBorders>
          </w:tcPr>
          <w:p>
            <w:pPr>
              <w:spacing w:after="0"/>
              <w:rPr>
                <w:sz w:val="2"/>
                <w:szCs w:val="2"/>
                <w:color w:val="auto"/>
              </w:rPr>
            </w:pPr>
          </w:p>
        </w:tc>
        <w:tc>
          <w:tcPr>
            <w:tcW w:w="2360" w:type="dxa"/>
            <w:vAlign w:val="bottom"/>
            <w:tcBorders>
              <w:right w:val="single" w:sz="8" w:color="auto"/>
            </w:tcBorders>
            <w:vMerge w:val="restart"/>
          </w:tcPr>
          <w:p>
            <w:pPr>
              <w:spacing w:after="0"/>
              <w:rPr>
                <w:sz w:val="20"/>
                <w:szCs w:val="20"/>
                <w:color w:val="auto"/>
              </w:rPr>
            </w:pPr>
            <w:r>
              <w:rPr>
                <w:rFonts w:ascii="Calibri" w:cs="Calibri" w:eastAsia="Calibri" w:hAnsi="Calibri"/>
                <w:sz w:val="10"/>
                <w:szCs w:val="10"/>
                <w:color w:val="auto"/>
              </w:rPr>
              <w:t>L/D rato</w:t>
            </w:r>
          </w:p>
        </w:tc>
        <w:tc>
          <w:tcPr>
            <w:tcW w:w="280" w:type="dxa"/>
            <w:vAlign w:val="bottom"/>
            <w:vMerge w:val="restart"/>
          </w:tcPr>
          <w:p>
            <w:pPr>
              <w:spacing w:after="0"/>
              <w:rPr>
                <w:sz w:val="2"/>
                <w:szCs w:val="2"/>
                <w:color w:val="auto"/>
              </w:rPr>
            </w:pPr>
          </w:p>
        </w:tc>
        <w:tc>
          <w:tcPr>
            <w:tcW w:w="1080" w:type="dxa"/>
            <w:vAlign w:val="bottom"/>
            <w:gridSpan w:val="2"/>
            <w:vMerge w:val="restart"/>
          </w:tcPr>
          <w:p>
            <w:pPr>
              <w:jc w:val="center"/>
              <w:ind w:right="508"/>
              <w:spacing w:after="0"/>
              <w:rPr>
                <w:sz w:val="20"/>
                <w:szCs w:val="20"/>
                <w:color w:val="auto"/>
              </w:rPr>
            </w:pPr>
            <w:r>
              <w:rPr>
                <w:rFonts w:ascii="Calibri" w:cs="Calibri" w:eastAsia="Calibri" w:hAnsi="Calibri"/>
                <w:sz w:val="10"/>
                <w:szCs w:val="10"/>
                <w:color w:val="auto"/>
              </w:rPr>
              <w:t>132.7%</w:t>
            </w:r>
          </w:p>
        </w:tc>
        <w:tc>
          <w:tcPr>
            <w:tcW w:w="900" w:type="dxa"/>
            <w:vAlign w:val="bottom"/>
            <w:vMerge w:val="restart"/>
          </w:tcPr>
          <w:p>
            <w:pPr>
              <w:jc w:val="center"/>
              <w:ind w:right="245"/>
              <w:spacing w:after="0"/>
              <w:rPr>
                <w:sz w:val="20"/>
                <w:szCs w:val="20"/>
                <w:color w:val="auto"/>
              </w:rPr>
            </w:pPr>
            <w:r>
              <w:rPr>
                <w:rFonts w:ascii="Calibri" w:cs="Calibri" w:eastAsia="Calibri" w:hAnsi="Calibri"/>
                <w:sz w:val="10"/>
                <w:szCs w:val="10"/>
                <w:color w:val="auto"/>
              </w:rPr>
              <w:t>112.2%</w:t>
            </w:r>
          </w:p>
        </w:tc>
        <w:tc>
          <w:tcPr>
            <w:tcW w:w="180" w:type="dxa"/>
            <w:vAlign w:val="bottom"/>
          </w:tcPr>
          <w:p>
            <w:pPr>
              <w:spacing w:after="0"/>
              <w:rPr>
                <w:sz w:val="2"/>
                <w:szCs w:val="2"/>
                <w:color w:val="auto"/>
              </w:rPr>
            </w:pPr>
          </w:p>
        </w:tc>
        <w:tc>
          <w:tcPr>
            <w:tcW w:w="940" w:type="dxa"/>
            <w:vAlign w:val="bottom"/>
            <w:tcBorders>
              <w:right w:val="single" w:sz="8" w:color="auto"/>
            </w:tcBorders>
            <w:vMerge w:val="restart"/>
          </w:tcPr>
          <w:p>
            <w:pPr>
              <w:jc w:val="center"/>
              <w:ind w:right="161"/>
              <w:spacing w:after="0"/>
              <w:rPr>
                <w:sz w:val="20"/>
                <w:szCs w:val="20"/>
                <w:color w:val="auto"/>
              </w:rPr>
            </w:pPr>
            <w:r>
              <w:rPr>
                <w:rFonts w:ascii="Calibri" w:cs="Calibri" w:eastAsia="Calibri" w:hAnsi="Calibri"/>
                <w:sz w:val="10"/>
                <w:szCs w:val="10"/>
                <w:color w:val="auto"/>
              </w:rPr>
              <w:t>110.7%</w:t>
            </w:r>
          </w:p>
        </w:tc>
        <w:tc>
          <w:tcPr>
            <w:tcW w:w="240" w:type="dxa"/>
            <w:vAlign w:val="bottom"/>
          </w:tcPr>
          <w:p>
            <w:pPr>
              <w:spacing w:after="0"/>
              <w:rPr>
                <w:sz w:val="2"/>
                <w:szCs w:val="2"/>
                <w:color w:val="auto"/>
              </w:rPr>
            </w:pPr>
          </w:p>
        </w:tc>
        <w:tc>
          <w:tcPr>
            <w:tcW w:w="880" w:type="dxa"/>
            <w:vAlign w:val="bottom"/>
            <w:gridSpan w:val="2"/>
            <w:vMerge w:val="restart"/>
          </w:tcPr>
          <w:p>
            <w:pPr>
              <w:jc w:val="center"/>
              <w:ind w:right="446"/>
              <w:spacing w:after="0"/>
              <w:rPr>
                <w:sz w:val="20"/>
                <w:szCs w:val="20"/>
                <w:color w:val="auto"/>
              </w:rPr>
            </w:pPr>
            <w:r>
              <w:rPr>
                <w:rFonts w:ascii="Calibri" w:cs="Calibri" w:eastAsia="Calibri" w:hAnsi="Calibri"/>
                <w:sz w:val="10"/>
                <w:szCs w:val="10"/>
                <w:color w:val="auto"/>
              </w:rPr>
              <w:t>-156 bps</w:t>
            </w:r>
          </w:p>
        </w:tc>
        <w:tc>
          <w:tcPr>
            <w:tcW w:w="680" w:type="dxa"/>
            <w:vAlign w:val="bottom"/>
            <w:tcBorders>
              <w:right w:val="single" w:sz="8" w:color="auto"/>
            </w:tcBorders>
            <w:vMerge w:val="restart"/>
          </w:tcPr>
          <w:p>
            <w:pPr>
              <w:jc w:val="center"/>
              <w:ind w:right="206"/>
              <w:spacing w:after="0"/>
              <w:rPr>
                <w:sz w:val="20"/>
                <w:szCs w:val="20"/>
                <w:color w:val="auto"/>
              </w:rPr>
            </w:pPr>
            <w:r>
              <w:rPr>
                <w:rFonts w:ascii="Calibri" w:cs="Calibri" w:eastAsia="Calibri" w:hAnsi="Calibri"/>
                <w:sz w:val="10"/>
                <w:szCs w:val="10"/>
                <w:color w:val="auto"/>
              </w:rPr>
              <w:t>-2204 bps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2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20"/>
                <w:szCs w:val="20"/>
                <w:color w:val="auto"/>
              </w:rPr>
            </w:pPr>
            <w:r>
              <w:rPr>
                <w:rFonts w:ascii="Calibri" w:cs="Calibri" w:eastAsia="Calibri" w:hAnsi="Calibri"/>
                <w:sz w:val="10"/>
                <w:szCs w:val="10"/>
                <w:color w:val="auto"/>
              </w:rPr>
              <w:t>IOL rato</w:t>
            </w:r>
          </w:p>
        </w:tc>
        <w:tc>
          <w:tcPr>
            <w:tcW w:w="280" w:type="dxa"/>
            <w:vAlign w:val="bottom"/>
          </w:tcPr>
          <w:p>
            <w:pPr>
              <w:spacing w:after="0"/>
              <w:rPr>
                <w:sz w:val="12"/>
                <w:szCs w:val="12"/>
                <w:color w:val="auto"/>
              </w:rPr>
            </w:pPr>
          </w:p>
        </w:tc>
        <w:tc>
          <w:tcPr>
            <w:tcW w:w="1080" w:type="dxa"/>
            <w:vAlign w:val="bottom"/>
            <w:gridSpan w:val="2"/>
          </w:tcPr>
          <w:p>
            <w:pPr>
              <w:jc w:val="center"/>
              <w:ind w:right="508"/>
              <w:spacing w:after="0"/>
              <w:rPr>
                <w:sz w:val="20"/>
                <w:szCs w:val="20"/>
                <w:color w:val="auto"/>
              </w:rPr>
            </w:pPr>
            <w:r>
              <w:rPr>
                <w:rFonts w:ascii="Calibri" w:cs="Calibri" w:eastAsia="Calibri" w:hAnsi="Calibri"/>
                <w:sz w:val="10"/>
                <w:szCs w:val="10"/>
                <w:color w:val="auto"/>
              </w:rPr>
              <w:t>6.3%</w:t>
            </w:r>
          </w:p>
        </w:tc>
        <w:tc>
          <w:tcPr>
            <w:tcW w:w="900" w:type="dxa"/>
            <w:vAlign w:val="bottom"/>
          </w:tcPr>
          <w:p>
            <w:pPr>
              <w:jc w:val="center"/>
              <w:ind w:right="245"/>
              <w:spacing w:after="0"/>
              <w:rPr>
                <w:sz w:val="20"/>
                <w:szCs w:val="20"/>
                <w:color w:val="auto"/>
              </w:rPr>
            </w:pPr>
            <w:r>
              <w:rPr>
                <w:rFonts w:ascii="Calibri" w:cs="Calibri" w:eastAsia="Calibri" w:hAnsi="Calibri"/>
                <w:sz w:val="10"/>
                <w:szCs w:val="10"/>
                <w:color w:val="auto"/>
              </w:rPr>
              <w:t>7.0%</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center"/>
              <w:ind w:right="181"/>
              <w:spacing w:after="0"/>
              <w:rPr>
                <w:sz w:val="20"/>
                <w:szCs w:val="20"/>
                <w:color w:val="auto"/>
              </w:rPr>
            </w:pPr>
            <w:r>
              <w:rPr>
                <w:rFonts w:ascii="Calibri" w:cs="Calibri" w:eastAsia="Calibri" w:hAnsi="Calibri"/>
                <w:sz w:val="10"/>
                <w:szCs w:val="10"/>
                <w:color w:val="auto"/>
              </w:rPr>
              <w:t>6.6%</w:t>
            </w:r>
          </w:p>
        </w:tc>
        <w:tc>
          <w:tcPr>
            <w:tcW w:w="240" w:type="dxa"/>
            <w:vAlign w:val="bottom"/>
          </w:tcPr>
          <w:p>
            <w:pPr>
              <w:spacing w:after="0"/>
              <w:rPr>
                <w:sz w:val="12"/>
                <w:szCs w:val="12"/>
                <w:color w:val="auto"/>
              </w:rPr>
            </w:pPr>
          </w:p>
        </w:tc>
        <w:tc>
          <w:tcPr>
            <w:tcW w:w="880" w:type="dxa"/>
            <w:vAlign w:val="bottom"/>
            <w:gridSpan w:val="2"/>
          </w:tcPr>
          <w:p>
            <w:pPr>
              <w:jc w:val="center"/>
              <w:ind w:right="446"/>
              <w:spacing w:after="0"/>
              <w:rPr>
                <w:sz w:val="20"/>
                <w:szCs w:val="20"/>
                <w:color w:val="auto"/>
              </w:rPr>
            </w:pPr>
            <w:r>
              <w:rPr>
                <w:rFonts w:ascii="Calibri" w:cs="Calibri" w:eastAsia="Calibri" w:hAnsi="Calibri"/>
                <w:sz w:val="10"/>
                <w:szCs w:val="10"/>
                <w:color w:val="auto"/>
              </w:rPr>
              <w:t>-43 bps</w:t>
            </w:r>
          </w:p>
        </w:tc>
        <w:tc>
          <w:tcPr>
            <w:tcW w:w="680" w:type="dxa"/>
            <w:vAlign w:val="bottom"/>
            <w:tcBorders>
              <w:right w:val="single" w:sz="8" w:color="auto"/>
            </w:tcBorders>
          </w:tcPr>
          <w:p>
            <w:pPr>
              <w:jc w:val="center"/>
              <w:ind w:right="226"/>
              <w:spacing w:after="0"/>
              <w:rPr>
                <w:sz w:val="20"/>
                <w:szCs w:val="20"/>
                <w:color w:val="auto"/>
              </w:rPr>
            </w:pPr>
            <w:r>
              <w:rPr>
                <w:rFonts w:ascii="Calibri" w:cs="Calibri" w:eastAsia="Calibri" w:hAnsi="Calibri"/>
                <w:sz w:val="10"/>
                <w:szCs w:val="10"/>
                <w:color w:val="auto"/>
              </w:rPr>
              <w:t>27 bps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20"/>
                <w:szCs w:val="20"/>
                <w:color w:val="auto"/>
              </w:rPr>
            </w:pPr>
            <w:r>
              <w:rPr>
                <w:rFonts w:ascii="Calibri" w:cs="Calibri" w:eastAsia="Calibri" w:hAnsi="Calibri"/>
                <w:sz w:val="10"/>
                <w:szCs w:val="10"/>
                <w:color w:val="auto"/>
              </w:rPr>
              <w:t>NPL rato</w:t>
            </w:r>
          </w:p>
        </w:tc>
        <w:tc>
          <w:tcPr>
            <w:tcW w:w="280" w:type="dxa"/>
            <w:vAlign w:val="bottom"/>
          </w:tcPr>
          <w:p>
            <w:pPr>
              <w:spacing w:after="0"/>
              <w:rPr>
                <w:sz w:val="12"/>
                <w:szCs w:val="12"/>
                <w:color w:val="auto"/>
              </w:rPr>
            </w:pPr>
          </w:p>
        </w:tc>
        <w:tc>
          <w:tcPr>
            <w:tcW w:w="1080" w:type="dxa"/>
            <w:vAlign w:val="bottom"/>
            <w:gridSpan w:val="2"/>
          </w:tcPr>
          <w:p>
            <w:pPr>
              <w:jc w:val="center"/>
              <w:ind w:right="508"/>
              <w:spacing w:after="0"/>
              <w:rPr>
                <w:sz w:val="20"/>
                <w:szCs w:val="20"/>
                <w:color w:val="auto"/>
              </w:rPr>
            </w:pPr>
            <w:r>
              <w:rPr>
                <w:rFonts w:ascii="Calibri" w:cs="Calibri" w:eastAsia="Calibri" w:hAnsi="Calibri"/>
                <w:sz w:val="10"/>
                <w:szCs w:val="10"/>
                <w:color w:val="auto"/>
              </w:rPr>
              <w:t>7.0%</w:t>
            </w:r>
          </w:p>
        </w:tc>
        <w:tc>
          <w:tcPr>
            <w:tcW w:w="900" w:type="dxa"/>
            <w:vAlign w:val="bottom"/>
          </w:tcPr>
          <w:p>
            <w:pPr>
              <w:jc w:val="center"/>
              <w:ind w:right="245"/>
              <w:spacing w:after="0"/>
              <w:rPr>
                <w:sz w:val="20"/>
                <w:szCs w:val="20"/>
                <w:color w:val="auto"/>
              </w:rPr>
            </w:pPr>
            <w:r>
              <w:rPr>
                <w:rFonts w:ascii="Calibri" w:cs="Calibri" w:eastAsia="Calibri" w:hAnsi="Calibri"/>
                <w:sz w:val="10"/>
                <w:szCs w:val="10"/>
                <w:color w:val="auto"/>
              </w:rPr>
              <w:t>7.8%</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center"/>
              <w:ind w:right="181"/>
              <w:spacing w:after="0"/>
              <w:rPr>
                <w:sz w:val="20"/>
                <w:szCs w:val="20"/>
                <w:color w:val="auto"/>
              </w:rPr>
            </w:pPr>
            <w:r>
              <w:rPr>
                <w:rFonts w:ascii="Calibri" w:cs="Calibri" w:eastAsia="Calibri" w:hAnsi="Calibri"/>
                <w:sz w:val="10"/>
                <w:szCs w:val="10"/>
                <w:color w:val="auto"/>
              </w:rPr>
              <w:t>7.4%</w:t>
            </w:r>
          </w:p>
        </w:tc>
        <w:tc>
          <w:tcPr>
            <w:tcW w:w="240" w:type="dxa"/>
            <w:vAlign w:val="bottom"/>
          </w:tcPr>
          <w:p>
            <w:pPr>
              <w:spacing w:after="0"/>
              <w:rPr>
                <w:sz w:val="12"/>
                <w:szCs w:val="12"/>
                <w:color w:val="auto"/>
              </w:rPr>
            </w:pPr>
          </w:p>
        </w:tc>
        <w:tc>
          <w:tcPr>
            <w:tcW w:w="880" w:type="dxa"/>
            <w:vAlign w:val="bottom"/>
            <w:gridSpan w:val="2"/>
          </w:tcPr>
          <w:p>
            <w:pPr>
              <w:jc w:val="center"/>
              <w:ind w:right="446"/>
              <w:spacing w:after="0"/>
              <w:rPr>
                <w:sz w:val="20"/>
                <w:szCs w:val="20"/>
                <w:color w:val="auto"/>
              </w:rPr>
            </w:pPr>
            <w:r>
              <w:rPr>
                <w:rFonts w:ascii="Calibri" w:cs="Calibri" w:eastAsia="Calibri" w:hAnsi="Calibri"/>
                <w:sz w:val="10"/>
                <w:szCs w:val="10"/>
                <w:color w:val="auto"/>
              </w:rPr>
              <w:t>-42 bps</w:t>
            </w:r>
          </w:p>
        </w:tc>
        <w:tc>
          <w:tcPr>
            <w:tcW w:w="680" w:type="dxa"/>
            <w:vAlign w:val="bottom"/>
            <w:tcBorders>
              <w:right w:val="single" w:sz="8" w:color="auto"/>
            </w:tcBorders>
          </w:tcPr>
          <w:p>
            <w:pPr>
              <w:jc w:val="center"/>
              <w:ind w:right="226"/>
              <w:spacing w:after="0"/>
              <w:rPr>
                <w:sz w:val="20"/>
                <w:szCs w:val="20"/>
                <w:color w:val="auto"/>
              </w:rPr>
            </w:pPr>
            <w:r>
              <w:rPr>
                <w:rFonts w:ascii="Calibri" w:cs="Calibri" w:eastAsia="Calibri" w:hAnsi="Calibri"/>
                <w:sz w:val="10"/>
                <w:szCs w:val="10"/>
                <w:color w:val="auto"/>
              </w:rPr>
              <w:t>38 bps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20"/>
                <w:szCs w:val="20"/>
                <w:color w:val="auto"/>
              </w:rPr>
            </w:pPr>
            <w:r>
              <w:rPr>
                <w:rFonts w:ascii="Calibri" w:cs="Calibri" w:eastAsia="Calibri" w:hAnsi="Calibri"/>
                <w:sz w:val="10"/>
                <w:szCs w:val="10"/>
                <w:color w:val="auto"/>
              </w:rPr>
              <w:t>Coverage of IOLs</w:t>
            </w:r>
          </w:p>
        </w:tc>
        <w:tc>
          <w:tcPr>
            <w:tcW w:w="280" w:type="dxa"/>
            <w:vAlign w:val="bottom"/>
          </w:tcPr>
          <w:p>
            <w:pPr>
              <w:spacing w:after="0"/>
              <w:rPr>
                <w:sz w:val="12"/>
                <w:szCs w:val="12"/>
                <w:color w:val="auto"/>
              </w:rPr>
            </w:pPr>
          </w:p>
        </w:tc>
        <w:tc>
          <w:tcPr>
            <w:tcW w:w="1080" w:type="dxa"/>
            <w:vAlign w:val="bottom"/>
            <w:gridSpan w:val="2"/>
          </w:tcPr>
          <w:p>
            <w:pPr>
              <w:jc w:val="center"/>
              <w:ind w:right="508"/>
              <w:spacing w:after="0"/>
              <w:rPr>
                <w:sz w:val="20"/>
                <w:szCs w:val="20"/>
                <w:color w:val="auto"/>
              </w:rPr>
            </w:pPr>
            <w:r>
              <w:rPr>
                <w:rFonts w:ascii="Calibri" w:cs="Calibri" w:eastAsia="Calibri" w:hAnsi="Calibri"/>
                <w:sz w:val="10"/>
                <w:szCs w:val="10"/>
                <w:color w:val="auto"/>
              </w:rPr>
              <w:t>120.2%</w:t>
            </w:r>
          </w:p>
        </w:tc>
        <w:tc>
          <w:tcPr>
            <w:tcW w:w="900" w:type="dxa"/>
            <w:vAlign w:val="bottom"/>
          </w:tcPr>
          <w:p>
            <w:pPr>
              <w:jc w:val="center"/>
              <w:ind w:right="245"/>
              <w:spacing w:after="0"/>
              <w:rPr>
                <w:sz w:val="20"/>
                <w:szCs w:val="20"/>
                <w:color w:val="auto"/>
              </w:rPr>
            </w:pPr>
            <w:r>
              <w:rPr>
                <w:rFonts w:ascii="Calibri" w:cs="Calibri" w:eastAsia="Calibri" w:hAnsi="Calibri"/>
                <w:sz w:val="10"/>
                <w:szCs w:val="10"/>
                <w:color w:val="auto"/>
              </w:rPr>
              <w:t>111.1%</w:t>
            </w:r>
          </w:p>
        </w:tc>
        <w:tc>
          <w:tcPr>
            <w:tcW w:w="180" w:type="dxa"/>
            <w:vAlign w:val="bottom"/>
          </w:tcPr>
          <w:p>
            <w:pPr>
              <w:spacing w:after="0"/>
              <w:rPr>
                <w:sz w:val="12"/>
                <w:szCs w:val="12"/>
                <w:color w:val="auto"/>
              </w:rPr>
            </w:pPr>
          </w:p>
        </w:tc>
        <w:tc>
          <w:tcPr>
            <w:tcW w:w="940" w:type="dxa"/>
            <w:vAlign w:val="bottom"/>
            <w:tcBorders>
              <w:right w:val="single" w:sz="8" w:color="auto"/>
            </w:tcBorders>
          </w:tcPr>
          <w:p>
            <w:pPr>
              <w:jc w:val="center"/>
              <w:ind w:right="161"/>
              <w:spacing w:after="0"/>
              <w:rPr>
                <w:sz w:val="20"/>
                <w:szCs w:val="20"/>
                <w:color w:val="auto"/>
              </w:rPr>
            </w:pPr>
            <w:r>
              <w:rPr>
                <w:rFonts w:ascii="Calibri" w:cs="Calibri" w:eastAsia="Calibri" w:hAnsi="Calibri"/>
                <w:sz w:val="10"/>
                <w:szCs w:val="10"/>
                <w:color w:val="auto"/>
              </w:rPr>
              <w:t>115.3%</w:t>
            </w:r>
          </w:p>
        </w:tc>
        <w:tc>
          <w:tcPr>
            <w:tcW w:w="240" w:type="dxa"/>
            <w:vAlign w:val="bottom"/>
          </w:tcPr>
          <w:p>
            <w:pPr>
              <w:spacing w:after="0"/>
              <w:rPr>
                <w:sz w:val="12"/>
                <w:szCs w:val="12"/>
                <w:color w:val="auto"/>
              </w:rPr>
            </w:pPr>
          </w:p>
        </w:tc>
        <w:tc>
          <w:tcPr>
            <w:tcW w:w="880" w:type="dxa"/>
            <w:vAlign w:val="bottom"/>
            <w:gridSpan w:val="2"/>
          </w:tcPr>
          <w:p>
            <w:pPr>
              <w:jc w:val="center"/>
              <w:ind w:right="446"/>
              <w:spacing w:after="0"/>
              <w:rPr>
                <w:sz w:val="20"/>
                <w:szCs w:val="20"/>
                <w:color w:val="auto"/>
              </w:rPr>
            </w:pPr>
            <w:r>
              <w:rPr>
                <w:rFonts w:ascii="Calibri" w:cs="Calibri" w:eastAsia="Calibri" w:hAnsi="Calibri"/>
                <w:sz w:val="10"/>
                <w:szCs w:val="10"/>
                <w:color w:val="auto"/>
              </w:rPr>
              <w:t>419 bps</w:t>
            </w:r>
          </w:p>
        </w:tc>
        <w:tc>
          <w:tcPr>
            <w:tcW w:w="680" w:type="dxa"/>
            <w:vAlign w:val="bottom"/>
            <w:tcBorders>
              <w:right w:val="single" w:sz="8" w:color="auto"/>
            </w:tcBorders>
          </w:tcPr>
          <w:p>
            <w:pPr>
              <w:jc w:val="center"/>
              <w:ind w:right="206"/>
              <w:spacing w:after="0"/>
              <w:rPr>
                <w:sz w:val="20"/>
                <w:szCs w:val="20"/>
                <w:color w:val="auto"/>
              </w:rPr>
            </w:pPr>
            <w:r>
              <w:rPr>
                <w:rFonts w:ascii="Calibri" w:cs="Calibri" w:eastAsia="Calibri" w:hAnsi="Calibri"/>
                <w:sz w:val="10"/>
                <w:szCs w:val="10"/>
                <w:color w:val="auto"/>
              </w:rPr>
              <w:t>-491 bps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0" w:type="dxa"/>
            <w:vAlign w:val="bottom"/>
            <w:tcBorders>
              <w:right w:val="single" w:sz="8" w:color="auto"/>
            </w:tcBorders>
          </w:tcPr>
          <w:p>
            <w:pPr>
              <w:spacing w:after="0"/>
              <w:rPr>
                <w:sz w:val="13"/>
                <w:szCs w:val="13"/>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0"/>
                <w:szCs w:val="10"/>
                <w:color w:val="auto"/>
              </w:rPr>
              <w:t>Coverage of NPLs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508"/>
              <w:spacing w:after="0"/>
              <w:rPr>
                <w:sz w:val="20"/>
                <w:szCs w:val="20"/>
                <w:color w:val="auto"/>
              </w:rPr>
            </w:pPr>
            <w:r>
              <w:rPr>
                <w:rFonts w:ascii="Calibri" w:cs="Calibri" w:eastAsia="Calibri" w:hAnsi="Calibri"/>
                <w:sz w:val="10"/>
                <w:szCs w:val="10"/>
                <w:color w:val="auto"/>
              </w:rPr>
              <w:t>107.3%</w:t>
            </w:r>
          </w:p>
        </w:tc>
        <w:tc>
          <w:tcPr>
            <w:tcW w:w="900" w:type="dxa"/>
            <w:vAlign w:val="bottom"/>
            <w:tcBorders>
              <w:bottom w:val="single" w:sz="8" w:color="auto"/>
            </w:tcBorders>
          </w:tcPr>
          <w:p>
            <w:pPr>
              <w:jc w:val="center"/>
              <w:ind w:right="265"/>
              <w:spacing w:after="0"/>
              <w:rPr>
                <w:sz w:val="20"/>
                <w:szCs w:val="20"/>
                <w:color w:val="auto"/>
              </w:rPr>
            </w:pPr>
            <w:r>
              <w:rPr>
                <w:rFonts w:ascii="Calibri" w:cs="Calibri" w:eastAsia="Calibri" w:hAnsi="Calibri"/>
                <w:sz w:val="10"/>
                <w:szCs w:val="10"/>
                <w:color w:val="auto"/>
              </w:rPr>
              <w:t>98.9%</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161"/>
              <w:spacing w:after="0"/>
              <w:rPr>
                <w:sz w:val="20"/>
                <w:szCs w:val="20"/>
                <w:color w:val="auto"/>
              </w:rPr>
            </w:pPr>
            <w:r>
              <w:rPr>
                <w:rFonts w:ascii="Calibri" w:cs="Calibri" w:eastAsia="Calibri" w:hAnsi="Calibri"/>
                <w:sz w:val="10"/>
                <w:szCs w:val="10"/>
                <w:color w:val="auto"/>
              </w:rPr>
              <w:t>101.7%</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446"/>
              <w:spacing w:after="0"/>
              <w:rPr>
                <w:sz w:val="20"/>
                <w:szCs w:val="20"/>
                <w:color w:val="auto"/>
              </w:rPr>
            </w:pPr>
            <w:r>
              <w:rPr>
                <w:rFonts w:ascii="Calibri" w:cs="Calibri" w:eastAsia="Calibri" w:hAnsi="Calibri"/>
                <w:sz w:val="10"/>
                <w:szCs w:val="10"/>
                <w:color w:val="auto"/>
              </w:rPr>
              <w:t>278 bps</w:t>
            </w:r>
          </w:p>
        </w:tc>
        <w:tc>
          <w:tcPr>
            <w:tcW w:w="680" w:type="dxa"/>
            <w:vAlign w:val="bottom"/>
            <w:tcBorders>
              <w:bottom w:val="single" w:sz="8" w:color="auto"/>
              <w:right w:val="single" w:sz="8" w:color="auto"/>
            </w:tcBorders>
          </w:tcPr>
          <w:p>
            <w:pPr>
              <w:jc w:val="center"/>
              <w:ind w:right="206"/>
              <w:spacing w:after="0"/>
              <w:rPr>
                <w:sz w:val="20"/>
                <w:szCs w:val="20"/>
                <w:color w:val="auto"/>
              </w:rPr>
            </w:pPr>
            <w:r>
              <w:rPr>
                <w:rFonts w:ascii="Calibri" w:cs="Calibri" w:eastAsia="Calibri" w:hAnsi="Calibri"/>
                <w:sz w:val="10"/>
                <w:szCs w:val="10"/>
                <w:color w:val="auto"/>
              </w:rPr>
              <w:t>-553 bps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tcPr>
          <w:p>
            <w:pPr>
              <w:spacing w:after="0" w:line="137" w:lineRule="exact"/>
              <w:rPr>
                <w:sz w:val="20"/>
                <w:szCs w:val="20"/>
                <w:color w:val="auto"/>
              </w:rPr>
            </w:pPr>
            <w:r>
              <w:rPr>
                <w:rFonts w:ascii="Calibri" w:cs="Calibri" w:eastAsia="Calibri" w:hAnsi="Calibri"/>
                <w:sz w:val="9"/>
                <w:szCs w:val="9"/>
                <w:color w:val="auto"/>
              </w:rPr>
              <w:t xml:space="preserve">Branches </w:t>
            </w:r>
            <w:r>
              <w:rPr>
                <w:rFonts w:ascii="Calibri" w:cs="Calibri" w:eastAsia="Calibri" w:hAnsi="Calibri"/>
                <w:sz w:val="14"/>
                <w:szCs w:val="14"/>
                <w:color w:val="auto"/>
                <w:vertAlign w:val="superscript"/>
              </w:rPr>
              <w:t>(1)</w:t>
            </w:r>
          </w:p>
        </w:tc>
        <w:tc>
          <w:tcPr>
            <w:tcW w:w="280" w:type="dxa"/>
            <w:vAlign w:val="bottom"/>
          </w:tcPr>
          <w:p>
            <w:pPr>
              <w:spacing w:after="0"/>
              <w:rPr>
                <w:sz w:val="11"/>
                <w:szCs w:val="11"/>
                <w:color w:val="auto"/>
              </w:rPr>
            </w:pPr>
          </w:p>
        </w:tc>
        <w:tc>
          <w:tcPr>
            <w:tcW w:w="1080" w:type="dxa"/>
            <w:vAlign w:val="bottom"/>
            <w:gridSpan w:val="2"/>
          </w:tcPr>
          <w:p>
            <w:pPr>
              <w:jc w:val="center"/>
              <w:ind w:right="508"/>
              <w:spacing w:after="0"/>
              <w:rPr>
                <w:sz w:val="20"/>
                <w:szCs w:val="20"/>
                <w:color w:val="auto"/>
              </w:rPr>
            </w:pPr>
            <w:r>
              <w:rPr>
                <w:rFonts w:ascii="Calibri" w:cs="Calibri" w:eastAsia="Calibri" w:hAnsi="Calibri"/>
                <w:sz w:val="10"/>
                <w:szCs w:val="10"/>
                <w:color w:val="auto"/>
              </w:rPr>
              <w:t>292</w:t>
            </w:r>
          </w:p>
        </w:tc>
        <w:tc>
          <w:tcPr>
            <w:tcW w:w="900" w:type="dxa"/>
            <w:vAlign w:val="bottom"/>
          </w:tcPr>
          <w:p>
            <w:pPr>
              <w:jc w:val="center"/>
              <w:ind w:right="245"/>
              <w:spacing w:after="0"/>
              <w:rPr>
                <w:sz w:val="20"/>
                <w:szCs w:val="20"/>
                <w:color w:val="auto"/>
              </w:rPr>
            </w:pPr>
            <w:r>
              <w:rPr>
                <w:rFonts w:ascii="Calibri" w:cs="Calibri" w:eastAsia="Calibri" w:hAnsi="Calibri"/>
                <w:sz w:val="10"/>
                <w:szCs w:val="10"/>
                <w:color w:val="auto"/>
              </w:rPr>
              <w:t>283</w:t>
            </w:r>
          </w:p>
        </w:tc>
        <w:tc>
          <w:tcPr>
            <w:tcW w:w="180" w:type="dxa"/>
            <w:vAlign w:val="bottom"/>
          </w:tcPr>
          <w:p>
            <w:pPr>
              <w:spacing w:after="0"/>
              <w:rPr>
                <w:sz w:val="11"/>
                <w:szCs w:val="11"/>
                <w:color w:val="auto"/>
              </w:rPr>
            </w:pPr>
          </w:p>
        </w:tc>
        <w:tc>
          <w:tcPr>
            <w:tcW w:w="940" w:type="dxa"/>
            <w:vAlign w:val="bottom"/>
            <w:tcBorders>
              <w:right w:val="single" w:sz="8" w:color="auto"/>
            </w:tcBorders>
          </w:tcPr>
          <w:p>
            <w:pPr>
              <w:jc w:val="center"/>
              <w:ind w:right="161"/>
              <w:spacing w:after="0"/>
              <w:rPr>
                <w:sz w:val="20"/>
                <w:szCs w:val="20"/>
                <w:color w:val="auto"/>
              </w:rPr>
            </w:pPr>
            <w:r>
              <w:rPr>
                <w:rFonts w:ascii="Calibri" w:cs="Calibri" w:eastAsia="Calibri" w:hAnsi="Calibri"/>
                <w:sz w:val="10"/>
                <w:szCs w:val="10"/>
                <w:color w:val="auto"/>
              </w:rPr>
              <w:t>283</w:t>
            </w:r>
          </w:p>
        </w:tc>
        <w:tc>
          <w:tcPr>
            <w:tcW w:w="240" w:type="dxa"/>
            <w:vAlign w:val="bottom"/>
          </w:tcPr>
          <w:p>
            <w:pPr>
              <w:spacing w:after="0"/>
              <w:rPr>
                <w:sz w:val="11"/>
                <w:szCs w:val="11"/>
                <w:color w:val="auto"/>
              </w:rPr>
            </w:pPr>
          </w:p>
        </w:tc>
        <w:tc>
          <w:tcPr>
            <w:tcW w:w="880" w:type="dxa"/>
            <w:vAlign w:val="bottom"/>
            <w:gridSpan w:val="2"/>
          </w:tcPr>
          <w:p>
            <w:pPr>
              <w:jc w:val="right"/>
              <w:ind w:right="626"/>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right w:val="single" w:sz="8" w:color="auto"/>
            </w:tcBorders>
          </w:tcPr>
          <w:p>
            <w:pPr>
              <w:jc w:val="right"/>
              <w:ind w:right="366"/>
              <w:spacing w:after="0"/>
              <w:rPr>
                <w:sz w:val="20"/>
                <w:szCs w:val="20"/>
                <w:color w:val="auto"/>
              </w:rPr>
            </w:pPr>
            <w:r>
              <w:rPr>
                <w:rFonts w:ascii="Calibri" w:cs="Calibri" w:eastAsia="Calibri" w:hAnsi="Calibri"/>
                <w:sz w:val="10"/>
                <w:szCs w:val="10"/>
                <w:color w:val="auto"/>
              </w:rPr>
              <w:t>(9)</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Borders>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Calibri" w:cs="Calibri" w:eastAsia="Calibri" w:hAnsi="Calibri"/>
                <w:sz w:val="10"/>
                <w:szCs w:val="10"/>
                <w:color w:val="auto"/>
              </w:rPr>
              <w:t>Employees</w:t>
            </w: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center"/>
              <w:ind w:right="508"/>
              <w:spacing w:after="0"/>
              <w:rPr>
                <w:sz w:val="20"/>
                <w:szCs w:val="20"/>
                <w:color w:val="auto"/>
              </w:rPr>
            </w:pPr>
            <w:r>
              <w:rPr>
                <w:rFonts w:ascii="Calibri" w:cs="Calibri" w:eastAsia="Calibri" w:hAnsi="Calibri"/>
                <w:sz w:val="10"/>
                <w:szCs w:val="10"/>
                <w:color w:val="auto"/>
              </w:rPr>
              <w:t>9,842</w:t>
            </w:r>
          </w:p>
        </w:tc>
        <w:tc>
          <w:tcPr>
            <w:tcW w:w="900" w:type="dxa"/>
            <w:vAlign w:val="bottom"/>
            <w:tcBorders>
              <w:bottom w:val="single" w:sz="8" w:color="auto"/>
            </w:tcBorders>
          </w:tcPr>
          <w:p>
            <w:pPr>
              <w:jc w:val="center"/>
              <w:ind w:right="245"/>
              <w:spacing w:after="0"/>
              <w:rPr>
                <w:sz w:val="20"/>
                <w:szCs w:val="20"/>
                <w:color w:val="auto"/>
              </w:rPr>
            </w:pPr>
            <w:r>
              <w:rPr>
                <w:rFonts w:ascii="Calibri" w:cs="Calibri" w:eastAsia="Calibri" w:hAnsi="Calibri"/>
                <w:sz w:val="10"/>
                <w:szCs w:val="10"/>
                <w:color w:val="auto"/>
              </w:rPr>
              <w:t>10,101</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jc w:val="center"/>
              <w:ind w:right="161"/>
              <w:spacing w:after="0"/>
              <w:rPr>
                <w:sz w:val="20"/>
                <w:szCs w:val="20"/>
                <w:color w:val="auto"/>
              </w:rPr>
            </w:pPr>
            <w:r>
              <w:rPr>
                <w:rFonts w:ascii="Calibri" w:cs="Calibri" w:eastAsia="Calibri" w:hAnsi="Calibri"/>
                <w:sz w:val="10"/>
                <w:szCs w:val="10"/>
                <w:color w:val="auto"/>
              </w:rPr>
              <w:t>9,950</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526"/>
              <w:spacing w:after="0"/>
              <w:rPr>
                <w:sz w:val="20"/>
                <w:szCs w:val="20"/>
                <w:color w:val="auto"/>
              </w:rPr>
            </w:pPr>
            <w:r>
              <w:rPr>
                <w:rFonts w:ascii="Calibri" w:cs="Calibri" w:eastAsia="Calibri" w:hAnsi="Calibri"/>
                <w:sz w:val="10"/>
                <w:szCs w:val="10"/>
                <w:color w:val="auto"/>
              </w:rPr>
              <w:t>(151)</w:t>
            </w:r>
          </w:p>
        </w:tc>
        <w:tc>
          <w:tcPr>
            <w:tcW w:w="680" w:type="dxa"/>
            <w:vAlign w:val="bottom"/>
            <w:tcBorders>
              <w:bottom w:val="single" w:sz="8" w:color="auto"/>
              <w:right w:val="single" w:sz="8" w:color="auto"/>
            </w:tcBorders>
          </w:tcPr>
          <w:p>
            <w:pPr>
              <w:jc w:val="right"/>
              <w:ind w:right="346"/>
              <w:spacing w:after="0"/>
              <w:rPr>
                <w:sz w:val="20"/>
                <w:szCs w:val="20"/>
                <w:color w:val="auto"/>
              </w:rPr>
            </w:pPr>
            <w:r>
              <w:rPr>
                <w:rFonts w:ascii="Calibri" w:cs="Calibri" w:eastAsia="Calibri" w:hAnsi="Calibri"/>
                <w:sz w:val="10"/>
                <w:szCs w:val="10"/>
                <w:color w:val="auto"/>
              </w:rPr>
              <w:t>108</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-6885940</wp:posOffset>
            </wp:positionV>
            <wp:extent cx="1016000" cy="141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Calibri" w:cs="Calibri" w:eastAsia="Calibri" w:hAnsi="Calibri"/>
          <w:sz w:val="11"/>
          <w:szCs w:val="11"/>
          <w:color w:val="auto"/>
        </w:rPr>
        <w:t>(1) Includes Banco de la Nacion branches, which in December 23 were 36, in September 24 were 36 and in December 24 were 36.</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65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291" w:lineRule="exact"/>
        <w:rPr>
          <w:sz w:val="20"/>
          <w:szCs w:val="20"/>
          <w:color w:val="auto"/>
        </w:rPr>
      </w:pPr>
    </w:p>
    <w:p>
      <w:pPr>
        <w:ind w:left="80"/>
        <w:spacing w:after="0"/>
        <w:rPr>
          <w:sz w:val="20"/>
          <w:szCs w:val="20"/>
          <w:color w:val="auto"/>
        </w:rPr>
      </w:pPr>
      <w:r>
        <w:rPr>
          <w:rFonts w:ascii="Calibri" w:cs="Calibri" w:eastAsia="Calibri" w:hAnsi="Calibri"/>
          <w:sz w:val="19"/>
          <w:szCs w:val="19"/>
          <w:b w:val="1"/>
          <w:bCs w:val="1"/>
          <w:color w:val="FFFFFF"/>
        </w:rPr>
        <w:t>12. Appendix</w:t>
      </w:r>
    </w:p>
    <w:p>
      <w:pPr>
        <w:spacing w:after="0" w:line="2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12.6.7. Prima AFP</w:t>
      </w:r>
    </w:p>
    <w:p>
      <w:pPr>
        <w:spacing w:after="0" w:line="194"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of Financial Positon</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(In S/ thousands, IFRS)</w:t>
      </w:r>
    </w:p>
    <w:p>
      <w:pPr>
        <w:spacing w:after="0" w:line="191" w:lineRule="exact"/>
        <w:rPr>
          <w:sz w:val="20"/>
          <w:szCs w:val="20"/>
          <w:color w:val="auto"/>
        </w:rPr>
      </w:pPr>
    </w:p>
    <w:tbl>
      <w:tblPr>
        <w:tblLayout w:type="fixed"/>
        <w:tblInd w:w="330" w:type="dxa"/>
        <w:tblCellMar>
          <w:top w:w="0" w:type="dxa"/>
          <w:left w:w="0" w:type="dxa"/>
          <w:bottom w:w="0" w:type="dxa"/>
          <w:right w:w="0" w:type="dxa"/>
        </w:tblCellMar>
      </w:tblPr>
      <w:tr>
        <w:trPr>
          <w:trHeight w:val="157"/>
        </w:trPr>
        <w:tc>
          <w:tcPr>
            <w:tcW w:w="5460" w:type="dxa"/>
            <w:vAlign w:val="bottom"/>
            <w:tcBorders>
              <w:top w:val="single" w:sz="8" w:color="auto"/>
              <w:left w:val="single" w:sz="8" w:color="auto"/>
            </w:tcBorders>
            <w:shd w:val="clear" w:color="auto" w:fill="33CCCC"/>
          </w:tcPr>
          <w:p>
            <w:pPr>
              <w:spacing w:after="0"/>
              <w:rPr>
                <w:sz w:val="13"/>
                <w:szCs w:val="13"/>
                <w:color w:val="auto"/>
              </w:rPr>
            </w:pPr>
          </w:p>
        </w:tc>
        <w:tc>
          <w:tcPr>
            <w:tcW w:w="980" w:type="dxa"/>
            <w:vAlign w:val="bottom"/>
            <w:tcBorders>
              <w:top w:val="single" w:sz="8" w:color="auto"/>
            </w:tcBorders>
            <w:shd w:val="clear" w:color="auto" w:fill="33CCCC"/>
          </w:tcPr>
          <w:p>
            <w:pPr>
              <w:spacing w:after="0"/>
              <w:rPr>
                <w:sz w:val="13"/>
                <w:szCs w:val="13"/>
                <w:color w:val="auto"/>
              </w:rPr>
            </w:pPr>
          </w:p>
        </w:tc>
        <w:tc>
          <w:tcPr>
            <w:tcW w:w="9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2"/>
                <w:szCs w:val="12"/>
                <w:b w:val="1"/>
                <w:bCs w:val="1"/>
                <w:color w:val="FFFFFF"/>
              </w:rPr>
              <w:t>As of</w:t>
            </w:r>
          </w:p>
        </w:tc>
        <w:tc>
          <w:tcPr>
            <w:tcW w:w="1000" w:type="dxa"/>
            <w:vAlign w:val="bottom"/>
            <w:tcBorders>
              <w:top w:val="single" w:sz="8" w:color="auto"/>
            </w:tcBorders>
            <w:shd w:val="clear" w:color="auto" w:fill="33CCCC"/>
          </w:tcPr>
          <w:p>
            <w:pPr>
              <w:spacing w:after="0"/>
              <w:rPr>
                <w:sz w:val="13"/>
                <w:szCs w:val="13"/>
                <w:color w:val="auto"/>
              </w:rPr>
            </w:pPr>
          </w:p>
        </w:tc>
        <w:tc>
          <w:tcPr>
            <w:tcW w:w="700" w:type="dxa"/>
            <w:vAlign w:val="bottom"/>
            <w:tcBorders>
              <w:top w:val="single" w:sz="8" w:color="auto"/>
            </w:tcBorders>
            <w:shd w:val="clear" w:color="auto" w:fill="33CCCC"/>
          </w:tcPr>
          <w:p>
            <w:pPr>
              <w:spacing w:after="0"/>
              <w:rPr>
                <w:sz w:val="13"/>
                <w:szCs w:val="13"/>
                <w:color w:val="auto"/>
              </w:rPr>
            </w:pPr>
          </w:p>
        </w:tc>
        <w:tc>
          <w:tcPr>
            <w:tcW w:w="1260" w:type="dxa"/>
            <w:vAlign w:val="bottom"/>
            <w:tcBorders>
              <w:top w:val="single" w:sz="8" w:color="auto"/>
            </w:tcBorders>
            <w:shd w:val="clear" w:color="auto" w:fill="33CCCC"/>
          </w:tcPr>
          <w:p>
            <w:pPr>
              <w:ind w:left="40"/>
              <w:spacing w:after="0"/>
              <w:rPr>
                <w:sz w:val="20"/>
                <w:szCs w:val="20"/>
                <w:color w:val="auto"/>
              </w:rPr>
            </w:pPr>
            <w:r>
              <w:rPr>
                <w:rFonts w:ascii="Calibri" w:cs="Calibri" w:eastAsia="Calibri" w:hAnsi="Calibri"/>
                <w:sz w:val="12"/>
                <w:szCs w:val="12"/>
                <w:b w:val="1"/>
                <w:bCs w:val="1"/>
                <w:color w:val="FFFFFF"/>
              </w:rPr>
              <w:t>% change</w:t>
            </w:r>
          </w:p>
        </w:tc>
        <w:tc>
          <w:tcPr>
            <w:tcW w:w="20" w:type="dxa"/>
            <w:vAlign w:val="bottom"/>
          </w:tcPr>
          <w:p>
            <w:pPr>
              <w:spacing w:after="0"/>
              <w:rPr>
                <w:sz w:val="13"/>
                <w:szCs w:val="13"/>
                <w:color w:val="auto"/>
              </w:rPr>
            </w:pPr>
          </w:p>
        </w:tc>
      </w:tr>
      <w:tr>
        <w:trPr>
          <w:trHeight w:val="144"/>
        </w:trPr>
        <w:tc>
          <w:tcPr>
            <w:tcW w:w="5460" w:type="dxa"/>
            <w:vAlign w:val="bottom"/>
            <w:tcBorders>
              <w:left w:val="single" w:sz="8" w:color="auto"/>
              <w:bottom w:val="single" w:sz="8" w:color="auto"/>
            </w:tcBorders>
            <w:shd w:val="clear" w:color="auto" w:fill="33CCCC"/>
          </w:tcPr>
          <w:p>
            <w:pPr>
              <w:spacing w:after="0"/>
              <w:rPr>
                <w:sz w:val="12"/>
                <w:szCs w:val="12"/>
                <w:color w:val="auto"/>
              </w:rPr>
            </w:pPr>
          </w:p>
        </w:tc>
        <w:tc>
          <w:tcPr>
            <w:tcW w:w="980" w:type="dxa"/>
            <w:vAlign w:val="bottom"/>
            <w:tcBorders>
              <w:bottom w:val="single" w:sz="8" w:color="auto"/>
            </w:tcBorders>
            <w:shd w:val="clear" w:color="auto" w:fill="33CCCC"/>
          </w:tcPr>
          <w:p>
            <w:pPr>
              <w:ind w:left="320"/>
              <w:spacing w:after="0" w:line="145" w:lineRule="exact"/>
              <w:rPr>
                <w:sz w:val="20"/>
                <w:szCs w:val="20"/>
                <w:color w:val="auto"/>
              </w:rPr>
            </w:pPr>
            <w:r>
              <w:rPr>
                <w:rFonts w:ascii="Calibri" w:cs="Calibri" w:eastAsia="Calibri" w:hAnsi="Calibri"/>
                <w:sz w:val="12"/>
                <w:szCs w:val="12"/>
                <w:b w:val="1"/>
                <w:bCs w:val="1"/>
                <w:color w:val="FFFFFF"/>
              </w:rPr>
              <w:t>Dec 23</w:t>
            </w:r>
          </w:p>
        </w:tc>
        <w:tc>
          <w:tcPr>
            <w:tcW w:w="980" w:type="dxa"/>
            <w:vAlign w:val="bottom"/>
            <w:tcBorders>
              <w:bottom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rPr>
              <w:t>Sep 24</w:t>
            </w:r>
          </w:p>
        </w:tc>
        <w:tc>
          <w:tcPr>
            <w:tcW w:w="1000" w:type="dxa"/>
            <w:vAlign w:val="bottom"/>
            <w:tcBorders>
              <w:bottom w:val="single" w:sz="8" w:color="auto"/>
            </w:tcBorders>
            <w:shd w:val="clear" w:color="auto" w:fill="33CCCC"/>
          </w:tcPr>
          <w:p>
            <w:pPr>
              <w:ind w:left="320"/>
              <w:spacing w:after="0" w:line="145" w:lineRule="exact"/>
              <w:rPr>
                <w:sz w:val="20"/>
                <w:szCs w:val="20"/>
                <w:color w:val="auto"/>
              </w:rPr>
            </w:pPr>
            <w:r>
              <w:rPr>
                <w:rFonts w:ascii="Calibri" w:cs="Calibri" w:eastAsia="Calibri" w:hAnsi="Calibri"/>
                <w:sz w:val="12"/>
                <w:szCs w:val="12"/>
                <w:b w:val="1"/>
                <w:bCs w:val="1"/>
                <w:color w:val="FFFFFF"/>
              </w:rPr>
              <w:t>Dec 24</w:t>
            </w:r>
          </w:p>
        </w:tc>
        <w:tc>
          <w:tcPr>
            <w:tcW w:w="700" w:type="dxa"/>
            <w:vAlign w:val="bottom"/>
            <w:tcBorders>
              <w:bottom w:val="single" w:sz="8" w:color="auto"/>
            </w:tcBorders>
            <w:shd w:val="clear" w:color="auto" w:fill="33CCCC"/>
          </w:tcPr>
          <w:p>
            <w:pPr>
              <w:ind w:left="360"/>
              <w:spacing w:after="0" w:line="145" w:lineRule="exact"/>
              <w:rPr>
                <w:sz w:val="20"/>
                <w:szCs w:val="20"/>
                <w:color w:val="auto"/>
              </w:rPr>
            </w:pPr>
            <w:r>
              <w:rPr>
                <w:rFonts w:ascii="Calibri" w:cs="Calibri" w:eastAsia="Calibri" w:hAnsi="Calibri"/>
                <w:sz w:val="12"/>
                <w:szCs w:val="12"/>
                <w:b w:val="1"/>
                <w:bCs w:val="1"/>
                <w:color w:val="FFFFFF"/>
              </w:rPr>
              <w:t>QoQ</w:t>
            </w:r>
          </w:p>
        </w:tc>
        <w:tc>
          <w:tcPr>
            <w:tcW w:w="1260" w:type="dxa"/>
            <w:vAlign w:val="bottom"/>
            <w:tcBorders>
              <w:bottom w:val="single" w:sz="8" w:color="auto"/>
            </w:tcBorders>
            <w:shd w:val="clear" w:color="auto" w:fill="33CCCC"/>
          </w:tcPr>
          <w:p>
            <w:pPr>
              <w:ind w:left="660"/>
              <w:spacing w:after="0" w:line="145" w:lineRule="exact"/>
              <w:rPr>
                <w:sz w:val="20"/>
                <w:szCs w:val="20"/>
                <w:color w:val="auto"/>
              </w:rPr>
            </w:pPr>
            <w:r>
              <w:rPr>
                <w:rFonts w:ascii="Calibri" w:cs="Calibri" w:eastAsia="Calibri" w:hAnsi="Calibri"/>
                <w:sz w:val="12"/>
                <w:szCs w:val="12"/>
                <w:b w:val="1"/>
                <w:bCs w:val="1"/>
                <w:color w:val="FFFFFF"/>
              </w:rPr>
              <w:t>YoY</w:t>
            </w:r>
          </w:p>
        </w:tc>
        <w:tc>
          <w:tcPr>
            <w:tcW w:w="20" w:type="dxa"/>
            <w:vAlign w:val="bottom"/>
            <w:tcBorders>
              <w:bottom w:val="single" w:sz="8" w:color="auto"/>
            </w:tcBorders>
            <w:shd w:val="clear" w:color="auto" w:fill="000000"/>
          </w:tcPr>
          <w:p>
            <w:pPr>
              <w:spacing w:after="0"/>
              <w:rPr>
                <w:sz w:val="12"/>
                <w:szCs w:val="12"/>
                <w:color w:val="auto"/>
              </w:rPr>
            </w:pPr>
          </w:p>
        </w:tc>
      </w:tr>
      <w:tr>
        <w:trPr>
          <w:trHeight w:val="127"/>
        </w:trPr>
        <w:tc>
          <w:tcPr>
            <w:tcW w:w="5460" w:type="dxa"/>
            <w:vAlign w:val="bottom"/>
            <w:tcBorders>
              <w:left w:val="single" w:sz="8" w:color="auto"/>
            </w:tcBorders>
          </w:tcPr>
          <w:p>
            <w:pPr>
              <w:ind w:left="180"/>
              <w:spacing w:after="0" w:line="127" w:lineRule="exact"/>
              <w:rPr>
                <w:sz w:val="20"/>
                <w:szCs w:val="20"/>
                <w:color w:val="auto"/>
              </w:rPr>
            </w:pPr>
            <w:r>
              <w:rPr>
                <w:rFonts w:ascii="Calibri" w:cs="Calibri" w:eastAsia="Calibri" w:hAnsi="Calibri"/>
                <w:sz w:val="12"/>
                <w:szCs w:val="12"/>
                <w:b w:val="1"/>
                <w:bCs w:val="1"/>
                <w:color w:val="auto"/>
              </w:rPr>
              <w:t>Cash and due from banks</w:t>
            </w:r>
          </w:p>
        </w:tc>
        <w:tc>
          <w:tcPr>
            <w:tcW w:w="980" w:type="dxa"/>
            <w:vAlign w:val="bottom"/>
          </w:tcPr>
          <w:p>
            <w:pPr>
              <w:jc w:val="center"/>
              <w:spacing w:after="0" w:line="127" w:lineRule="exact"/>
              <w:rPr>
                <w:sz w:val="20"/>
                <w:szCs w:val="20"/>
                <w:color w:val="auto"/>
              </w:rPr>
            </w:pPr>
            <w:r>
              <w:rPr>
                <w:rFonts w:ascii="Calibri" w:cs="Calibri" w:eastAsia="Calibri" w:hAnsi="Calibri"/>
                <w:sz w:val="12"/>
                <w:szCs w:val="12"/>
                <w:b w:val="1"/>
                <w:bCs w:val="1"/>
                <w:color w:val="auto"/>
              </w:rPr>
              <w:t>109,574</w:t>
            </w:r>
          </w:p>
        </w:tc>
        <w:tc>
          <w:tcPr>
            <w:tcW w:w="980" w:type="dxa"/>
            <w:vAlign w:val="bottom"/>
          </w:tcPr>
          <w:p>
            <w:pPr>
              <w:jc w:val="center"/>
              <w:spacing w:after="0" w:line="127" w:lineRule="exact"/>
              <w:rPr>
                <w:sz w:val="20"/>
                <w:szCs w:val="20"/>
                <w:color w:val="auto"/>
              </w:rPr>
            </w:pPr>
            <w:r>
              <w:rPr>
                <w:rFonts w:ascii="Calibri" w:cs="Calibri" w:eastAsia="Calibri" w:hAnsi="Calibri"/>
                <w:sz w:val="12"/>
                <w:szCs w:val="12"/>
                <w:b w:val="1"/>
                <w:bCs w:val="1"/>
                <w:color w:val="auto"/>
              </w:rPr>
              <w:t>144,402</w:t>
            </w:r>
          </w:p>
        </w:tc>
        <w:tc>
          <w:tcPr>
            <w:tcW w:w="1000" w:type="dxa"/>
            <w:vAlign w:val="bottom"/>
          </w:tcPr>
          <w:p>
            <w:pPr>
              <w:jc w:val="center"/>
              <w:spacing w:after="0" w:line="127" w:lineRule="exact"/>
              <w:rPr>
                <w:sz w:val="20"/>
                <w:szCs w:val="20"/>
                <w:color w:val="auto"/>
              </w:rPr>
            </w:pPr>
            <w:r>
              <w:rPr>
                <w:rFonts w:ascii="Calibri" w:cs="Calibri" w:eastAsia="Calibri" w:hAnsi="Calibri"/>
                <w:sz w:val="12"/>
                <w:szCs w:val="12"/>
                <w:b w:val="1"/>
                <w:bCs w:val="1"/>
                <w:color w:val="auto"/>
              </w:rPr>
              <w:t>123,278</w:t>
            </w:r>
          </w:p>
        </w:tc>
        <w:tc>
          <w:tcPr>
            <w:tcW w:w="700" w:type="dxa"/>
            <w:vAlign w:val="bottom"/>
          </w:tcPr>
          <w:p>
            <w:pPr>
              <w:jc w:val="center"/>
              <w:ind w:left="179"/>
              <w:spacing w:after="0" w:line="127" w:lineRule="exact"/>
              <w:rPr>
                <w:sz w:val="20"/>
                <w:szCs w:val="20"/>
                <w:color w:val="auto"/>
              </w:rPr>
            </w:pPr>
            <w:r>
              <w:rPr>
                <w:rFonts w:ascii="Calibri" w:cs="Calibri" w:eastAsia="Calibri" w:hAnsi="Calibri"/>
                <w:sz w:val="12"/>
                <w:szCs w:val="12"/>
                <w:b w:val="1"/>
                <w:bCs w:val="1"/>
                <w:color w:val="auto"/>
              </w:rPr>
              <w:t>-14.6%</w:t>
            </w:r>
          </w:p>
        </w:tc>
        <w:tc>
          <w:tcPr>
            <w:tcW w:w="1260" w:type="dxa"/>
            <w:vAlign w:val="bottom"/>
          </w:tcPr>
          <w:p>
            <w:pPr>
              <w:jc w:val="center"/>
              <w:ind w:left="199"/>
              <w:spacing w:after="0" w:line="127" w:lineRule="exact"/>
              <w:rPr>
                <w:sz w:val="20"/>
                <w:szCs w:val="20"/>
                <w:color w:val="auto"/>
              </w:rPr>
            </w:pPr>
            <w:r>
              <w:rPr>
                <w:rFonts w:ascii="Calibri" w:cs="Calibri" w:eastAsia="Calibri" w:hAnsi="Calibri"/>
                <w:sz w:val="12"/>
                <w:szCs w:val="12"/>
                <w:b w:val="1"/>
                <w:bCs w:val="1"/>
                <w:color w:val="auto"/>
              </w:rPr>
              <w:t>12.5%</w:t>
            </w:r>
          </w:p>
        </w:tc>
        <w:tc>
          <w:tcPr>
            <w:tcW w:w="20" w:type="dxa"/>
            <w:vAlign w:val="bottom"/>
            <w:shd w:val="clear" w:color="auto" w:fill="000000"/>
          </w:tcPr>
          <w:p>
            <w:pPr>
              <w:spacing w:after="0"/>
              <w:rPr>
                <w:sz w:val="11"/>
                <w:szCs w:val="11"/>
                <w:color w:val="auto"/>
              </w:rPr>
            </w:pPr>
          </w:p>
        </w:tc>
      </w:tr>
      <w:tr>
        <w:trPr>
          <w:trHeight w:val="144"/>
        </w:trPr>
        <w:tc>
          <w:tcPr>
            <w:tcW w:w="5460" w:type="dxa"/>
            <w:vAlign w:val="bottom"/>
            <w:tcBorders>
              <w:left w:val="single" w:sz="8" w:color="auto"/>
            </w:tcBorders>
          </w:tcPr>
          <w:p>
            <w:pPr>
              <w:ind w:left="320"/>
              <w:spacing w:after="0" w:line="145" w:lineRule="exact"/>
              <w:rPr>
                <w:sz w:val="20"/>
                <w:szCs w:val="20"/>
                <w:color w:val="auto"/>
              </w:rPr>
            </w:pPr>
            <w:r>
              <w:rPr>
                <w:rFonts w:ascii="Calibri" w:cs="Calibri" w:eastAsia="Calibri" w:hAnsi="Calibri"/>
                <w:sz w:val="12"/>
                <w:szCs w:val="12"/>
                <w:color w:val="auto"/>
              </w:rPr>
              <w:t>Non-interest bearing</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6,176</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w w:val="94"/>
              </w:rPr>
              <w:t>4,555</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3,779</w:t>
            </w:r>
          </w:p>
        </w:tc>
        <w:tc>
          <w:tcPr>
            <w:tcW w:w="700" w:type="dxa"/>
            <w:vAlign w:val="bottom"/>
          </w:tcPr>
          <w:p>
            <w:pPr>
              <w:jc w:val="center"/>
              <w:ind w:left="179"/>
              <w:spacing w:after="0" w:line="145" w:lineRule="exact"/>
              <w:rPr>
                <w:sz w:val="20"/>
                <w:szCs w:val="20"/>
                <w:color w:val="auto"/>
              </w:rPr>
            </w:pPr>
            <w:r>
              <w:rPr>
                <w:rFonts w:ascii="Calibri" w:cs="Calibri" w:eastAsia="Calibri" w:hAnsi="Calibri"/>
                <w:sz w:val="12"/>
                <w:szCs w:val="12"/>
                <w:color w:val="auto"/>
              </w:rPr>
              <w:t>-17.0%</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-38.8%</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320"/>
              <w:spacing w:after="0" w:line="145" w:lineRule="exact"/>
              <w:rPr>
                <w:sz w:val="20"/>
                <w:szCs w:val="20"/>
                <w:color w:val="auto"/>
              </w:rPr>
            </w:pPr>
            <w:r>
              <w:rPr>
                <w:rFonts w:ascii="Calibri" w:cs="Calibri" w:eastAsia="Calibri" w:hAnsi="Calibri"/>
                <w:sz w:val="12"/>
                <w:szCs w:val="12"/>
                <w:color w:val="auto"/>
              </w:rPr>
              <w:t>Interest bearing</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103,398</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139,847</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119,499</w:t>
            </w:r>
          </w:p>
        </w:tc>
        <w:tc>
          <w:tcPr>
            <w:tcW w:w="700" w:type="dxa"/>
            <w:vAlign w:val="bottom"/>
          </w:tcPr>
          <w:p>
            <w:pPr>
              <w:jc w:val="center"/>
              <w:ind w:left="179"/>
              <w:spacing w:after="0" w:line="145" w:lineRule="exact"/>
              <w:rPr>
                <w:sz w:val="20"/>
                <w:szCs w:val="20"/>
                <w:color w:val="auto"/>
              </w:rPr>
            </w:pPr>
            <w:r>
              <w:rPr>
                <w:rFonts w:ascii="Calibri" w:cs="Calibri" w:eastAsia="Calibri" w:hAnsi="Calibri"/>
                <w:sz w:val="12"/>
                <w:szCs w:val="12"/>
                <w:color w:val="auto"/>
              </w:rPr>
              <w:t>-14.6%</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15.6%</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320"/>
              <w:spacing w:after="0" w:line="145" w:lineRule="exact"/>
              <w:rPr>
                <w:sz w:val="20"/>
                <w:szCs w:val="20"/>
                <w:color w:val="auto"/>
              </w:rPr>
            </w:pPr>
            <w:r>
              <w:rPr>
                <w:rFonts w:ascii="Calibri" w:cs="Calibri" w:eastAsia="Calibri" w:hAnsi="Calibri"/>
                <w:sz w:val="12"/>
                <w:szCs w:val="12"/>
                <w:color w:val="auto"/>
              </w:rPr>
              <w:t>Fair value through proft or loss investments</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333,577</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317,682</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306,759</w:t>
            </w:r>
          </w:p>
        </w:tc>
        <w:tc>
          <w:tcPr>
            <w:tcW w:w="70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-3.4%</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-8.0%</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320"/>
              <w:spacing w:after="0" w:line="145" w:lineRule="exact"/>
              <w:rPr>
                <w:sz w:val="20"/>
                <w:szCs w:val="20"/>
                <w:color w:val="auto"/>
              </w:rPr>
            </w:pPr>
            <w:r>
              <w:rPr>
                <w:rFonts w:ascii="Calibri" w:cs="Calibri" w:eastAsia="Calibri" w:hAnsi="Calibri"/>
                <w:sz w:val="12"/>
                <w:szCs w:val="12"/>
                <w:color w:val="auto"/>
              </w:rPr>
              <w:t>Fair value through other comprehensive income investments</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687</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w w:val="94"/>
              </w:rPr>
              <w:t>1,171</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1,218</w:t>
            </w:r>
          </w:p>
        </w:tc>
        <w:tc>
          <w:tcPr>
            <w:tcW w:w="70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4.0%</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77.3%</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Property, plant and equipment, net</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9,700</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w w:val="94"/>
              </w:rPr>
              <w:t>7,638</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7,347</w:t>
            </w:r>
          </w:p>
        </w:tc>
        <w:tc>
          <w:tcPr>
            <w:tcW w:w="70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-3.8%</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-24.3%</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Other Assets</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287,191</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260,067</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219,369</w:t>
            </w:r>
          </w:p>
        </w:tc>
        <w:tc>
          <w:tcPr>
            <w:tcW w:w="700" w:type="dxa"/>
            <w:vAlign w:val="bottom"/>
          </w:tcPr>
          <w:p>
            <w:pPr>
              <w:jc w:val="center"/>
              <w:ind w:left="179"/>
              <w:spacing w:after="0" w:line="145" w:lineRule="exact"/>
              <w:rPr>
                <w:sz w:val="20"/>
                <w:szCs w:val="20"/>
                <w:color w:val="auto"/>
              </w:rPr>
            </w:pPr>
            <w:r>
              <w:rPr>
                <w:rFonts w:ascii="Calibri" w:cs="Calibri" w:eastAsia="Calibri" w:hAnsi="Calibri"/>
                <w:sz w:val="12"/>
                <w:szCs w:val="12"/>
                <w:color w:val="auto"/>
              </w:rPr>
              <w:t>-15.6%</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-23.6%</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Total Assets</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740,729</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730,960</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b w:val="1"/>
                <w:bCs w:val="1"/>
                <w:color w:val="auto"/>
              </w:rPr>
              <w:t>657,971</w:t>
            </w:r>
          </w:p>
        </w:tc>
        <w:tc>
          <w:tcPr>
            <w:tcW w:w="700" w:type="dxa"/>
            <w:vAlign w:val="bottom"/>
          </w:tcPr>
          <w:p>
            <w:pPr>
              <w:jc w:val="center"/>
              <w:ind w:left="179"/>
              <w:spacing w:after="0" w:line="145" w:lineRule="exact"/>
              <w:rPr>
                <w:sz w:val="20"/>
                <w:szCs w:val="20"/>
                <w:color w:val="auto"/>
              </w:rPr>
            </w:pPr>
            <w:r>
              <w:rPr>
                <w:rFonts w:ascii="Calibri" w:cs="Calibri" w:eastAsia="Calibri" w:hAnsi="Calibri"/>
                <w:sz w:val="12"/>
                <w:szCs w:val="12"/>
                <w:b w:val="1"/>
                <w:bCs w:val="1"/>
                <w:color w:val="auto"/>
              </w:rPr>
              <w:t>-10.0%</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b w:val="1"/>
                <w:bCs w:val="1"/>
                <w:color w:val="auto"/>
              </w:rPr>
              <w:t>-11.2%</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Due to banks and correspondents</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w w:val="97"/>
              </w:rPr>
              <w:t>7</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w w:val="97"/>
              </w:rPr>
              <w:t>6</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w w:val="98"/>
              </w:rPr>
              <w:t>22</w:t>
            </w:r>
          </w:p>
        </w:tc>
        <w:tc>
          <w:tcPr>
            <w:tcW w:w="70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266.7%</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214.3%</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Lease payable</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6,254</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w w:val="94"/>
              </w:rPr>
              <w:t>4,203</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3,723</w:t>
            </w:r>
          </w:p>
        </w:tc>
        <w:tc>
          <w:tcPr>
            <w:tcW w:w="700" w:type="dxa"/>
            <w:vAlign w:val="bottom"/>
          </w:tcPr>
          <w:p>
            <w:pPr>
              <w:jc w:val="center"/>
              <w:ind w:left="179"/>
              <w:spacing w:after="0" w:line="145" w:lineRule="exact"/>
              <w:rPr>
                <w:sz w:val="20"/>
                <w:szCs w:val="20"/>
                <w:color w:val="auto"/>
              </w:rPr>
            </w:pPr>
            <w:r>
              <w:rPr>
                <w:rFonts w:ascii="Calibri" w:cs="Calibri" w:eastAsia="Calibri" w:hAnsi="Calibri"/>
                <w:sz w:val="12"/>
                <w:szCs w:val="12"/>
                <w:color w:val="auto"/>
              </w:rPr>
              <w:t>-11.4%</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-40.5%</w:t>
            </w:r>
          </w:p>
        </w:tc>
        <w:tc>
          <w:tcPr>
            <w:tcW w:w="20" w:type="dxa"/>
            <w:vAlign w:val="bottom"/>
            <w:shd w:val="clear" w:color="auto" w:fill="000000"/>
          </w:tcPr>
          <w:p>
            <w:pPr>
              <w:spacing w:after="0"/>
              <w:rPr>
                <w:sz w:val="12"/>
                <w:szCs w:val="12"/>
                <w:color w:val="auto"/>
              </w:rPr>
            </w:pPr>
          </w:p>
        </w:tc>
      </w:tr>
      <w:tr>
        <w:trPr>
          <w:trHeight w:val="144"/>
        </w:trPr>
        <w:tc>
          <w:tcPr>
            <w:tcW w:w="54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Other liabilites</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234,396</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212,464</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178,674</w:t>
            </w:r>
          </w:p>
        </w:tc>
        <w:tc>
          <w:tcPr>
            <w:tcW w:w="700" w:type="dxa"/>
            <w:vAlign w:val="bottom"/>
          </w:tcPr>
          <w:p>
            <w:pPr>
              <w:jc w:val="center"/>
              <w:ind w:left="179"/>
              <w:spacing w:after="0" w:line="145" w:lineRule="exact"/>
              <w:rPr>
                <w:sz w:val="20"/>
                <w:szCs w:val="20"/>
                <w:color w:val="auto"/>
              </w:rPr>
            </w:pPr>
            <w:r>
              <w:rPr>
                <w:rFonts w:ascii="Calibri" w:cs="Calibri" w:eastAsia="Calibri" w:hAnsi="Calibri"/>
                <w:sz w:val="12"/>
                <w:szCs w:val="12"/>
                <w:color w:val="auto"/>
              </w:rPr>
              <w:t>-15.9%</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-23.8%</w:t>
            </w:r>
          </w:p>
        </w:tc>
        <w:tc>
          <w:tcPr>
            <w:tcW w:w="20" w:type="dxa"/>
            <w:vAlign w:val="bottom"/>
            <w:shd w:val="clear" w:color="auto" w:fill="000000"/>
          </w:tcPr>
          <w:p>
            <w:pPr>
              <w:spacing w:after="0"/>
              <w:rPr>
                <w:sz w:val="12"/>
                <w:szCs w:val="12"/>
                <w:color w:val="auto"/>
              </w:rPr>
            </w:pPr>
          </w:p>
        </w:tc>
      </w:tr>
      <w:tr>
        <w:trPr>
          <w:trHeight w:val="146"/>
        </w:trPr>
        <w:tc>
          <w:tcPr>
            <w:tcW w:w="5460" w:type="dxa"/>
            <w:vAlign w:val="bottom"/>
            <w:tcBorders>
              <w:left w:val="single" w:sz="8" w:color="auto"/>
            </w:tcBorders>
          </w:tcPr>
          <w:p>
            <w:pPr>
              <w:ind w:left="20"/>
              <w:spacing w:after="0"/>
              <w:rPr>
                <w:sz w:val="20"/>
                <w:szCs w:val="20"/>
                <w:color w:val="auto"/>
              </w:rPr>
            </w:pPr>
            <w:r>
              <w:rPr>
                <w:rFonts w:ascii="Calibri" w:cs="Calibri" w:eastAsia="Calibri" w:hAnsi="Calibri"/>
                <w:sz w:val="12"/>
                <w:szCs w:val="12"/>
                <w:b w:val="1"/>
                <w:bCs w:val="1"/>
                <w:color w:val="auto"/>
              </w:rPr>
              <w:t>Total Liabilites</w:t>
            </w:r>
          </w:p>
        </w:tc>
        <w:tc>
          <w:tcPr>
            <w:tcW w:w="980" w:type="dxa"/>
            <w:vAlign w:val="bottom"/>
          </w:tcPr>
          <w:p>
            <w:pPr>
              <w:jc w:val="center"/>
              <w:spacing w:after="0"/>
              <w:rPr>
                <w:sz w:val="20"/>
                <w:szCs w:val="20"/>
                <w:color w:val="auto"/>
              </w:rPr>
            </w:pPr>
            <w:r>
              <w:rPr>
                <w:rFonts w:ascii="Calibri" w:cs="Calibri" w:eastAsia="Calibri" w:hAnsi="Calibri"/>
                <w:sz w:val="12"/>
                <w:szCs w:val="12"/>
                <w:b w:val="1"/>
                <w:bCs w:val="1"/>
                <w:color w:val="auto"/>
              </w:rPr>
              <w:t>240,657</w:t>
            </w:r>
          </w:p>
        </w:tc>
        <w:tc>
          <w:tcPr>
            <w:tcW w:w="980" w:type="dxa"/>
            <w:vAlign w:val="bottom"/>
          </w:tcPr>
          <w:p>
            <w:pPr>
              <w:jc w:val="center"/>
              <w:spacing w:after="0"/>
              <w:rPr>
                <w:sz w:val="20"/>
                <w:szCs w:val="20"/>
                <w:color w:val="auto"/>
              </w:rPr>
            </w:pPr>
            <w:r>
              <w:rPr>
                <w:rFonts w:ascii="Calibri" w:cs="Calibri" w:eastAsia="Calibri" w:hAnsi="Calibri"/>
                <w:sz w:val="12"/>
                <w:szCs w:val="12"/>
                <w:b w:val="1"/>
                <w:bCs w:val="1"/>
                <w:color w:val="auto"/>
              </w:rPr>
              <w:t>216,673</w:t>
            </w:r>
          </w:p>
        </w:tc>
        <w:tc>
          <w:tcPr>
            <w:tcW w:w="1000" w:type="dxa"/>
            <w:vAlign w:val="bottom"/>
          </w:tcPr>
          <w:p>
            <w:pPr>
              <w:jc w:val="center"/>
              <w:spacing w:after="0"/>
              <w:rPr>
                <w:sz w:val="20"/>
                <w:szCs w:val="20"/>
                <w:color w:val="auto"/>
              </w:rPr>
            </w:pPr>
            <w:r>
              <w:rPr>
                <w:rFonts w:ascii="Calibri" w:cs="Calibri" w:eastAsia="Calibri" w:hAnsi="Calibri"/>
                <w:sz w:val="12"/>
                <w:szCs w:val="12"/>
                <w:b w:val="1"/>
                <w:bCs w:val="1"/>
                <w:color w:val="auto"/>
              </w:rPr>
              <w:t>182,419</w:t>
            </w:r>
          </w:p>
        </w:tc>
        <w:tc>
          <w:tcPr>
            <w:tcW w:w="700" w:type="dxa"/>
            <w:vAlign w:val="bottom"/>
          </w:tcPr>
          <w:p>
            <w:pPr>
              <w:jc w:val="center"/>
              <w:ind w:left="179"/>
              <w:spacing w:after="0"/>
              <w:rPr>
                <w:sz w:val="20"/>
                <w:szCs w:val="20"/>
                <w:color w:val="auto"/>
              </w:rPr>
            </w:pPr>
            <w:r>
              <w:rPr>
                <w:rFonts w:ascii="Calibri" w:cs="Calibri" w:eastAsia="Calibri" w:hAnsi="Calibri"/>
                <w:sz w:val="12"/>
                <w:szCs w:val="12"/>
                <w:b w:val="1"/>
                <w:bCs w:val="1"/>
                <w:color w:val="auto"/>
              </w:rPr>
              <w:t>-15.8%</w:t>
            </w:r>
          </w:p>
        </w:tc>
        <w:tc>
          <w:tcPr>
            <w:tcW w:w="1260" w:type="dxa"/>
            <w:vAlign w:val="bottom"/>
          </w:tcPr>
          <w:p>
            <w:pPr>
              <w:jc w:val="center"/>
              <w:ind w:left="199"/>
              <w:spacing w:after="0"/>
              <w:rPr>
                <w:sz w:val="20"/>
                <w:szCs w:val="20"/>
                <w:color w:val="auto"/>
              </w:rPr>
            </w:pPr>
            <w:r>
              <w:rPr>
                <w:rFonts w:ascii="Calibri" w:cs="Calibri" w:eastAsia="Calibri" w:hAnsi="Calibri"/>
                <w:sz w:val="12"/>
                <w:szCs w:val="12"/>
                <w:b w:val="1"/>
                <w:bCs w:val="1"/>
                <w:color w:val="auto"/>
              </w:rPr>
              <w:t>-24.2%</w:t>
            </w:r>
          </w:p>
        </w:tc>
        <w:tc>
          <w:tcPr>
            <w:tcW w:w="20" w:type="dxa"/>
            <w:vAlign w:val="bottom"/>
            <w:shd w:val="clear" w:color="auto" w:fill="000000"/>
          </w:tcPr>
          <w:p>
            <w:pPr>
              <w:spacing w:after="0"/>
              <w:rPr>
                <w:sz w:val="12"/>
                <w:szCs w:val="12"/>
                <w:color w:val="auto"/>
              </w:rPr>
            </w:pPr>
          </w:p>
        </w:tc>
      </w:tr>
      <w:tr>
        <w:trPr>
          <w:trHeight w:val="287"/>
        </w:trPr>
        <w:tc>
          <w:tcPr>
            <w:tcW w:w="5460" w:type="dxa"/>
            <w:vAlign w:val="bottom"/>
            <w:tcBorders>
              <w:left w:val="single" w:sz="8" w:color="auto"/>
            </w:tcBorders>
          </w:tcPr>
          <w:p>
            <w:pPr>
              <w:ind w:left="180"/>
              <w:spacing w:after="0"/>
              <w:rPr>
                <w:sz w:val="20"/>
                <w:szCs w:val="20"/>
                <w:color w:val="auto"/>
              </w:rPr>
            </w:pPr>
            <w:r>
              <w:rPr>
                <w:rFonts w:ascii="Calibri" w:cs="Calibri" w:eastAsia="Calibri" w:hAnsi="Calibri"/>
                <w:sz w:val="12"/>
                <w:szCs w:val="12"/>
                <w:color w:val="auto"/>
              </w:rPr>
              <w:t>Capital stock</w:t>
            </w:r>
          </w:p>
        </w:tc>
        <w:tc>
          <w:tcPr>
            <w:tcW w:w="980" w:type="dxa"/>
            <w:vAlign w:val="bottom"/>
          </w:tcPr>
          <w:p>
            <w:pPr>
              <w:jc w:val="center"/>
              <w:spacing w:after="0"/>
              <w:rPr>
                <w:sz w:val="20"/>
                <w:szCs w:val="20"/>
                <w:color w:val="auto"/>
              </w:rPr>
            </w:pPr>
            <w:r>
              <w:rPr>
                <w:rFonts w:ascii="Calibri" w:cs="Calibri" w:eastAsia="Calibri" w:hAnsi="Calibri"/>
                <w:sz w:val="12"/>
                <w:szCs w:val="12"/>
                <w:color w:val="auto"/>
              </w:rPr>
              <w:t>40,505</w:t>
            </w:r>
          </w:p>
        </w:tc>
        <w:tc>
          <w:tcPr>
            <w:tcW w:w="980" w:type="dxa"/>
            <w:vAlign w:val="bottom"/>
          </w:tcPr>
          <w:p>
            <w:pPr>
              <w:jc w:val="center"/>
              <w:spacing w:after="0"/>
              <w:rPr>
                <w:sz w:val="20"/>
                <w:szCs w:val="20"/>
                <w:color w:val="auto"/>
              </w:rPr>
            </w:pPr>
            <w:r>
              <w:rPr>
                <w:rFonts w:ascii="Calibri" w:cs="Calibri" w:eastAsia="Calibri" w:hAnsi="Calibri"/>
                <w:sz w:val="12"/>
                <w:szCs w:val="12"/>
                <w:color w:val="auto"/>
              </w:rPr>
              <w:t>40,505</w:t>
            </w:r>
          </w:p>
        </w:tc>
        <w:tc>
          <w:tcPr>
            <w:tcW w:w="1000" w:type="dxa"/>
            <w:vAlign w:val="bottom"/>
          </w:tcPr>
          <w:p>
            <w:pPr>
              <w:jc w:val="center"/>
              <w:spacing w:after="0"/>
              <w:rPr>
                <w:sz w:val="20"/>
                <w:szCs w:val="20"/>
                <w:color w:val="auto"/>
              </w:rPr>
            </w:pPr>
            <w:r>
              <w:rPr>
                <w:rFonts w:ascii="Calibri" w:cs="Calibri" w:eastAsia="Calibri" w:hAnsi="Calibri"/>
                <w:sz w:val="12"/>
                <w:szCs w:val="12"/>
                <w:color w:val="auto"/>
              </w:rPr>
              <w:t>40,505</w:t>
            </w:r>
          </w:p>
        </w:tc>
        <w:tc>
          <w:tcPr>
            <w:tcW w:w="700" w:type="dxa"/>
            <w:vAlign w:val="bottom"/>
          </w:tcPr>
          <w:p>
            <w:pPr>
              <w:jc w:val="center"/>
              <w:ind w:left="199"/>
              <w:spacing w:after="0"/>
              <w:rPr>
                <w:sz w:val="20"/>
                <w:szCs w:val="20"/>
                <w:color w:val="auto"/>
              </w:rPr>
            </w:pPr>
            <w:r>
              <w:rPr>
                <w:rFonts w:ascii="Calibri" w:cs="Calibri" w:eastAsia="Calibri" w:hAnsi="Calibri"/>
                <w:sz w:val="12"/>
                <w:szCs w:val="12"/>
                <w:color w:val="auto"/>
              </w:rPr>
              <w:t>0.0%</w:t>
            </w:r>
          </w:p>
        </w:tc>
        <w:tc>
          <w:tcPr>
            <w:tcW w:w="1260" w:type="dxa"/>
            <w:vAlign w:val="bottom"/>
          </w:tcPr>
          <w:p>
            <w:pPr>
              <w:jc w:val="center"/>
              <w:ind w:left="199"/>
              <w:spacing w:after="0"/>
              <w:rPr>
                <w:sz w:val="20"/>
                <w:szCs w:val="20"/>
                <w:color w:val="auto"/>
              </w:rPr>
            </w:pPr>
            <w:r>
              <w:rPr>
                <w:rFonts w:ascii="Calibri" w:cs="Calibri" w:eastAsia="Calibri" w:hAnsi="Calibri"/>
                <w:sz w:val="12"/>
                <w:szCs w:val="12"/>
                <w:color w:val="auto"/>
              </w:rPr>
              <w:t>0.0%</w:t>
            </w:r>
          </w:p>
        </w:tc>
        <w:tc>
          <w:tcPr>
            <w:tcW w:w="20" w:type="dxa"/>
            <w:vAlign w:val="bottom"/>
            <w:shd w:val="clear" w:color="auto" w:fill="000000"/>
          </w:tcPr>
          <w:p>
            <w:pPr>
              <w:spacing w:after="0"/>
              <w:rPr>
                <w:sz w:val="24"/>
                <w:szCs w:val="24"/>
                <w:color w:val="auto"/>
              </w:rPr>
            </w:pPr>
          </w:p>
        </w:tc>
      </w:tr>
      <w:tr>
        <w:trPr>
          <w:trHeight w:val="144"/>
        </w:trPr>
        <w:tc>
          <w:tcPr>
            <w:tcW w:w="54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Reserves</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20,243</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20,243</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20,243</w:t>
            </w:r>
          </w:p>
        </w:tc>
        <w:tc>
          <w:tcPr>
            <w:tcW w:w="70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0.0%</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0.0%</w:t>
            </w:r>
          </w:p>
        </w:tc>
        <w:tc>
          <w:tcPr>
            <w:tcW w:w="20" w:type="dxa"/>
            <w:vAlign w:val="bottom"/>
            <w:shd w:val="clear" w:color="auto" w:fill="000000"/>
          </w:tcPr>
          <w:p>
            <w:pPr>
              <w:spacing w:after="0"/>
              <w:rPr>
                <w:sz w:val="12"/>
                <w:szCs w:val="12"/>
                <w:color w:val="auto"/>
              </w:rPr>
            </w:pPr>
          </w:p>
        </w:tc>
      </w:tr>
      <w:tr>
        <w:trPr>
          <w:trHeight w:val="146"/>
        </w:trPr>
        <w:tc>
          <w:tcPr>
            <w:tcW w:w="5460" w:type="dxa"/>
            <w:vAlign w:val="bottom"/>
            <w:tcBorders>
              <w:left w:val="single" w:sz="8" w:color="auto"/>
            </w:tcBorders>
          </w:tcPr>
          <w:p>
            <w:pPr>
              <w:ind w:left="180"/>
              <w:spacing w:after="0"/>
              <w:rPr>
                <w:sz w:val="20"/>
                <w:szCs w:val="20"/>
                <w:color w:val="auto"/>
              </w:rPr>
            </w:pPr>
            <w:r>
              <w:rPr>
                <w:rFonts w:ascii="Calibri" w:cs="Calibri" w:eastAsia="Calibri" w:hAnsi="Calibri"/>
                <w:sz w:val="12"/>
                <w:szCs w:val="12"/>
                <w:color w:val="auto"/>
              </w:rPr>
              <w:t>Other reserves</w:t>
            </w:r>
          </w:p>
        </w:tc>
        <w:tc>
          <w:tcPr>
            <w:tcW w:w="980" w:type="dxa"/>
            <w:vAlign w:val="bottom"/>
          </w:tcPr>
          <w:p>
            <w:pPr>
              <w:jc w:val="center"/>
              <w:spacing w:after="0"/>
              <w:rPr>
                <w:sz w:val="20"/>
                <w:szCs w:val="20"/>
                <w:color w:val="auto"/>
              </w:rPr>
            </w:pPr>
            <w:r>
              <w:rPr>
                <w:rFonts w:ascii="Calibri" w:cs="Calibri" w:eastAsia="Calibri" w:hAnsi="Calibri"/>
                <w:sz w:val="12"/>
                <w:szCs w:val="12"/>
                <w:color w:val="auto"/>
                <w:w w:val="98"/>
              </w:rPr>
              <w:t>178</w:t>
            </w:r>
          </w:p>
        </w:tc>
        <w:tc>
          <w:tcPr>
            <w:tcW w:w="980" w:type="dxa"/>
            <w:vAlign w:val="bottom"/>
          </w:tcPr>
          <w:p>
            <w:pPr>
              <w:jc w:val="center"/>
              <w:spacing w:after="0"/>
              <w:rPr>
                <w:sz w:val="20"/>
                <w:szCs w:val="20"/>
                <w:color w:val="auto"/>
              </w:rPr>
            </w:pPr>
            <w:r>
              <w:rPr>
                <w:rFonts w:ascii="Calibri" w:cs="Calibri" w:eastAsia="Calibri" w:hAnsi="Calibri"/>
                <w:sz w:val="12"/>
                <w:szCs w:val="12"/>
                <w:color w:val="auto"/>
                <w:w w:val="98"/>
              </w:rPr>
              <w:t>425</w:t>
            </w:r>
          </w:p>
        </w:tc>
        <w:tc>
          <w:tcPr>
            <w:tcW w:w="1000" w:type="dxa"/>
            <w:vAlign w:val="bottom"/>
          </w:tcPr>
          <w:p>
            <w:pPr>
              <w:jc w:val="center"/>
              <w:spacing w:after="0"/>
              <w:rPr>
                <w:sz w:val="20"/>
                <w:szCs w:val="20"/>
                <w:color w:val="auto"/>
              </w:rPr>
            </w:pPr>
            <w:r>
              <w:rPr>
                <w:rFonts w:ascii="Calibri" w:cs="Calibri" w:eastAsia="Calibri" w:hAnsi="Calibri"/>
                <w:sz w:val="12"/>
                <w:szCs w:val="12"/>
                <w:color w:val="auto"/>
                <w:w w:val="98"/>
              </w:rPr>
              <w:t>459</w:t>
            </w:r>
          </w:p>
        </w:tc>
        <w:tc>
          <w:tcPr>
            <w:tcW w:w="700" w:type="dxa"/>
            <w:vAlign w:val="bottom"/>
          </w:tcPr>
          <w:p>
            <w:pPr>
              <w:jc w:val="center"/>
              <w:ind w:left="199"/>
              <w:spacing w:after="0"/>
              <w:rPr>
                <w:sz w:val="20"/>
                <w:szCs w:val="20"/>
                <w:color w:val="auto"/>
              </w:rPr>
            </w:pPr>
            <w:r>
              <w:rPr>
                <w:rFonts w:ascii="Calibri" w:cs="Calibri" w:eastAsia="Calibri" w:hAnsi="Calibri"/>
                <w:sz w:val="12"/>
                <w:szCs w:val="12"/>
                <w:color w:val="auto"/>
              </w:rPr>
              <w:t>8.0%</w:t>
            </w:r>
          </w:p>
        </w:tc>
        <w:tc>
          <w:tcPr>
            <w:tcW w:w="1260" w:type="dxa"/>
            <w:vAlign w:val="bottom"/>
          </w:tcPr>
          <w:p>
            <w:pPr>
              <w:jc w:val="center"/>
              <w:ind w:left="199"/>
              <w:spacing w:after="0"/>
              <w:rPr>
                <w:sz w:val="20"/>
                <w:szCs w:val="20"/>
                <w:color w:val="auto"/>
              </w:rPr>
            </w:pPr>
            <w:r>
              <w:rPr>
                <w:rFonts w:ascii="Calibri" w:cs="Calibri" w:eastAsia="Calibri" w:hAnsi="Calibri"/>
                <w:sz w:val="12"/>
                <w:szCs w:val="12"/>
                <w:color w:val="auto"/>
              </w:rPr>
              <w:t>157.9%</w:t>
            </w:r>
          </w:p>
        </w:tc>
        <w:tc>
          <w:tcPr>
            <w:tcW w:w="20" w:type="dxa"/>
            <w:vAlign w:val="bottom"/>
            <w:shd w:val="clear" w:color="auto" w:fill="000000"/>
          </w:tcPr>
          <w:p>
            <w:pPr>
              <w:spacing w:after="0"/>
              <w:rPr>
                <w:sz w:val="12"/>
                <w:szCs w:val="12"/>
                <w:color w:val="auto"/>
              </w:rPr>
            </w:pPr>
          </w:p>
        </w:tc>
      </w:tr>
      <w:tr>
        <w:trPr>
          <w:trHeight w:val="287"/>
        </w:trPr>
        <w:tc>
          <w:tcPr>
            <w:tcW w:w="5460" w:type="dxa"/>
            <w:vAlign w:val="bottom"/>
            <w:tcBorders>
              <w:left w:val="single" w:sz="8" w:color="auto"/>
            </w:tcBorders>
          </w:tcPr>
          <w:p>
            <w:pPr>
              <w:ind w:left="20"/>
              <w:spacing w:after="0"/>
              <w:rPr>
                <w:sz w:val="20"/>
                <w:szCs w:val="20"/>
                <w:color w:val="auto"/>
              </w:rPr>
            </w:pPr>
            <w:r>
              <w:rPr>
                <w:rFonts w:ascii="Calibri" w:cs="Calibri" w:eastAsia="Calibri" w:hAnsi="Calibri"/>
                <w:sz w:val="12"/>
                <w:szCs w:val="12"/>
                <w:color w:val="auto"/>
              </w:rPr>
              <w:t>Retained earnings</w:t>
            </w:r>
          </w:p>
        </w:tc>
        <w:tc>
          <w:tcPr>
            <w:tcW w:w="980" w:type="dxa"/>
            <w:vAlign w:val="bottom"/>
          </w:tcPr>
          <w:p>
            <w:pPr>
              <w:jc w:val="center"/>
              <w:spacing w:after="0"/>
              <w:rPr>
                <w:sz w:val="20"/>
                <w:szCs w:val="20"/>
                <w:color w:val="auto"/>
              </w:rPr>
            </w:pPr>
            <w:r>
              <w:rPr>
                <w:rFonts w:ascii="Calibri" w:cs="Calibri" w:eastAsia="Calibri" w:hAnsi="Calibri"/>
                <w:sz w:val="12"/>
                <w:szCs w:val="12"/>
                <w:color w:val="auto"/>
              </w:rPr>
              <w:t>289,597</w:t>
            </w:r>
          </w:p>
        </w:tc>
        <w:tc>
          <w:tcPr>
            <w:tcW w:w="980" w:type="dxa"/>
            <w:vAlign w:val="bottom"/>
          </w:tcPr>
          <w:p>
            <w:pPr>
              <w:jc w:val="center"/>
              <w:spacing w:after="0"/>
              <w:rPr>
                <w:sz w:val="20"/>
                <w:szCs w:val="20"/>
                <w:color w:val="auto"/>
              </w:rPr>
            </w:pPr>
            <w:r>
              <w:rPr>
                <w:rFonts w:ascii="Calibri" w:cs="Calibri" w:eastAsia="Calibri" w:hAnsi="Calibri"/>
                <w:sz w:val="12"/>
                <w:szCs w:val="12"/>
                <w:color w:val="auto"/>
              </w:rPr>
              <w:t>344,510</w:t>
            </w:r>
          </w:p>
        </w:tc>
        <w:tc>
          <w:tcPr>
            <w:tcW w:w="1000" w:type="dxa"/>
            <w:vAlign w:val="bottom"/>
          </w:tcPr>
          <w:p>
            <w:pPr>
              <w:jc w:val="center"/>
              <w:spacing w:after="0"/>
              <w:rPr>
                <w:sz w:val="20"/>
                <w:szCs w:val="20"/>
                <w:color w:val="auto"/>
              </w:rPr>
            </w:pPr>
            <w:r>
              <w:rPr>
                <w:rFonts w:ascii="Calibri" w:cs="Calibri" w:eastAsia="Calibri" w:hAnsi="Calibri"/>
                <w:sz w:val="12"/>
                <w:szCs w:val="12"/>
                <w:color w:val="auto"/>
              </w:rPr>
              <w:t>281,419</w:t>
            </w:r>
          </w:p>
        </w:tc>
        <w:tc>
          <w:tcPr>
            <w:tcW w:w="700" w:type="dxa"/>
            <w:vAlign w:val="bottom"/>
          </w:tcPr>
          <w:p>
            <w:pPr>
              <w:jc w:val="center"/>
              <w:ind w:left="179"/>
              <w:spacing w:after="0"/>
              <w:rPr>
                <w:sz w:val="20"/>
                <w:szCs w:val="20"/>
                <w:color w:val="auto"/>
              </w:rPr>
            </w:pPr>
            <w:r>
              <w:rPr>
                <w:rFonts w:ascii="Calibri" w:cs="Calibri" w:eastAsia="Calibri" w:hAnsi="Calibri"/>
                <w:sz w:val="12"/>
                <w:szCs w:val="12"/>
                <w:color w:val="auto"/>
              </w:rPr>
              <w:t>-18.3%</w:t>
            </w:r>
          </w:p>
        </w:tc>
        <w:tc>
          <w:tcPr>
            <w:tcW w:w="1260" w:type="dxa"/>
            <w:vAlign w:val="bottom"/>
          </w:tcPr>
          <w:p>
            <w:pPr>
              <w:jc w:val="center"/>
              <w:ind w:left="199"/>
              <w:spacing w:after="0"/>
              <w:rPr>
                <w:sz w:val="20"/>
                <w:szCs w:val="20"/>
                <w:color w:val="auto"/>
              </w:rPr>
            </w:pPr>
            <w:r>
              <w:rPr>
                <w:rFonts w:ascii="Calibri" w:cs="Calibri" w:eastAsia="Calibri" w:hAnsi="Calibri"/>
                <w:sz w:val="12"/>
                <w:szCs w:val="12"/>
                <w:color w:val="auto"/>
              </w:rPr>
              <w:t>-2.8%</w:t>
            </w:r>
          </w:p>
        </w:tc>
        <w:tc>
          <w:tcPr>
            <w:tcW w:w="20" w:type="dxa"/>
            <w:vAlign w:val="bottom"/>
            <w:shd w:val="clear" w:color="auto" w:fill="000000"/>
          </w:tcPr>
          <w:p>
            <w:pPr>
              <w:spacing w:after="0"/>
              <w:rPr>
                <w:sz w:val="24"/>
                <w:szCs w:val="24"/>
                <w:color w:val="auto"/>
              </w:rPr>
            </w:pPr>
          </w:p>
        </w:tc>
      </w:tr>
      <w:tr>
        <w:trPr>
          <w:trHeight w:val="144"/>
        </w:trPr>
        <w:tc>
          <w:tcPr>
            <w:tcW w:w="5460" w:type="dxa"/>
            <w:vAlign w:val="bottom"/>
            <w:tcBorders>
              <w:lef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Net Income for the Period</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149,549</w:t>
            </w:r>
          </w:p>
        </w:tc>
        <w:tc>
          <w:tcPr>
            <w:tcW w:w="980" w:type="dxa"/>
            <w:vAlign w:val="bottom"/>
          </w:tcPr>
          <w:p>
            <w:pPr>
              <w:jc w:val="center"/>
              <w:spacing w:after="0" w:line="145" w:lineRule="exact"/>
              <w:rPr>
                <w:sz w:val="20"/>
                <w:szCs w:val="20"/>
                <w:color w:val="auto"/>
              </w:rPr>
            </w:pPr>
            <w:r>
              <w:rPr>
                <w:rFonts w:ascii="Calibri" w:cs="Calibri" w:eastAsia="Calibri" w:hAnsi="Calibri"/>
                <w:sz w:val="12"/>
                <w:szCs w:val="12"/>
                <w:color w:val="auto"/>
              </w:rPr>
              <w:t>108,604</w:t>
            </w:r>
          </w:p>
        </w:tc>
        <w:tc>
          <w:tcPr>
            <w:tcW w:w="1000" w:type="dxa"/>
            <w:vAlign w:val="bottom"/>
          </w:tcPr>
          <w:p>
            <w:pPr>
              <w:jc w:val="center"/>
              <w:spacing w:after="0" w:line="145" w:lineRule="exact"/>
              <w:rPr>
                <w:sz w:val="20"/>
                <w:szCs w:val="20"/>
                <w:color w:val="auto"/>
              </w:rPr>
            </w:pPr>
            <w:r>
              <w:rPr>
                <w:rFonts w:ascii="Calibri" w:cs="Calibri" w:eastAsia="Calibri" w:hAnsi="Calibri"/>
                <w:sz w:val="12"/>
                <w:szCs w:val="12"/>
                <w:color w:val="auto"/>
              </w:rPr>
              <w:t>132,926</w:t>
            </w:r>
          </w:p>
        </w:tc>
        <w:tc>
          <w:tcPr>
            <w:tcW w:w="700" w:type="dxa"/>
            <w:vAlign w:val="bottom"/>
          </w:tcPr>
          <w:p>
            <w:pPr>
              <w:jc w:val="center"/>
              <w:ind w:left="179"/>
              <w:spacing w:after="0" w:line="145" w:lineRule="exact"/>
              <w:rPr>
                <w:sz w:val="20"/>
                <w:szCs w:val="20"/>
                <w:color w:val="auto"/>
              </w:rPr>
            </w:pPr>
            <w:r>
              <w:rPr>
                <w:rFonts w:ascii="Calibri" w:cs="Calibri" w:eastAsia="Calibri" w:hAnsi="Calibri"/>
                <w:sz w:val="12"/>
                <w:szCs w:val="12"/>
                <w:color w:val="auto"/>
              </w:rPr>
              <w:t>22.4%</w:t>
            </w:r>
          </w:p>
        </w:tc>
        <w:tc>
          <w:tcPr>
            <w:tcW w:w="1260" w:type="dxa"/>
            <w:vAlign w:val="bottom"/>
          </w:tcPr>
          <w:p>
            <w:pPr>
              <w:jc w:val="center"/>
              <w:ind w:left="199"/>
              <w:spacing w:after="0" w:line="145" w:lineRule="exact"/>
              <w:rPr>
                <w:sz w:val="20"/>
                <w:szCs w:val="20"/>
                <w:color w:val="auto"/>
              </w:rPr>
            </w:pPr>
            <w:r>
              <w:rPr>
                <w:rFonts w:ascii="Calibri" w:cs="Calibri" w:eastAsia="Calibri" w:hAnsi="Calibri"/>
                <w:sz w:val="12"/>
                <w:szCs w:val="12"/>
                <w:color w:val="auto"/>
              </w:rPr>
              <w:t>-11.1%</w:t>
            </w:r>
          </w:p>
        </w:tc>
        <w:tc>
          <w:tcPr>
            <w:tcW w:w="20" w:type="dxa"/>
            <w:vAlign w:val="bottom"/>
            <w:shd w:val="clear" w:color="auto" w:fill="000000"/>
          </w:tcPr>
          <w:p>
            <w:pPr>
              <w:spacing w:after="0"/>
              <w:rPr>
                <w:sz w:val="12"/>
                <w:szCs w:val="12"/>
                <w:color w:val="auto"/>
              </w:rPr>
            </w:pPr>
          </w:p>
        </w:tc>
      </w:tr>
      <w:tr>
        <w:trPr>
          <w:trHeight w:val="150"/>
        </w:trPr>
        <w:tc>
          <w:tcPr>
            <w:tcW w:w="5460" w:type="dxa"/>
            <w:vAlign w:val="bottom"/>
            <w:tcBorders>
              <w:left w:val="single" w:sz="8" w:color="auto"/>
              <w:bottom w:val="single" w:sz="8" w:color="auto"/>
            </w:tcBorders>
          </w:tcPr>
          <w:p>
            <w:pPr>
              <w:ind w:left="20"/>
              <w:spacing w:after="0"/>
              <w:rPr>
                <w:sz w:val="20"/>
                <w:szCs w:val="20"/>
                <w:color w:val="auto"/>
              </w:rPr>
            </w:pPr>
            <w:r>
              <w:rPr>
                <w:rFonts w:ascii="Calibri" w:cs="Calibri" w:eastAsia="Calibri" w:hAnsi="Calibri"/>
                <w:sz w:val="12"/>
                <w:szCs w:val="12"/>
                <w:b w:val="1"/>
                <w:bCs w:val="1"/>
                <w:color w:val="auto"/>
              </w:rPr>
              <w:t>Total Liabilites and Equity</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740,729</w:t>
            </w:r>
          </w:p>
        </w:tc>
        <w:tc>
          <w:tcPr>
            <w:tcW w:w="98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730,960</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657,971</w:t>
            </w:r>
          </w:p>
        </w:tc>
        <w:tc>
          <w:tcPr>
            <w:tcW w:w="700" w:type="dxa"/>
            <w:vAlign w:val="bottom"/>
            <w:tcBorders>
              <w:bottom w:val="single" w:sz="8" w:color="auto"/>
            </w:tcBorders>
          </w:tcPr>
          <w:p>
            <w:pPr>
              <w:jc w:val="center"/>
              <w:ind w:left="179"/>
              <w:spacing w:after="0"/>
              <w:rPr>
                <w:sz w:val="20"/>
                <w:szCs w:val="20"/>
                <w:color w:val="auto"/>
              </w:rPr>
            </w:pPr>
            <w:r>
              <w:rPr>
                <w:rFonts w:ascii="Calibri" w:cs="Calibri" w:eastAsia="Calibri" w:hAnsi="Calibri"/>
                <w:sz w:val="12"/>
                <w:szCs w:val="12"/>
                <w:b w:val="1"/>
                <w:bCs w:val="1"/>
                <w:color w:val="auto"/>
              </w:rPr>
              <w:t>-10.0%</w:t>
            </w:r>
          </w:p>
        </w:tc>
        <w:tc>
          <w:tcPr>
            <w:tcW w:w="1260" w:type="dxa"/>
            <w:vAlign w:val="bottom"/>
            <w:tcBorders>
              <w:bottom w:val="single" w:sz="8" w:color="auto"/>
            </w:tcBorders>
          </w:tcPr>
          <w:p>
            <w:pPr>
              <w:jc w:val="center"/>
              <w:ind w:left="199"/>
              <w:spacing w:after="0"/>
              <w:rPr>
                <w:sz w:val="20"/>
                <w:szCs w:val="20"/>
                <w:color w:val="auto"/>
              </w:rPr>
            </w:pPr>
            <w:r>
              <w:rPr>
                <w:rFonts w:ascii="Calibri" w:cs="Calibri" w:eastAsia="Calibri" w:hAnsi="Calibri"/>
                <w:sz w:val="12"/>
                <w:szCs w:val="12"/>
                <w:b w:val="1"/>
                <w:bCs w:val="1"/>
                <w:color w:val="auto"/>
              </w:rPr>
              <w:t>-11.2%</w:t>
            </w:r>
          </w:p>
        </w:tc>
        <w:tc>
          <w:tcPr>
            <w:tcW w:w="20" w:type="dxa"/>
            <w:vAlign w:val="bottom"/>
            <w:tcBorders>
              <w:bottom w:val="single" w:sz="8" w:color="auto"/>
            </w:tcBorders>
            <w:shd w:val="clear" w:color="auto" w:fill="000000"/>
          </w:tcPr>
          <w:p>
            <w:pPr>
              <w:spacing w:after="0"/>
              <w:rPr>
                <w:sz w:val="13"/>
                <w:szCs w:val="13"/>
                <w:color w:val="auto"/>
              </w:rPr>
            </w:pPr>
          </w:p>
        </w:tc>
      </w:tr>
    </w:tbl>
    <w:p>
      <w:pPr>
        <w:spacing w:after="0" w:line="15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Statement in Income</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(In S/ thousands, IFRS)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66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760" w:type="dxa"/>
            <w:vAlign w:val="bottom"/>
            <w:tcBorders>
              <w:top w:val="single" w:sz="8" w:color="auto"/>
              <w:right w:val="single" w:sz="8" w:color="33CCCC"/>
            </w:tcBorders>
            <w:shd w:val="clear" w:color="auto" w:fill="33CCCC"/>
          </w:tcPr>
          <w:p>
            <w:pPr>
              <w:spacing w:after="0"/>
              <w:rPr>
                <w:sz w:val="12"/>
                <w:szCs w:val="12"/>
                <w:color w:val="auto"/>
              </w:rPr>
            </w:pPr>
          </w:p>
        </w:tc>
        <w:tc>
          <w:tcPr>
            <w:tcW w:w="780" w:type="dxa"/>
            <w:vAlign w:val="bottom"/>
            <w:tcBorders>
              <w:top w:val="single" w:sz="8" w:color="auto"/>
              <w:right w:val="single" w:sz="8" w:color="33CCCC"/>
            </w:tcBorders>
            <w:shd w:val="clear" w:color="auto" w:fill="33CCCC"/>
          </w:tcPr>
          <w:p>
            <w:pPr>
              <w:ind w:left="200"/>
              <w:spacing w:after="0"/>
              <w:rPr>
                <w:sz w:val="20"/>
                <w:szCs w:val="20"/>
                <w:color w:val="auto"/>
              </w:rPr>
            </w:pPr>
            <w:r>
              <w:rPr>
                <w:rFonts w:ascii="Calibri" w:cs="Calibri" w:eastAsia="Calibri" w:hAnsi="Calibri"/>
                <w:sz w:val="11"/>
                <w:szCs w:val="11"/>
                <w:b w:val="1"/>
                <w:bCs w:val="1"/>
                <w:color w:val="FFFFFF"/>
              </w:rPr>
              <w:t>Quarter</w:t>
            </w:r>
          </w:p>
        </w:tc>
        <w:tc>
          <w:tcPr>
            <w:tcW w:w="780" w:type="dxa"/>
            <w:vAlign w:val="bottom"/>
            <w:tcBorders>
              <w:top w:val="single" w:sz="8" w:color="auto"/>
              <w:right w:val="single" w:sz="8" w:color="auto"/>
            </w:tcBorders>
            <w:shd w:val="clear" w:color="auto" w:fill="33CCCC"/>
          </w:tcPr>
          <w:p>
            <w:pPr>
              <w:spacing w:after="0"/>
              <w:rPr>
                <w:sz w:val="12"/>
                <w:szCs w:val="12"/>
                <w:color w:val="auto"/>
              </w:rPr>
            </w:pPr>
          </w:p>
        </w:tc>
        <w:tc>
          <w:tcPr>
            <w:tcW w:w="1540" w:type="dxa"/>
            <w:vAlign w:val="bottom"/>
            <w:tcBorders>
              <w:top w:val="single" w:sz="8" w:color="auto"/>
              <w:right w:val="single" w:sz="8" w:color="auto"/>
            </w:tcBorders>
            <w:gridSpan w:val="2"/>
            <w:shd w:val="clear" w:color="auto" w:fill="33CCCC"/>
          </w:tcPr>
          <w:p>
            <w:pPr>
              <w:ind w:left="540"/>
              <w:spacing w:after="0"/>
              <w:rPr>
                <w:sz w:val="20"/>
                <w:szCs w:val="20"/>
                <w:color w:val="auto"/>
              </w:rPr>
            </w:pPr>
            <w:r>
              <w:rPr>
                <w:rFonts w:ascii="Calibri" w:cs="Calibri" w:eastAsia="Calibri" w:hAnsi="Calibri"/>
                <w:sz w:val="11"/>
                <w:szCs w:val="11"/>
                <w:b w:val="1"/>
                <w:bCs w:val="1"/>
                <w:color w:val="FFFFFF"/>
              </w:rPr>
              <w:t>% change</w:t>
            </w:r>
          </w:p>
        </w:tc>
        <w:tc>
          <w:tcPr>
            <w:tcW w:w="800" w:type="dxa"/>
            <w:vAlign w:val="bottom"/>
            <w:tcBorders>
              <w:top w:val="single" w:sz="8" w:color="auto"/>
            </w:tcBorders>
            <w:gridSpan w:val="2"/>
            <w:shd w:val="clear" w:color="auto" w:fill="33CCCC"/>
          </w:tcPr>
          <w:p>
            <w:pPr>
              <w:ind w:left="520"/>
              <w:spacing w:after="0"/>
              <w:rPr>
                <w:sz w:val="20"/>
                <w:szCs w:val="20"/>
                <w:color w:val="auto"/>
              </w:rPr>
            </w:pPr>
            <w:r>
              <w:rPr>
                <w:rFonts w:ascii="Calibri" w:cs="Calibri" w:eastAsia="Calibri" w:hAnsi="Calibri"/>
                <w:sz w:val="11"/>
                <w:szCs w:val="11"/>
                <w:b w:val="1"/>
                <w:bCs w:val="1"/>
                <w:color w:val="FFFFFF"/>
              </w:rPr>
              <w:t>Up to</w:t>
            </w:r>
          </w:p>
        </w:tc>
        <w:tc>
          <w:tcPr>
            <w:tcW w:w="540" w:type="dxa"/>
            <w:vAlign w:val="bottom"/>
            <w:tcBorders>
              <w:top w:val="single" w:sz="8" w:color="auto"/>
              <w:right w:val="single" w:sz="8" w:color="auto"/>
            </w:tcBorders>
            <w:shd w:val="clear" w:color="auto" w:fill="33CCCC"/>
          </w:tcPr>
          <w:p>
            <w:pPr>
              <w:spacing w:after="0"/>
              <w:rPr>
                <w:sz w:val="12"/>
                <w:szCs w:val="12"/>
                <w:color w:val="auto"/>
              </w:rPr>
            </w:pPr>
          </w:p>
        </w:tc>
        <w:tc>
          <w:tcPr>
            <w:tcW w:w="13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 change</w:t>
            </w:r>
          </w:p>
        </w:tc>
      </w:tr>
      <w:tr>
        <w:trPr>
          <w:trHeight w:val="131"/>
        </w:trPr>
        <w:tc>
          <w:tcPr>
            <w:tcW w:w="466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76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4Q23</w:t>
            </w:r>
          </w:p>
        </w:tc>
        <w:tc>
          <w:tcPr>
            <w:tcW w:w="7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w w:val="98"/>
              </w:rPr>
              <w:t>3Q24</w:t>
            </w:r>
          </w:p>
        </w:tc>
        <w:tc>
          <w:tcPr>
            <w:tcW w:w="7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4Q24</w:t>
            </w:r>
          </w:p>
        </w:tc>
        <w:tc>
          <w:tcPr>
            <w:tcW w:w="760" w:type="dxa"/>
            <w:vAlign w:val="bottom"/>
            <w:tcBorders>
              <w:bottom w:val="single" w:sz="8" w:color="auto"/>
              <w:right w:val="single" w:sz="8" w:color="auto"/>
            </w:tcBorders>
            <w:shd w:val="clear" w:color="auto" w:fill="33CCCC"/>
          </w:tcPr>
          <w:p>
            <w:pPr>
              <w:ind w:left="260"/>
              <w:spacing w:after="0" w:line="131" w:lineRule="exact"/>
              <w:rPr>
                <w:sz w:val="20"/>
                <w:szCs w:val="20"/>
                <w:color w:val="auto"/>
              </w:rPr>
            </w:pPr>
            <w:r>
              <w:rPr>
                <w:rFonts w:ascii="Calibri" w:cs="Calibri" w:eastAsia="Calibri" w:hAnsi="Calibri"/>
                <w:sz w:val="11"/>
                <w:szCs w:val="11"/>
                <w:b w:val="1"/>
                <w:bCs w:val="1"/>
                <w:color w:val="FFFFFF"/>
              </w:rPr>
              <w:t>QoQ</w:t>
            </w:r>
          </w:p>
        </w:tc>
        <w:tc>
          <w:tcPr>
            <w:tcW w:w="780" w:type="dxa"/>
            <w:vAlign w:val="bottom"/>
            <w:tcBorders>
              <w:bottom w:val="single" w:sz="8" w:color="auto"/>
              <w:right w:val="single" w:sz="8" w:color="auto"/>
            </w:tcBorders>
            <w:shd w:val="clear" w:color="auto" w:fill="33CCCC"/>
          </w:tcPr>
          <w:p>
            <w:pPr>
              <w:ind w:left="300"/>
              <w:spacing w:after="0" w:line="131" w:lineRule="exact"/>
              <w:rPr>
                <w:sz w:val="20"/>
                <w:szCs w:val="20"/>
                <w:color w:val="auto"/>
              </w:rPr>
            </w:pPr>
            <w:r>
              <w:rPr>
                <w:rFonts w:ascii="Calibri" w:cs="Calibri" w:eastAsia="Calibri" w:hAnsi="Calibri"/>
                <w:sz w:val="11"/>
                <w:szCs w:val="11"/>
                <w:b w:val="1"/>
                <w:bCs w:val="1"/>
                <w:color w:val="FFFFFF"/>
              </w:rPr>
              <w:t>YoY</w:t>
            </w:r>
          </w:p>
        </w:tc>
        <w:tc>
          <w:tcPr>
            <w:tcW w:w="720" w:type="dxa"/>
            <w:vAlign w:val="bottom"/>
            <w:tcBorders>
              <w:bottom w:val="single" w:sz="8" w:color="auto"/>
              <w:right w:val="single" w:sz="8" w:color="auto"/>
            </w:tcBorders>
            <w:shd w:val="clear" w:color="auto" w:fill="33CCCC"/>
          </w:tcPr>
          <w:p>
            <w:pPr>
              <w:ind w:left="200"/>
              <w:spacing w:after="0" w:line="131" w:lineRule="exact"/>
              <w:rPr>
                <w:sz w:val="20"/>
                <w:szCs w:val="20"/>
                <w:color w:val="auto"/>
              </w:rPr>
            </w:pPr>
            <w:r>
              <w:rPr>
                <w:rFonts w:ascii="Calibri" w:cs="Calibri" w:eastAsia="Calibri" w:hAnsi="Calibri"/>
                <w:sz w:val="11"/>
                <w:szCs w:val="11"/>
                <w:b w:val="1"/>
                <w:bCs w:val="1"/>
                <w:color w:val="FFFFFF"/>
              </w:rPr>
              <w:t>Dec 23</w:t>
            </w:r>
          </w:p>
        </w:tc>
        <w:tc>
          <w:tcPr>
            <w:tcW w:w="80" w:type="dxa"/>
            <w:vAlign w:val="bottom"/>
            <w:tcBorders>
              <w:bottom w:val="single" w:sz="8" w:color="auto"/>
            </w:tcBorders>
            <w:shd w:val="clear" w:color="auto" w:fill="33CCCC"/>
          </w:tcPr>
          <w:p>
            <w:pPr>
              <w:spacing w:after="0"/>
              <w:rPr>
                <w:sz w:val="11"/>
                <w:szCs w:val="11"/>
                <w:color w:val="auto"/>
              </w:rPr>
            </w:pPr>
          </w:p>
        </w:tc>
        <w:tc>
          <w:tcPr>
            <w:tcW w:w="540" w:type="dxa"/>
            <w:vAlign w:val="bottom"/>
            <w:tcBorders>
              <w:bottom w:val="single" w:sz="8" w:color="auto"/>
              <w:right w:val="single" w:sz="8" w:color="auto"/>
            </w:tcBorders>
            <w:shd w:val="clear" w:color="auto" w:fill="33CCCC"/>
          </w:tcPr>
          <w:p>
            <w:pPr>
              <w:ind w:left="60"/>
              <w:spacing w:after="0" w:line="131" w:lineRule="exact"/>
              <w:rPr>
                <w:sz w:val="20"/>
                <w:szCs w:val="20"/>
                <w:color w:val="auto"/>
              </w:rPr>
            </w:pPr>
            <w:r>
              <w:rPr>
                <w:rFonts w:ascii="Calibri" w:cs="Calibri" w:eastAsia="Calibri" w:hAnsi="Calibri"/>
                <w:sz w:val="11"/>
                <w:szCs w:val="11"/>
                <w:b w:val="1"/>
                <w:bCs w:val="1"/>
                <w:color w:val="FFFFFF"/>
              </w:rPr>
              <w:t>Dec 24</w:t>
            </w:r>
          </w:p>
        </w:tc>
        <w:tc>
          <w:tcPr>
            <w:tcW w:w="13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24 / Dec 23</w:t>
            </w:r>
          </w:p>
        </w:tc>
      </w:tr>
      <w:tr>
        <w:trPr>
          <w:trHeight w:val="109"/>
        </w:trPr>
        <w:tc>
          <w:tcPr>
            <w:tcW w:w="4660" w:type="dxa"/>
            <w:vAlign w:val="bottom"/>
            <w:tcBorders>
              <w:left w:val="single" w:sz="8" w:color="auto"/>
              <w:right w:val="single" w:sz="8" w:color="auto"/>
            </w:tcBorders>
          </w:tcPr>
          <w:p>
            <w:pPr>
              <w:ind w:left="20"/>
              <w:spacing w:after="0" w:line="109" w:lineRule="exact"/>
              <w:rPr>
                <w:sz w:val="20"/>
                <w:szCs w:val="20"/>
                <w:color w:val="auto"/>
              </w:rPr>
            </w:pPr>
            <w:r>
              <w:rPr>
                <w:rFonts w:ascii="Calibri" w:cs="Calibri" w:eastAsia="Calibri" w:hAnsi="Calibri"/>
                <w:sz w:val="11"/>
                <w:szCs w:val="11"/>
                <w:color w:val="auto"/>
              </w:rPr>
              <w:t>Financial income</w:t>
            </w:r>
          </w:p>
        </w:tc>
        <w:tc>
          <w:tcPr>
            <w:tcW w:w="7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1,768</w:t>
            </w:r>
          </w:p>
        </w:tc>
        <w:tc>
          <w:tcPr>
            <w:tcW w:w="7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1,429</w:t>
            </w:r>
          </w:p>
        </w:tc>
        <w:tc>
          <w:tcPr>
            <w:tcW w:w="7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1,786</w:t>
            </w:r>
          </w:p>
        </w:tc>
        <w:tc>
          <w:tcPr>
            <w:tcW w:w="7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25.0%</w:t>
            </w:r>
          </w:p>
        </w:tc>
        <w:tc>
          <w:tcPr>
            <w:tcW w:w="7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1.0%</w:t>
            </w:r>
          </w:p>
        </w:tc>
        <w:tc>
          <w:tcPr>
            <w:tcW w:w="72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6,902</w:t>
            </w:r>
          </w:p>
        </w:tc>
        <w:tc>
          <w:tcPr>
            <w:tcW w:w="80" w:type="dxa"/>
            <w:vAlign w:val="bottom"/>
          </w:tcPr>
          <w:p>
            <w:pPr>
              <w:spacing w:after="0"/>
              <w:rPr>
                <w:sz w:val="9"/>
                <w:szCs w:val="9"/>
                <w:color w:val="auto"/>
              </w:rPr>
            </w:pPr>
          </w:p>
        </w:tc>
        <w:tc>
          <w:tcPr>
            <w:tcW w:w="540" w:type="dxa"/>
            <w:vAlign w:val="bottom"/>
            <w:tcBorders>
              <w:right w:val="single" w:sz="8" w:color="auto"/>
            </w:tcBorders>
          </w:tcPr>
          <w:p>
            <w:pPr>
              <w:jc w:val="center"/>
              <w:ind w:right="63"/>
              <w:spacing w:after="0" w:line="109" w:lineRule="exact"/>
              <w:rPr>
                <w:sz w:val="20"/>
                <w:szCs w:val="20"/>
                <w:color w:val="auto"/>
              </w:rPr>
            </w:pPr>
            <w:r>
              <w:rPr>
                <w:rFonts w:ascii="Calibri" w:cs="Calibri" w:eastAsia="Calibri" w:hAnsi="Calibri"/>
                <w:sz w:val="11"/>
                <w:szCs w:val="11"/>
                <w:color w:val="auto"/>
              </w:rPr>
              <w:t>5,678</w:t>
            </w:r>
          </w:p>
        </w:tc>
        <w:tc>
          <w:tcPr>
            <w:tcW w:w="13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-17.7%</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Financial expenses</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(1,277)</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(1,055)</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(1,782)</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68.9%</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39.5%</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(3,212)</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rPr>
              <w:t>(4,083)</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27.1%</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Interest income, net</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491</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w w:val="95"/>
              </w:rPr>
              <w:t>374</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4</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-98.9%</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-99.2%</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3,690</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63"/>
              <w:spacing w:after="0" w:line="131" w:lineRule="exact"/>
              <w:rPr>
                <w:sz w:val="20"/>
                <w:szCs w:val="20"/>
                <w:color w:val="auto"/>
              </w:rPr>
            </w:pPr>
            <w:r>
              <w:rPr>
                <w:rFonts w:ascii="Calibri" w:cs="Calibri" w:eastAsia="Calibri" w:hAnsi="Calibri"/>
                <w:sz w:val="11"/>
                <w:szCs w:val="11"/>
                <w:b w:val="1"/>
                <w:bCs w:val="1"/>
                <w:color w:val="auto"/>
              </w:rPr>
              <w:t>1,595</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-56.8%</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Fee income</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87,458</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90,748</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88,102</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-2.9%</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0.7%</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350,846</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w w:val="99"/>
              </w:rPr>
              <w:t>372,480</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6.2%</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gain (loss) on securites</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14,673</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2,579</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(2,115)</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-182.0%</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9"/>
              </w:rPr>
              <w:t>-114.4%</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7"/>
              </w:rPr>
              <w:t>32,772</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rPr>
              <w:t>10,528</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-67.9%</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gain (loss) from exchange diferences</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(466)</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5"/>
              </w:rPr>
              <w:t>110</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(32)</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-129.1%</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-93.1%</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(793)</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rPr>
              <w:t>(530)</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-33.2%</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Other income</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760</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w w:val="95"/>
              </w:rPr>
              <w:t>124</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5,628</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4438.7%</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640.5%</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5,523</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63"/>
              <w:spacing w:after="0" w:line="131" w:lineRule="exact"/>
              <w:rPr>
                <w:sz w:val="20"/>
                <w:szCs w:val="20"/>
                <w:color w:val="auto"/>
              </w:rPr>
            </w:pPr>
            <w:r>
              <w:rPr>
                <w:rFonts w:ascii="Calibri" w:cs="Calibri" w:eastAsia="Calibri" w:hAnsi="Calibri"/>
                <w:sz w:val="11"/>
                <w:szCs w:val="11"/>
                <w:color w:val="auto"/>
              </w:rPr>
              <w:t>7,137</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29.2%</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Salaries and employee benefts</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(24,498)</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(22,384)</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(29,371)</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31.2%</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19.9%</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(85,874)</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rPr>
              <w:t>(97,457)</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13.5%</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Administratve expenses</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(16,550)</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(17,272)</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(20,545)</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18.9%</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24.1%</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(70,196)</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rPr>
              <w:t>(78,570)</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11.9%</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Depreciaton and amortzaton</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(6,388)</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(6,603)</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(6,612)</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0.1%</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3.5%</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(25,273)</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rPr>
              <w:t>(26,381)</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4.4%</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Other expenses</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(53)</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(245)</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(71)</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-71.0%</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34.0%</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(4,388)</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rPr>
              <w:t>(1,249)</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-71.5%</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Proft before income tax</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55,427</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47,431</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34,988</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-26.2%</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-36.9%</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206,307</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b w:val="1"/>
                <w:bCs w:val="1"/>
                <w:color w:val="auto"/>
              </w:rPr>
              <w:t>#####</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b w:val="1"/>
                <w:bCs w:val="1"/>
                <w:color w:val="auto"/>
              </w:rPr>
              <w:t>-9.1%</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Income tax</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(15,047)</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(12,744)</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(10,666)</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-16.3%</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-29.1%</w:t>
            </w:r>
          </w:p>
        </w:tc>
        <w:tc>
          <w:tcPr>
            <w:tcW w:w="72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(56,758)</w:t>
            </w:r>
          </w:p>
        </w:tc>
        <w:tc>
          <w:tcPr>
            <w:tcW w:w="80" w:type="dxa"/>
            <w:vAlign w:val="bottom"/>
          </w:tcPr>
          <w:p>
            <w:pPr>
              <w:spacing w:after="0"/>
              <w:rPr>
                <w:sz w:val="11"/>
                <w:szCs w:val="11"/>
                <w:color w:val="auto"/>
              </w:rPr>
            </w:pPr>
          </w:p>
        </w:tc>
        <w:tc>
          <w:tcPr>
            <w:tcW w:w="540" w:type="dxa"/>
            <w:vAlign w:val="bottom"/>
            <w:tcBorders>
              <w:right w:val="single" w:sz="8" w:color="auto"/>
            </w:tcBorders>
          </w:tcPr>
          <w:p>
            <w:pPr>
              <w:jc w:val="center"/>
              <w:ind w:right="43"/>
              <w:spacing w:after="0" w:line="131" w:lineRule="exact"/>
              <w:rPr>
                <w:sz w:val="20"/>
                <w:szCs w:val="20"/>
                <w:color w:val="auto"/>
              </w:rPr>
            </w:pPr>
            <w:r>
              <w:rPr>
                <w:rFonts w:ascii="Calibri" w:cs="Calibri" w:eastAsia="Calibri" w:hAnsi="Calibri"/>
                <w:sz w:val="11"/>
                <w:szCs w:val="11"/>
                <w:color w:val="auto"/>
              </w:rPr>
              <w:t>(54,627)</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-3.8%</w:t>
            </w:r>
          </w:p>
        </w:tc>
      </w:tr>
      <w:tr>
        <w:trPr>
          <w:trHeight w:val="141"/>
        </w:trPr>
        <w:tc>
          <w:tcPr>
            <w:tcW w:w="46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proft</w:t>
            </w:r>
          </w:p>
        </w:tc>
        <w:tc>
          <w:tcPr>
            <w:tcW w:w="7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40,380</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34,687</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24,322</w:t>
            </w:r>
          </w:p>
        </w:tc>
        <w:tc>
          <w:tcPr>
            <w:tcW w:w="7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-29.9%</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-39.8%</w:t>
            </w:r>
          </w:p>
        </w:tc>
        <w:tc>
          <w:tcPr>
            <w:tcW w:w="72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149,549</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jc w:val="center"/>
              <w:ind w:right="43"/>
              <w:spacing w:after="0"/>
              <w:rPr>
                <w:sz w:val="20"/>
                <w:szCs w:val="20"/>
                <w:color w:val="auto"/>
              </w:rPr>
            </w:pPr>
            <w:r>
              <w:rPr>
                <w:rFonts w:ascii="Calibri" w:cs="Calibri" w:eastAsia="Calibri" w:hAnsi="Calibri"/>
                <w:sz w:val="11"/>
                <w:szCs w:val="11"/>
                <w:b w:val="1"/>
                <w:bCs w:val="1"/>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-11.1%</w:t>
            </w:r>
          </w:p>
        </w:tc>
      </w:tr>
    </w:tbl>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Selected Financial Indicators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66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760" w:type="dxa"/>
            <w:vAlign w:val="bottom"/>
            <w:tcBorders>
              <w:top w:val="single" w:sz="8" w:color="auto"/>
              <w:right w:val="single" w:sz="8" w:color="33CCCC"/>
            </w:tcBorders>
            <w:shd w:val="clear" w:color="auto" w:fill="33CCCC"/>
          </w:tcPr>
          <w:p>
            <w:pPr>
              <w:spacing w:after="0"/>
              <w:rPr>
                <w:sz w:val="12"/>
                <w:szCs w:val="12"/>
                <w:color w:val="auto"/>
              </w:rPr>
            </w:pPr>
          </w:p>
        </w:tc>
        <w:tc>
          <w:tcPr>
            <w:tcW w:w="780" w:type="dxa"/>
            <w:vAlign w:val="bottom"/>
            <w:tcBorders>
              <w:top w:val="single" w:sz="8" w:color="auto"/>
              <w:right w:val="single" w:sz="8" w:color="33CCCC"/>
            </w:tcBorders>
            <w:shd w:val="clear" w:color="auto" w:fill="33CCCC"/>
          </w:tcPr>
          <w:p>
            <w:pPr>
              <w:ind w:left="200"/>
              <w:spacing w:after="0"/>
              <w:rPr>
                <w:sz w:val="20"/>
                <w:szCs w:val="20"/>
                <w:color w:val="auto"/>
              </w:rPr>
            </w:pPr>
            <w:r>
              <w:rPr>
                <w:rFonts w:ascii="Calibri" w:cs="Calibri" w:eastAsia="Calibri" w:hAnsi="Calibri"/>
                <w:sz w:val="11"/>
                <w:szCs w:val="11"/>
                <w:b w:val="1"/>
                <w:bCs w:val="1"/>
                <w:color w:val="FFFFFF"/>
              </w:rPr>
              <w:t>Quarter</w:t>
            </w:r>
          </w:p>
        </w:tc>
        <w:tc>
          <w:tcPr>
            <w:tcW w:w="780" w:type="dxa"/>
            <w:vAlign w:val="bottom"/>
            <w:tcBorders>
              <w:top w:val="single" w:sz="8" w:color="auto"/>
              <w:right w:val="single" w:sz="8" w:color="auto"/>
            </w:tcBorders>
            <w:shd w:val="clear" w:color="auto" w:fill="33CCCC"/>
          </w:tcPr>
          <w:p>
            <w:pPr>
              <w:spacing w:after="0"/>
              <w:rPr>
                <w:sz w:val="12"/>
                <w:szCs w:val="12"/>
                <w:color w:val="auto"/>
              </w:rPr>
            </w:pPr>
          </w:p>
        </w:tc>
        <w:tc>
          <w:tcPr>
            <w:tcW w:w="580" w:type="dxa"/>
            <w:vAlign w:val="bottom"/>
            <w:tcBorders>
              <w:top w:val="single" w:sz="8" w:color="auto"/>
            </w:tcBorders>
            <w:shd w:val="clear" w:color="auto" w:fill="33CCCC"/>
          </w:tcPr>
          <w:p>
            <w:pPr>
              <w:spacing w:after="0"/>
              <w:rPr>
                <w:sz w:val="12"/>
                <w:szCs w:val="12"/>
                <w:color w:val="auto"/>
              </w:rPr>
            </w:pPr>
          </w:p>
        </w:tc>
        <w:tc>
          <w:tcPr>
            <w:tcW w:w="960" w:type="dxa"/>
            <w:vAlign w:val="bottom"/>
            <w:tcBorders>
              <w:top w:val="single" w:sz="8" w:color="auto"/>
              <w:right w:val="single" w:sz="8" w:color="auto"/>
            </w:tcBorders>
            <w:gridSpan w:val="2"/>
            <w:shd w:val="clear" w:color="auto" w:fill="33CCCC"/>
          </w:tcPr>
          <w:p>
            <w:pPr>
              <w:spacing w:after="0"/>
              <w:rPr>
                <w:sz w:val="20"/>
                <w:szCs w:val="20"/>
                <w:color w:val="auto"/>
              </w:rPr>
            </w:pPr>
            <w:r>
              <w:rPr>
                <w:rFonts w:ascii="Calibri" w:cs="Calibri" w:eastAsia="Calibri" w:hAnsi="Calibri"/>
                <w:sz w:val="11"/>
                <w:szCs w:val="11"/>
                <w:b w:val="1"/>
                <w:bCs w:val="1"/>
                <w:color w:val="FFFFFF"/>
              </w:rPr>
              <w:t>Change</w:t>
            </w:r>
          </w:p>
        </w:tc>
        <w:tc>
          <w:tcPr>
            <w:tcW w:w="520" w:type="dxa"/>
            <w:vAlign w:val="bottom"/>
            <w:tcBorders>
              <w:top w:val="single" w:sz="8" w:color="auto"/>
            </w:tcBorders>
            <w:shd w:val="clear" w:color="auto" w:fill="33CCCC"/>
          </w:tcPr>
          <w:p>
            <w:pPr>
              <w:spacing w:after="0"/>
              <w:rPr>
                <w:sz w:val="12"/>
                <w:szCs w:val="12"/>
                <w:color w:val="auto"/>
              </w:rPr>
            </w:pPr>
          </w:p>
        </w:tc>
        <w:tc>
          <w:tcPr>
            <w:tcW w:w="820" w:type="dxa"/>
            <w:vAlign w:val="bottom"/>
            <w:tcBorders>
              <w:top w:val="single" w:sz="8" w:color="auto"/>
              <w:right w:val="single" w:sz="8" w:color="33CCCC"/>
            </w:tcBorders>
            <w:shd w:val="clear" w:color="auto" w:fill="33CCCC"/>
          </w:tcPr>
          <w:p>
            <w:pPr>
              <w:spacing w:after="0"/>
              <w:rPr>
                <w:sz w:val="20"/>
                <w:szCs w:val="20"/>
                <w:color w:val="auto"/>
              </w:rPr>
            </w:pPr>
            <w:r>
              <w:rPr>
                <w:rFonts w:ascii="Calibri" w:cs="Calibri" w:eastAsia="Calibri" w:hAnsi="Calibri"/>
                <w:sz w:val="11"/>
                <w:szCs w:val="11"/>
                <w:b w:val="1"/>
                <w:bCs w:val="1"/>
                <w:color w:val="FFFFFF"/>
              </w:rPr>
              <w:t>Up to</w:t>
            </w:r>
          </w:p>
        </w:tc>
        <w:tc>
          <w:tcPr>
            <w:tcW w:w="138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Change</w:t>
            </w:r>
          </w:p>
        </w:tc>
      </w:tr>
      <w:tr>
        <w:trPr>
          <w:trHeight w:val="131"/>
        </w:trPr>
        <w:tc>
          <w:tcPr>
            <w:tcW w:w="466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76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4Q23</w:t>
            </w:r>
          </w:p>
        </w:tc>
        <w:tc>
          <w:tcPr>
            <w:tcW w:w="7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w w:val="98"/>
              </w:rPr>
              <w:t>3Q24</w:t>
            </w:r>
          </w:p>
        </w:tc>
        <w:tc>
          <w:tcPr>
            <w:tcW w:w="7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4Q24</w:t>
            </w:r>
          </w:p>
        </w:tc>
        <w:tc>
          <w:tcPr>
            <w:tcW w:w="580" w:type="dxa"/>
            <w:vAlign w:val="bottom"/>
            <w:tcBorders>
              <w:bottom w:val="single" w:sz="8" w:color="auto"/>
            </w:tcBorders>
            <w:shd w:val="clear" w:color="auto" w:fill="33CCCC"/>
          </w:tcPr>
          <w:p>
            <w:pPr>
              <w:jc w:val="center"/>
              <w:ind w:left="103"/>
              <w:spacing w:after="0" w:line="131" w:lineRule="exact"/>
              <w:rPr>
                <w:sz w:val="20"/>
                <w:szCs w:val="20"/>
                <w:color w:val="auto"/>
              </w:rPr>
            </w:pPr>
            <w:r>
              <w:rPr>
                <w:rFonts w:ascii="Calibri" w:cs="Calibri" w:eastAsia="Calibri" w:hAnsi="Calibri"/>
                <w:sz w:val="11"/>
                <w:szCs w:val="11"/>
                <w:b w:val="1"/>
                <w:bCs w:val="1"/>
                <w:color w:val="FFFFFF"/>
              </w:rPr>
              <w:t>QoQ</w:t>
            </w:r>
          </w:p>
        </w:tc>
        <w:tc>
          <w:tcPr>
            <w:tcW w:w="180" w:type="dxa"/>
            <w:vAlign w:val="bottom"/>
            <w:tcBorders>
              <w:bottom w:val="single" w:sz="8" w:color="auto"/>
              <w:right w:val="single" w:sz="8" w:color="auto"/>
            </w:tcBorders>
            <w:shd w:val="clear" w:color="auto" w:fill="33CCCC"/>
          </w:tcPr>
          <w:p>
            <w:pPr>
              <w:spacing w:after="0"/>
              <w:rPr>
                <w:sz w:val="11"/>
                <w:szCs w:val="11"/>
                <w:color w:val="auto"/>
              </w:rPr>
            </w:pPr>
          </w:p>
        </w:tc>
        <w:tc>
          <w:tcPr>
            <w:tcW w:w="7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w w:val="91"/>
              </w:rPr>
              <w:t>YoY</w:t>
            </w:r>
          </w:p>
        </w:tc>
        <w:tc>
          <w:tcPr>
            <w:tcW w:w="520" w:type="dxa"/>
            <w:vAlign w:val="bottom"/>
            <w:tcBorders>
              <w:bottom w:val="single" w:sz="8" w:color="auto"/>
            </w:tcBorders>
            <w:shd w:val="clear" w:color="auto" w:fill="33CCCC"/>
          </w:tcPr>
          <w:p>
            <w:pPr>
              <w:ind w:left="200"/>
              <w:spacing w:after="0" w:line="131" w:lineRule="exact"/>
              <w:rPr>
                <w:sz w:val="20"/>
                <w:szCs w:val="20"/>
                <w:color w:val="auto"/>
              </w:rPr>
            </w:pPr>
            <w:r>
              <w:rPr>
                <w:rFonts w:ascii="Calibri" w:cs="Calibri" w:eastAsia="Calibri" w:hAnsi="Calibri"/>
                <w:sz w:val="11"/>
                <w:szCs w:val="11"/>
                <w:b w:val="1"/>
                <w:bCs w:val="1"/>
                <w:color w:val="FFFFFF"/>
                <w:w w:val="97"/>
              </w:rPr>
              <w:t>Dec 23</w:t>
            </w:r>
          </w:p>
        </w:tc>
        <w:tc>
          <w:tcPr>
            <w:tcW w:w="820" w:type="dxa"/>
            <w:vAlign w:val="bottom"/>
            <w:tcBorders>
              <w:bottom w:val="single" w:sz="8" w:color="auto"/>
              <w:right w:val="single" w:sz="8" w:color="auto"/>
            </w:tcBorders>
            <w:shd w:val="clear" w:color="auto" w:fill="33CCCC"/>
          </w:tcPr>
          <w:p>
            <w:pPr>
              <w:ind w:left="340"/>
              <w:spacing w:after="0" w:line="131" w:lineRule="exact"/>
              <w:rPr>
                <w:sz w:val="20"/>
                <w:szCs w:val="20"/>
                <w:color w:val="auto"/>
              </w:rPr>
            </w:pPr>
            <w:r>
              <w:rPr>
                <w:rFonts w:ascii="Calibri" w:cs="Calibri" w:eastAsia="Calibri" w:hAnsi="Calibri"/>
                <w:sz w:val="11"/>
                <w:szCs w:val="11"/>
                <w:b w:val="1"/>
                <w:bCs w:val="1"/>
                <w:color w:val="FFFFFF"/>
              </w:rPr>
              <w:t>Dec 24</w:t>
            </w:r>
          </w:p>
        </w:tc>
        <w:tc>
          <w:tcPr>
            <w:tcW w:w="138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24 / Dec 23</w:t>
            </w:r>
          </w:p>
        </w:tc>
      </w:tr>
      <w:tr>
        <w:trPr>
          <w:trHeight w:val="109"/>
        </w:trPr>
        <w:tc>
          <w:tcPr>
            <w:tcW w:w="4660" w:type="dxa"/>
            <w:vAlign w:val="bottom"/>
            <w:tcBorders>
              <w:left w:val="single" w:sz="8" w:color="auto"/>
              <w:right w:val="single" w:sz="8" w:color="auto"/>
            </w:tcBorders>
          </w:tcPr>
          <w:p>
            <w:pPr>
              <w:ind w:left="20"/>
              <w:spacing w:after="0" w:line="109" w:lineRule="exact"/>
              <w:rPr>
                <w:sz w:val="20"/>
                <w:szCs w:val="20"/>
                <w:color w:val="auto"/>
              </w:rPr>
            </w:pPr>
            <w:r>
              <w:rPr>
                <w:rFonts w:ascii="Calibri" w:cs="Calibri" w:eastAsia="Calibri" w:hAnsi="Calibri"/>
                <w:sz w:val="11"/>
                <w:szCs w:val="11"/>
                <w:color w:val="auto"/>
              </w:rPr>
              <w:t>ROE</w:t>
            </w:r>
          </w:p>
        </w:tc>
        <w:tc>
          <w:tcPr>
            <w:tcW w:w="76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33.7%</w:t>
            </w:r>
          </w:p>
        </w:tc>
        <w:tc>
          <w:tcPr>
            <w:tcW w:w="7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27.9%</w:t>
            </w:r>
          </w:p>
        </w:tc>
        <w:tc>
          <w:tcPr>
            <w:tcW w:w="7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19.7%</w:t>
            </w:r>
          </w:p>
        </w:tc>
        <w:tc>
          <w:tcPr>
            <w:tcW w:w="580" w:type="dxa"/>
            <w:vAlign w:val="bottom"/>
          </w:tcPr>
          <w:p>
            <w:pPr>
              <w:jc w:val="center"/>
              <w:ind w:left="103"/>
              <w:spacing w:after="0" w:line="109" w:lineRule="exact"/>
              <w:rPr>
                <w:sz w:val="20"/>
                <w:szCs w:val="20"/>
                <w:color w:val="auto"/>
              </w:rPr>
            </w:pPr>
            <w:r>
              <w:rPr>
                <w:rFonts w:ascii="Calibri" w:cs="Calibri" w:eastAsia="Calibri" w:hAnsi="Calibri"/>
                <w:sz w:val="11"/>
                <w:szCs w:val="11"/>
                <w:color w:val="auto"/>
                <w:w w:val="98"/>
              </w:rPr>
              <w:t>-827 bps</w:t>
            </w:r>
          </w:p>
        </w:tc>
        <w:tc>
          <w:tcPr>
            <w:tcW w:w="1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w w:val="99"/>
              </w:rPr>
              <w:t>-1401 bps</w:t>
            </w:r>
          </w:p>
        </w:tc>
        <w:tc>
          <w:tcPr>
            <w:tcW w:w="520" w:type="dxa"/>
            <w:vAlign w:val="bottom"/>
          </w:tcPr>
          <w:p>
            <w:pPr>
              <w:jc w:val="center"/>
              <w:ind w:left="123"/>
              <w:spacing w:after="0" w:line="109" w:lineRule="exact"/>
              <w:rPr>
                <w:sz w:val="20"/>
                <w:szCs w:val="20"/>
                <w:color w:val="auto"/>
              </w:rPr>
            </w:pPr>
            <w:r>
              <w:rPr>
                <w:rFonts w:ascii="Calibri" w:cs="Calibri" w:eastAsia="Calibri" w:hAnsi="Calibri"/>
                <w:sz w:val="11"/>
                <w:szCs w:val="11"/>
                <w:color w:val="auto"/>
              </w:rPr>
              <w:t>30.0%</w:t>
            </w:r>
          </w:p>
        </w:tc>
        <w:tc>
          <w:tcPr>
            <w:tcW w:w="820" w:type="dxa"/>
            <w:vAlign w:val="bottom"/>
            <w:tcBorders>
              <w:right w:val="single" w:sz="8" w:color="auto"/>
            </w:tcBorders>
          </w:tcPr>
          <w:p>
            <w:pPr>
              <w:jc w:val="center"/>
              <w:ind w:left="123"/>
              <w:spacing w:after="0" w:line="109" w:lineRule="exact"/>
              <w:rPr>
                <w:sz w:val="20"/>
                <w:szCs w:val="20"/>
                <w:color w:val="auto"/>
              </w:rPr>
            </w:pPr>
            <w:r>
              <w:rPr>
                <w:rFonts w:ascii="Calibri" w:cs="Calibri" w:eastAsia="Calibri" w:hAnsi="Calibri"/>
                <w:sz w:val="11"/>
                <w:szCs w:val="11"/>
                <w:color w:val="auto"/>
              </w:rPr>
              <w:t>27.2%</w:t>
            </w:r>
          </w:p>
        </w:tc>
        <w:tc>
          <w:tcPr>
            <w:tcW w:w="1380" w:type="dxa"/>
            <w:vAlign w:val="bottom"/>
            <w:tcBorders>
              <w:right w:val="single" w:sz="8" w:color="auto"/>
            </w:tcBorders>
          </w:tcPr>
          <w:p>
            <w:pPr>
              <w:jc w:val="center"/>
              <w:spacing w:after="0" w:line="109" w:lineRule="exact"/>
              <w:rPr>
                <w:sz w:val="20"/>
                <w:szCs w:val="20"/>
                <w:color w:val="auto"/>
              </w:rPr>
            </w:pPr>
            <w:r>
              <w:rPr>
                <w:rFonts w:ascii="Calibri" w:cs="Calibri" w:eastAsia="Calibri" w:hAnsi="Calibri"/>
                <w:sz w:val="11"/>
                <w:szCs w:val="11"/>
                <w:color w:val="auto"/>
              </w:rPr>
              <w:t>-276 bps</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Interest Margin</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0.5%</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0.3%</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0.0%</w:t>
            </w:r>
          </w:p>
        </w:tc>
        <w:tc>
          <w:tcPr>
            <w:tcW w:w="580" w:type="dxa"/>
            <w:vAlign w:val="bottom"/>
          </w:tcPr>
          <w:p>
            <w:pPr>
              <w:jc w:val="center"/>
              <w:ind w:left="103"/>
              <w:spacing w:after="0" w:line="131" w:lineRule="exact"/>
              <w:rPr>
                <w:sz w:val="20"/>
                <w:szCs w:val="20"/>
                <w:color w:val="auto"/>
              </w:rPr>
            </w:pPr>
            <w:r>
              <w:rPr>
                <w:rFonts w:ascii="Calibri" w:cs="Calibri" w:eastAsia="Calibri" w:hAnsi="Calibri"/>
                <w:sz w:val="11"/>
                <w:szCs w:val="11"/>
                <w:color w:val="auto"/>
              </w:rPr>
              <w:t>-34 bps</w:t>
            </w:r>
          </w:p>
        </w:tc>
        <w:tc>
          <w:tcPr>
            <w:tcW w:w="1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-47 bps</w:t>
            </w:r>
          </w:p>
        </w:tc>
        <w:tc>
          <w:tcPr>
            <w:tcW w:w="520" w:type="dxa"/>
            <w:vAlign w:val="bottom"/>
          </w:tcPr>
          <w:p>
            <w:pPr>
              <w:jc w:val="center"/>
              <w:ind w:left="123"/>
              <w:spacing w:after="0" w:line="131" w:lineRule="exact"/>
              <w:rPr>
                <w:sz w:val="20"/>
                <w:szCs w:val="20"/>
                <w:color w:val="auto"/>
              </w:rPr>
            </w:pPr>
            <w:r>
              <w:rPr>
                <w:rFonts w:ascii="Calibri" w:cs="Calibri" w:eastAsia="Calibri" w:hAnsi="Calibri"/>
                <w:sz w:val="11"/>
                <w:szCs w:val="11"/>
                <w:color w:val="auto"/>
              </w:rPr>
              <w:t>0.9%</w:t>
            </w:r>
          </w:p>
        </w:tc>
        <w:tc>
          <w:tcPr>
            <w:tcW w:w="820" w:type="dxa"/>
            <w:vAlign w:val="bottom"/>
            <w:tcBorders>
              <w:right w:val="single" w:sz="8" w:color="auto"/>
            </w:tcBorders>
          </w:tcPr>
          <w:p>
            <w:pPr>
              <w:jc w:val="center"/>
              <w:ind w:left="103"/>
              <w:spacing w:after="0" w:line="131" w:lineRule="exact"/>
              <w:rPr>
                <w:sz w:val="20"/>
                <w:szCs w:val="20"/>
                <w:color w:val="auto"/>
              </w:rPr>
            </w:pPr>
            <w:r>
              <w:rPr>
                <w:rFonts w:ascii="Calibri" w:cs="Calibri" w:eastAsia="Calibri" w:hAnsi="Calibri"/>
                <w:sz w:val="11"/>
                <w:szCs w:val="11"/>
                <w:color w:val="auto"/>
              </w:rPr>
              <w:t>0.4%</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-50 bps</w:t>
            </w:r>
          </w:p>
        </w:tc>
      </w:tr>
      <w:tr>
        <w:trPr>
          <w:trHeight w:val="131"/>
        </w:trPr>
        <w:tc>
          <w:tcPr>
            <w:tcW w:w="466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Efciency Rato</w:t>
            </w:r>
          </w:p>
        </w:tc>
        <w:tc>
          <w:tcPr>
            <w:tcW w:w="7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54.2%</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50.7%</w:t>
            </w: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64.2%</w:t>
            </w:r>
          </w:p>
        </w:tc>
        <w:tc>
          <w:tcPr>
            <w:tcW w:w="580" w:type="dxa"/>
            <w:vAlign w:val="bottom"/>
          </w:tcPr>
          <w:p>
            <w:pPr>
              <w:jc w:val="center"/>
              <w:ind w:left="103"/>
              <w:spacing w:after="0" w:line="131" w:lineRule="exact"/>
              <w:rPr>
                <w:sz w:val="20"/>
                <w:szCs w:val="20"/>
                <w:color w:val="auto"/>
              </w:rPr>
            </w:pPr>
            <w:r>
              <w:rPr>
                <w:rFonts w:ascii="Calibri" w:cs="Calibri" w:eastAsia="Calibri" w:hAnsi="Calibri"/>
                <w:sz w:val="11"/>
                <w:szCs w:val="11"/>
                <w:color w:val="auto"/>
              </w:rPr>
              <w:t>1348 bps</w:t>
            </w:r>
          </w:p>
        </w:tc>
        <w:tc>
          <w:tcPr>
            <w:tcW w:w="1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996 bps</w:t>
            </w:r>
          </w:p>
        </w:tc>
        <w:tc>
          <w:tcPr>
            <w:tcW w:w="520" w:type="dxa"/>
            <w:vAlign w:val="bottom"/>
          </w:tcPr>
          <w:p>
            <w:pPr>
              <w:jc w:val="center"/>
              <w:ind w:left="123"/>
              <w:spacing w:after="0" w:line="131" w:lineRule="exact"/>
              <w:rPr>
                <w:sz w:val="20"/>
                <w:szCs w:val="20"/>
                <w:color w:val="auto"/>
              </w:rPr>
            </w:pPr>
            <w:r>
              <w:rPr>
                <w:rFonts w:ascii="Calibri" w:cs="Calibri" w:eastAsia="Calibri" w:hAnsi="Calibri"/>
                <w:sz w:val="11"/>
                <w:szCs w:val="11"/>
                <w:color w:val="auto"/>
              </w:rPr>
              <w:t>51.3%</w:t>
            </w:r>
          </w:p>
        </w:tc>
        <w:tc>
          <w:tcPr>
            <w:tcW w:w="820" w:type="dxa"/>
            <w:vAlign w:val="bottom"/>
            <w:tcBorders>
              <w:right w:val="single" w:sz="8" w:color="auto"/>
            </w:tcBorders>
          </w:tcPr>
          <w:p>
            <w:pPr>
              <w:jc w:val="center"/>
              <w:ind w:left="123"/>
              <w:spacing w:after="0" w:line="131" w:lineRule="exact"/>
              <w:rPr>
                <w:sz w:val="20"/>
                <w:szCs w:val="20"/>
                <w:color w:val="auto"/>
              </w:rPr>
            </w:pPr>
            <w:r>
              <w:rPr>
                <w:rFonts w:ascii="Calibri" w:cs="Calibri" w:eastAsia="Calibri" w:hAnsi="Calibri"/>
                <w:sz w:val="11"/>
                <w:szCs w:val="11"/>
                <w:color w:val="auto"/>
              </w:rPr>
              <w:t>54.2%</w:t>
            </w:r>
          </w:p>
        </w:tc>
        <w:tc>
          <w:tcPr>
            <w:tcW w:w="138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292 bps</w:t>
            </w:r>
          </w:p>
        </w:tc>
      </w:tr>
      <w:tr>
        <w:trPr>
          <w:trHeight w:val="141"/>
        </w:trPr>
        <w:tc>
          <w:tcPr>
            <w:tcW w:w="466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Operatng Expenses / Total Average Assets</w:t>
            </w:r>
          </w:p>
        </w:tc>
        <w:tc>
          <w:tcPr>
            <w:tcW w:w="7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26.6%</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26.5%</w:t>
            </w: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32.6%</w:t>
            </w:r>
          </w:p>
        </w:tc>
        <w:tc>
          <w:tcPr>
            <w:tcW w:w="580" w:type="dxa"/>
            <w:vAlign w:val="bottom"/>
            <w:tcBorders>
              <w:bottom w:val="single" w:sz="8" w:color="auto"/>
            </w:tcBorders>
          </w:tcPr>
          <w:p>
            <w:pPr>
              <w:jc w:val="center"/>
              <w:ind w:left="83"/>
              <w:spacing w:after="0"/>
              <w:rPr>
                <w:sz w:val="20"/>
                <w:szCs w:val="20"/>
                <w:color w:val="auto"/>
              </w:rPr>
            </w:pPr>
            <w:r>
              <w:rPr>
                <w:rFonts w:ascii="Calibri" w:cs="Calibri" w:eastAsia="Calibri" w:hAnsi="Calibri"/>
                <w:sz w:val="11"/>
                <w:szCs w:val="11"/>
                <w:color w:val="auto"/>
              </w:rPr>
              <w:t>609 bps</w:t>
            </w:r>
          </w:p>
        </w:tc>
        <w:tc>
          <w:tcPr>
            <w:tcW w:w="1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594 bps</w:t>
            </w:r>
          </w:p>
        </w:tc>
        <w:tc>
          <w:tcPr>
            <w:tcW w:w="520" w:type="dxa"/>
            <w:vAlign w:val="bottom"/>
            <w:tcBorders>
              <w:bottom w:val="single" w:sz="8" w:color="auto"/>
            </w:tcBorders>
          </w:tcPr>
          <w:p>
            <w:pPr>
              <w:jc w:val="center"/>
              <w:ind w:left="123"/>
              <w:spacing w:after="0"/>
              <w:rPr>
                <w:sz w:val="20"/>
                <w:szCs w:val="20"/>
                <w:color w:val="auto"/>
              </w:rPr>
            </w:pPr>
            <w:r>
              <w:rPr>
                <w:rFonts w:ascii="Calibri" w:cs="Calibri" w:eastAsia="Calibri" w:hAnsi="Calibri"/>
                <w:sz w:val="11"/>
                <w:szCs w:val="11"/>
                <w:color w:val="auto"/>
              </w:rPr>
              <w:t>24.6%</w:t>
            </w:r>
          </w:p>
        </w:tc>
        <w:tc>
          <w:tcPr>
            <w:tcW w:w="820" w:type="dxa"/>
            <w:vAlign w:val="bottom"/>
            <w:tcBorders>
              <w:bottom w:val="single" w:sz="8" w:color="auto"/>
              <w:right w:val="single" w:sz="8" w:color="auto"/>
            </w:tcBorders>
          </w:tcPr>
          <w:p>
            <w:pPr>
              <w:jc w:val="center"/>
              <w:ind w:left="123"/>
              <w:spacing w:after="0"/>
              <w:rPr>
                <w:sz w:val="20"/>
                <w:szCs w:val="20"/>
                <w:color w:val="auto"/>
              </w:rPr>
            </w:pPr>
            <w:r>
              <w:rPr>
                <w:rFonts w:ascii="Calibri" w:cs="Calibri" w:eastAsia="Calibri" w:hAnsi="Calibri"/>
                <w:sz w:val="11"/>
                <w:szCs w:val="11"/>
                <w:color w:val="auto"/>
              </w:rPr>
              <w:t>28.9%</w:t>
            </w:r>
          </w:p>
        </w:tc>
        <w:tc>
          <w:tcPr>
            <w:tcW w:w="138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color w:val="auto"/>
              </w:rPr>
              <w:t>437 bps</w:t>
            </w:r>
          </w:p>
        </w:tc>
      </w:tr>
    </w:tbl>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Main Indicators and Market Share</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5700" w:type="dxa"/>
            <w:vAlign w:val="bottom"/>
            <w:tcBorders>
              <w:top w:val="single" w:sz="8" w:color="auto"/>
              <w:left w:val="single" w:sz="8" w:color="auto"/>
            </w:tcBorders>
            <w:shd w:val="clear" w:color="auto" w:fill="33CCCC"/>
          </w:tcPr>
          <w:p>
            <w:pPr>
              <w:spacing w:after="0"/>
              <w:rPr>
                <w:sz w:val="14"/>
                <w:szCs w:val="14"/>
                <w:color w:val="auto"/>
              </w:rPr>
            </w:pPr>
          </w:p>
        </w:tc>
        <w:tc>
          <w:tcPr>
            <w:tcW w:w="940" w:type="dxa"/>
            <w:vAlign w:val="bottom"/>
            <w:tcBorders>
              <w:top w:val="single" w:sz="8" w:color="auto"/>
            </w:tcBorders>
            <w:shd w:val="clear" w:color="auto" w:fill="33CCCC"/>
          </w:tcPr>
          <w:p>
            <w:pPr>
              <w:ind w:left="340"/>
              <w:spacing w:after="0"/>
              <w:rPr>
                <w:sz w:val="20"/>
                <w:szCs w:val="20"/>
                <w:color w:val="auto"/>
              </w:rPr>
            </w:pPr>
            <w:r>
              <w:rPr>
                <w:rFonts w:ascii="Calibri" w:cs="Calibri" w:eastAsia="Calibri" w:hAnsi="Calibri"/>
                <w:sz w:val="13"/>
                <w:szCs w:val="13"/>
                <w:b w:val="1"/>
                <w:bCs w:val="1"/>
                <w:color w:val="FFFFFF"/>
              </w:rPr>
              <w:t>Prima</w:t>
            </w:r>
          </w:p>
        </w:tc>
        <w:tc>
          <w:tcPr>
            <w:tcW w:w="98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7"/>
              </w:rPr>
              <w:t>System</w:t>
            </w:r>
          </w:p>
        </w:tc>
        <w:tc>
          <w:tcPr>
            <w:tcW w:w="880" w:type="dxa"/>
            <w:vAlign w:val="bottom"/>
            <w:tcBorders>
              <w:top w:val="single" w:sz="8" w:color="auto"/>
            </w:tcBorders>
            <w:shd w:val="clear" w:color="auto" w:fill="33CCCC"/>
          </w:tcPr>
          <w:p>
            <w:pPr>
              <w:ind w:left="220"/>
              <w:spacing w:after="0"/>
              <w:rPr>
                <w:sz w:val="20"/>
                <w:szCs w:val="20"/>
                <w:color w:val="auto"/>
              </w:rPr>
            </w:pPr>
            <w:r>
              <w:rPr>
                <w:rFonts w:ascii="Calibri" w:cs="Calibri" w:eastAsia="Calibri" w:hAnsi="Calibri"/>
                <w:sz w:val="13"/>
                <w:szCs w:val="13"/>
                <w:b w:val="1"/>
                <w:bCs w:val="1"/>
                <w:color w:val="FFFFFF"/>
              </w:rPr>
              <w:t>Share %</w:t>
            </w:r>
          </w:p>
        </w:tc>
        <w:tc>
          <w:tcPr>
            <w:tcW w:w="940" w:type="dxa"/>
            <w:vAlign w:val="bottom"/>
            <w:tcBorders>
              <w:top w:val="single" w:sz="8" w:color="auto"/>
            </w:tcBorders>
            <w:shd w:val="clear" w:color="auto" w:fill="33CCCC"/>
          </w:tcPr>
          <w:p>
            <w:pPr>
              <w:ind w:left="340"/>
              <w:spacing w:after="0"/>
              <w:rPr>
                <w:sz w:val="20"/>
                <w:szCs w:val="20"/>
                <w:color w:val="auto"/>
              </w:rPr>
            </w:pPr>
            <w:r>
              <w:rPr>
                <w:rFonts w:ascii="Calibri" w:cs="Calibri" w:eastAsia="Calibri" w:hAnsi="Calibri"/>
                <w:sz w:val="13"/>
                <w:szCs w:val="13"/>
                <w:b w:val="1"/>
                <w:bCs w:val="1"/>
                <w:color w:val="FFFFFF"/>
              </w:rPr>
              <w:t>Prima</w:t>
            </w:r>
          </w:p>
        </w:tc>
        <w:tc>
          <w:tcPr>
            <w:tcW w:w="960" w:type="dxa"/>
            <w:vAlign w:val="bottom"/>
            <w:tcBorders>
              <w:top w:val="single" w:sz="8" w:color="auto"/>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7"/>
              </w:rPr>
              <w:t>System</w:t>
            </w:r>
          </w:p>
        </w:tc>
        <w:tc>
          <w:tcPr>
            <w:tcW w:w="840" w:type="dxa"/>
            <w:vAlign w:val="bottom"/>
            <w:tcBorders>
              <w:top w:val="single" w:sz="8" w:color="auto"/>
              <w:right w:val="single" w:sz="8" w:color="auto"/>
            </w:tcBorders>
            <w:shd w:val="clear" w:color="auto" w:fill="33CCCC"/>
          </w:tcPr>
          <w:p>
            <w:pPr>
              <w:ind w:left="220"/>
              <w:spacing w:after="0"/>
              <w:rPr>
                <w:sz w:val="20"/>
                <w:szCs w:val="20"/>
                <w:color w:val="auto"/>
              </w:rPr>
            </w:pPr>
            <w:r>
              <w:rPr>
                <w:rFonts w:ascii="Calibri" w:cs="Calibri" w:eastAsia="Calibri" w:hAnsi="Calibri"/>
                <w:sz w:val="13"/>
                <w:szCs w:val="13"/>
                <w:b w:val="1"/>
                <w:bCs w:val="1"/>
                <w:color w:val="FFFFFF"/>
              </w:rPr>
              <w:t>Share %</w:t>
            </w:r>
          </w:p>
        </w:tc>
      </w:tr>
      <w:tr>
        <w:trPr>
          <w:trHeight w:val="190"/>
        </w:trPr>
        <w:tc>
          <w:tcPr>
            <w:tcW w:w="5700" w:type="dxa"/>
            <w:vAlign w:val="bottom"/>
            <w:tcBorders>
              <w:left w:val="single" w:sz="8" w:color="auto"/>
              <w:bottom w:val="single" w:sz="8" w:color="33CCCC"/>
            </w:tcBorders>
            <w:shd w:val="clear" w:color="auto" w:fill="33CCCC"/>
          </w:tcPr>
          <w:p>
            <w:pPr>
              <w:spacing w:after="0"/>
              <w:rPr>
                <w:sz w:val="16"/>
                <w:szCs w:val="16"/>
                <w:color w:val="auto"/>
              </w:rPr>
            </w:pPr>
          </w:p>
        </w:tc>
        <w:tc>
          <w:tcPr>
            <w:tcW w:w="940" w:type="dxa"/>
            <w:vAlign w:val="bottom"/>
            <w:tcBorders>
              <w:bottom w:val="single" w:sz="8" w:color="33CCCC"/>
            </w:tcBorders>
            <w:shd w:val="clear" w:color="auto" w:fill="33CCCC"/>
          </w:tcPr>
          <w:p>
            <w:pPr>
              <w:ind w:left="340"/>
              <w:spacing w:after="0"/>
              <w:rPr>
                <w:sz w:val="20"/>
                <w:szCs w:val="20"/>
                <w:color w:val="auto"/>
              </w:rPr>
            </w:pPr>
            <w:r>
              <w:rPr>
                <w:rFonts w:ascii="Calibri" w:cs="Calibri" w:eastAsia="Calibri" w:hAnsi="Calibri"/>
                <w:sz w:val="13"/>
                <w:szCs w:val="13"/>
                <w:b w:val="1"/>
                <w:bCs w:val="1"/>
                <w:color w:val="FFFFFF"/>
              </w:rPr>
              <w:t>3Q24</w:t>
            </w:r>
          </w:p>
        </w:tc>
        <w:tc>
          <w:tcPr>
            <w:tcW w:w="98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w w:val="97"/>
              </w:rPr>
              <w:t>3Q24</w:t>
            </w:r>
          </w:p>
        </w:tc>
        <w:tc>
          <w:tcPr>
            <w:tcW w:w="880" w:type="dxa"/>
            <w:vAlign w:val="bottom"/>
            <w:tcBorders>
              <w:bottom w:val="single" w:sz="8" w:color="33CCCC"/>
            </w:tcBorders>
            <w:shd w:val="clear" w:color="auto" w:fill="33CCCC"/>
          </w:tcPr>
          <w:p>
            <w:pPr>
              <w:ind w:left="280"/>
              <w:spacing w:after="0"/>
              <w:rPr>
                <w:sz w:val="20"/>
                <w:szCs w:val="20"/>
                <w:color w:val="auto"/>
              </w:rPr>
            </w:pPr>
            <w:r>
              <w:rPr>
                <w:rFonts w:ascii="Calibri" w:cs="Calibri" w:eastAsia="Calibri" w:hAnsi="Calibri"/>
                <w:sz w:val="13"/>
                <w:szCs w:val="13"/>
                <w:b w:val="1"/>
                <w:bCs w:val="1"/>
                <w:color w:val="FFFFFF"/>
              </w:rPr>
              <w:t>3Q24</w:t>
            </w:r>
          </w:p>
        </w:tc>
        <w:tc>
          <w:tcPr>
            <w:tcW w:w="940" w:type="dxa"/>
            <w:vAlign w:val="bottom"/>
            <w:tcBorders>
              <w:bottom w:val="single" w:sz="8" w:color="33CCCC"/>
            </w:tcBorders>
            <w:shd w:val="clear" w:color="auto" w:fill="33CCCC"/>
          </w:tcPr>
          <w:p>
            <w:pPr>
              <w:ind w:left="340"/>
              <w:spacing w:after="0"/>
              <w:rPr>
                <w:sz w:val="20"/>
                <w:szCs w:val="20"/>
                <w:color w:val="auto"/>
              </w:rPr>
            </w:pPr>
            <w:r>
              <w:rPr>
                <w:rFonts w:ascii="Calibri" w:cs="Calibri" w:eastAsia="Calibri" w:hAnsi="Calibri"/>
                <w:sz w:val="13"/>
                <w:szCs w:val="13"/>
                <w:b w:val="1"/>
                <w:bCs w:val="1"/>
                <w:color w:val="FFFFFF"/>
              </w:rPr>
              <w:t>4Q24</w:t>
            </w:r>
          </w:p>
        </w:tc>
        <w:tc>
          <w:tcPr>
            <w:tcW w:w="960" w:type="dxa"/>
            <w:vAlign w:val="bottom"/>
            <w:tcBorders>
              <w:bottom w:val="single" w:sz="8" w:color="33CCCC"/>
            </w:tcBorders>
            <w:shd w:val="clear" w:color="auto" w:fill="33CCCC"/>
          </w:tcPr>
          <w:p>
            <w:pPr>
              <w:jc w:val="center"/>
              <w:spacing w:after="0"/>
              <w:rPr>
                <w:sz w:val="20"/>
                <w:szCs w:val="20"/>
                <w:color w:val="auto"/>
              </w:rPr>
            </w:pPr>
            <w:r>
              <w:rPr>
                <w:rFonts w:ascii="Calibri" w:cs="Calibri" w:eastAsia="Calibri" w:hAnsi="Calibri"/>
                <w:sz w:val="13"/>
                <w:szCs w:val="13"/>
                <w:b w:val="1"/>
                <w:bCs w:val="1"/>
                <w:color w:val="FFFFFF"/>
              </w:rPr>
              <w:t>4Q24</w:t>
            </w:r>
          </w:p>
        </w:tc>
        <w:tc>
          <w:tcPr>
            <w:tcW w:w="840" w:type="dxa"/>
            <w:vAlign w:val="bottom"/>
            <w:tcBorders>
              <w:bottom w:val="single" w:sz="8" w:color="33CCCC"/>
              <w:right w:val="single" w:sz="8" w:color="auto"/>
            </w:tcBorders>
            <w:shd w:val="clear" w:color="auto" w:fill="33CCCC"/>
          </w:tcPr>
          <w:p>
            <w:pPr>
              <w:ind w:left="280"/>
              <w:spacing w:after="0"/>
              <w:rPr>
                <w:sz w:val="20"/>
                <w:szCs w:val="20"/>
                <w:color w:val="auto"/>
              </w:rPr>
            </w:pPr>
            <w:r>
              <w:rPr>
                <w:rFonts w:ascii="Calibri" w:cs="Calibri" w:eastAsia="Calibri" w:hAnsi="Calibri"/>
                <w:sz w:val="13"/>
                <w:szCs w:val="13"/>
                <w:b w:val="1"/>
                <w:bCs w:val="1"/>
                <w:color w:val="FFFFFF"/>
              </w:rPr>
              <w:t>4Q24</w:t>
            </w:r>
          </w:p>
        </w:tc>
      </w:tr>
      <w:tr>
        <w:trPr>
          <w:trHeight w:val="149"/>
        </w:trPr>
        <w:tc>
          <w:tcPr>
            <w:tcW w:w="5700" w:type="dxa"/>
            <w:vAlign w:val="bottom"/>
            <w:tcBorders>
              <w:top w:val="single" w:sz="8" w:color="auto"/>
              <w:left w:val="single" w:sz="8" w:color="auto"/>
            </w:tcBorders>
          </w:tcPr>
          <w:p>
            <w:pPr>
              <w:ind w:left="20"/>
              <w:spacing w:after="0" w:line="150" w:lineRule="exact"/>
              <w:rPr>
                <w:sz w:val="20"/>
                <w:szCs w:val="20"/>
                <w:color w:val="auto"/>
              </w:rPr>
            </w:pPr>
            <w:r>
              <w:rPr>
                <w:rFonts w:ascii="Calibri" w:cs="Calibri" w:eastAsia="Calibri" w:hAnsi="Calibri"/>
                <w:sz w:val="13"/>
                <w:szCs w:val="13"/>
                <w:color w:val="auto"/>
              </w:rPr>
              <w:t>AUMs (S/ Millions)</w:t>
            </w:r>
          </w:p>
        </w:tc>
        <w:tc>
          <w:tcPr>
            <w:tcW w:w="940" w:type="dxa"/>
            <w:vAlign w:val="bottom"/>
            <w:tcBorders>
              <w:top w:val="single" w:sz="8" w:color="auto"/>
            </w:tcBorders>
          </w:tcPr>
          <w:p>
            <w:pPr>
              <w:jc w:val="center"/>
              <w:spacing w:after="0" w:line="150" w:lineRule="exact"/>
              <w:rPr>
                <w:sz w:val="20"/>
                <w:szCs w:val="20"/>
                <w:color w:val="auto"/>
              </w:rPr>
            </w:pPr>
            <w:r>
              <w:rPr>
                <w:rFonts w:ascii="Calibri" w:cs="Calibri" w:eastAsia="Calibri" w:hAnsi="Calibri"/>
                <w:sz w:val="13"/>
                <w:szCs w:val="13"/>
                <w:color w:val="auto"/>
                <w:w w:val="99"/>
              </w:rPr>
              <w:t>32,142</w:t>
            </w:r>
          </w:p>
        </w:tc>
        <w:tc>
          <w:tcPr>
            <w:tcW w:w="980" w:type="dxa"/>
            <w:vAlign w:val="bottom"/>
            <w:tcBorders>
              <w:top w:val="single" w:sz="8" w:color="auto"/>
            </w:tcBorders>
          </w:tcPr>
          <w:p>
            <w:pPr>
              <w:jc w:val="center"/>
              <w:spacing w:after="0" w:line="150" w:lineRule="exact"/>
              <w:rPr>
                <w:sz w:val="20"/>
                <w:szCs w:val="20"/>
                <w:color w:val="auto"/>
              </w:rPr>
            </w:pPr>
            <w:r>
              <w:rPr>
                <w:rFonts w:ascii="Calibri" w:cs="Calibri" w:eastAsia="Calibri" w:hAnsi="Calibri"/>
                <w:sz w:val="13"/>
                <w:szCs w:val="13"/>
                <w:color w:val="auto"/>
                <w:w w:val="98"/>
              </w:rPr>
              <w:t>106,729</w:t>
            </w:r>
          </w:p>
        </w:tc>
        <w:tc>
          <w:tcPr>
            <w:tcW w:w="880" w:type="dxa"/>
            <w:vAlign w:val="bottom"/>
            <w:tcBorders>
              <w:top w:val="single" w:sz="8" w:color="auto"/>
            </w:tcBorders>
          </w:tcPr>
          <w:p>
            <w:pPr>
              <w:ind w:left="300"/>
              <w:spacing w:after="0" w:line="150" w:lineRule="exact"/>
              <w:rPr>
                <w:sz w:val="20"/>
                <w:szCs w:val="20"/>
                <w:color w:val="auto"/>
              </w:rPr>
            </w:pPr>
            <w:r>
              <w:rPr>
                <w:rFonts w:ascii="Calibri" w:cs="Calibri" w:eastAsia="Calibri" w:hAnsi="Calibri"/>
                <w:sz w:val="13"/>
                <w:szCs w:val="13"/>
                <w:color w:val="auto"/>
              </w:rPr>
              <w:t>30%</w:t>
            </w:r>
          </w:p>
        </w:tc>
        <w:tc>
          <w:tcPr>
            <w:tcW w:w="940" w:type="dxa"/>
            <w:vAlign w:val="bottom"/>
            <w:tcBorders>
              <w:top w:val="single" w:sz="8" w:color="auto"/>
            </w:tcBorders>
          </w:tcPr>
          <w:p>
            <w:pPr>
              <w:jc w:val="center"/>
              <w:spacing w:after="0" w:line="150" w:lineRule="exact"/>
              <w:rPr>
                <w:sz w:val="20"/>
                <w:szCs w:val="20"/>
                <w:color w:val="auto"/>
              </w:rPr>
            </w:pPr>
            <w:r>
              <w:rPr>
                <w:rFonts w:ascii="Calibri" w:cs="Calibri" w:eastAsia="Calibri" w:hAnsi="Calibri"/>
                <w:sz w:val="13"/>
                <w:szCs w:val="13"/>
                <w:color w:val="auto"/>
                <w:w w:val="99"/>
              </w:rPr>
              <w:t>32,118</w:t>
            </w:r>
          </w:p>
        </w:tc>
        <w:tc>
          <w:tcPr>
            <w:tcW w:w="960" w:type="dxa"/>
            <w:vAlign w:val="bottom"/>
            <w:tcBorders>
              <w:top w:val="single" w:sz="8" w:color="auto"/>
            </w:tcBorders>
          </w:tcPr>
          <w:p>
            <w:pPr>
              <w:jc w:val="center"/>
              <w:spacing w:after="0" w:line="150" w:lineRule="exact"/>
              <w:rPr>
                <w:sz w:val="20"/>
                <w:szCs w:val="20"/>
                <w:color w:val="auto"/>
              </w:rPr>
            </w:pPr>
            <w:r>
              <w:rPr>
                <w:rFonts w:ascii="Calibri" w:cs="Calibri" w:eastAsia="Calibri" w:hAnsi="Calibri"/>
                <w:sz w:val="13"/>
                <w:szCs w:val="13"/>
                <w:color w:val="auto"/>
              </w:rPr>
              <w:t>106,976</w:t>
            </w:r>
          </w:p>
        </w:tc>
        <w:tc>
          <w:tcPr>
            <w:tcW w:w="840" w:type="dxa"/>
            <w:vAlign w:val="bottom"/>
            <w:tcBorders>
              <w:top w:val="single" w:sz="8" w:color="auto"/>
              <w:right w:val="single" w:sz="8" w:color="auto"/>
            </w:tcBorders>
          </w:tcPr>
          <w:p>
            <w:pPr>
              <w:ind w:left="300"/>
              <w:spacing w:after="0" w:line="150" w:lineRule="exact"/>
              <w:rPr>
                <w:sz w:val="20"/>
                <w:szCs w:val="20"/>
                <w:color w:val="auto"/>
              </w:rPr>
            </w:pPr>
            <w:r>
              <w:rPr>
                <w:rFonts w:ascii="Calibri" w:cs="Calibri" w:eastAsia="Calibri" w:hAnsi="Calibri"/>
                <w:sz w:val="13"/>
                <w:szCs w:val="13"/>
                <w:color w:val="auto"/>
              </w:rPr>
              <w:t>30%</w:t>
            </w:r>
          </w:p>
        </w:tc>
      </w:tr>
      <w:tr>
        <w:trPr>
          <w:trHeight w:val="164"/>
        </w:trPr>
        <w:tc>
          <w:tcPr>
            <w:tcW w:w="570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Afliates (S/ Millions)</w:t>
            </w:r>
          </w:p>
        </w:tc>
        <w:tc>
          <w:tcPr>
            <w:tcW w:w="940" w:type="dxa"/>
            <w:vAlign w:val="bottom"/>
          </w:tcPr>
          <w:p>
            <w:pPr>
              <w:jc w:val="center"/>
              <w:spacing w:after="0"/>
              <w:rPr>
                <w:sz w:val="20"/>
                <w:szCs w:val="20"/>
                <w:color w:val="auto"/>
              </w:rPr>
            </w:pPr>
            <w:r>
              <w:rPr>
                <w:rFonts w:ascii="Calibri" w:cs="Calibri" w:eastAsia="Calibri" w:hAnsi="Calibri"/>
                <w:sz w:val="13"/>
                <w:szCs w:val="13"/>
                <w:color w:val="auto"/>
              </w:rPr>
              <w:t>2,341,483</w:t>
            </w:r>
          </w:p>
        </w:tc>
        <w:tc>
          <w:tcPr>
            <w:tcW w:w="980" w:type="dxa"/>
            <w:vAlign w:val="bottom"/>
          </w:tcPr>
          <w:p>
            <w:pPr>
              <w:jc w:val="center"/>
              <w:spacing w:after="0"/>
              <w:rPr>
                <w:sz w:val="20"/>
                <w:szCs w:val="20"/>
                <w:color w:val="auto"/>
              </w:rPr>
            </w:pPr>
            <w:r>
              <w:rPr>
                <w:rFonts w:ascii="Calibri" w:cs="Calibri" w:eastAsia="Calibri" w:hAnsi="Calibri"/>
                <w:sz w:val="13"/>
                <w:szCs w:val="13"/>
                <w:color w:val="auto"/>
              </w:rPr>
              <w:t>9,677,410</w:t>
            </w:r>
          </w:p>
        </w:tc>
        <w:tc>
          <w:tcPr>
            <w:tcW w:w="880" w:type="dxa"/>
            <w:vAlign w:val="bottom"/>
          </w:tcPr>
          <w:p>
            <w:pPr>
              <w:ind w:left="300"/>
              <w:spacing w:after="0"/>
              <w:rPr>
                <w:sz w:val="20"/>
                <w:szCs w:val="20"/>
                <w:color w:val="auto"/>
              </w:rPr>
            </w:pPr>
            <w:r>
              <w:rPr>
                <w:rFonts w:ascii="Calibri" w:cs="Calibri" w:eastAsia="Calibri" w:hAnsi="Calibri"/>
                <w:sz w:val="13"/>
                <w:szCs w:val="13"/>
                <w:color w:val="auto"/>
              </w:rPr>
              <w:t>24%</w:t>
            </w:r>
          </w:p>
        </w:tc>
        <w:tc>
          <w:tcPr>
            <w:tcW w:w="940" w:type="dxa"/>
            <w:vAlign w:val="bottom"/>
          </w:tcPr>
          <w:p>
            <w:pPr>
              <w:jc w:val="center"/>
              <w:spacing w:after="0"/>
              <w:rPr>
                <w:sz w:val="20"/>
                <w:szCs w:val="20"/>
                <w:color w:val="auto"/>
              </w:rPr>
            </w:pPr>
            <w:r>
              <w:rPr>
                <w:rFonts w:ascii="Calibri" w:cs="Calibri" w:eastAsia="Calibri" w:hAnsi="Calibri"/>
                <w:sz w:val="13"/>
                <w:szCs w:val="13"/>
                <w:color w:val="auto"/>
              </w:rPr>
              <w:t>2,340,087</w:t>
            </w:r>
          </w:p>
        </w:tc>
        <w:tc>
          <w:tcPr>
            <w:tcW w:w="960" w:type="dxa"/>
            <w:vAlign w:val="bottom"/>
          </w:tcPr>
          <w:p>
            <w:pPr>
              <w:jc w:val="center"/>
              <w:spacing w:after="0"/>
              <w:rPr>
                <w:sz w:val="20"/>
                <w:szCs w:val="20"/>
                <w:color w:val="auto"/>
              </w:rPr>
            </w:pPr>
            <w:r>
              <w:rPr>
                <w:rFonts w:ascii="Calibri" w:cs="Calibri" w:eastAsia="Calibri" w:hAnsi="Calibri"/>
                <w:sz w:val="13"/>
                <w:szCs w:val="13"/>
                <w:color w:val="auto"/>
                <w:w w:val="98"/>
              </w:rPr>
              <w:t>9,795,699</w:t>
            </w:r>
          </w:p>
        </w:tc>
        <w:tc>
          <w:tcPr>
            <w:tcW w:w="840" w:type="dxa"/>
            <w:vAlign w:val="bottom"/>
            <w:tcBorders>
              <w:right w:val="single" w:sz="8" w:color="auto"/>
            </w:tcBorders>
          </w:tcPr>
          <w:p>
            <w:pPr>
              <w:ind w:left="300"/>
              <w:spacing w:after="0"/>
              <w:rPr>
                <w:sz w:val="20"/>
                <w:szCs w:val="20"/>
                <w:color w:val="auto"/>
              </w:rPr>
            </w:pPr>
            <w:r>
              <w:rPr>
                <w:rFonts w:ascii="Calibri" w:cs="Calibri" w:eastAsia="Calibri" w:hAnsi="Calibri"/>
                <w:sz w:val="13"/>
                <w:szCs w:val="13"/>
                <w:color w:val="auto"/>
              </w:rPr>
              <w:t>24%</w:t>
            </w:r>
          </w:p>
        </w:tc>
      </w:tr>
      <w:tr>
        <w:trPr>
          <w:trHeight w:val="170"/>
        </w:trPr>
        <w:tc>
          <w:tcPr>
            <w:tcW w:w="5700" w:type="dxa"/>
            <w:vAlign w:val="bottom"/>
            <w:tcBorders>
              <w:left w:val="single" w:sz="8" w:color="auto"/>
            </w:tcBorders>
          </w:tcPr>
          <w:p>
            <w:pPr>
              <w:ind w:left="20"/>
              <w:spacing w:after="0"/>
              <w:rPr>
                <w:sz w:val="20"/>
                <w:szCs w:val="20"/>
                <w:color w:val="auto"/>
              </w:rPr>
            </w:pPr>
            <w:r>
              <w:rPr>
                <w:rFonts w:ascii="Calibri" w:cs="Calibri" w:eastAsia="Calibri" w:hAnsi="Calibri"/>
                <w:sz w:val="13"/>
                <w:szCs w:val="13"/>
                <w:color w:val="auto"/>
              </w:rPr>
              <w:t>Collectons (S/ Millions)</w:t>
            </w:r>
          </w:p>
        </w:tc>
        <w:tc>
          <w:tcPr>
            <w:tcW w:w="940" w:type="dxa"/>
            <w:vAlign w:val="bottom"/>
          </w:tcPr>
          <w:p>
            <w:pPr>
              <w:jc w:val="center"/>
              <w:spacing w:after="0"/>
              <w:rPr>
                <w:sz w:val="20"/>
                <w:szCs w:val="20"/>
                <w:color w:val="auto"/>
              </w:rPr>
            </w:pPr>
            <w:r>
              <w:rPr>
                <w:rFonts w:ascii="Calibri" w:cs="Calibri" w:eastAsia="Calibri" w:hAnsi="Calibri"/>
                <w:sz w:val="13"/>
                <w:szCs w:val="13"/>
                <w:color w:val="auto"/>
              </w:rPr>
              <w:t>1,044</w:t>
            </w:r>
          </w:p>
        </w:tc>
        <w:tc>
          <w:tcPr>
            <w:tcW w:w="980" w:type="dxa"/>
            <w:vAlign w:val="bottom"/>
          </w:tcPr>
          <w:p>
            <w:pPr>
              <w:jc w:val="center"/>
              <w:spacing w:after="0"/>
              <w:rPr>
                <w:sz w:val="20"/>
                <w:szCs w:val="20"/>
                <w:color w:val="auto"/>
              </w:rPr>
            </w:pPr>
            <w:r>
              <w:rPr>
                <w:rFonts w:ascii="Calibri" w:cs="Calibri" w:eastAsia="Calibri" w:hAnsi="Calibri"/>
                <w:sz w:val="13"/>
                <w:szCs w:val="13"/>
                <w:color w:val="auto"/>
              </w:rPr>
              <w:t>4,003</w:t>
            </w:r>
          </w:p>
        </w:tc>
        <w:tc>
          <w:tcPr>
            <w:tcW w:w="880" w:type="dxa"/>
            <w:vAlign w:val="bottom"/>
          </w:tcPr>
          <w:p>
            <w:pPr>
              <w:ind w:left="300"/>
              <w:spacing w:after="0"/>
              <w:rPr>
                <w:sz w:val="20"/>
                <w:szCs w:val="20"/>
                <w:color w:val="auto"/>
              </w:rPr>
            </w:pPr>
            <w:r>
              <w:rPr>
                <w:rFonts w:ascii="Calibri" w:cs="Calibri" w:eastAsia="Calibri" w:hAnsi="Calibri"/>
                <w:sz w:val="13"/>
                <w:szCs w:val="13"/>
                <w:color w:val="auto"/>
              </w:rPr>
              <w:t>26%</w:t>
            </w:r>
          </w:p>
        </w:tc>
        <w:tc>
          <w:tcPr>
            <w:tcW w:w="940" w:type="dxa"/>
            <w:vAlign w:val="bottom"/>
          </w:tcPr>
          <w:p>
            <w:pPr>
              <w:jc w:val="center"/>
              <w:spacing w:after="0"/>
              <w:rPr>
                <w:sz w:val="20"/>
                <w:szCs w:val="20"/>
                <w:color w:val="auto"/>
              </w:rPr>
            </w:pPr>
            <w:r>
              <w:rPr>
                <w:rFonts w:ascii="Calibri" w:cs="Calibri" w:eastAsia="Calibri" w:hAnsi="Calibri"/>
                <w:sz w:val="13"/>
                <w:szCs w:val="13"/>
                <w:color w:val="auto"/>
              </w:rPr>
              <w:t>711</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2,704</w:t>
            </w:r>
          </w:p>
        </w:tc>
        <w:tc>
          <w:tcPr>
            <w:tcW w:w="840" w:type="dxa"/>
            <w:vAlign w:val="bottom"/>
            <w:tcBorders>
              <w:right w:val="single" w:sz="8" w:color="auto"/>
            </w:tcBorders>
          </w:tcPr>
          <w:p>
            <w:pPr>
              <w:ind w:left="300"/>
              <w:spacing w:after="0"/>
              <w:rPr>
                <w:sz w:val="20"/>
                <w:szCs w:val="20"/>
                <w:color w:val="auto"/>
              </w:rPr>
            </w:pPr>
            <w:r>
              <w:rPr>
                <w:rFonts w:ascii="Calibri" w:cs="Calibri" w:eastAsia="Calibri" w:hAnsi="Calibri"/>
                <w:sz w:val="13"/>
                <w:szCs w:val="13"/>
                <w:color w:val="auto"/>
              </w:rPr>
              <w:t>26%</w:t>
            </w:r>
          </w:p>
        </w:tc>
      </w:tr>
      <w:tr>
        <w:trPr>
          <w:trHeight w:val="20"/>
        </w:trPr>
        <w:tc>
          <w:tcPr>
            <w:tcW w:w="570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bl>
    <w:p>
      <w:pPr>
        <w:spacing w:after="0" w:line="28" w:lineRule="exact"/>
        <w:rPr>
          <w:sz w:val="20"/>
          <w:szCs w:val="20"/>
          <w:color w:val="auto"/>
        </w:rPr>
      </w:pPr>
    </w:p>
    <w:p>
      <w:pPr>
        <w:ind w:left="880"/>
        <w:spacing w:after="0"/>
        <w:rPr>
          <w:sz w:val="20"/>
          <w:szCs w:val="20"/>
          <w:color w:val="auto"/>
        </w:rPr>
      </w:pPr>
      <w:r>
        <w:rPr>
          <w:rFonts w:ascii="Calibri" w:cs="Calibri" w:eastAsia="Calibri" w:hAnsi="Calibri"/>
          <w:sz w:val="12"/>
          <w:szCs w:val="12"/>
          <w:color w:val="auto"/>
        </w:rPr>
        <w:t>Source: Superintendencia de Banca, Seguros y AFPs.</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415"/>
        </w:trPr>
        <w:tc>
          <w:tcPr>
            <w:tcW w:w="2300" w:type="dxa"/>
            <w:vAlign w:val="bottom"/>
            <w:tcBorders>
              <w:left w:val="single" w:sz="8" w:color="auto"/>
            </w:tcBorders>
            <w:shd w:val="clear" w:color="auto" w:fill="000000"/>
          </w:tcPr>
          <w:p>
            <w:pPr>
              <w:spacing w:after="0"/>
              <w:rPr>
                <w:sz w:val="24"/>
                <w:szCs w:val="24"/>
                <w:color w:val="auto"/>
              </w:rPr>
            </w:pPr>
          </w:p>
        </w:tc>
        <w:tc>
          <w:tcPr>
            <w:tcW w:w="3300" w:type="dxa"/>
            <w:vAlign w:val="bottom"/>
            <w:tcBorders>
              <w:right w:val="single" w:sz="8" w:color="auto"/>
            </w:tcBorders>
            <w:gridSpan w:val="4"/>
            <w:shd w:val="clear" w:color="auto" w:fill="000000"/>
          </w:tcPr>
          <w:p>
            <w:pPr>
              <w:ind w:left="380"/>
              <w:spacing w:after="0"/>
              <w:rPr>
                <w:sz w:val="20"/>
                <w:szCs w:val="20"/>
                <w:color w:val="auto"/>
              </w:rPr>
            </w:pPr>
            <w:r>
              <w:rPr>
                <w:rFonts w:ascii="Calibri" w:cs="Calibri" w:eastAsia="Calibri" w:hAnsi="Calibri"/>
                <w:sz w:val="19"/>
                <w:szCs w:val="19"/>
                <w:color w:val="A6A6A6"/>
              </w:rPr>
              <w:t xml:space="preserve">|  </w:t>
            </w:r>
            <w:r>
              <w:rPr>
                <w:rFonts w:ascii="Calibri" w:cs="Calibri" w:eastAsia="Calibri" w:hAnsi="Calibri"/>
                <w:sz w:val="15"/>
                <w:szCs w:val="15"/>
                <w:color w:val="FFFFFF"/>
              </w:rPr>
              <w:t>Earnings Release 4Q / 2024</w:t>
            </w:r>
          </w:p>
        </w:tc>
        <w:tc>
          <w:tcPr>
            <w:tcW w:w="240" w:type="dxa"/>
            <w:vAlign w:val="bottom"/>
            <w:tcBorders>
              <w:right w:val="single" w:sz="8" w:color="auto"/>
            </w:tcBorders>
            <w:shd w:val="clear" w:color="auto" w:fill="000000"/>
          </w:tcPr>
          <w:p>
            <w:pPr>
              <w:spacing w:after="0"/>
              <w:rPr>
                <w:sz w:val="24"/>
                <w:szCs w:val="24"/>
                <w:color w:val="auto"/>
              </w:rPr>
            </w:pPr>
          </w:p>
        </w:tc>
        <w:tc>
          <w:tcPr>
            <w:tcW w:w="1220" w:type="dxa"/>
            <w:vAlign w:val="bottom"/>
            <w:tcBorders>
              <w:right w:val="single" w:sz="8" w:color="auto"/>
            </w:tcBorders>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2620" w:type="dxa"/>
            <w:vAlign w:val="bottom"/>
            <w:gridSpan w:val="5"/>
            <w:shd w:val="clear" w:color="auto" w:fill="000000"/>
          </w:tcPr>
          <w:p>
            <w:pPr>
              <w:ind w:left="180"/>
              <w:spacing w:after="0"/>
              <w:rPr>
                <w:sz w:val="20"/>
                <w:szCs w:val="20"/>
                <w:color w:val="auto"/>
              </w:rPr>
            </w:pPr>
            <w:r>
              <w:rPr>
                <w:rFonts w:ascii="Calibri" w:cs="Calibri" w:eastAsia="Calibri" w:hAnsi="Calibri"/>
                <w:sz w:val="16"/>
                <w:szCs w:val="16"/>
                <w:color w:val="ED3FA8"/>
                <w:w w:val="97"/>
              </w:rPr>
              <w:t>Analysis of 4Q24 Consolidated Results</w:t>
            </w:r>
          </w:p>
        </w:tc>
        <w:tc>
          <w:tcPr>
            <w:tcW w:w="114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00" w:type="dxa"/>
            <w:vAlign w:val="bottom"/>
            <w:tcBorders>
              <w:left w:val="single" w:sz="8" w:color="auto"/>
            </w:tcBorders>
            <w:shd w:val="clear" w:color="auto" w:fill="000000"/>
          </w:tcPr>
          <w:p>
            <w:pPr>
              <w:spacing w:after="0"/>
              <w:rPr>
                <w:sz w:val="20"/>
                <w:szCs w:val="20"/>
                <w:color w:val="auto"/>
              </w:rPr>
            </w:pPr>
          </w:p>
        </w:tc>
        <w:tc>
          <w:tcPr>
            <w:tcW w:w="580" w:type="dxa"/>
            <w:vAlign w:val="bottom"/>
            <w:tcBorders>
              <w:right w:val="single" w:sz="8" w:color="auto"/>
            </w:tcBorders>
            <w:shd w:val="clear" w:color="auto" w:fill="000000"/>
          </w:tcPr>
          <w:p>
            <w:pPr>
              <w:spacing w:after="0"/>
              <w:rPr>
                <w:sz w:val="20"/>
                <w:szCs w:val="20"/>
                <w:color w:val="auto"/>
              </w:rPr>
            </w:pPr>
          </w:p>
        </w:tc>
        <w:tc>
          <w:tcPr>
            <w:tcW w:w="1260" w:type="dxa"/>
            <w:vAlign w:val="bottom"/>
            <w:tcBorders>
              <w:right w:val="single" w:sz="8" w:color="auto"/>
            </w:tcBorders>
            <w:shd w:val="clear" w:color="auto" w:fill="000000"/>
          </w:tcPr>
          <w:p>
            <w:pPr>
              <w:spacing w:after="0"/>
              <w:rPr>
                <w:sz w:val="20"/>
                <w:szCs w:val="20"/>
                <w:color w:val="auto"/>
              </w:rPr>
            </w:pPr>
          </w:p>
        </w:tc>
        <w:tc>
          <w:tcPr>
            <w:tcW w:w="480" w:type="dxa"/>
            <w:vAlign w:val="bottom"/>
            <w:shd w:val="clear" w:color="auto" w:fill="000000"/>
          </w:tcPr>
          <w:p>
            <w:pPr>
              <w:spacing w:after="0"/>
              <w:rPr>
                <w:sz w:val="20"/>
                <w:szCs w:val="20"/>
                <w:color w:val="auto"/>
              </w:rPr>
            </w:pPr>
          </w:p>
        </w:tc>
        <w:tc>
          <w:tcPr>
            <w:tcW w:w="980" w:type="dxa"/>
            <w:vAlign w:val="bottom"/>
            <w:tcBorders>
              <w:right w:val="single" w:sz="8" w:color="auto"/>
            </w:tcBorders>
            <w:shd w:val="clear" w:color="auto" w:fill="000000"/>
          </w:tcPr>
          <w:p>
            <w:pPr>
              <w:spacing w:after="0"/>
              <w:rPr>
                <w:sz w:val="20"/>
                <w:szCs w:val="20"/>
                <w:color w:val="auto"/>
              </w:rPr>
            </w:pPr>
          </w:p>
        </w:tc>
        <w:tc>
          <w:tcPr>
            <w:tcW w:w="240" w:type="dxa"/>
            <w:vAlign w:val="bottom"/>
            <w:tcBorders>
              <w:right w:val="single" w:sz="8" w:color="auto"/>
            </w:tcBorders>
            <w:shd w:val="clear" w:color="auto" w:fill="000000"/>
          </w:tcPr>
          <w:p>
            <w:pPr>
              <w:spacing w:after="0"/>
              <w:rPr>
                <w:sz w:val="20"/>
                <w:szCs w:val="20"/>
                <w:color w:val="auto"/>
              </w:rPr>
            </w:pPr>
          </w:p>
        </w:tc>
        <w:tc>
          <w:tcPr>
            <w:tcW w:w="1220" w:type="dxa"/>
            <w:vAlign w:val="bottom"/>
            <w:tcBorders>
              <w:right w:val="single" w:sz="8" w:color="auto"/>
            </w:tcBorders>
            <w:shd w:val="clear" w:color="auto" w:fill="000000"/>
          </w:tcPr>
          <w:p>
            <w:pPr>
              <w:spacing w:after="0"/>
              <w:rPr>
                <w:sz w:val="20"/>
                <w:szCs w:val="20"/>
                <w:color w:val="auto"/>
              </w:rPr>
            </w:pPr>
          </w:p>
        </w:tc>
        <w:tc>
          <w:tcPr>
            <w:tcW w:w="420" w:type="dxa"/>
            <w:vAlign w:val="bottom"/>
            <w:shd w:val="clear" w:color="auto" w:fill="000000"/>
          </w:tcPr>
          <w:p>
            <w:pPr>
              <w:spacing w:after="0"/>
              <w:rPr>
                <w:sz w:val="20"/>
                <w:szCs w:val="20"/>
                <w:color w:val="auto"/>
              </w:rPr>
            </w:pPr>
          </w:p>
        </w:tc>
        <w:tc>
          <w:tcPr>
            <w:tcW w:w="300" w:type="dxa"/>
            <w:vAlign w:val="bottom"/>
            <w:tcBorders>
              <w:right w:val="single" w:sz="8" w:color="auto"/>
            </w:tcBorders>
            <w:shd w:val="clear" w:color="auto" w:fill="000000"/>
          </w:tcPr>
          <w:p>
            <w:pPr>
              <w:spacing w:after="0"/>
              <w:rPr>
                <w:sz w:val="20"/>
                <w:szCs w:val="20"/>
                <w:color w:val="auto"/>
              </w:rPr>
            </w:pPr>
          </w:p>
        </w:tc>
        <w:tc>
          <w:tcPr>
            <w:tcW w:w="660" w:type="dxa"/>
            <w:vAlign w:val="bottom"/>
            <w:tcBorders>
              <w:right w:val="single" w:sz="8" w:color="auto"/>
            </w:tcBorders>
            <w:shd w:val="clear" w:color="auto" w:fill="000000"/>
          </w:tcPr>
          <w:p>
            <w:pPr>
              <w:spacing w:after="0"/>
              <w:rPr>
                <w:sz w:val="20"/>
                <w:szCs w:val="20"/>
                <w:color w:val="auto"/>
              </w:rPr>
            </w:pPr>
          </w:p>
        </w:tc>
        <w:tc>
          <w:tcPr>
            <w:tcW w:w="160" w:type="dxa"/>
            <w:vAlign w:val="bottom"/>
            <w:shd w:val="clear" w:color="auto" w:fill="000000"/>
          </w:tcPr>
          <w:p>
            <w:pPr>
              <w:spacing w:after="0"/>
              <w:rPr>
                <w:sz w:val="20"/>
                <w:szCs w:val="20"/>
                <w:color w:val="auto"/>
              </w:rPr>
            </w:pPr>
          </w:p>
        </w:tc>
        <w:tc>
          <w:tcPr>
            <w:tcW w:w="1200" w:type="dxa"/>
            <w:vAlign w:val="bottom"/>
            <w:tcBorders>
              <w:right w:val="single" w:sz="8" w:color="auto"/>
            </w:tcBorders>
            <w:shd w:val="clear" w:color="auto" w:fill="000000"/>
          </w:tcPr>
          <w:p>
            <w:pPr>
              <w:spacing w:after="0"/>
              <w:rPr>
                <w:sz w:val="20"/>
                <w:szCs w:val="20"/>
                <w:color w:val="auto"/>
              </w:rPr>
            </w:pPr>
          </w:p>
        </w:tc>
        <w:tc>
          <w:tcPr>
            <w:tcW w:w="300" w:type="dxa"/>
            <w:vAlign w:val="bottom"/>
            <w:shd w:val="clear" w:color="auto" w:fill="000000"/>
          </w:tcPr>
          <w:p>
            <w:pPr>
              <w:spacing w:after="0"/>
              <w:rPr>
                <w:sz w:val="20"/>
                <w:szCs w:val="20"/>
                <w:color w:val="auto"/>
              </w:rPr>
            </w:pPr>
          </w:p>
        </w:tc>
        <w:tc>
          <w:tcPr>
            <w:tcW w:w="1140" w:type="dxa"/>
            <w:vAlign w:val="bottom"/>
            <w:tcBorders>
              <w:right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300" w:type="dxa"/>
            <w:vAlign w:val="bottom"/>
            <w:tcBorders>
              <w:left w:val="single" w:sz="8" w:color="E93BAC"/>
            </w:tcBorders>
            <w:shd w:val="clear" w:color="auto" w:fill="E93BAC"/>
          </w:tcPr>
          <w:p>
            <w:pPr>
              <w:ind w:left="80"/>
              <w:spacing w:after="0"/>
              <w:rPr>
                <w:sz w:val="20"/>
                <w:szCs w:val="20"/>
                <w:color w:val="auto"/>
              </w:rPr>
            </w:pPr>
            <w:r>
              <w:rPr>
                <w:rFonts w:ascii="Calibri" w:cs="Calibri" w:eastAsia="Calibri" w:hAnsi="Calibri"/>
                <w:sz w:val="19"/>
                <w:szCs w:val="19"/>
                <w:b w:val="1"/>
                <w:bCs w:val="1"/>
                <w:color w:val="FFFFFF"/>
              </w:rPr>
              <w:t>12. Appendix</w:t>
            </w:r>
          </w:p>
        </w:tc>
        <w:tc>
          <w:tcPr>
            <w:tcW w:w="580" w:type="dxa"/>
            <w:vAlign w:val="bottom"/>
            <w:tcBorders>
              <w:right w:val="single" w:sz="8" w:color="E93BAC"/>
            </w:tcBorders>
            <w:shd w:val="clear" w:color="auto" w:fill="E93BAC"/>
          </w:tcPr>
          <w:p>
            <w:pPr>
              <w:spacing w:after="0"/>
              <w:rPr>
                <w:sz w:val="22"/>
                <w:szCs w:val="22"/>
                <w:color w:val="auto"/>
              </w:rPr>
            </w:pPr>
          </w:p>
        </w:tc>
        <w:tc>
          <w:tcPr>
            <w:tcW w:w="1260" w:type="dxa"/>
            <w:vAlign w:val="bottom"/>
            <w:tcBorders>
              <w:right w:val="single" w:sz="8" w:color="E93BAC"/>
            </w:tcBorders>
            <w:shd w:val="clear" w:color="auto" w:fill="E93BAC"/>
          </w:tcPr>
          <w:p>
            <w:pPr>
              <w:spacing w:after="0"/>
              <w:rPr>
                <w:sz w:val="22"/>
                <w:szCs w:val="22"/>
                <w:color w:val="auto"/>
              </w:rPr>
            </w:pPr>
          </w:p>
        </w:tc>
        <w:tc>
          <w:tcPr>
            <w:tcW w:w="480" w:type="dxa"/>
            <w:vAlign w:val="bottom"/>
            <w:shd w:val="clear" w:color="auto" w:fill="E93BAC"/>
          </w:tcPr>
          <w:p>
            <w:pPr>
              <w:spacing w:after="0"/>
              <w:rPr>
                <w:sz w:val="22"/>
                <w:szCs w:val="22"/>
                <w:color w:val="auto"/>
              </w:rPr>
            </w:pPr>
          </w:p>
        </w:tc>
        <w:tc>
          <w:tcPr>
            <w:tcW w:w="980" w:type="dxa"/>
            <w:vAlign w:val="bottom"/>
            <w:tcBorders>
              <w:right w:val="single" w:sz="8" w:color="E93BAC"/>
            </w:tcBorders>
            <w:shd w:val="clear" w:color="auto" w:fill="E93BAC"/>
          </w:tcPr>
          <w:p>
            <w:pPr>
              <w:spacing w:after="0"/>
              <w:rPr>
                <w:sz w:val="22"/>
                <w:szCs w:val="22"/>
                <w:color w:val="auto"/>
              </w:rPr>
            </w:pPr>
          </w:p>
        </w:tc>
        <w:tc>
          <w:tcPr>
            <w:tcW w:w="240" w:type="dxa"/>
            <w:vAlign w:val="bottom"/>
            <w:tcBorders>
              <w:right w:val="single" w:sz="8" w:color="E93BAC"/>
            </w:tcBorders>
            <w:shd w:val="clear" w:color="auto" w:fill="E93BAC"/>
          </w:tcPr>
          <w:p>
            <w:pPr>
              <w:spacing w:after="0"/>
              <w:rPr>
                <w:sz w:val="22"/>
                <w:szCs w:val="22"/>
                <w:color w:val="auto"/>
              </w:rPr>
            </w:pPr>
          </w:p>
        </w:tc>
        <w:tc>
          <w:tcPr>
            <w:tcW w:w="1220" w:type="dxa"/>
            <w:vAlign w:val="bottom"/>
            <w:tcBorders>
              <w:right w:val="single" w:sz="8" w:color="E93BAC"/>
            </w:tcBorders>
            <w:shd w:val="clear" w:color="auto" w:fill="E93BAC"/>
          </w:tcPr>
          <w:p>
            <w:pPr>
              <w:spacing w:after="0"/>
              <w:rPr>
                <w:sz w:val="22"/>
                <w:szCs w:val="22"/>
                <w:color w:val="auto"/>
              </w:rPr>
            </w:pPr>
          </w:p>
        </w:tc>
        <w:tc>
          <w:tcPr>
            <w:tcW w:w="420" w:type="dxa"/>
            <w:vAlign w:val="bottom"/>
            <w:shd w:val="clear" w:color="auto" w:fill="E93BAC"/>
          </w:tcPr>
          <w:p>
            <w:pPr>
              <w:spacing w:after="0"/>
              <w:rPr>
                <w:sz w:val="22"/>
                <w:szCs w:val="22"/>
                <w:color w:val="auto"/>
              </w:rPr>
            </w:pPr>
          </w:p>
        </w:tc>
        <w:tc>
          <w:tcPr>
            <w:tcW w:w="300" w:type="dxa"/>
            <w:vAlign w:val="bottom"/>
            <w:tcBorders>
              <w:right w:val="single" w:sz="8" w:color="E93BAC"/>
            </w:tcBorders>
            <w:shd w:val="clear" w:color="auto" w:fill="E93BAC"/>
          </w:tcPr>
          <w:p>
            <w:pPr>
              <w:spacing w:after="0"/>
              <w:rPr>
                <w:sz w:val="22"/>
                <w:szCs w:val="22"/>
                <w:color w:val="auto"/>
              </w:rPr>
            </w:pPr>
          </w:p>
        </w:tc>
        <w:tc>
          <w:tcPr>
            <w:tcW w:w="660" w:type="dxa"/>
            <w:vAlign w:val="bottom"/>
            <w:tcBorders>
              <w:right w:val="single" w:sz="8" w:color="E93BAC"/>
            </w:tcBorders>
            <w:shd w:val="clear" w:color="auto" w:fill="E93BAC"/>
          </w:tcPr>
          <w:p>
            <w:pPr>
              <w:spacing w:after="0"/>
              <w:rPr>
                <w:sz w:val="22"/>
                <w:szCs w:val="22"/>
                <w:color w:val="auto"/>
              </w:rPr>
            </w:pPr>
          </w:p>
        </w:tc>
        <w:tc>
          <w:tcPr>
            <w:tcW w:w="160" w:type="dxa"/>
            <w:vAlign w:val="bottom"/>
            <w:shd w:val="clear" w:color="auto" w:fill="E93BAC"/>
          </w:tcPr>
          <w:p>
            <w:pPr>
              <w:spacing w:after="0"/>
              <w:rPr>
                <w:sz w:val="22"/>
                <w:szCs w:val="22"/>
                <w:color w:val="auto"/>
              </w:rPr>
            </w:pPr>
          </w:p>
        </w:tc>
        <w:tc>
          <w:tcPr>
            <w:tcW w:w="1200" w:type="dxa"/>
            <w:vAlign w:val="bottom"/>
            <w:tcBorders>
              <w:right w:val="single" w:sz="8" w:color="E93BAC"/>
            </w:tcBorders>
            <w:shd w:val="clear" w:color="auto" w:fill="E93BAC"/>
          </w:tcPr>
          <w:p>
            <w:pPr>
              <w:spacing w:after="0"/>
              <w:rPr>
                <w:sz w:val="22"/>
                <w:szCs w:val="22"/>
                <w:color w:val="auto"/>
              </w:rPr>
            </w:pPr>
          </w:p>
        </w:tc>
        <w:tc>
          <w:tcPr>
            <w:tcW w:w="300" w:type="dxa"/>
            <w:vAlign w:val="bottom"/>
            <w:shd w:val="clear" w:color="auto" w:fill="E93BAC"/>
          </w:tcPr>
          <w:p>
            <w:pPr>
              <w:spacing w:after="0"/>
              <w:rPr>
                <w:sz w:val="22"/>
                <w:szCs w:val="22"/>
                <w:color w:val="auto"/>
              </w:rPr>
            </w:pPr>
          </w:p>
        </w:tc>
        <w:tc>
          <w:tcPr>
            <w:tcW w:w="1140" w:type="dxa"/>
            <w:vAlign w:val="bottom"/>
            <w:tcBorders>
              <w:right w:val="single" w:sz="8" w:color="E93BAC"/>
            </w:tcBorders>
            <w:shd w:val="clear" w:color="auto" w:fill="E93BAC"/>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2300" w:type="dxa"/>
            <w:vAlign w:val="bottom"/>
            <w:tcBorders>
              <w:left w:val="single" w:sz="8" w:color="E93BAC"/>
            </w:tcBorders>
            <w:shd w:val="clear" w:color="auto" w:fill="E93BAC"/>
          </w:tcPr>
          <w:p>
            <w:pPr>
              <w:spacing w:after="0"/>
              <w:rPr>
                <w:sz w:val="7"/>
                <w:szCs w:val="7"/>
                <w:color w:val="auto"/>
              </w:rPr>
            </w:pPr>
          </w:p>
        </w:tc>
        <w:tc>
          <w:tcPr>
            <w:tcW w:w="580" w:type="dxa"/>
            <w:vAlign w:val="bottom"/>
            <w:tcBorders>
              <w:right w:val="single" w:sz="8" w:color="E93BAC"/>
            </w:tcBorders>
            <w:shd w:val="clear" w:color="auto" w:fill="E93BAC"/>
          </w:tcPr>
          <w:p>
            <w:pPr>
              <w:spacing w:after="0"/>
              <w:rPr>
                <w:sz w:val="7"/>
                <w:szCs w:val="7"/>
                <w:color w:val="auto"/>
              </w:rPr>
            </w:pPr>
          </w:p>
        </w:tc>
        <w:tc>
          <w:tcPr>
            <w:tcW w:w="1260" w:type="dxa"/>
            <w:vAlign w:val="bottom"/>
            <w:tcBorders>
              <w:right w:val="single" w:sz="8" w:color="E93BAC"/>
            </w:tcBorders>
            <w:shd w:val="clear" w:color="auto" w:fill="E93BAC"/>
          </w:tcPr>
          <w:p>
            <w:pPr>
              <w:spacing w:after="0"/>
              <w:rPr>
                <w:sz w:val="7"/>
                <w:szCs w:val="7"/>
                <w:color w:val="auto"/>
              </w:rPr>
            </w:pPr>
          </w:p>
        </w:tc>
        <w:tc>
          <w:tcPr>
            <w:tcW w:w="480" w:type="dxa"/>
            <w:vAlign w:val="bottom"/>
            <w:shd w:val="clear" w:color="auto" w:fill="E93BAC"/>
          </w:tcPr>
          <w:p>
            <w:pPr>
              <w:spacing w:after="0"/>
              <w:rPr>
                <w:sz w:val="7"/>
                <w:szCs w:val="7"/>
                <w:color w:val="auto"/>
              </w:rPr>
            </w:pPr>
          </w:p>
        </w:tc>
        <w:tc>
          <w:tcPr>
            <w:tcW w:w="980" w:type="dxa"/>
            <w:vAlign w:val="bottom"/>
            <w:tcBorders>
              <w:right w:val="single" w:sz="8" w:color="E93BAC"/>
            </w:tcBorders>
            <w:shd w:val="clear" w:color="auto" w:fill="E93BAC"/>
          </w:tcPr>
          <w:p>
            <w:pPr>
              <w:spacing w:after="0"/>
              <w:rPr>
                <w:sz w:val="7"/>
                <w:szCs w:val="7"/>
                <w:color w:val="auto"/>
              </w:rPr>
            </w:pPr>
          </w:p>
        </w:tc>
        <w:tc>
          <w:tcPr>
            <w:tcW w:w="240" w:type="dxa"/>
            <w:vAlign w:val="bottom"/>
            <w:tcBorders>
              <w:right w:val="single" w:sz="8" w:color="E93BAC"/>
            </w:tcBorders>
            <w:shd w:val="clear" w:color="auto" w:fill="E93BAC"/>
          </w:tcPr>
          <w:p>
            <w:pPr>
              <w:spacing w:after="0"/>
              <w:rPr>
                <w:sz w:val="7"/>
                <w:szCs w:val="7"/>
                <w:color w:val="auto"/>
              </w:rPr>
            </w:pPr>
          </w:p>
        </w:tc>
        <w:tc>
          <w:tcPr>
            <w:tcW w:w="1220" w:type="dxa"/>
            <w:vAlign w:val="bottom"/>
            <w:tcBorders>
              <w:right w:val="single" w:sz="8" w:color="E93BAC"/>
            </w:tcBorders>
            <w:shd w:val="clear" w:color="auto" w:fill="E93BAC"/>
          </w:tcPr>
          <w:p>
            <w:pPr>
              <w:spacing w:after="0"/>
              <w:rPr>
                <w:sz w:val="7"/>
                <w:szCs w:val="7"/>
                <w:color w:val="auto"/>
              </w:rPr>
            </w:pPr>
          </w:p>
        </w:tc>
        <w:tc>
          <w:tcPr>
            <w:tcW w:w="420" w:type="dxa"/>
            <w:vAlign w:val="bottom"/>
            <w:shd w:val="clear" w:color="auto" w:fill="E93BAC"/>
          </w:tcPr>
          <w:p>
            <w:pPr>
              <w:spacing w:after="0"/>
              <w:rPr>
                <w:sz w:val="7"/>
                <w:szCs w:val="7"/>
                <w:color w:val="auto"/>
              </w:rPr>
            </w:pPr>
          </w:p>
        </w:tc>
        <w:tc>
          <w:tcPr>
            <w:tcW w:w="300" w:type="dxa"/>
            <w:vAlign w:val="bottom"/>
            <w:tcBorders>
              <w:right w:val="single" w:sz="8" w:color="E93BAC"/>
            </w:tcBorders>
            <w:shd w:val="clear" w:color="auto" w:fill="E93BAC"/>
          </w:tcPr>
          <w:p>
            <w:pPr>
              <w:spacing w:after="0"/>
              <w:rPr>
                <w:sz w:val="7"/>
                <w:szCs w:val="7"/>
                <w:color w:val="auto"/>
              </w:rPr>
            </w:pPr>
          </w:p>
        </w:tc>
        <w:tc>
          <w:tcPr>
            <w:tcW w:w="660" w:type="dxa"/>
            <w:vAlign w:val="bottom"/>
            <w:tcBorders>
              <w:right w:val="single" w:sz="8" w:color="E93BAC"/>
            </w:tcBorders>
            <w:shd w:val="clear" w:color="auto" w:fill="E93BAC"/>
          </w:tcPr>
          <w:p>
            <w:pPr>
              <w:spacing w:after="0"/>
              <w:rPr>
                <w:sz w:val="7"/>
                <w:szCs w:val="7"/>
                <w:color w:val="auto"/>
              </w:rPr>
            </w:pPr>
          </w:p>
        </w:tc>
        <w:tc>
          <w:tcPr>
            <w:tcW w:w="160" w:type="dxa"/>
            <w:vAlign w:val="bottom"/>
            <w:shd w:val="clear" w:color="auto" w:fill="E93BAC"/>
          </w:tcPr>
          <w:p>
            <w:pPr>
              <w:spacing w:after="0"/>
              <w:rPr>
                <w:sz w:val="7"/>
                <w:szCs w:val="7"/>
                <w:color w:val="auto"/>
              </w:rPr>
            </w:pPr>
          </w:p>
        </w:tc>
        <w:tc>
          <w:tcPr>
            <w:tcW w:w="1200" w:type="dxa"/>
            <w:vAlign w:val="bottom"/>
            <w:tcBorders>
              <w:right w:val="single" w:sz="8" w:color="E93BAC"/>
            </w:tcBorders>
            <w:shd w:val="clear" w:color="auto" w:fill="E93BAC"/>
          </w:tcPr>
          <w:p>
            <w:pPr>
              <w:spacing w:after="0"/>
              <w:rPr>
                <w:sz w:val="7"/>
                <w:szCs w:val="7"/>
                <w:color w:val="auto"/>
              </w:rPr>
            </w:pPr>
          </w:p>
        </w:tc>
        <w:tc>
          <w:tcPr>
            <w:tcW w:w="300" w:type="dxa"/>
            <w:vAlign w:val="bottom"/>
            <w:shd w:val="clear" w:color="auto" w:fill="E93BAC"/>
          </w:tcPr>
          <w:p>
            <w:pPr>
              <w:spacing w:after="0"/>
              <w:rPr>
                <w:sz w:val="7"/>
                <w:szCs w:val="7"/>
                <w:color w:val="auto"/>
              </w:rPr>
            </w:pPr>
          </w:p>
        </w:tc>
        <w:tc>
          <w:tcPr>
            <w:tcW w:w="1140" w:type="dxa"/>
            <w:vAlign w:val="bottom"/>
            <w:tcBorders>
              <w:right w:val="single" w:sz="8" w:color="E93BAC"/>
            </w:tcBorders>
            <w:shd w:val="clear" w:color="auto" w:fill="E93BAC"/>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2300" w:type="dxa"/>
            <w:vAlign w:val="bottom"/>
          </w:tcPr>
          <w:p>
            <w:pPr>
              <w:spacing w:after="0"/>
              <w:rPr>
                <w:sz w:val="20"/>
                <w:szCs w:val="20"/>
                <w:color w:val="auto"/>
              </w:rPr>
            </w:pPr>
            <w:r>
              <w:rPr>
                <w:rFonts w:ascii="Calibri" w:cs="Calibri" w:eastAsia="Calibri" w:hAnsi="Calibri"/>
                <w:sz w:val="17"/>
                <w:szCs w:val="17"/>
                <w:b w:val="1"/>
                <w:bCs w:val="1"/>
                <w:color w:val="auto"/>
              </w:rPr>
              <w:t>12.6.8. Grupo Pacifco</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20" w:type="dxa"/>
            <w:vAlign w:val="bottom"/>
            <w:gridSpan w:val="4"/>
            <w:vMerge w:val="restart"/>
          </w:tcPr>
          <w:p>
            <w:pPr>
              <w:jc w:val="center"/>
              <w:spacing w:after="0"/>
              <w:rPr>
                <w:sz w:val="20"/>
                <w:szCs w:val="20"/>
                <w:color w:val="auto"/>
              </w:rPr>
            </w:pPr>
            <w:r>
              <w:rPr>
                <w:rFonts w:ascii="Calibri" w:cs="Calibri" w:eastAsia="Calibri" w:hAnsi="Calibri"/>
                <w:sz w:val="17"/>
                <w:szCs w:val="17"/>
                <w:b w:val="1"/>
                <w:bCs w:val="1"/>
                <w:color w:val="auto"/>
              </w:rPr>
              <w:t>Key Indicators of Financial Positon</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20" w:type="dxa"/>
            <w:vAlign w:val="bottom"/>
            <w:gridSpan w:val="4"/>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3"/>
          </w:tcPr>
          <w:p>
            <w:pPr>
              <w:jc w:val="center"/>
              <w:ind w:right="382"/>
              <w:spacing w:after="0"/>
              <w:rPr>
                <w:sz w:val="20"/>
                <w:szCs w:val="20"/>
                <w:color w:val="auto"/>
              </w:rPr>
            </w:pPr>
            <w:r>
              <w:rPr>
                <w:rFonts w:ascii="Calibri" w:cs="Calibri" w:eastAsia="Calibri" w:hAnsi="Calibri"/>
                <w:sz w:val="16"/>
                <w:szCs w:val="16"/>
                <w:b w:val="1"/>
                <w:bCs w:val="1"/>
                <w:color w:val="auto"/>
                <w:w w:val="97"/>
              </w:rPr>
              <w:t>(S/ Thousands, IFRS)</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300" w:type="dxa"/>
            <w:vAlign w:val="bottom"/>
            <w:tcBorders>
              <w:left w:val="single" w:sz="8" w:color="auto"/>
            </w:tcBorders>
            <w:shd w:val="clear" w:color="auto" w:fill="33CCCC"/>
          </w:tcPr>
          <w:p>
            <w:pPr>
              <w:spacing w:after="0"/>
              <w:rPr>
                <w:sz w:val="15"/>
                <w:szCs w:val="15"/>
                <w:color w:val="auto"/>
              </w:rPr>
            </w:pPr>
          </w:p>
        </w:tc>
        <w:tc>
          <w:tcPr>
            <w:tcW w:w="580" w:type="dxa"/>
            <w:vAlign w:val="bottom"/>
            <w:tcBorders>
              <w:right w:val="single" w:sz="8" w:color="33CCCC"/>
            </w:tcBorders>
            <w:shd w:val="clear" w:color="auto" w:fill="33CCCC"/>
          </w:tcPr>
          <w:p>
            <w:pPr>
              <w:spacing w:after="0"/>
              <w:rPr>
                <w:sz w:val="15"/>
                <w:szCs w:val="15"/>
                <w:color w:val="auto"/>
              </w:rPr>
            </w:pPr>
          </w:p>
        </w:tc>
        <w:tc>
          <w:tcPr>
            <w:tcW w:w="1260" w:type="dxa"/>
            <w:vAlign w:val="bottom"/>
            <w:tcBorders>
              <w:right w:val="single" w:sz="8" w:color="auto"/>
            </w:tcBorders>
            <w:shd w:val="clear" w:color="auto" w:fill="33CCCC"/>
          </w:tcPr>
          <w:p>
            <w:pPr>
              <w:spacing w:after="0"/>
              <w:rPr>
                <w:sz w:val="15"/>
                <w:szCs w:val="15"/>
                <w:color w:val="auto"/>
              </w:rPr>
            </w:pPr>
          </w:p>
        </w:tc>
        <w:tc>
          <w:tcPr>
            <w:tcW w:w="480" w:type="dxa"/>
            <w:vAlign w:val="bottom"/>
            <w:shd w:val="clear" w:color="auto" w:fill="33CCCC"/>
          </w:tcPr>
          <w:p>
            <w:pPr>
              <w:spacing w:after="0"/>
              <w:rPr>
                <w:sz w:val="15"/>
                <w:szCs w:val="15"/>
                <w:color w:val="auto"/>
              </w:rPr>
            </w:pPr>
          </w:p>
        </w:tc>
        <w:tc>
          <w:tcPr>
            <w:tcW w:w="980" w:type="dxa"/>
            <w:vAlign w:val="bottom"/>
            <w:tcBorders>
              <w:right w:val="single" w:sz="8" w:color="auto"/>
            </w:tcBorders>
            <w:shd w:val="clear" w:color="auto" w:fill="33CCCC"/>
          </w:tcPr>
          <w:p>
            <w:pPr>
              <w:jc w:val="center"/>
              <w:ind w:right="438"/>
              <w:spacing w:after="0" w:line="180" w:lineRule="exact"/>
              <w:rPr>
                <w:sz w:val="20"/>
                <w:szCs w:val="20"/>
                <w:color w:val="auto"/>
              </w:rPr>
            </w:pPr>
            <w:r>
              <w:rPr>
                <w:rFonts w:ascii="Calibri" w:cs="Calibri" w:eastAsia="Calibri" w:hAnsi="Calibri"/>
                <w:sz w:val="16"/>
                <w:szCs w:val="16"/>
                <w:b w:val="1"/>
                <w:bCs w:val="1"/>
                <w:color w:val="FFFFFF"/>
                <w:w w:val="95"/>
              </w:rPr>
              <w:t>As of</w:t>
            </w:r>
          </w:p>
        </w:tc>
        <w:tc>
          <w:tcPr>
            <w:tcW w:w="240" w:type="dxa"/>
            <w:vAlign w:val="bottom"/>
            <w:tcBorders>
              <w:right w:val="single" w:sz="8" w:color="33CCCC"/>
            </w:tcBorders>
            <w:shd w:val="clear" w:color="auto" w:fill="33CCCC"/>
          </w:tcPr>
          <w:p>
            <w:pPr>
              <w:spacing w:after="0"/>
              <w:rPr>
                <w:sz w:val="15"/>
                <w:szCs w:val="15"/>
                <w:color w:val="auto"/>
              </w:rPr>
            </w:pPr>
          </w:p>
        </w:tc>
        <w:tc>
          <w:tcPr>
            <w:tcW w:w="1220" w:type="dxa"/>
            <w:vAlign w:val="bottom"/>
            <w:tcBorders>
              <w:right w:val="single" w:sz="8" w:color="auto"/>
            </w:tcBorders>
            <w:shd w:val="clear" w:color="auto" w:fill="33CCCC"/>
          </w:tcPr>
          <w:p>
            <w:pPr>
              <w:spacing w:after="0"/>
              <w:rPr>
                <w:sz w:val="15"/>
                <w:szCs w:val="15"/>
                <w:color w:val="auto"/>
              </w:rPr>
            </w:pPr>
          </w:p>
        </w:tc>
        <w:tc>
          <w:tcPr>
            <w:tcW w:w="420" w:type="dxa"/>
            <w:vAlign w:val="bottom"/>
            <w:shd w:val="clear" w:color="auto" w:fill="33CCCC"/>
          </w:tcPr>
          <w:p>
            <w:pPr>
              <w:spacing w:after="0"/>
              <w:rPr>
                <w:sz w:val="15"/>
                <w:szCs w:val="15"/>
                <w:color w:val="auto"/>
              </w:rPr>
            </w:pPr>
          </w:p>
        </w:tc>
        <w:tc>
          <w:tcPr>
            <w:tcW w:w="300" w:type="dxa"/>
            <w:vAlign w:val="bottom"/>
            <w:tcBorders>
              <w:right w:val="single" w:sz="8" w:color="33CCCC"/>
            </w:tcBorders>
            <w:shd w:val="clear" w:color="auto" w:fill="33CCCC"/>
          </w:tcPr>
          <w:p>
            <w:pPr>
              <w:spacing w:after="0"/>
              <w:rPr>
                <w:sz w:val="15"/>
                <w:szCs w:val="15"/>
                <w:color w:val="auto"/>
              </w:rPr>
            </w:pPr>
          </w:p>
        </w:tc>
        <w:tc>
          <w:tcPr>
            <w:tcW w:w="660" w:type="dxa"/>
            <w:vAlign w:val="bottom"/>
            <w:tcBorders>
              <w:right w:val="single" w:sz="8" w:color="auto"/>
            </w:tcBorders>
            <w:shd w:val="clear" w:color="auto" w:fill="33CCCC"/>
          </w:tcPr>
          <w:p>
            <w:pPr>
              <w:spacing w:after="0"/>
              <w:rPr>
                <w:sz w:val="15"/>
                <w:szCs w:val="15"/>
                <w:color w:val="auto"/>
              </w:rPr>
            </w:pPr>
          </w:p>
        </w:tc>
        <w:tc>
          <w:tcPr>
            <w:tcW w:w="160" w:type="dxa"/>
            <w:vAlign w:val="bottom"/>
            <w:shd w:val="clear" w:color="auto" w:fill="33CCCC"/>
          </w:tcPr>
          <w:p>
            <w:pPr>
              <w:spacing w:after="0"/>
              <w:rPr>
                <w:sz w:val="15"/>
                <w:szCs w:val="15"/>
                <w:color w:val="auto"/>
              </w:rPr>
            </w:pPr>
          </w:p>
        </w:tc>
        <w:tc>
          <w:tcPr>
            <w:tcW w:w="1500" w:type="dxa"/>
            <w:vAlign w:val="bottom"/>
            <w:gridSpan w:val="2"/>
            <w:shd w:val="clear" w:color="auto" w:fill="33CCCC"/>
          </w:tcPr>
          <w:p>
            <w:pPr>
              <w:jc w:val="center"/>
              <w:ind w:right="460"/>
              <w:spacing w:after="0" w:line="180" w:lineRule="exact"/>
              <w:rPr>
                <w:sz w:val="20"/>
                <w:szCs w:val="20"/>
                <w:color w:val="auto"/>
              </w:rPr>
            </w:pPr>
            <w:r>
              <w:rPr>
                <w:rFonts w:ascii="Calibri" w:cs="Calibri" w:eastAsia="Calibri" w:hAnsi="Calibri"/>
                <w:sz w:val="16"/>
                <w:szCs w:val="16"/>
                <w:b w:val="1"/>
                <w:bCs w:val="1"/>
                <w:color w:val="FFFFFF"/>
                <w:w w:val="99"/>
              </w:rPr>
              <w:t>% Change</w:t>
            </w:r>
          </w:p>
        </w:tc>
        <w:tc>
          <w:tcPr>
            <w:tcW w:w="1140" w:type="dxa"/>
            <w:vAlign w:val="bottom"/>
            <w:tcBorders>
              <w:right w:val="single" w:sz="8" w:color="auto"/>
            </w:tcBorders>
            <w:shd w:val="clear" w:color="auto" w:fill="33CCCC"/>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300" w:type="dxa"/>
            <w:vAlign w:val="bottom"/>
            <w:tcBorders>
              <w:left w:val="single" w:sz="8" w:color="auto"/>
              <w:bottom w:val="single" w:sz="8" w:color="33CCCC"/>
            </w:tcBorders>
            <w:shd w:val="clear" w:color="auto" w:fill="33CCCC"/>
          </w:tcPr>
          <w:p>
            <w:pPr>
              <w:spacing w:after="0"/>
              <w:rPr>
                <w:sz w:val="18"/>
                <w:szCs w:val="18"/>
                <w:color w:val="auto"/>
              </w:rPr>
            </w:pPr>
          </w:p>
        </w:tc>
        <w:tc>
          <w:tcPr>
            <w:tcW w:w="580" w:type="dxa"/>
            <w:vAlign w:val="bottom"/>
            <w:tcBorders>
              <w:bottom w:val="single" w:sz="8" w:color="33CCCC"/>
              <w:right w:val="single" w:sz="8" w:color="33CCCC"/>
            </w:tcBorders>
            <w:shd w:val="clear" w:color="auto" w:fill="33CCCC"/>
          </w:tcPr>
          <w:p>
            <w:pPr>
              <w:spacing w:after="0"/>
              <w:rPr>
                <w:sz w:val="18"/>
                <w:szCs w:val="18"/>
                <w:color w:val="auto"/>
              </w:rPr>
            </w:pPr>
          </w:p>
        </w:tc>
        <w:tc>
          <w:tcPr>
            <w:tcW w:w="1260" w:type="dxa"/>
            <w:vAlign w:val="bottom"/>
            <w:tcBorders>
              <w:bottom w:val="single" w:sz="8" w:color="33CCCC"/>
              <w:right w:val="single" w:sz="8" w:color="auto"/>
            </w:tcBorders>
            <w:shd w:val="clear" w:color="auto" w:fill="33CCCC"/>
          </w:tcPr>
          <w:p>
            <w:pPr>
              <w:spacing w:after="0"/>
              <w:rPr>
                <w:sz w:val="18"/>
                <w:szCs w:val="18"/>
                <w:color w:val="auto"/>
              </w:rPr>
            </w:pPr>
          </w:p>
        </w:tc>
        <w:tc>
          <w:tcPr>
            <w:tcW w:w="480" w:type="dxa"/>
            <w:vAlign w:val="bottom"/>
            <w:tcBorders>
              <w:bottom w:val="single" w:sz="8" w:color="33CCCC"/>
            </w:tcBorders>
            <w:shd w:val="clear" w:color="auto" w:fill="33CCCC"/>
          </w:tcPr>
          <w:p>
            <w:pPr>
              <w:spacing w:after="0"/>
              <w:rPr>
                <w:sz w:val="18"/>
                <w:szCs w:val="18"/>
                <w:color w:val="auto"/>
              </w:rPr>
            </w:pPr>
          </w:p>
        </w:tc>
        <w:tc>
          <w:tcPr>
            <w:tcW w:w="980" w:type="dxa"/>
            <w:vAlign w:val="bottom"/>
            <w:tcBorders>
              <w:bottom w:val="single" w:sz="8" w:color="33CCCC"/>
              <w:right w:val="single" w:sz="8" w:color="auto"/>
            </w:tcBorders>
            <w:shd w:val="clear" w:color="auto" w:fill="33CCCC"/>
          </w:tcPr>
          <w:p>
            <w:pPr>
              <w:jc w:val="center"/>
              <w:ind w:right="438"/>
              <w:spacing w:after="0" w:line="186" w:lineRule="exact"/>
              <w:rPr>
                <w:sz w:val="20"/>
                <w:szCs w:val="20"/>
                <w:color w:val="auto"/>
              </w:rPr>
            </w:pPr>
            <w:r>
              <w:rPr>
                <w:rFonts w:ascii="Calibri" w:cs="Calibri" w:eastAsia="Calibri" w:hAnsi="Calibri"/>
                <w:sz w:val="16"/>
                <w:szCs w:val="16"/>
                <w:b w:val="1"/>
                <w:bCs w:val="1"/>
                <w:color w:val="FFFFFF"/>
                <w:w w:val="98"/>
              </w:rPr>
              <w:t>Dec 23</w:t>
            </w:r>
          </w:p>
        </w:tc>
        <w:tc>
          <w:tcPr>
            <w:tcW w:w="240" w:type="dxa"/>
            <w:vAlign w:val="bottom"/>
            <w:tcBorders>
              <w:bottom w:val="single" w:sz="8" w:color="33CCCC"/>
              <w:right w:val="single" w:sz="8" w:color="33CCCC"/>
            </w:tcBorders>
            <w:shd w:val="clear" w:color="auto" w:fill="33CCCC"/>
          </w:tcPr>
          <w:p>
            <w:pPr>
              <w:spacing w:after="0"/>
              <w:rPr>
                <w:sz w:val="18"/>
                <w:szCs w:val="18"/>
                <w:color w:val="auto"/>
              </w:rPr>
            </w:pPr>
          </w:p>
        </w:tc>
        <w:tc>
          <w:tcPr>
            <w:tcW w:w="1220" w:type="dxa"/>
            <w:vAlign w:val="bottom"/>
            <w:tcBorders>
              <w:bottom w:val="single" w:sz="8" w:color="33CCCC"/>
              <w:right w:val="single" w:sz="8" w:color="auto"/>
            </w:tcBorders>
            <w:shd w:val="clear" w:color="auto" w:fill="33CCCC"/>
          </w:tcPr>
          <w:p>
            <w:pPr>
              <w:jc w:val="center"/>
              <w:ind w:right="202"/>
              <w:spacing w:after="0" w:line="186" w:lineRule="exact"/>
              <w:rPr>
                <w:sz w:val="20"/>
                <w:szCs w:val="20"/>
                <w:color w:val="auto"/>
              </w:rPr>
            </w:pPr>
            <w:r>
              <w:rPr>
                <w:rFonts w:ascii="Calibri" w:cs="Calibri" w:eastAsia="Calibri" w:hAnsi="Calibri"/>
                <w:sz w:val="16"/>
                <w:szCs w:val="16"/>
                <w:b w:val="1"/>
                <w:bCs w:val="1"/>
                <w:color w:val="FFFFFF"/>
                <w:w w:val="99"/>
              </w:rPr>
              <w:t>Sep 24</w:t>
            </w:r>
          </w:p>
        </w:tc>
        <w:tc>
          <w:tcPr>
            <w:tcW w:w="420" w:type="dxa"/>
            <w:vAlign w:val="bottom"/>
            <w:tcBorders>
              <w:bottom w:val="single" w:sz="8" w:color="33CCCC"/>
            </w:tcBorders>
            <w:shd w:val="clear" w:color="auto" w:fill="33CCCC"/>
          </w:tcPr>
          <w:p>
            <w:pPr>
              <w:spacing w:after="0"/>
              <w:rPr>
                <w:sz w:val="18"/>
                <w:szCs w:val="18"/>
                <w:color w:val="auto"/>
              </w:rPr>
            </w:pPr>
          </w:p>
        </w:tc>
        <w:tc>
          <w:tcPr>
            <w:tcW w:w="960" w:type="dxa"/>
            <w:vAlign w:val="bottom"/>
            <w:tcBorders>
              <w:bottom w:val="single" w:sz="8" w:color="33CCCC"/>
              <w:right w:val="single" w:sz="8" w:color="auto"/>
            </w:tcBorders>
            <w:gridSpan w:val="2"/>
            <w:shd w:val="clear" w:color="auto" w:fill="33CCCC"/>
          </w:tcPr>
          <w:p>
            <w:pPr>
              <w:ind w:left="40"/>
              <w:spacing w:after="0" w:line="186" w:lineRule="exact"/>
              <w:rPr>
                <w:sz w:val="20"/>
                <w:szCs w:val="20"/>
                <w:color w:val="auto"/>
              </w:rPr>
            </w:pPr>
            <w:r>
              <w:rPr>
                <w:rFonts w:ascii="Calibri" w:cs="Calibri" w:eastAsia="Calibri" w:hAnsi="Calibri"/>
                <w:sz w:val="16"/>
                <w:szCs w:val="16"/>
                <w:b w:val="1"/>
                <w:bCs w:val="1"/>
                <w:color w:val="FFFFFF"/>
              </w:rPr>
              <w:t>Dec 24</w:t>
            </w:r>
          </w:p>
        </w:tc>
        <w:tc>
          <w:tcPr>
            <w:tcW w:w="160" w:type="dxa"/>
            <w:vAlign w:val="bottom"/>
            <w:tcBorders>
              <w:bottom w:val="single" w:sz="8" w:color="33CCCC"/>
            </w:tcBorders>
            <w:shd w:val="clear" w:color="auto" w:fill="33CCCC"/>
          </w:tcPr>
          <w:p>
            <w:pPr>
              <w:spacing w:after="0"/>
              <w:rPr>
                <w:sz w:val="18"/>
                <w:szCs w:val="18"/>
                <w:color w:val="auto"/>
              </w:rPr>
            </w:pPr>
          </w:p>
        </w:tc>
        <w:tc>
          <w:tcPr>
            <w:tcW w:w="1500" w:type="dxa"/>
            <w:vAlign w:val="bottom"/>
            <w:tcBorders>
              <w:bottom w:val="single" w:sz="8" w:color="33CCCC"/>
            </w:tcBorders>
            <w:gridSpan w:val="2"/>
            <w:shd w:val="clear" w:color="auto" w:fill="33CCCC"/>
          </w:tcPr>
          <w:p>
            <w:pPr>
              <w:jc w:val="center"/>
              <w:ind w:right="440"/>
              <w:spacing w:after="0" w:line="186" w:lineRule="exact"/>
              <w:rPr>
                <w:sz w:val="20"/>
                <w:szCs w:val="20"/>
                <w:color w:val="auto"/>
              </w:rPr>
            </w:pPr>
            <w:r>
              <w:rPr>
                <w:rFonts w:ascii="Calibri" w:cs="Calibri" w:eastAsia="Calibri" w:hAnsi="Calibri"/>
                <w:sz w:val="16"/>
                <w:szCs w:val="16"/>
                <w:b w:val="1"/>
                <w:bCs w:val="1"/>
                <w:color w:val="FFFFFF"/>
                <w:w w:val="98"/>
              </w:rPr>
              <w:t>QoQ</w:t>
            </w:r>
          </w:p>
        </w:tc>
        <w:tc>
          <w:tcPr>
            <w:tcW w:w="1140" w:type="dxa"/>
            <w:vAlign w:val="bottom"/>
            <w:tcBorders>
              <w:bottom w:val="single" w:sz="8" w:color="33CCCC"/>
              <w:right w:val="single" w:sz="8" w:color="auto"/>
            </w:tcBorders>
            <w:shd w:val="clear" w:color="auto" w:fill="33CCCC"/>
          </w:tcPr>
          <w:p>
            <w:pPr>
              <w:jc w:val="center"/>
              <w:ind w:right="238"/>
              <w:spacing w:after="0" w:line="186" w:lineRule="exact"/>
              <w:rPr>
                <w:sz w:val="20"/>
                <w:szCs w:val="20"/>
                <w:color w:val="auto"/>
              </w:rPr>
            </w:pPr>
            <w:r>
              <w:rPr>
                <w:rFonts w:ascii="Calibri" w:cs="Calibri" w:eastAsia="Calibri" w:hAnsi="Calibri"/>
                <w:sz w:val="16"/>
                <w:szCs w:val="16"/>
                <w:b w:val="1"/>
                <w:bCs w:val="1"/>
                <w:color w:val="FFFFFF"/>
                <w:w w:val="94"/>
              </w:rPr>
              <w:t>YoY</w:t>
            </w:r>
          </w:p>
        </w:tc>
        <w:tc>
          <w:tcPr>
            <w:tcW w:w="0" w:type="dxa"/>
            <w:vAlign w:val="bottom"/>
          </w:tcPr>
          <w:p>
            <w:pPr>
              <w:spacing w:after="0"/>
              <w:rPr>
                <w:sz w:val="1"/>
                <w:szCs w:val="1"/>
                <w:color w:val="auto"/>
              </w:rPr>
            </w:pPr>
          </w:p>
        </w:tc>
      </w:tr>
      <w:tr>
        <w:trPr>
          <w:trHeight w:val="173"/>
        </w:trPr>
        <w:tc>
          <w:tcPr>
            <w:tcW w:w="2300" w:type="dxa"/>
            <w:vAlign w:val="bottom"/>
            <w:tcBorders>
              <w:top w:val="single" w:sz="8" w:color="auto"/>
              <w:left w:val="single" w:sz="8" w:color="auto"/>
            </w:tcBorders>
          </w:tcPr>
          <w:p>
            <w:pPr>
              <w:ind w:left="20"/>
              <w:spacing w:after="0" w:line="173" w:lineRule="exact"/>
              <w:rPr>
                <w:sz w:val="20"/>
                <w:szCs w:val="20"/>
                <w:color w:val="auto"/>
              </w:rPr>
            </w:pPr>
            <w:r>
              <w:rPr>
                <w:rFonts w:ascii="Calibri" w:cs="Calibri" w:eastAsia="Calibri" w:hAnsi="Calibri"/>
                <w:sz w:val="16"/>
                <w:szCs w:val="16"/>
                <w:color w:val="auto"/>
              </w:rPr>
              <w:t>Total Assets</w:t>
            </w:r>
          </w:p>
        </w:tc>
        <w:tc>
          <w:tcPr>
            <w:tcW w:w="58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spacing w:after="0"/>
              <w:rPr>
                <w:sz w:val="15"/>
                <w:szCs w:val="15"/>
                <w:color w:val="auto"/>
              </w:rPr>
            </w:pPr>
          </w:p>
        </w:tc>
        <w:tc>
          <w:tcPr>
            <w:tcW w:w="1460" w:type="dxa"/>
            <w:vAlign w:val="bottom"/>
            <w:tcBorders>
              <w:top w:val="single" w:sz="8" w:color="auto"/>
              <w:right w:val="single" w:sz="8" w:color="auto"/>
            </w:tcBorders>
            <w:gridSpan w:val="2"/>
          </w:tcPr>
          <w:p>
            <w:pPr>
              <w:jc w:val="center"/>
              <w:spacing w:after="0" w:line="173" w:lineRule="exact"/>
              <w:rPr>
                <w:sz w:val="20"/>
                <w:szCs w:val="20"/>
                <w:color w:val="auto"/>
              </w:rPr>
            </w:pPr>
            <w:r>
              <w:rPr>
                <w:rFonts w:ascii="Calibri" w:cs="Calibri" w:eastAsia="Calibri" w:hAnsi="Calibri"/>
                <w:sz w:val="16"/>
                <w:szCs w:val="16"/>
                <w:color w:val="auto"/>
                <w:w w:val="98"/>
              </w:rPr>
              <w:t>16,549,171</w:t>
            </w:r>
          </w:p>
        </w:tc>
        <w:tc>
          <w:tcPr>
            <w:tcW w:w="1460" w:type="dxa"/>
            <w:vAlign w:val="bottom"/>
            <w:tcBorders>
              <w:top w:val="single" w:sz="8" w:color="auto"/>
              <w:right w:val="single" w:sz="8" w:color="auto"/>
            </w:tcBorders>
            <w:gridSpan w:val="2"/>
          </w:tcPr>
          <w:p>
            <w:pPr>
              <w:jc w:val="center"/>
              <w:spacing w:after="0" w:line="173" w:lineRule="exact"/>
              <w:rPr>
                <w:sz w:val="20"/>
                <w:szCs w:val="20"/>
                <w:color w:val="auto"/>
              </w:rPr>
            </w:pPr>
            <w:r>
              <w:rPr>
                <w:rFonts w:ascii="Calibri" w:cs="Calibri" w:eastAsia="Calibri" w:hAnsi="Calibri"/>
                <w:sz w:val="16"/>
                <w:szCs w:val="16"/>
                <w:color w:val="auto"/>
                <w:w w:val="98"/>
              </w:rPr>
              <w:t>17,683,826</w:t>
            </w:r>
          </w:p>
        </w:tc>
        <w:tc>
          <w:tcPr>
            <w:tcW w:w="1380" w:type="dxa"/>
            <w:vAlign w:val="bottom"/>
            <w:tcBorders>
              <w:top w:val="single" w:sz="8" w:color="auto"/>
              <w:right w:val="single" w:sz="8" w:color="auto"/>
            </w:tcBorders>
            <w:gridSpan w:val="3"/>
          </w:tcPr>
          <w:p>
            <w:pPr>
              <w:jc w:val="center"/>
              <w:spacing w:after="0" w:line="173" w:lineRule="exact"/>
              <w:rPr>
                <w:sz w:val="20"/>
                <w:szCs w:val="20"/>
                <w:color w:val="auto"/>
              </w:rPr>
            </w:pPr>
            <w:r>
              <w:rPr>
                <w:rFonts w:ascii="Calibri" w:cs="Calibri" w:eastAsia="Calibri" w:hAnsi="Calibri"/>
                <w:sz w:val="16"/>
                <w:szCs w:val="16"/>
                <w:color w:val="auto"/>
                <w:w w:val="98"/>
              </w:rPr>
              <w:t>17,890,138</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98"/>
              <w:spacing w:after="0" w:line="173" w:lineRule="exact"/>
              <w:rPr>
                <w:sz w:val="20"/>
                <w:szCs w:val="20"/>
                <w:color w:val="auto"/>
              </w:rPr>
            </w:pPr>
            <w:r>
              <w:rPr>
                <w:rFonts w:ascii="Calibri" w:cs="Calibri" w:eastAsia="Calibri" w:hAnsi="Calibri"/>
                <w:sz w:val="16"/>
                <w:szCs w:val="16"/>
                <w:color w:val="auto"/>
              </w:rPr>
              <w:t>1.2%</w:t>
            </w: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jc w:val="center"/>
              <w:ind w:right="238"/>
              <w:spacing w:after="0" w:line="173" w:lineRule="exact"/>
              <w:rPr>
                <w:sz w:val="20"/>
                <w:szCs w:val="20"/>
                <w:color w:val="auto"/>
              </w:rPr>
            </w:pPr>
            <w:r>
              <w:rPr>
                <w:rFonts w:ascii="Calibri" w:cs="Calibri" w:eastAsia="Calibri" w:hAnsi="Calibri"/>
                <w:sz w:val="16"/>
                <w:szCs w:val="16"/>
                <w:color w:val="auto"/>
              </w:rPr>
              <w:t>8.1%</w:t>
            </w:r>
          </w:p>
        </w:tc>
        <w:tc>
          <w:tcPr>
            <w:tcW w:w="0" w:type="dxa"/>
            <w:vAlign w:val="bottom"/>
          </w:tcPr>
          <w:p>
            <w:pPr>
              <w:spacing w:after="0"/>
              <w:rPr>
                <w:sz w:val="1"/>
                <w:szCs w:val="1"/>
                <w:color w:val="auto"/>
              </w:rPr>
            </w:pPr>
          </w:p>
        </w:tc>
      </w:tr>
      <w:tr>
        <w:trPr>
          <w:trHeight w:val="186"/>
        </w:trPr>
        <w:tc>
          <w:tcPr>
            <w:tcW w:w="2300" w:type="dxa"/>
            <w:vAlign w:val="bottom"/>
            <w:tcBorders>
              <w:left w:val="single" w:sz="8" w:color="auto"/>
            </w:tcBorders>
          </w:tcPr>
          <w:p>
            <w:pPr>
              <w:ind w:left="20"/>
              <w:spacing w:after="0" w:line="186" w:lineRule="exact"/>
              <w:rPr>
                <w:sz w:val="20"/>
                <w:szCs w:val="20"/>
                <w:color w:val="auto"/>
              </w:rPr>
            </w:pPr>
            <w:r>
              <w:rPr>
                <w:rFonts w:ascii="Calibri" w:cs="Calibri" w:eastAsia="Calibri" w:hAnsi="Calibri"/>
                <w:sz w:val="16"/>
                <w:szCs w:val="16"/>
                <w:color w:val="auto"/>
              </w:rPr>
              <w:t>Investment on Securites (1)</w:t>
            </w: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gridSpan w:val="2"/>
          </w:tcPr>
          <w:p>
            <w:pPr>
              <w:jc w:val="center"/>
              <w:spacing w:after="0" w:line="186" w:lineRule="exact"/>
              <w:rPr>
                <w:sz w:val="20"/>
                <w:szCs w:val="20"/>
                <w:color w:val="auto"/>
              </w:rPr>
            </w:pPr>
            <w:r>
              <w:rPr>
                <w:rFonts w:ascii="Calibri" w:cs="Calibri" w:eastAsia="Calibri" w:hAnsi="Calibri"/>
                <w:sz w:val="16"/>
                <w:szCs w:val="16"/>
                <w:color w:val="auto"/>
                <w:w w:val="98"/>
              </w:rPr>
              <w:t>12,704,842</w:t>
            </w:r>
          </w:p>
        </w:tc>
        <w:tc>
          <w:tcPr>
            <w:tcW w:w="1460" w:type="dxa"/>
            <w:vAlign w:val="bottom"/>
            <w:tcBorders>
              <w:right w:val="single" w:sz="8" w:color="auto"/>
            </w:tcBorders>
            <w:gridSpan w:val="2"/>
          </w:tcPr>
          <w:p>
            <w:pPr>
              <w:jc w:val="center"/>
              <w:spacing w:after="0" w:line="186" w:lineRule="exact"/>
              <w:rPr>
                <w:sz w:val="20"/>
                <w:szCs w:val="20"/>
                <w:color w:val="auto"/>
              </w:rPr>
            </w:pPr>
            <w:r>
              <w:rPr>
                <w:rFonts w:ascii="Calibri" w:cs="Calibri" w:eastAsia="Calibri" w:hAnsi="Calibri"/>
                <w:sz w:val="16"/>
                <w:szCs w:val="16"/>
                <w:color w:val="auto"/>
                <w:w w:val="98"/>
              </w:rPr>
              <w:t>13,550,847</w:t>
            </w:r>
          </w:p>
        </w:tc>
        <w:tc>
          <w:tcPr>
            <w:tcW w:w="1380" w:type="dxa"/>
            <w:vAlign w:val="bottom"/>
            <w:tcBorders>
              <w:right w:val="single" w:sz="8" w:color="auto"/>
            </w:tcBorders>
            <w:gridSpan w:val="3"/>
          </w:tcPr>
          <w:p>
            <w:pPr>
              <w:jc w:val="center"/>
              <w:spacing w:after="0" w:line="186" w:lineRule="exact"/>
              <w:rPr>
                <w:sz w:val="20"/>
                <w:szCs w:val="20"/>
                <w:color w:val="auto"/>
              </w:rPr>
            </w:pPr>
            <w:r>
              <w:rPr>
                <w:rFonts w:ascii="Calibri" w:cs="Calibri" w:eastAsia="Calibri" w:hAnsi="Calibri"/>
                <w:sz w:val="16"/>
                <w:szCs w:val="16"/>
                <w:color w:val="auto"/>
                <w:w w:val="98"/>
              </w:rPr>
              <w:t>13,898,637</w:t>
            </w:r>
          </w:p>
        </w:tc>
        <w:tc>
          <w:tcPr>
            <w:tcW w:w="160" w:type="dxa"/>
            <w:vAlign w:val="bottom"/>
          </w:tcPr>
          <w:p>
            <w:pPr>
              <w:spacing w:after="0"/>
              <w:rPr>
                <w:sz w:val="16"/>
                <w:szCs w:val="16"/>
                <w:color w:val="auto"/>
              </w:rPr>
            </w:pPr>
          </w:p>
        </w:tc>
        <w:tc>
          <w:tcPr>
            <w:tcW w:w="1200" w:type="dxa"/>
            <w:vAlign w:val="bottom"/>
          </w:tcPr>
          <w:p>
            <w:pPr>
              <w:jc w:val="center"/>
              <w:ind w:right="98"/>
              <w:spacing w:after="0" w:line="186" w:lineRule="exact"/>
              <w:rPr>
                <w:sz w:val="20"/>
                <w:szCs w:val="20"/>
                <w:color w:val="auto"/>
              </w:rPr>
            </w:pPr>
            <w:r>
              <w:rPr>
                <w:rFonts w:ascii="Calibri" w:cs="Calibri" w:eastAsia="Calibri" w:hAnsi="Calibri"/>
                <w:sz w:val="16"/>
                <w:szCs w:val="16"/>
                <w:color w:val="auto"/>
              </w:rPr>
              <w:t>2.6%</w:t>
            </w:r>
          </w:p>
        </w:tc>
        <w:tc>
          <w:tcPr>
            <w:tcW w:w="300" w:type="dxa"/>
            <w:vAlign w:val="bottom"/>
          </w:tcPr>
          <w:p>
            <w:pPr>
              <w:spacing w:after="0"/>
              <w:rPr>
                <w:sz w:val="16"/>
                <w:szCs w:val="16"/>
                <w:color w:val="auto"/>
              </w:rPr>
            </w:pPr>
          </w:p>
        </w:tc>
        <w:tc>
          <w:tcPr>
            <w:tcW w:w="1140" w:type="dxa"/>
            <w:vAlign w:val="bottom"/>
            <w:tcBorders>
              <w:right w:val="single" w:sz="8" w:color="auto"/>
            </w:tcBorders>
          </w:tcPr>
          <w:p>
            <w:pPr>
              <w:jc w:val="center"/>
              <w:ind w:right="238"/>
              <w:spacing w:after="0" w:line="186" w:lineRule="exact"/>
              <w:rPr>
                <w:sz w:val="20"/>
                <w:szCs w:val="20"/>
                <w:color w:val="auto"/>
              </w:rPr>
            </w:pPr>
            <w:r>
              <w:rPr>
                <w:rFonts w:ascii="Calibri" w:cs="Calibri" w:eastAsia="Calibri" w:hAnsi="Calibri"/>
                <w:sz w:val="16"/>
                <w:szCs w:val="16"/>
                <w:color w:val="auto"/>
              </w:rPr>
              <w:t>9.4%</w:t>
            </w:r>
          </w:p>
        </w:tc>
        <w:tc>
          <w:tcPr>
            <w:tcW w:w="0" w:type="dxa"/>
            <w:vAlign w:val="bottom"/>
          </w:tcPr>
          <w:p>
            <w:pPr>
              <w:spacing w:after="0"/>
              <w:rPr>
                <w:sz w:val="1"/>
                <w:szCs w:val="1"/>
                <w:color w:val="auto"/>
              </w:rPr>
            </w:pPr>
          </w:p>
        </w:tc>
      </w:tr>
      <w:tr>
        <w:trPr>
          <w:trHeight w:val="197"/>
        </w:trPr>
        <w:tc>
          <w:tcPr>
            <w:tcW w:w="230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Total Liabilites</w:t>
            </w:r>
          </w:p>
        </w:tc>
        <w:tc>
          <w:tcPr>
            <w:tcW w:w="5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6"/>
                <w:szCs w:val="16"/>
                <w:color w:val="auto"/>
                <w:w w:val="98"/>
              </w:rPr>
              <w:t>13,443,688</w:t>
            </w:r>
          </w:p>
        </w:tc>
        <w:tc>
          <w:tcPr>
            <w:tcW w:w="146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6"/>
                <w:szCs w:val="16"/>
                <w:color w:val="auto"/>
                <w:w w:val="98"/>
              </w:rPr>
              <w:t>14,442,027</w:t>
            </w:r>
          </w:p>
        </w:tc>
        <w:tc>
          <w:tcPr>
            <w:tcW w:w="1380" w:type="dxa"/>
            <w:vAlign w:val="bottom"/>
            <w:tcBorders>
              <w:right w:val="single" w:sz="8" w:color="auto"/>
            </w:tcBorders>
            <w:gridSpan w:val="3"/>
          </w:tcPr>
          <w:p>
            <w:pPr>
              <w:jc w:val="center"/>
              <w:spacing w:after="0"/>
              <w:rPr>
                <w:sz w:val="20"/>
                <w:szCs w:val="20"/>
                <w:color w:val="auto"/>
              </w:rPr>
            </w:pPr>
            <w:r>
              <w:rPr>
                <w:rFonts w:ascii="Calibri" w:cs="Calibri" w:eastAsia="Calibri" w:hAnsi="Calibri"/>
                <w:sz w:val="16"/>
                <w:szCs w:val="16"/>
                <w:color w:val="auto"/>
                <w:w w:val="98"/>
              </w:rPr>
              <w:t>14,504,765</w:t>
            </w:r>
          </w:p>
        </w:tc>
        <w:tc>
          <w:tcPr>
            <w:tcW w:w="160" w:type="dxa"/>
            <w:vAlign w:val="bottom"/>
          </w:tcPr>
          <w:p>
            <w:pPr>
              <w:spacing w:after="0"/>
              <w:rPr>
                <w:sz w:val="17"/>
                <w:szCs w:val="17"/>
                <w:color w:val="auto"/>
              </w:rPr>
            </w:pPr>
          </w:p>
        </w:tc>
        <w:tc>
          <w:tcPr>
            <w:tcW w:w="1200" w:type="dxa"/>
            <w:vAlign w:val="bottom"/>
          </w:tcPr>
          <w:p>
            <w:pPr>
              <w:jc w:val="center"/>
              <w:ind w:right="98"/>
              <w:spacing w:after="0"/>
              <w:rPr>
                <w:sz w:val="20"/>
                <w:szCs w:val="20"/>
                <w:color w:val="auto"/>
              </w:rPr>
            </w:pPr>
            <w:r>
              <w:rPr>
                <w:rFonts w:ascii="Calibri" w:cs="Calibri" w:eastAsia="Calibri" w:hAnsi="Calibri"/>
                <w:sz w:val="16"/>
                <w:szCs w:val="16"/>
                <w:color w:val="auto"/>
              </w:rPr>
              <w:t>0.4%</w:t>
            </w:r>
          </w:p>
        </w:tc>
        <w:tc>
          <w:tcPr>
            <w:tcW w:w="300" w:type="dxa"/>
            <w:vAlign w:val="bottom"/>
          </w:tcPr>
          <w:p>
            <w:pPr>
              <w:spacing w:after="0"/>
              <w:rPr>
                <w:sz w:val="17"/>
                <w:szCs w:val="17"/>
                <w:color w:val="auto"/>
              </w:rPr>
            </w:pPr>
          </w:p>
        </w:tc>
        <w:tc>
          <w:tcPr>
            <w:tcW w:w="1140" w:type="dxa"/>
            <w:vAlign w:val="bottom"/>
            <w:tcBorders>
              <w:right w:val="single" w:sz="8" w:color="auto"/>
            </w:tcBorders>
          </w:tcPr>
          <w:p>
            <w:pPr>
              <w:jc w:val="center"/>
              <w:ind w:right="238"/>
              <w:spacing w:after="0"/>
              <w:rPr>
                <w:sz w:val="20"/>
                <w:szCs w:val="20"/>
                <w:color w:val="auto"/>
              </w:rPr>
            </w:pPr>
            <w:r>
              <w:rPr>
                <w:rFonts w:ascii="Calibri" w:cs="Calibri" w:eastAsia="Calibri" w:hAnsi="Calibri"/>
                <w:sz w:val="16"/>
                <w:szCs w:val="16"/>
                <w:color w:val="auto"/>
              </w:rPr>
              <w:t>7.9%</w:t>
            </w:r>
          </w:p>
        </w:tc>
        <w:tc>
          <w:tcPr>
            <w:tcW w:w="0" w:type="dxa"/>
            <w:vAlign w:val="bottom"/>
          </w:tcPr>
          <w:p>
            <w:pPr>
              <w:spacing w:after="0"/>
              <w:rPr>
                <w:sz w:val="1"/>
                <w:szCs w:val="1"/>
                <w:color w:val="auto"/>
              </w:rPr>
            </w:pPr>
          </w:p>
        </w:tc>
      </w:tr>
      <w:tr>
        <w:trPr>
          <w:trHeight w:val="197"/>
        </w:trPr>
        <w:tc>
          <w:tcPr>
            <w:tcW w:w="2300" w:type="dxa"/>
            <w:vAlign w:val="bottom"/>
            <w:tcBorders>
              <w:left w:val="single" w:sz="8" w:color="auto"/>
            </w:tcBorders>
          </w:tcPr>
          <w:p>
            <w:pPr>
              <w:ind w:left="20"/>
              <w:spacing w:after="0"/>
              <w:rPr>
                <w:sz w:val="20"/>
                <w:szCs w:val="20"/>
                <w:color w:val="auto"/>
              </w:rPr>
            </w:pPr>
            <w:r>
              <w:rPr>
                <w:rFonts w:ascii="Calibri" w:cs="Calibri" w:eastAsia="Calibri" w:hAnsi="Calibri"/>
                <w:sz w:val="16"/>
                <w:szCs w:val="16"/>
                <w:color w:val="auto"/>
              </w:rPr>
              <w:t>Net Equity</w:t>
            </w:r>
          </w:p>
        </w:tc>
        <w:tc>
          <w:tcPr>
            <w:tcW w:w="5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6"/>
                <w:szCs w:val="16"/>
                <w:color w:val="auto"/>
                <w:w w:val="98"/>
              </w:rPr>
              <w:t>3,086,571</w:t>
            </w:r>
          </w:p>
        </w:tc>
        <w:tc>
          <w:tcPr>
            <w:tcW w:w="1460" w:type="dxa"/>
            <w:vAlign w:val="bottom"/>
            <w:tcBorders>
              <w:right w:val="single" w:sz="8" w:color="auto"/>
            </w:tcBorders>
            <w:gridSpan w:val="2"/>
          </w:tcPr>
          <w:p>
            <w:pPr>
              <w:jc w:val="center"/>
              <w:spacing w:after="0"/>
              <w:rPr>
                <w:sz w:val="20"/>
                <w:szCs w:val="20"/>
                <w:color w:val="auto"/>
              </w:rPr>
            </w:pPr>
            <w:r>
              <w:rPr>
                <w:rFonts w:ascii="Calibri" w:cs="Calibri" w:eastAsia="Calibri" w:hAnsi="Calibri"/>
                <w:sz w:val="16"/>
                <w:szCs w:val="16"/>
                <w:color w:val="auto"/>
                <w:w w:val="98"/>
              </w:rPr>
              <w:t>3,226,717</w:t>
            </w:r>
          </w:p>
        </w:tc>
        <w:tc>
          <w:tcPr>
            <w:tcW w:w="1380" w:type="dxa"/>
            <w:vAlign w:val="bottom"/>
            <w:tcBorders>
              <w:right w:val="single" w:sz="8" w:color="auto"/>
            </w:tcBorders>
            <w:gridSpan w:val="3"/>
          </w:tcPr>
          <w:p>
            <w:pPr>
              <w:jc w:val="center"/>
              <w:spacing w:after="0"/>
              <w:rPr>
                <w:sz w:val="20"/>
                <w:szCs w:val="20"/>
                <w:color w:val="auto"/>
              </w:rPr>
            </w:pPr>
            <w:r>
              <w:rPr>
                <w:rFonts w:ascii="Calibri" w:cs="Calibri" w:eastAsia="Calibri" w:hAnsi="Calibri"/>
                <w:sz w:val="16"/>
                <w:szCs w:val="16"/>
                <w:color w:val="auto"/>
                <w:w w:val="98"/>
              </w:rPr>
              <w:t>3,369,625</w:t>
            </w:r>
          </w:p>
        </w:tc>
        <w:tc>
          <w:tcPr>
            <w:tcW w:w="160" w:type="dxa"/>
            <w:vAlign w:val="bottom"/>
          </w:tcPr>
          <w:p>
            <w:pPr>
              <w:spacing w:after="0"/>
              <w:rPr>
                <w:sz w:val="17"/>
                <w:szCs w:val="17"/>
                <w:color w:val="auto"/>
              </w:rPr>
            </w:pPr>
          </w:p>
        </w:tc>
        <w:tc>
          <w:tcPr>
            <w:tcW w:w="1200" w:type="dxa"/>
            <w:vAlign w:val="bottom"/>
          </w:tcPr>
          <w:p>
            <w:pPr>
              <w:jc w:val="center"/>
              <w:ind w:right="98"/>
              <w:spacing w:after="0"/>
              <w:rPr>
                <w:sz w:val="20"/>
                <w:szCs w:val="20"/>
                <w:color w:val="auto"/>
              </w:rPr>
            </w:pPr>
            <w:r>
              <w:rPr>
                <w:rFonts w:ascii="Calibri" w:cs="Calibri" w:eastAsia="Calibri" w:hAnsi="Calibri"/>
                <w:sz w:val="16"/>
                <w:szCs w:val="16"/>
                <w:color w:val="auto"/>
              </w:rPr>
              <w:t>4.4%</w:t>
            </w:r>
          </w:p>
        </w:tc>
        <w:tc>
          <w:tcPr>
            <w:tcW w:w="300" w:type="dxa"/>
            <w:vAlign w:val="bottom"/>
          </w:tcPr>
          <w:p>
            <w:pPr>
              <w:spacing w:after="0"/>
              <w:rPr>
                <w:sz w:val="17"/>
                <w:szCs w:val="17"/>
                <w:color w:val="auto"/>
              </w:rPr>
            </w:pPr>
          </w:p>
        </w:tc>
        <w:tc>
          <w:tcPr>
            <w:tcW w:w="1140" w:type="dxa"/>
            <w:vAlign w:val="bottom"/>
            <w:tcBorders>
              <w:right w:val="single" w:sz="8" w:color="auto"/>
            </w:tcBorders>
          </w:tcPr>
          <w:p>
            <w:pPr>
              <w:jc w:val="center"/>
              <w:ind w:right="238"/>
              <w:spacing w:after="0"/>
              <w:rPr>
                <w:sz w:val="20"/>
                <w:szCs w:val="20"/>
                <w:color w:val="auto"/>
              </w:rPr>
            </w:pPr>
            <w:r>
              <w:rPr>
                <w:rFonts w:ascii="Calibri" w:cs="Calibri" w:eastAsia="Calibri" w:hAnsi="Calibri"/>
                <w:sz w:val="16"/>
                <w:szCs w:val="16"/>
                <w:color w:val="auto"/>
              </w:rPr>
              <w:t>9.2%</w:t>
            </w:r>
          </w:p>
        </w:tc>
        <w:tc>
          <w:tcPr>
            <w:tcW w:w="0" w:type="dxa"/>
            <w:vAlign w:val="bottom"/>
          </w:tcPr>
          <w:p>
            <w:pPr>
              <w:spacing w:after="0"/>
              <w:rPr>
                <w:sz w:val="1"/>
                <w:szCs w:val="1"/>
                <w:color w:val="auto"/>
              </w:rPr>
            </w:pPr>
          </w:p>
        </w:tc>
      </w:tr>
      <w:tr>
        <w:trPr>
          <w:trHeight w:val="28"/>
        </w:trPr>
        <w:tc>
          <w:tcPr>
            <w:tcW w:w="230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40" w:type="dxa"/>
            <w:vAlign w:val="bottom"/>
            <w:gridSpan w:val="3"/>
          </w:tcPr>
          <w:p>
            <w:pPr>
              <w:jc w:val="center"/>
              <w:ind w:right="382"/>
              <w:spacing w:after="0"/>
              <w:rPr>
                <w:sz w:val="20"/>
                <w:szCs w:val="20"/>
                <w:color w:val="auto"/>
              </w:rPr>
            </w:pPr>
            <w:r>
              <w:rPr>
                <w:rFonts w:ascii="Calibri" w:cs="Calibri" w:eastAsia="Calibri" w:hAnsi="Calibri"/>
                <w:sz w:val="17"/>
                <w:szCs w:val="17"/>
                <w:b w:val="1"/>
                <w:bCs w:val="1"/>
                <w:color w:val="auto"/>
                <w:w w:val="99"/>
              </w:rPr>
              <w:t>Statement of Income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3"/>
          </w:tcPr>
          <w:p>
            <w:pPr>
              <w:jc w:val="center"/>
              <w:ind w:right="382"/>
              <w:spacing w:after="0"/>
              <w:rPr>
                <w:sz w:val="20"/>
                <w:szCs w:val="20"/>
                <w:color w:val="auto"/>
              </w:rPr>
            </w:pPr>
            <w:r>
              <w:rPr>
                <w:rFonts w:ascii="Calibri" w:cs="Calibri" w:eastAsia="Calibri" w:hAnsi="Calibri"/>
                <w:sz w:val="16"/>
                <w:szCs w:val="16"/>
                <w:b w:val="1"/>
                <w:bCs w:val="1"/>
                <w:color w:val="auto"/>
                <w:w w:val="97"/>
              </w:rPr>
              <w:t>(S/ Thousands, IFRS)</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300" w:type="dxa"/>
            <w:vAlign w:val="bottom"/>
            <w:tcBorders>
              <w:left w:val="single" w:sz="8" w:color="auto"/>
            </w:tcBorders>
            <w:shd w:val="clear" w:color="auto" w:fill="33CCCC"/>
          </w:tcPr>
          <w:p>
            <w:pPr>
              <w:spacing w:after="0"/>
              <w:rPr>
                <w:sz w:val="10"/>
                <w:szCs w:val="10"/>
                <w:color w:val="auto"/>
              </w:rPr>
            </w:pPr>
          </w:p>
        </w:tc>
        <w:tc>
          <w:tcPr>
            <w:tcW w:w="580" w:type="dxa"/>
            <w:vAlign w:val="bottom"/>
            <w:tcBorders>
              <w:right w:val="single" w:sz="8" w:color="auto"/>
            </w:tcBorders>
            <w:shd w:val="clear" w:color="auto" w:fill="33CCCC"/>
          </w:tcPr>
          <w:p>
            <w:pPr>
              <w:spacing w:after="0"/>
              <w:rPr>
                <w:sz w:val="10"/>
                <w:szCs w:val="10"/>
                <w:color w:val="auto"/>
              </w:rPr>
            </w:pPr>
          </w:p>
        </w:tc>
        <w:tc>
          <w:tcPr>
            <w:tcW w:w="1260" w:type="dxa"/>
            <w:vAlign w:val="bottom"/>
            <w:tcBorders>
              <w:right w:val="single" w:sz="8" w:color="33CCCC"/>
            </w:tcBorders>
            <w:shd w:val="clear" w:color="auto" w:fill="33CCCC"/>
          </w:tcPr>
          <w:p>
            <w:pPr>
              <w:spacing w:after="0"/>
              <w:rPr>
                <w:sz w:val="10"/>
                <w:szCs w:val="10"/>
                <w:color w:val="auto"/>
              </w:rPr>
            </w:pPr>
          </w:p>
        </w:tc>
        <w:tc>
          <w:tcPr>
            <w:tcW w:w="480" w:type="dxa"/>
            <w:vAlign w:val="bottom"/>
            <w:shd w:val="clear" w:color="auto" w:fill="33CCCC"/>
          </w:tcPr>
          <w:p>
            <w:pPr>
              <w:ind w:left="20"/>
              <w:spacing w:after="0" w:line="125" w:lineRule="exact"/>
              <w:rPr>
                <w:sz w:val="20"/>
                <w:szCs w:val="20"/>
                <w:color w:val="auto"/>
              </w:rPr>
            </w:pPr>
            <w:r>
              <w:rPr>
                <w:rFonts w:ascii="Calibri" w:cs="Calibri" w:eastAsia="Calibri" w:hAnsi="Calibri"/>
                <w:sz w:val="11"/>
                <w:szCs w:val="11"/>
                <w:b w:val="1"/>
                <w:bCs w:val="1"/>
                <w:color w:val="FFFFFF"/>
              </w:rPr>
              <w:t>Quarter</w:t>
            </w:r>
          </w:p>
        </w:tc>
        <w:tc>
          <w:tcPr>
            <w:tcW w:w="980" w:type="dxa"/>
            <w:vAlign w:val="bottom"/>
            <w:tcBorders>
              <w:right w:val="single" w:sz="8" w:color="33CCCC"/>
            </w:tcBorders>
            <w:shd w:val="clear" w:color="auto" w:fill="33CCCC"/>
          </w:tcPr>
          <w:p>
            <w:pPr>
              <w:spacing w:after="0"/>
              <w:rPr>
                <w:sz w:val="10"/>
                <w:szCs w:val="10"/>
                <w:color w:val="auto"/>
              </w:rPr>
            </w:pPr>
          </w:p>
        </w:tc>
        <w:tc>
          <w:tcPr>
            <w:tcW w:w="240" w:type="dxa"/>
            <w:vAlign w:val="bottom"/>
            <w:tcBorders>
              <w:right w:val="single" w:sz="8" w:color="auto"/>
            </w:tcBorders>
            <w:shd w:val="clear" w:color="auto" w:fill="33CCCC"/>
          </w:tcPr>
          <w:p>
            <w:pPr>
              <w:spacing w:after="0"/>
              <w:rPr>
                <w:sz w:val="10"/>
                <w:szCs w:val="10"/>
                <w:color w:val="auto"/>
              </w:rPr>
            </w:pPr>
          </w:p>
        </w:tc>
        <w:tc>
          <w:tcPr>
            <w:tcW w:w="1220" w:type="dxa"/>
            <w:vAlign w:val="bottom"/>
            <w:tcBorders>
              <w:right w:val="single" w:sz="8" w:color="33CCCC"/>
            </w:tcBorders>
            <w:shd w:val="clear" w:color="auto" w:fill="33CCCC"/>
          </w:tcPr>
          <w:p>
            <w:pPr>
              <w:ind w:left="720"/>
              <w:spacing w:after="0" w:line="125" w:lineRule="exact"/>
              <w:rPr>
                <w:sz w:val="20"/>
                <w:szCs w:val="20"/>
                <w:color w:val="auto"/>
              </w:rPr>
            </w:pPr>
            <w:r>
              <w:rPr>
                <w:rFonts w:ascii="Calibri" w:cs="Calibri" w:eastAsia="Calibri" w:hAnsi="Calibri"/>
                <w:sz w:val="11"/>
                <w:szCs w:val="11"/>
                <w:b w:val="1"/>
                <w:bCs w:val="1"/>
                <w:color w:val="FFFFFF"/>
              </w:rPr>
              <w:t>% Change</w:t>
            </w:r>
          </w:p>
        </w:tc>
        <w:tc>
          <w:tcPr>
            <w:tcW w:w="420" w:type="dxa"/>
            <w:vAlign w:val="bottom"/>
            <w:shd w:val="clear" w:color="auto" w:fill="33CCCC"/>
          </w:tcPr>
          <w:p>
            <w:pPr>
              <w:spacing w:after="0"/>
              <w:rPr>
                <w:sz w:val="10"/>
                <w:szCs w:val="10"/>
                <w:color w:val="auto"/>
              </w:rPr>
            </w:pPr>
          </w:p>
        </w:tc>
        <w:tc>
          <w:tcPr>
            <w:tcW w:w="300" w:type="dxa"/>
            <w:vAlign w:val="bottom"/>
            <w:tcBorders>
              <w:right w:val="single" w:sz="8" w:color="auto"/>
            </w:tcBorders>
            <w:shd w:val="clear" w:color="auto" w:fill="33CCCC"/>
          </w:tcPr>
          <w:p>
            <w:pPr>
              <w:spacing w:after="0"/>
              <w:rPr>
                <w:sz w:val="10"/>
                <w:szCs w:val="10"/>
                <w:color w:val="auto"/>
              </w:rPr>
            </w:pPr>
          </w:p>
        </w:tc>
        <w:tc>
          <w:tcPr>
            <w:tcW w:w="660" w:type="dxa"/>
            <w:vAlign w:val="bottom"/>
            <w:tcBorders>
              <w:right w:val="single" w:sz="8" w:color="33CCCC"/>
            </w:tcBorders>
            <w:shd w:val="clear" w:color="auto" w:fill="33CCCC"/>
          </w:tcPr>
          <w:p>
            <w:pPr>
              <w:spacing w:after="0"/>
              <w:rPr>
                <w:sz w:val="10"/>
                <w:szCs w:val="10"/>
                <w:color w:val="auto"/>
              </w:rPr>
            </w:pPr>
          </w:p>
        </w:tc>
        <w:tc>
          <w:tcPr>
            <w:tcW w:w="160" w:type="dxa"/>
            <w:vAlign w:val="bottom"/>
            <w:shd w:val="clear" w:color="auto" w:fill="33CCCC"/>
          </w:tcPr>
          <w:p>
            <w:pPr>
              <w:spacing w:after="0"/>
              <w:rPr>
                <w:sz w:val="10"/>
                <w:szCs w:val="10"/>
                <w:color w:val="auto"/>
              </w:rPr>
            </w:pPr>
          </w:p>
        </w:tc>
        <w:tc>
          <w:tcPr>
            <w:tcW w:w="1200" w:type="dxa"/>
            <w:vAlign w:val="bottom"/>
            <w:tcBorders>
              <w:right w:val="single" w:sz="8" w:color="auto"/>
            </w:tcBorders>
            <w:shd w:val="clear" w:color="auto" w:fill="33CCCC"/>
          </w:tcPr>
          <w:p>
            <w:pPr>
              <w:ind w:left="60"/>
              <w:spacing w:after="0" w:line="125" w:lineRule="exact"/>
              <w:rPr>
                <w:sz w:val="20"/>
                <w:szCs w:val="20"/>
                <w:color w:val="auto"/>
              </w:rPr>
            </w:pPr>
            <w:r>
              <w:rPr>
                <w:rFonts w:ascii="Calibri" w:cs="Calibri" w:eastAsia="Calibri" w:hAnsi="Calibri"/>
                <w:sz w:val="11"/>
                <w:szCs w:val="11"/>
                <w:b w:val="1"/>
                <w:bCs w:val="1"/>
                <w:color w:val="FFFFFF"/>
              </w:rPr>
              <w:t>As of</w:t>
            </w:r>
          </w:p>
        </w:tc>
        <w:tc>
          <w:tcPr>
            <w:tcW w:w="300" w:type="dxa"/>
            <w:vAlign w:val="bottom"/>
            <w:shd w:val="clear" w:color="auto" w:fill="33CCCC"/>
          </w:tcPr>
          <w:p>
            <w:pPr>
              <w:spacing w:after="0"/>
              <w:rPr>
                <w:sz w:val="10"/>
                <w:szCs w:val="10"/>
                <w:color w:val="auto"/>
              </w:rPr>
            </w:pPr>
          </w:p>
        </w:tc>
        <w:tc>
          <w:tcPr>
            <w:tcW w:w="1140" w:type="dxa"/>
            <w:vAlign w:val="bottom"/>
            <w:tcBorders>
              <w:right w:val="single" w:sz="8" w:color="auto"/>
            </w:tcBorders>
            <w:shd w:val="clear" w:color="auto" w:fill="33CCCC"/>
          </w:tcPr>
          <w:p>
            <w:pPr>
              <w:jc w:val="center"/>
              <w:ind w:right="258"/>
              <w:spacing w:after="0" w:line="125" w:lineRule="exact"/>
              <w:rPr>
                <w:sz w:val="20"/>
                <w:szCs w:val="20"/>
                <w:color w:val="auto"/>
              </w:rPr>
            </w:pPr>
            <w:r>
              <w:rPr>
                <w:rFonts w:ascii="Calibri" w:cs="Calibri" w:eastAsia="Calibri" w:hAnsi="Calibri"/>
                <w:sz w:val="11"/>
                <w:szCs w:val="11"/>
                <w:b w:val="1"/>
                <w:bCs w:val="1"/>
                <w:color w:val="FFFFFF"/>
              </w:rPr>
              <w:t>% change</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bottom w:val="single" w:sz="8" w:color="auto"/>
            </w:tcBorders>
            <w:shd w:val="clear" w:color="auto" w:fill="33CCCC"/>
          </w:tcPr>
          <w:p>
            <w:pPr>
              <w:spacing w:after="0"/>
              <w:rPr>
                <w:sz w:val="11"/>
                <w:szCs w:val="11"/>
                <w:color w:val="auto"/>
              </w:rPr>
            </w:pPr>
          </w:p>
        </w:tc>
        <w:tc>
          <w:tcPr>
            <w:tcW w:w="580" w:type="dxa"/>
            <w:vAlign w:val="bottom"/>
            <w:tcBorders>
              <w:bottom w:val="single" w:sz="8" w:color="auto"/>
              <w:right w:val="single" w:sz="8" w:color="auto"/>
            </w:tcBorders>
            <w:shd w:val="clear" w:color="auto" w:fill="33CCCC"/>
          </w:tcPr>
          <w:p>
            <w:pPr>
              <w:spacing w:after="0"/>
              <w:rPr>
                <w:sz w:val="11"/>
                <w:szCs w:val="11"/>
                <w:color w:val="auto"/>
              </w:rPr>
            </w:pPr>
          </w:p>
        </w:tc>
        <w:tc>
          <w:tcPr>
            <w:tcW w:w="1260" w:type="dxa"/>
            <w:vAlign w:val="bottom"/>
            <w:tcBorders>
              <w:bottom w:val="single" w:sz="8" w:color="auto"/>
              <w:right w:val="single" w:sz="8" w:color="33CCCC"/>
            </w:tcBorders>
            <w:shd w:val="clear" w:color="auto" w:fill="33CCCC"/>
          </w:tcPr>
          <w:p>
            <w:pPr>
              <w:jc w:val="center"/>
              <w:ind w:right="243"/>
              <w:spacing w:after="0" w:line="131" w:lineRule="exact"/>
              <w:rPr>
                <w:sz w:val="20"/>
                <w:szCs w:val="20"/>
                <w:color w:val="auto"/>
              </w:rPr>
            </w:pPr>
            <w:r>
              <w:rPr>
                <w:rFonts w:ascii="Calibri" w:cs="Calibri" w:eastAsia="Calibri" w:hAnsi="Calibri"/>
                <w:sz w:val="11"/>
                <w:szCs w:val="11"/>
                <w:b w:val="1"/>
                <w:bCs w:val="1"/>
                <w:color w:val="FFFFFF"/>
                <w:w w:val="98"/>
              </w:rPr>
              <w:t>4Q23</w:t>
            </w:r>
          </w:p>
        </w:tc>
        <w:tc>
          <w:tcPr>
            <w:tcW w:w="48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3Q24</w:t>
            </w:r>
          </w:p>
        </w:tc>
        <w:tc>
          <w:tcPr>
            <w:tcW w:w="980" w:type="dxa"/>
            <w:vAlign w:val="bottom"/>
            <w:tcBorders>
              <w:bottom w:val="single" w:sz="8" w:color="auto"/>
              <w:right w:val="single" w:sz="8" w:color="33CCCC"/>
            </w:tcBorders>
            <w:shd w:val="clear" w:color="auto" w:fill="33CCCC"/>
          </w:tcPr>
          <w:p>
            <w:pPr>
              <w:jc w:val="center"/>
              <w:ind w:left="418"/>
              <w:spacing w:after="0" w:line="131" w:lineRule="exact"/>
              <w:rPr>
                <w:sz w:val="20"/>
                <w:szCs w:val="20"/>
                <w:color w:val="auto"/>
              </w:rPr>
            </w:pPr>
            <w:r>
              <w:rPr>
                <w:rFonts w:ascii="Calibri" w:cs="Calibri" w:eastAsia="Calibri" w:hAnsi="Calibri"/>
                <w:sz w:val="11"/>
                <w:szCs w:val="11"/>
                <w:b w:val="1"/>
                <w:bCs w:val="1"/>
                <w:color w:val="FFFFFF"/>
              </w:rPr>
              <w:t>4Q24</w:t>
            </w:r>
          </w:p>
        </w:tc>
        <w:tc>
          <w:tcPr>
            <w:tcW w:w="240" w:type="dxa"/>
            <w:vAlign w:val="bottom"/>
            <w:tcBorders>
              <w:bottom w:val="single" w:sz="8" w:color="auto"/>
              <w:right w:val="single" w:sz="8" w:color="auto"/>
            </w:tcBorders>
            <w:shd w:val="clear" w:color="auto" w:fill="33CCCC"/>
          </w:tcPr>
          <w:p>
            <w:pPr>
              <w:spacing w:after="0"/>
              <w:rPr>
                <w:sz w:val="11"/>
                <w:szCs w:val="11"/>
                <w:color w:val="auto"/>
              </w:rPr>
            </w:pPr>
          </w:p>
        </w:tc>
        <w:tc>
          <w:tcPr>
            <w:tcW w:w="1220" w:type="dxa"/>
            <w:vAlign w:val="bottom"/>
            <w:tcBorders>
              <w:bottom w:val="single" w:sz="8" w:color="auto"/>
              <w:right w:val="single" w:sz="8" w:color="33CCCC"/>
            </w:tcBorders>
            <w:shd w:val="clear" w:color="auto" w:fill="33CCCC"/>
          </w:tcPr>
          <w:p>
            <w:pPr>
              <w:jc w:val="center"/>
              <w:ind w:right="222"/>
              <w:spacing w:after="0" w:line="131" w:lineRule="exact"/>
              <w:rPr>
                <w:sz w:val="20"/>
                <w:szCs w:val="20"/>
                <w:color w:val="auto"/>
              </w:rPr>
            </w:pPr>
            <w:r>
              <w:rPr>
                <w:rFonts w:ascii="Calibri" w:cs="Calibri" w:eastAsia="Calibri" w:hAnsi="Calibri"/>
                <w:sz w:val="11"/>
                <w:szCs w:val="11"/>
                <w:b w:val="1"/>
                <w:bCs w:val="1"/>
                <w:color w:val="FFFFFF"/>
              </w:rPr>
              <w:t>QoQ</w:t>
            </w:r>
          </w:p>
        </w:tc>
        <w:tc>
          <w:tcPr>
            <w:tcW w:w="420" w:type="dxa"/>
            <w:vAlign w:val="bottom"/>
            <w:tcBorders>
              <w:bottom w:val="single" w:sz="8" w:color="auto"/>
            </w:tcBorders>
            <w:shd w:val="clear" w:color="auto" w:fill="33CCCC"/>
          </w:tcPr>
          <w:p>
            <w:pPr>
              <w:ind w:left="120"/>
              <w:spacing w:after="0" w:line="131" w:lineRule="exact"/>
              <w:rPr>
                <w:sz w:val="20"/>
                <w:szCs w:val="20"/>
                <w:color w:val="auto"/>
              </w:rPr>
            </w:pPr>
            <w:r>
              <w:rPr>
                <w:rFonts w:ascii="Calibri" w:cs="Calibri" w:eastAsia="Calibri" w:hAnsi="Calibri"/>
                <w:sz w:val="11"/>
                <w:szCs w:val="11"/>
                <w:b w:val="1"/>
                <w:bCs w:val="1"/>
                <w:color w:val="FFFFFF"/>
              </w:rPr>
              <w:t>YoY</w:t>
            </w:r>
          </w:p>
        </w:tc>
        <w:tc>
          <w:tcPr>
            <w:tcW w:w="300" w:type="dxa"/>
            <w:vAlign w:val="bottom"/>
            <w:tcBorders>
              <w:bottom w:val="single" w:sz="8" w:color="auto"/>
              <w:right w:val="single" w:sz="8" w:color="auto"/>
            </w:tcBorders>
            <w:shd w:val="clear" w:color="auto" w:fill="33CCCC"/>
          </w:tcPr>
          <w:p>
            <w:pPr>
              <w:spacing w:after="0"/>
              <w:rPr>
                <w:sz w:val="11"/>
                <w:szCs w:val="11"/>
                <w:color w:val="auto"/>
              </w:rPr>
            </w:pPr>
          </w:p>
        </w:tc>
        <w:tc>
          <w:tcPr>
            <w:tcW w:w="820" w:type="dxa"/>
            <w:vAlign w:val="bottom"/>
            <w:tcBorders>
              <w:bottom w:val="single" w:sz="8" w:color="auto"/>
            </w:tcBorders>
            <w:gridSpan w:val="2"/>
            <w:shd w:val="clear" w:color="auto" w:fill="33CCCC"/>
          </w:tcPr>
          <w:p>
            <w:pPr>
              <w:ind w:left="360"/>
              <w:spacing w:after="0" w:line="131" w:lineRule="exact"/>
              <w:rPr>
                <w:sz w:val="20"/>
                <w:szCs w:val="20"/>
                <w:color w:val="auto"/>
              </w:rPr>
            </w:pPr>
            <w:r>
              <w:rPr>
                <w:rFonts w:ascii="Calibri" w:cs="Calibri" w:eastAsia="Calibri" w:hAnsi="Calibri"/>
                <w:sz w:val="11"/>
                <w:szCs w:val="11"/>
                <w:b w:val="1"/>
                <w:bCs w:val="1"/>
                <w:color w:val="FFFFFF"/>
              </w:rPr>
              <w:t>Dec 23</w:t>
            </w:r>
          </w:p>
        </w:tc>
        <w:tc>
          <w:tcPr>
            <w:tcW w:w="1200" w:type="dxa"/>
            <w:vAlign w:val="bottom"/>
            <w:tcBorders>
              <w:bottom w:val="single" w:sz="8" w:color="auto"/>
              <w:right w:val="single" w:sz="8" w:color="auto"/>
            </w:tcBorders>
            <w:shd w:val="clear" w:color="auto" w:fill="33CCCC"/>
          </w:tcPr>
          <w:p>
            <w:pPr>
              <w:ind w:left="560"/>
              <w:spacing w:after="0" w:line="131" w:lineRule="exact"/>
              <w:rPr>
                <w:sz w:val="20"/>
                <w:szCs w:val="20"/>
                <w:color w:val="auto"/>
              </w:rPr>
            </w:pPr>
            <w:r>
              <w:rPr>
                <w:rFonts w:ascii="Calibri" w:cs="Calibri" w:eastAsia="Calibri" w:hAnsi="Calibri"/>
                <w:sz w:val="11"/>
                <w:szCs w:val="11"/>
                <w:b w:val="1"/>
                <w:bCs w:val="1"/>
                <w:color w:val="FFFFFF"/>
              </w:rPr>
              <w:t>Dec 24</w:t>
            </w:r>
          </w:p>
        </w:tc>
        <w:tc>
          <w:tcPr>
            <w:tcW w:w="300" w:type="dxa"/>
            <w:vAlign w:val="bottom"/>
            <w:tcBorders>
              <w:bottom w:val="single" w:sz="8" w:color="auto"/>
            </w:tcBorders>
            <w:shd w:val="clear" w:color="auto" w:fill="33CCCC"/>
          </w:tcPr>
          <w:p>
            <w:pPr>
              <w:spacing w:after="0"/>
              <w:rPr>
                <w:sz w:val="11"/>
                <w:szCs w:val="11"/>
                <w:color w:val="auto"/>
              </w:rPr>
            </w:pPr>
          </w:p>
        </w:tc>
        <w:tc>
          <w:tcPr>
            <w:tcW w:w="1140" w:type="dxa"/>
            <w:vAlign w:val="bottom"/>
            <w:tcBorders>
              <w:bottom w:val="single" w:sz="8" w:color="auto"/>
              <w:right w:val="single" w:sz="8" w:color="auto"/>
            </w:tcBorders>
            <w:shd w:val="clear" w:color="auto" w:fill="33CCCC"/>
          </w:tcPr>
          <w:p>
            <w:pPr>
              <w:jc w:val="center"/>
              <w:ind w:right="258"/>
              <w:spacing w:after="0" w:line="131" w:lineRule="exact"/>
              <w:rPr>
                <w:sz w:val="20"/>
                <w:szCs w:val="20"/>
                <w:color w:val="auto"/>
              </w:rPr>
            </w:pPr>
            <w:r>
              <w:rPr>
                <w:rFonts w:ascii="Calibri" w:cs="Calibri" w:eastAsia="Calibri" w:hAnsi="Calibri"/>
                <w:sz w:val="11"/>
                <w:szCs w:val="11"/>
                <w:b w:val="1"/>
                <w:bCs w:val="1"/>
                <w:color w:val="FFFFFF"/>
              </w:rPr>
              <w:t>Dec 24 / Dec 23</w:t>
            </w:r>
          </w:p>
        </w:tc>
        <w:tc>
          <w:tcPr>
            <w:tcW w:w="0" w:type="dxa"/>
            <w:vAlign w:val="bottom"/>
          </w:tcPr>
          <w:p>
            <w:pPr>
              <w:spacing w:after="0"/>
              <w:rPr>
                <w:sz w:val="1"/>
                <w:szCs w:val="1"/>
                <w:color w:val="auto"/>
              </w:rPr>
            </w:pPr>
          </w:p>
        </w:tc>
      </w:tr>
      <w:tr>
        <w:trPr>
          <w:trHeight w:val="109"/>
        </w:trPr>
        <w:tc>
          <w:tcPr>
            <w:tcW w:w="2300" w:type="dxa"/>
            <w:vAlign w:val="bottom"/>
            <w:tcBorders>
              <w:left w:val="single" w:sz="8" w:color="auto"/>
            </w:tcBorders>
          </w:tcPr>
          <w:p>
            <w:pPr>
              <w:ind w:left="20"/>
              <w:spacing w:after="0" w:line="109" w:lineRule="exact"/>
              <w:rPr>
                <w:sz w:val="20"/>
                <w:szCs w:val="20"/>
                <w:color w:val="auto"/>
              </w:rPr>
            </w:pPr>
            <w:r>
              <w:rPr>
                <w:rFonts w:ascii="Calibri" w:cs="Calibri" w:eastAsia="Calibri" w:hAnsi="Calibri"/>
                <w:sz w:val="11"/>
                <w:szCs w:val="11"/>
                <w:color w:val="auto"/>
              </w:rPr>
              <w:t>Insurance Service Result</w:t>
            </w:r>
          </w:p>
        </w:tc>
        <w:tc>
          <w:tcPr>
            <w:tcW w:w="580" w:type="dxa"/>
            <w:vAlign w:val="bottom"/>
            <w:tcBorders>
              <w:right w:val="single" w:sz="8" w:color="auto"/>
            </w:tcBorders>
          </w:tcPr>
          <w:p>
            <w:pPr>
              <w:spacing w:after="0"/>
              <w:rPr>
                <w:sz w:val="9"/>
                <w:szCs w:val="9"/>
                <w:color w:val="auto"/>
              </w:rPr>
            </w:pPr>
          </w:p>
        </w:tc>
        <w:tc>
          <w:tcPr>
            <w:tcW w:w="1260" w:type="dxa"/>
            <w:vAlign w:val="bottom"/>
          </w:tcPr>
          <w:p>
            <w:pPr>
              <w:jc w:val="center"/>
              <w:ind w:right="243"/>
              <w:spacing w:after="0" w:line="109" w:lineRule="exact"/>
              <w:rPr>
                <w:sz w:val="20"/>
                <w:szCs w:val="20"/>
                <w:color w:val="auto"/>
              </w:rPr>
            </w:pPr>
            <w:r>
              <w:rPr>
                <w:rFonts w:ascii="Calibri" w:cs="Calibri" w:eastAsia="Calibri" w:hAnsi="Calibri"/>
                <w:sz w:val="11"/>
                <w:szCs w:val="11"/>
                <w:color w:val="auto"/>
                <w:w w:val="99"/>
              </w:rPr>
              <w:t>255,887</w:t>
            </w:r>
          </w:p>
        </w:tc>
        <w:tc>
          <w:tcPr>
            <w:tcW w:w="480" w:type="dxa"/>
            <w:vAlign w:val="bottom"/>
          </w:tcPr>
          <w:p>
            <w:pPr>
              <w:jc w:val="center"/>
              <w:spacing w:after="0" w:line="109" w:lineRule="exact"/>
              <w:rPr>
                <w:sz w:val="20"/>
                <w:szCs w:val="20"/>
                <w:color w:val="auto"/>
              </w:rPr>
            </w:pPr>
            <w:r>
              <w:rPr>
                <w:rFonts w:ascii="Calibri" w:cs="Calibri" w:eastAsia="Calibri" w:hAnsi="Calibri"/>
                <w:sz w:val="11"/>
                <w:szCs w:val="11"/>
                <w:color w:val="auto"/>
              </w:rPr>
              <w:t>308,072</w:t>
            </w:r>
          </w:p>
        </w:tc>
        <w:tc>
          <w:tcPr>
            <w:tcW w:w="980" w:type="dxa"/>
            <w:vAlign w:val="bottom"/>
          </w:tcPr>
          <w:p>
            <w:pPr>
              <w:jc w:val="center"/>
              <w:ind w:left="418"/>
              <w:spacing w:after="0" w:line="109" w:lineRule="exact"/>
              <w:rPr>
                <w:sz w:val="20"/>
                <w:szCs w:val="20"/>
                <w:color w:val="auto"/>
              </w:rPr>
            </w:pPr>
            <w:r>
              <w:rPr>
                <w:rFonts w:ascii="Calibri" w:cs="Calibri" w:eastAsia="Calibri" w:hAnsi="Calibri"/>
                <w:sz w:val="11"/>
                <w:szCs w:val="11"/>
                <w:color w:val="auto"/>
              </w:rPr>
              <w:t>293,055</w:t>
            </w:r>
          </w:p>
        </w:tc>
        <w:tc>
          <w:tcPr>
            <w:tcW w:w="240" w:type="dxa"/>
            <w:vAlign w:val="bottom"/>
            <w:tcBorders>
              <w:right w:val="single" w:sz="8" w:color="auto"/>
            </w:tcBorders>
          </w:tcPr>
          <w:p>
            <w:pPr>
              <w:spacing w:after="0"/>
              <w:rPr>
                <w:sz w:val="9"/>
                <w:szCs w:val="9"/>
                <w:color w:val="auto"/>
              </w:rPr>
            </w:pPr>
          </w:p>
        </w:tc>
        <w:tc>
          <w:tcPr>
            <w:tcW w:w="1220" w:type="dxa"/>
            <w:vAlign w:val="bottom"/>
          </w:tcPr>
          <w:p>
            <w:pPr>
              <w:jc w:val="center"/>
              <w:ind w:right="222"/>
              <w:spacing w:after="0" w:line="109" w:lineRule="exact"/>
              <w:rPr>
                <w:sz w:val="20"/>
                <w:szCs w:val="20"/>
                <w:color w:val="auto"/>
              </w:rPr>
            </w:pPr>
            <w:r>
              <w:rPr>
                <w:rFonts w:ascii="Calibri" w:cs="Calibri" w:eastAsia="Calibri" w:hAnsi="Calibri"/>
                <w:sz w:val="11"/>
                <w:szCs w:val="11"/>
                <w:color w:val="auto"/>
              </w:rPr>
              <w:t>-4.9%</w:t>
            </w:r>
          </w:p>
        </w:tc>
        <w:tc>
          <w:tcPr>
            <w:tcW w:w="420" w:type="dxa"/>
            <w:vAlign w:val="bottom"/>
          </w:tcPr>
          <w:p>
            <w:pPr>
              <w:jc w:val="center"/>
              <w:spacing w:after="0" w:line="109" w:lineRule="exact"/>
              <w:rPr>
                <w:sz w:val="20"/>
                <w:szCs w:val="20"/>
                <w:color w:val="auto"/>
              </w:rPr>
            </w:pPr>
            <w:r>
              <w:rPr>
                <w:rFonts w:ascii="Calibri" w:cs="Calibri" w:eastAsia="Calibri" w:hAnsi="Calibri"/>
                <w:sz w:val="11"/>
                <w:szCs w:val="11"/>
                <w:color w:val="auto"/>
              </w:rPr>
              <w:t>14.5%</w:t>
            </w:r>
          </w:p>
        </w:tc>
        <w:tc>
          <w:tcPr>
            <w:tcW w:w="300" w:type="dxa"/>
            <w:vAlign w:val="bottom"/>
            <w:tcBorders>
              <w:right w:val="single" w:sz="8" w:color="auto"/>
            </w:tcBorders>
          </w:tcPr>
          <w:p>
            <w:pPr>
              <w:spacing w:after="0"/>
              <w:rPr>
                <w:sz w:val="9"/>
                <w:szCs w:val="9"/>
                <w:color w:val="auto"/>
              </w:rPr>
            </w:pPr>
          </w:p>
        </w:tc>
        <w:tc>
          <w:tcPr>
            <w:tcW w:w="820" w:type="dxa"/>
            <w:vAlign w:val="bottom"/>
            <w:gridSpan w:val="2"/>
          </w:tcPr>
          <w:p>
            <w:pPr>
              <w:jc w:val="center"/>
              <w:ind w:left="183"/>
              <w:spacing w:after="0" w:line="109" w:lineRule="exact"/>
              <w:rPr>
                <w:sz w:val="20"/>
                <w:szCs w:val="20"/>
                <w:color w:val="auto"/>
              </w:rPr>
            </w:pPr>
            <w:r>
              <w:rPr>
                <w:rFonts w:ascii="Calibri" w:cs="Calibri" w:eastAsia="Calibri" w:hAnsi="Calibri"/>
                <w:sz w:val="11"/>
                <w:szCs w:val="11"/>
                <w:color w:val="auto"/>
              </w:rPr>
              <w:t>1,152,472</w:t>
            </w:r>
          </w:p>
        </w:tc>
        <w:tc>
          <w:tcPr>
            <w:tcW w:w="1200" w:type="dxa"/>
            <w:vAlign w:val="bottom"/>
            <w:tcBorders>
              <w:right w:val="single" w:sz="8" w:color="auto"/>
            </w:tcBorders>
          </w:tcPr>
          <w:p>
            <w:pPr>
              <w:jc w:val="center"/>
              <w:ind w:left="158"/>
              <w:spacing w:after="0" w:line="109" w:lineRule="exact"/>
              <w:rPr>
                <w:sz w:val="20"/>
                <w:szCs w:val="20"/>
                <w:color w:val="auto"/>
              </w:rPr>
            </w:pPr>
            <w:r>
              <w:rPr>
                <w:rFonts w:ascii="Calibri" w:cs="Calibri" w:eastAsia="Calibri" w:hAnsi="Calibri"/>
                <w:sz w:val="11"/>
                <w:szCs w:val="11"/>
                <w:color w:val="auto"/>
              </w:rPr>
              <w:t>1,229,908</w:t>
            </w:r>
          </w:p>
        </w:tc>
        <w:tc>
          <w:tcPr>
            <w:tcW w:w="300" w:type="dxa"/>
            <w:vAlign w:val="bottom"/>
          </w:tcPr>
          <w:p>
            <w:pPr>
              <w:spacing w:after="0"/>
              <w:rPr>
                <w:sz w:val="9"/>
                <w:szCs w:val="9"/>
                <w:color w:val="auto"/>
              </w:rPr>
            </w:pPr>
          </w:p>
        </w:tc>
        <w:tc>
          <w:tcPr>
            <w:tcW w:w="1140" w:type="dxa"/>
            <w:vAlign w:val="bottom"/>
            <w:tcBorders>
              <w:right w:val="single" w:sz="8" w:color="auto"/>
            </w:tcBorders>
          </w:tcPr>
          <w:p>
            <w:pPr>
              <w:jc w:val="center"/>
              <w:ind w:right="258"/>
              <w:spacing w:after="0" w:line="109" w:lineRule="exact"/>
              <w:rPr>
                <w:sz w:val="20"/>
                <w:szCs w:val="20"/>
                <w:color w:val="auto"/>
              </w:rPr>
            </w:pPr>
            <w:r>
              <w:rPr>
                <w:rFonts w:ascii="Calibri" w:cs="Calibri" w:eastAsia="Calibri" w:hAnsi="Calibri"/>
                <w:sz w:val="11"/>
                <w:szCs w:val="11"/>
                <w:color w:val="auto"/>
              </w:rPr>
              <w:t>6.7%</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Reinsurance Result</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rPr>
              <w:t>(96,996)</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(151,920)</w:t>
            </w:r>
          </w:p>
        </w:tc>
        <w:tc>
          <w:tcPr>
            <w:tcW w:w="980" w:type="dxa"/>
            <w:vAlign w:val="bottom"/>
          </w:tcPr>
          <w:p>
            <w:pPr>
              <w:jc w:val="center"/>
              <w:ind w:left="398"/>
              <w:spacing w:after="0" w:line="131" w:lineRule="exact"/>
              <w:rPr>
                <w:sz w:val="20"/>
                <w:szCs w:val="20"/>
                <w:color w:val="auto"/>
              </w:rPr>
            </w:pPr>
            <w:r>
              <w:rPr>
                <w:rFonts w:ascii="Calibri" w:cs="Calibri" w:eastAsia="Calibri" w:hAnsi="Calibri"/>
                <w:sz w:val="11"/>
                <w:szCs w:val="11"/>
                <w:color w:val="auto"/>
              </w:rPr>
              <w:t>(102,995)</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02"/>
              <w:spacing w:after="0" w:line="131" w:lineRule="exact"/>
              <w:rPr>
                <w:sz w:val="20"/>
                <w:szCs w:val="20"/>
                <w:color w:val="auto"/>
              </w:rPr>
            </w:pPr>
            <w:r>
              <w:rPr>
                <w:rFonts w:ascii="Calibri" w:cs="Calibri" w:eastAsia="Calibri" w:hAnsi="Calibri"/>
                <w:sz w:val="11"/>
                <w:szCs w:val="11"/>
                <w:color w:val="auto"/>
              </w:rPr>
              <w:t>-32.2%</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rPr>
              <w:t>6.2%</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63"/>
              <w:spacing w:after="0" w:line="131" w:lineRule="exact"/>
              <w:rPr>
                <w:sz w:val="20"/>
                <w:szCs w:val="20"/>
                <w:color w:val="auto"/>
              </w:rPr>
            </w:pPr>
            <w:r>
              <w:rPr>
                <w:rFonts w:ascii="Calibri" w:cs="Calibri" w:eastAsia="Calibri" w:hAnsi="Calibri"/>
                <w:sz w:val="11"/>
                <w:szCs w:val="11"/>
                <w:color w:val="auto"/>
              </w:rPr>
              <w:t>(426,290)</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color w:val="auto"/>
              </w:rPr>
              <w:t>(530,204)</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rPr>
              <w:t>24.4%</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Insurance underwritng result</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b w:val="1"/>
                <w:bCs w:val="1"/>
                <w:color w:val="auto"/>
                <w:w w:val="99"/>
              </w:rPr>
              <w:t>158,891</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156,152</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b w:val="1"/>
                <w:bCs w:val="1"/>
                <w:color w:val="auto"/>
              </w:rPr>
              <w:t>190,060</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b w:val="1"/>
                <w:bCs w:val="1"/>
                <w:color w:val="auto"/>
              </w:rPr>
              <w:t>21.7%</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19.6%</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83"/>
              <w:spacing w:after="0" w:line="131" w:lineRule="exact"/>
              <w:rPr>
                <w:sz w:val="20"/>
                <w:szCs w:val="20"/>
                <w:color w:val="auto"/>
              </w:rPr>
            </w:pPr>
            <w:r>
              <w:rPr>
                <w:rFonts w:ascii="Calibri" w:cs="Calibri" w:eastAsia="Calibri" w:hAnsi="Calibri"/>
                <w:sz w:val="11"/>
                <w:szCs w:val="11"/>
                <w:b w:val="1"/>
                <w:bCs w:val="1"/>
                <w:color w:val="auto"/>
              </w:rPr>
              <w:t>726,182</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b w:val="1"/>
                <w:bCs w:val="1"/>
                <w:color w:val="auto"/>
              </w:rPr>
              <w:t>699,704</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b w:val="1"/>
                <w:bCs w:val="1"/>
                <w:color w:val="auto"/>
              </w:rPr>
              <w:t>-3.6%</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Interest income</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w w:val="99"/>
              </w:rPr>
              <w:t>183,933</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209,425</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color w:val="auto"/>
              </w:rPr>
              <w:t>208,159</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color w:val="auto"/>
              </w:rPr>
              <w:t>-0.6%</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rPr>
              <w:t>13.2%</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83"/>
              <w:spacing w:after="0" w:line="131" w:lineRule="exact"/>
              <w:rPr>
                <w:sz w:val="20"/>
                <w:szCs w:val="20"/>
                <w:color w:val="auto"/>
              </w:rPr>
            </w:pPr>
            <w:r>
              <w:rPr>
                <w:rFonts w:ascii="Calibri" w:cs="Calibri" w:eastAsia="Calibri" w:hAnsi="Calibri"/>
                <w:sz w:val="11"/>
                <w:szCs w:val="11"/>
                <w:color w:val="auto"/>
              </w:rPr>
              <w:t>778,280</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color w:val="auto"/>
              </w:rPr>
              <w:t>834,304</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rPr>
              <w:t>7.2%</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i w:val="1"/>
                <w:iCs w:val="1"/>
                <w:color w:val="auto"/>
              </w:rPr>
              <w:t>Interest Expenses</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rPr>
              <w:t>(126,386)</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(135,554)</w:t>
            </w:r>
          </w:p>
        </w:tc>
        <w:tc>
          <w:tcPr>
            <w:tcW w:w="980" w:type="dxa"/>
            <w:vAlign w:val="bottom"/>
          </w:tcPr>
          <w:p>
            <w:pPr>
              <w:jc w:val="center"/>
              <w:ind w:left="398"/>
              <w:spacing w:after="0" w:line="131" w:lineRule="exact"/>
              <w:rPr>
                <w:sz w:val="20"/>
                <w:szCs w:val="20"/>
                <w:color w:val="auto"/>
              </w:rPr>
            </w:pPr>
            <w:r>
              <w:rPr>
                <w:rFonts w:ascii="Calibri" w:cs="Calibri" w:eastAsia="Calibri" w:hAnsi="Calibri"/>
                <w:sz w:val="11"/>
                <w:szCs w:val="11"/>
                <w:color w:val="auto"/>
              </w:rPr>
              <w:t>(138,943)</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color w:val="auto"/>
              </w:rPr>
              <w:t>2.5%</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rPr>
              <w:t>9.9%</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63"/>
              <w:spacing w:after="0" w:line="131" w:lineRule="exact"/>
              <w:rPr>
                <w:sz w:val="20"/>
                <w:szCs w:val="20"/>
                <w:color w:val="auto"/>
              </w:rPr>
            </w:pPr>
            <w:r>
              <w:rPr>
                <w:rFonts w:ascii="Calibri" w:cs="Calibri" w:eastAsia="Calibri" w:hAnsi="Calibri"/>
                <w:sz w:val="11"/>
                <w:szCs w:val="11"/>
                <w:color w:val="auto"/>
              </w:rPr>
              <w:t>(493,247)</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color w:val="auto"/>
              </w:rPr>
              <w:t>(535,059)</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rPr>
              <w:t>8.5%</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Net Interest Income</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b w:val="1"/>
                <w:bCs w:val="1"/>
                <w:color w:val="auto"/>
              </w:rPr>
              <w:t>57,547</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73,871</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b w:val="1"/>
                <w:bCs w:val="1"/>
                <w:color w:val="auto"/>
                <w:w w:val="97"/>
              </w:rPr>
              <w:t>69,216</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b w:val="1"/>
                <w:bCs w:val="1"/>
                <w:color w:val="auto"/>
              </w:rPr>
              <w:t>-6.3%</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20.3%</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83"/>
              <w:spacing w:after="0" w:line="131" w:lineRule="exact"/>
              <w:rPr>
                <w:sz w:val="20"/>
                <w:szCs w:val="20"/>
                <w:color w:val="auto"/>
              </w:rPr>
            </w:pPr>
            <w:r>
              <w:rPr>
                <w:rFonts w:ascii="Calibri" w:cs="Calibri" w:eastAsia="Calibri" w:hAnsi="Calibri"/>
                <w:sz w:val="11"/>
                <w:szCs w:val="11"/>
                <w:b w:val="1"/>
                <w:bCs w:val="1"/>
                <w:color w:val="auto"/>
              </w:rPr>
              <w:t>285,033</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b w:val="1"/>
                <w:bCs w:val="1"/>
                <w:color w:val="auto"/>
              </w:rPr>
              <w:t>299,245</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b w:val="1"/>
                <w:bCs w:val="1"/>
                <w:color w:val="auto"/>
                <w:w w:val="99"/>
              </w:rPr>
              <w:t>5.0%</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Fee Income and Gain in FX</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rPr>
              <w:t>(2,743)</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(4,676)</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color w:val="auto"/>
              </w:rPr>
              <w:t>(4,066)</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02"/>
              <w:spacing w:after="0" w:line="131" w:lineRule="exact"/>
              <w:rPr>
                <w:sz w:val="20"/>
                <w:szCs w:val="20"/>
                <w:color w:val="auto"/>
              </w:rPr>
            </w:pPr>
            <w:r>
              <w:rPr>
                <w:rFonts w:ascii="Calibri" w:cs="Calibri" w:eastAsia="Calibri" w:hAnsi="Calibri"/>
                <w:sz w:val="11"/>
                <w:szCs w:val="11"/>
                <w:color w:val="auto"/>
              </w:rPr>
              <w:t>-13.0%</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rPr>
              <w:t>48.2%</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83"/>
              <w:spacing w:after="0" w:line="131" w:lineRule="exact"/>
              <w:rPr>
                <w:sz w:val="20"/>
                <w:szCs w:val="20"/>
                <w:color w:val="auto"/>
              </w:rPr>
            </w:pPr>
            <w:r>
              <w:rPr>
                <w:rFonts w:ascii="Calibri" w:cs="Calibri" w:eastAsia="Calibri" w:hAnsi="Calibri"/>
                <w:sz w:val="11"/>
                <w:szCs w:val="11"/>
                <w:color w:val="auto"/>
              </w:rPr>
              <w:t>(11,951)</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color w:val="auto"/>
              </w:rPr>
              <w:t>(14,265)</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rPr>
              <w:t>19.4%</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i w:val="1"/>
                <w:iCs w:val="1"/>
                <w:color w:val="auto"/>
              </w:rPr>
              <w:t>Other Income No Core:</w:t>
            </w:r>
          </w:p>
        </w:tc>
        <w:tc>
          <w:tcPr>
            <w:tcW w:w="580" w:type="dxa"/>
            <w:vAlign w:val="bottom"/>
            <w:tcBorders>
              <w:right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gain (loss) from exchange diferences</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w w:val="95"/>
              </w:rPr>
              <w:t>893</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191</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color w:val="auto"/>
              </w:rPr>
              <w:t>1,150</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color w:val="auto"/>
              </w:rPr>
              <w:t>502.1%</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rPr>
              <w:t>28.8%</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63"/>
              <w:spacing w:after="0" w:line="131" w:lineRule="exact"/>
              <w:rPr>
                <w:sz w:val="20"/>
                <w:szCs w:val="20"/>
                <w:color w:val="auto"/>
              </w:rPr>
            </w:pPr>
            <w:r>
              <w:rPr>
                <w:rFonts w:ascii="Calibri" w:cs="Calibri" w:eastAsia="Calibri" w:hAnsi="Calibri"/>
                <w:sz w:val="11"/>
                <w:szCs w:val="11"/>
                <w:color w:val="auto"/>
              </w:rPr>
              <w:t>15,888</w:t>
            </w:r>
          </w:p>
        </w:tc>
        <w:tc>
          <w:tcPr>
            <w:tcW w:w="1200" w:type="dxa"/>
            <w:vAlign w:val="bottom"/>
            <w:tcBorders>
              <w:right w:val="single" w:sz="8" w:color="auto"/>
            </w:tcBorders>
          </w:tcPr>
          <w:p>
            <w:pPr>
              <w:jc w:val="center"/>
              <w:ind w:left="138"/>
              <w:spacing w:after="0" w:line="131" w:lineRule="exact"/>
              <w:rPr>
                <w:sz w:val="20"/>
                <w:szCs w:val="20"/>
                <w:color w:val="auto"/>
              </w:rPr>
            </w:pPr>
            <w:r>
              <w:rPr>
                <w:rFonts w:ascii="Calibri" w:cs="Calibri" w:eastAsia="Calibri" w:hAnsi="Calibri"/>
                <w:sz w:val="11"/>
                <w:szCs w:val="11"/>
                <w:color w:val="auto"/>
              </w:rPr>
              <w:t>(657)</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rPr>
              <w:t>-104.1%</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loss on securites and associates</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rPr>
              <w:t>39,232</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29,761</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color w:val="auto"/>
              </w:rPr>
              <w:t>(15,450)</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color w:val="auto"/>
              </w:rPr>
              <w:t>-151.9%</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rPr>
              <w:t>-139.4%</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83"/>
              <w:spacing w:after="0" w:line="131" w:lineRule="exact"/>
              <w:rPr>
                <w:sz w:val="20"/>
                <w:szCs w:val="20"/>
                <w:color w:val="auto"/>
              </w:rPr>
            </w:pPr>
            <w:r>
              <w:rPr>
                <w:rFonts w:ascii="Calibri" w:cs="Calibri" w:eastAsia="Calibri" w:hAnsi="Calibri"/>
                <w:sz w:val="11"/>
                <w:szCs w:val="11"/>
                <w:color w:val="auto"/>
              </w:rPr>
              <w:t>118,319</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color w:val="auto"/>
                <w:w w:val="97"/>
              </w:rPr>
              <w:t>62,389</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w w:val="97"/>
              </w:rPr>
              <w:t>-47.3%</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Other Income not operatonal</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rPr>
              <w:t>32,649</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26,028</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color w:val="auto"/>
                <w:w w:val="97"/>
              </w:rPr>
              <w:t>52,455</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color w:val="auto"/>
              </w:rPr>
              <w:t>101.5%</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rPr>
              <w:t>60.7%</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63"/>
              <w:spacing w:after="0" w:line="131" w:lineRule="exact"/>
              <w:rPr>
                <w:sz w:val="20"/>
                <w:szCs w:val="20"/>
                <w:color w:val="auto"/>
              </w:rPr>
            </w:pPr>
            <w:r>
              <w:rPr>
                <w:rFonts w:ascii="Calibri" w:cs="Calibri" w:eastAsia="Calibri" w:hAnsi="Calibri"/>
                <w:sz w:val="11"/>
                <w:szCs w:val="11"/>
                <w:color w:val="auto"/>
              </w:rPr>
              <w:t>94,605</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color w:val="auto"/>
              </w:rPr>
              <w:t>152,442</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rPr>
              <w:t>61.1%</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Other Income</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b w:val="1"/>
                <w:bCs w:val="1"/>
                <w:color w:val="auto"/>
              </w:rPr>
              <w:t>70,031</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51,305</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b w:val="1"/>
                <w:bCs w:val="1"/>
                <w:color w:val="auto"/>
                <w:w w:val="97"/>
              </w:rPr>
              <w:t>34,089</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02"/>
              <w:spacing w:after="0" w:line="131" w:lineRule="exact"/>
              <w:rPr>
                <w:sz w:val="20"/>
                <w:szCs w:val="20"/>
                <w:color w:val="auto"/>
              </w:rPr>
            </w:pPr>
            <w:r>
              <w:rPr>
                <w:rFonts w:ascii="Calibri" w:cs="Calibri" w:eastAsia="Calibri" w:hAnsi="Calibri"/>
                <w:sz w:val="11"/>
                <w:szCs w:val="11"/>
                <w:b w:val="1"/>
                <w:bCs w:val="1"/>
                <w:color w:val="auto"/>
              </w:rPr>
              <w:t>-33.6%</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-51.3%</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83"/>
              <w:spacing w:after="0" w:line="131" w:lineRule="exact"/>
              <w:rPr>
                <w:sz w:val="20"/>
                <w:szCs w:val="20"/>
                <w:color w:val="auto"/>
              </w:rPr>
            </w:pPr>
            <w:r>
              <w:rPr>
                <w:rFonts w:ascii="Calibri" w:cs="Calibri" w:eastAsia="Calibri" w:hAnsi="Calibri"/>
                <w:sz w:val="11"/>
                <w:szCs w:val="11"/>
                <w:b w:val="1"/>
                <w:bCs w:val="1"/>
                <w:color w:val="auto"/>
              </w:rPr>
              <w:t>216,866</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b w:val="1"/>
                <w:bCs w:val="1"/>
                <w:color w:val="auto"/>
              </w:rPr>
              <w:t>199,908</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b w:val="1"/>
                <w:bCs w:val="1"/>
                <w:color w:val="auto"/>
              </w:rPr>
              <w:t>-7.8%</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Operatng expenses</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rPr>
              <w:t>(85,773)</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(64,305)</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color w:val="auto"/>
              </w:rPr>
              <w:t>(84,895)</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02"/>
              <w:spacing w:after="0" w:line="131" w:lineRule="exact"/>
              <w:rPr>
                <w:sz w:val="20"/>
                <w:szCs w:val="20"/>
                <w:color w:val="auto"/>
              </w:rPr>
            </w:pPr>
            <w:r>
              <w:rPr>
                <w:rFonts w:ascii="Calibri" w:cs="Calibri" w:eastAsia="Calibri" w:hAnsi="Calibri"/>
                <w:sz w:val="11"/>
                <w:szCs w:val="11"/>
                <w:color w:val="auto"/>
              </w:rPr>
              <w:t>32.0%</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rPr>
              <w:t>-1.0%</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63"/>
              <w:spacing w:after="0" w:line="131" w:lineRule="exact"/>
              <w:rPr>
                <w:sz w:val="20"/>
                <w:szCs w:val="20"/>
                <w:color w:val="auto"/>
              </w:rPr>
            </w:pPr>
            <w:r>
              <w:rPr>
                <w:rFonts w:ascii="Calibri" w:cs="Calibri" w:eastAsia="Calibri" w:hAnsi="Calibri"/>
                <w:sz w:val="11"/>
                <w:szCs w:val="11"/>
                <w:color w:val="auto"/>
              </w:rPr>
              <w:t>(301,815)</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color w:val="auto"/>
              </w:rPr>
              <w:t>(300,773)</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rPr>
              <w:t>-0.3%</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Other expenses</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color w:val="auto"/>
              </w:rPr>
              <w:t>(35,317)</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color w:val="auto"/>
              </w:rPr>
              <w:t>(24,099)</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color w:val="auto"/>
              </w:rPr>
              <w:t>(25,602)</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color w:val="auto"/>
              </w:rPr>
              <w:t>6.2%</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color w:val="auto"/>
                <w:w w:val="97"/>
              </w:rPr>
              <w:t>-27.5%</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83"/>
              <w:spacing w:after="0" w:line="131" w:lineRule="exact"/>
              <w:rPr>
                <w:sz w:val="20"/>
                <w:szCs w:val="20"/>
                <w:color w:val="auto"/>
              </w:rPr>
            </w:pPr>
            <w:r>
              <w:rPr>
                <w:rFonts w:ascii="Calibri" w:cs="Calibri" w:eastAsia="Calibri" w:hAnsi="Calibri"/>
                <w:sz w:val="11"/>
                <w:szCs w:val="11"/>
                <w:color w:val="auto"/>
              </w:rPr>
              <w:t>(75,550)</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color w:val="auto"/>
              </w:rPr>
              <w:t>(84,030)</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color w:val="auto"/>
              </w:rPr>
              <w:t>11.2%</w:t>
            </w:r>
          </w:p>
        </w:tc>
        <w:tc>
          <w:tcPr>
            <w:tcW w:w="0" w:type="dxa"/>
            <w:vAlign w:val="bottom"/>
          </w:tcPr>
          <w:p>
            <w:pPr>
              <w:spacing w:after="0"/>
              <w:rPr>
                <w:sz w:val="1"/>
                <w:szCs w:val="1"/>
                <w:color w:val="auto"/>
              </w:rPr>
            </w:pPr>
          </w:p>
        </w:tc>
      </w:tr>
      <w:tr>
        <w:trPr>
          <w:trHeight w:val="131"/>
        </w:trPr>
        <w:tc>
          <w:tcPr>
            <w:tcW w:w="2300" w:type="dxa"/>
            <w:vAlign w:val="bottom"/>
            <w:tcBorders>
              <w:left w:val="single" w:sz="8" w:color="auto"/>
            </w:tcBorders>
          </w:tcPr>
          <w:p>
            <w:pPr>
              <w:ind w:left="20"/>
              <w:spacing w:after="0" w:line="131" w:lineRule="exact"/>
              <w:rPr>
                <w:sz w:val="20"/>
                <w:szCs w:val="20"/>
                <w:color w:val="auto"/>
              </w:rPr>
            </w:pPr>
            <w:r>
              <w:rPr>
                <w:rFonts w:ascii="Calibri" w:cs="Calibri" w:eastAsia="Calibri" w:hAnsi="Calibri"/>
                <w:sz w:val="11"/>
                <w:szCs w:val="11"/>
                <w:b w:val="1"/>
                <w:bCs w:val="1"/>
                <w:color w:val="auto"/>
              </w:rPr>
              <w:t>Total Expenses</w:t>
            </w:r>
          </w:p>
        </w:tc>
        <w:tc>
          <w:tcPr>
            <w:tcW w:w="580" w:type="dxa"/>
            <w:vAlign w:val="bottom"/>
            <w:tcBorders>
              <w:right w:val="single" w:sz="8" w:color="auto"/>
            </w:tcBorders>
          </w:tcPr>
          <w:p>
            <w:pPr>
              <w:spacing w:after="0"/>
              <w:rPr>
                <w:sz w:val="11"/>
                <w:szCs w:val="11"/>
                <w:color w:val="auto"/>
              </w:rPr>
            </w:pPr>
          </w:p>
        </w:tc>
        <w:tc>
          <w:tcPr>
            <w:tcW w:w="1260" w:type="dxa"/>
            <w:vAlign w:val="bottom"/>
          </w:tcPr>
          <w:p>
            <w:pPr>
              <w:jc w:val="center"/>
              <w:ind w:right="243"/>
              <w:spacing w:after="0" w:line="131" w:lineRule="exact"/>
              <w:rPr>
                <w:sz w:val="20"/>
                <w:szCs w:val="20"/>
                <w:color w:val="auto"/>
              </w:rPr>
            </w:pPr>
            <w:r>
              <w:rPr>
                <w:rFonts w:ascii="Calibri" w:cs="Calibri" w:eastAsia="Calibri" w:hAnsi="Calibri"/>
                <w:sz w:val="11"/>
                <w:szCs w:val="11"/>
                <w:b w:val="1"/>
                <w:bCs w:val="1"/>
                <w:color w:val="auto"/>
              </w:rPr>
              <w:t>(121,090)</w:t>
            </w:r>
          </w:p>
        </w:tc>
        <w:tc>
          <w:tcPr>
            <w:tcW w:w="48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(88,404)</w:t>
            </w:r>
          </w:p>
        </w:tc>
        <w:tc>
          <w:tcPr>
            <w:tcW w:w="980" w:type="dxa"/>
            <w:vAlign w:val="bottom"/>
          </w:tcPr>
          <w:p>
            <w:pPr>
              <w:jc w:val="center"/>
              <w:ind w:left="418"/>
              <w:spacing w:after="0" w:line="131" w:lineRule="exact"/>
              <w:rPr>
                <w:sz w:val="20"/>
                <w:szCs w:val="20"/>
                <w:color w:val="auto"/>
              </w:rPr>
            </w:pPr>
            <w:r>
              <w:rPr>
                <w:rFonts w:ascii="Calibri" w:cs="Calibri" w:eastAsia="Calibri" w:hAnsi="Calibri"/>
                <w:sz w:val="11"/>
                <w:szCs w:val="11"/>
                <w:b w:val="1"/>
                <w:bCs w:val="1"/>
                <w:color w:val="auto"/>
              </w:rPr>
              <w:t>(110,497)</w:t>
            </w:r>
          </w:p>
        </w:tc>
        <w:tc>
          <w:tcPr>
            <w:tcW w:w="240" w:type="dxa"/>
            <w:vAlign w:val="bottom"/>
            <w:tcBorders>
              <w:right w:val="single" w:sz="8" w:color="auto"/>
            </w:tcBorders>
          </w:tcPr>
          <w:p>
            <w:pPr>
              <w:spacing w:after="0"/>
              <w:rPr>
                <w:sz w:val="11"/>
                <w:szCs w:val="11"/>
                <w:color w:val="auto"/>
              </w:rPr>
            </w:pPr>
          </w:p>
        </w:tc>
        <w:tc>
          <w:tcPr>
            <w:tcW w:w="1220" w:type="dxa"/>
            <w:vAlign w:val="bottom"/>
          </w:tcPr>
          <w:p>
            <w:pPr>
              <w:jc w:val="center"/>
              <w:ind w:right="222"/>
              <w:spacing w:after="0" w:line="131" w:lineRule="exact"/>
              <w:rPr>
                <w:sz w:val="20"/>
                <w:szCs w:val="20"/>
                <w:color w:val="auto"/>
              </w:rPr>
            </w:pPr>
            <w:r>
              <w:rPr>
                <w:rFonts w:ascii="Calibri" w:cs="Calibri" w:eastAsia="Calibri" w:hAnsi="Calibri"/>
                <w:sz w:val="11"/>
                <w:szCs w:val="11"/>
                <w:b w:val="1"/>
                <w:bCs w:val="1"/>
                <w:color w:val="auto"/>
              </w:rPr>
              <w:t>25.0%</w:t>
            </w:r>
          </w:p>
        </w:tc>
        <w:tc>
          <w:tcPr>
            <w:tcW w:w="420" w:type="dxa"/>
            <w:vAlign w:val="bottom"/>
          </w:tcPr>
          <w:p>
            <w:pPr>
              <w:jc w:val="center"/>
              <w:spacing w:after="0" w:line="131" w:lineRule="exact"/>
              <w:rPr>
                <w:sz w:val="20"/>
                <w:szCs w:val="20"/>
                <w:color w:val="auto"/>
              </w:rPr>
            </w:pPr>
            <w:r>
              <w:rPr>
                <w:rFonts w:ascii="Calibri" w:cs="Calibri" w:eastAsia="Calibri" w:hAnsi="Calibri"/>
                <w:sz w:val="11"/>
                <w:szCs w:val="11"/>
                <w:b w:val="1"/>
                <w:bCs w:val="1"/>
                <w:color w:val="auto"/>
              </w:rPr>
              <w:t>-8.7%</w:t>
            </w:r>
          </w:p>
        </w:tc>
        <w:tc>
          <w:tcPr>
            <w:tcW w:w="30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63"/>
              <w:spacing w:after="0" w:line="131" w:lineRule="exact"/>
              <w:rPr>
                <w:sz w:val="20"/>
                <w:szCs w:val="20"/>
                <w:color w:val="auto"/>
              </w:rPr>
            </w:pPr>
            <w:r>
              <w:rPr>
                <w:rFonts w:ascii="Calibri" w:cs="Calibri" w:eastAsia="Calibri" w:hAnsi="Calibri"/>
                <w:sz w:val="11"/>
                <w:szCs w:val="11"/>
                <w:b w:val="1"/>
                <w:bCs w:val="1"/>
                <w:color w:val="auto"/>
              </w:rPr>
              <w:t>(377,365)</w:t>
            </w:r>
          </w:p>
        </w:tc>
        <w:tc>
          <w:tcPr>
            <w:tcW w:w="1200" w:type="dxa"/>
            <w:vAlign w:val="bottom"/>
            <w:tcBorders>
              <w:right w:val="single" w:sz="8" w:color="auto"/>
            </w:tcBorders>
          </w:tcPr>
          <w:p>
            <w:pPr>
              <w:jc w:val="center"/>
              <w:ind w:left="158"/>
              <w:spacing w:after="0" w:line="131" w:lineRule="exact"/>
              <w:rPr>
                <w:sz w:val="20"/>
                <w:szCs w:val="20"/>
                <w:color w:val="auto"/>
              </w:rPr>
            </w:pPr>
            <w:r>
              <w:rPr>
                <w:rFonts w:ascii="Calibri" w:cs="Calibri" w:eastAsia="Calibri" w:hAnsi="Calibri"/>
                <w:sz w:val="11"/>
                <w:szCs w:val="11"/>
                <w:b w:val="1"/>
                <w:bCs w:val="1"/>
                <w:color w:val="auto"/>
              </w:rPr>
              <w:t>(384,803)</w:t>
            </w:r>
          </w:p>
        </w:tc>
        <w:tc>
          <w:tcPr>
            <w:tcW w:w="300" w:type="dxa"/>
            <w:vAlign w:val="bottom"/>
          </w:tcPr>
          <w:p>
            <w:pPr>
              <w:spacing w:after="0"/>
              <w:rPr>
                <w:sz w:val="11"/>
                <w:szCs w:val="11"/>
                <w:color w:val="auto"/>
              </w:rPr>
            </w:pPr>
          </w:p>
        </w:tc>
        <w:tc>
          <w:tcPr>
            <w:tcW w:w="1140" w:type="dxa"/>
            <w:vAlign w:val="bottom"/>
            <w:tcBorders>
              <w:right w:val="single" w:sz="8" w:color="auto"/>
            </w:tcBorders>
          </w:tcPr>
          <w:p>
            <w:pPr>
              <w:jc w:val="center"/>
              <w:ind w:right="258"/>
              <w:spacing w:after="0" w:line="131" w:lineRule="exact"/>
              <w:rPr>
                <w:sz w:val="20"/>
                <w:szCs w:val="20"/>
                <w:color w:val="auto"/>
              </w:rPr>
            </w:pPr>
            <w:r>
              <w:rPr>
                <w:rFonts w:ascii="Calibri" w:cs="Calibri" w:eastAsia="Calibri" w:hAnsi="Calibri"/>
                <w:sz w:val="11"/>
                <w:szCs w:val="11"/>
                <w:b w:val="1"/>
                <w:bCs w:val="1"/>
                <w:color w:val="auto"/>
                <w:w w:val="99"/>
              </w:rPr>
              <w:t>2.0%</w:t>
            </w:r>
          </w:p>
        </w:tc>
        <w:tc>
          <w:tcPr>
            <w:tcW w:w="0" w:type="dxa"/>
            <w:vAlign w:val="bottom"/>
          </w:tcPr>
          <w:p>
            <w:pPr>
              <w:spacing w:after="0"/>
              <w:rPr>
                <w:sz w:val="1"/>
                <w:szCs w:val="1"/>
                <w:color w:val="auto"/>
              </w:rPr>
            </w:pPr>
          </w:p>
        </w:tc>
      </w:tr>
      <w:tr>
        <w:trPr>
          <w:trHeight w:val="147"/>
        </w:trPr>
        <w:tc>
          <w:tcPr>
            <w:tcW w:w="2300" w:type="dxa"/>
            <w:vAlign w:val="bottom"/>
            <w:tcBorders>
              <w:left w:val="single" w:sz="8" w:color="auto"/>
            </w:tcBorders>
          </w:tcPr>
          <w:p>
            <w:pPr>
              <w:ind w:left="20"/>
              <w:spacing w:after="0"/>
              <w:rPr>
                <w:sz w:val="20"/>
                <w:szCs w:val="20"/>
                <w:color w:val="auto"/>
              </w:rPr>
            </w:pPr>
            <w:r>
              <w:rPr>
                <w:rFonts w:ascii="Calibri" w:cs="Calibri" w:eastAsia="Calibri" w:hAnsi="Calibri"/>
                <w:sz w:val="11"/>
                <w:szCs w:val="11"/>
                <w:color w:val="auto"/>
              </w:rPr>
              <w:t>Income tax</w:t>
            </w:r>
          </w:p>
        </w:tc>
        <w:tc>
          <w:tcPr>
            <w:tcW w:w="580" w:type="dxa"/>
            <w:vAlign w:val="bottom"/>
            <w:tcBorders>
              <w:right w:val="single" w:sz="8" w:color="auto"/>
            </w:tcBorders>
          </w:tcPr>
          <w:p>
            <w:pPr>
              <w:spacing w:after="0"/>
              <w:rPr>
                <w:sz w:val="12"/>
                <w:szCs w:val="12"/>
                <w:color w:val="auto"/>
              </w:rPr>
            </w:pPr>
          </w:p>
        </w:tc>
        <w:tc>
          <w:tcPr>
            <w:tcW w:w="1260" w:type="dxa"/>
            <w:vAlign w:val="bottom"/>
          </w:tcPr>
          <w:p>
            <w:pPr>
              <w:jc w:val="center"/>
              <w:ind w:right="243"/>
              <w:spacing w:after="0"/>
              <w:rPr>
                <w:sz w:val="20"/>
                <w:szCs w:val="20"/>
                <w:color w:val="auto"/>
              </w:rPr>
            </w:pPr>
            <w:r>
              <w:rPr>
                <w:rFonts w:ascii="Calibri" w:cs="Calibri" w:eastAsia="Calibri" w:hAnsi="Calibri"/>
                <w:sz w:val="11"/>
                <w:szCs w:val="11"/>
                <w:color w:val="auto"/>
              </w:rPr>
              <w:t>(29,379)</w:t>
            </w:r>
          </w:p>
        </w:tc>
        <w:tc>
          <w:tcPr>
            <w:tcW w:w="480" w:type="dxa"/>
            <w:vAlign w:val="bottom"/>
          </w:tcPr>
          <w:p>
            <w:pPr>
              <w:jc w:val="center"/>
              <w:spacing w:after="0"/>
              <w:rPr>
                <w:sz w:val="20"/>
                <w:szCs w:val="20"/>
                <w:color w:val="auto"/>
              </w:rPr>
            </w:pPr>
            <w:r>
              <w:rPr>
                <w:rFonts w:ascii="Calibri" w:cs="Calibri" w:eastAsia="Calibri" w:hAnsi="Calibri"/>
                <w:sz w:val="11"/>
                <w:szCs w:val="11"/>
                <w:color w:val="auto"/>
              </w:rPr>
              <w:t>(3,615)</w:t>
            </w:r>
          </w:p>
        </w:tc>
        <w:tc>
          <w:tcPr>
            <w:tcW w:w="980" w:type="dxa"/>
            <w:vAlign w:val="bottom"/>
          </w:tcPr>
          <w:p>
            <w:pPr>
              <w:jc w:val="center"/>
              <w:ind w:left="418"/>
              <w:spacing w:after="0"/>
              <w:rPr>
                <w:sz w:val="20"/>
                <w:szCs w:val="20"/>
                <w:color w:val="auto"/>
              </w:rPr>
            </w:pPr>
            <w:r>
              <w:rPr>
                <w:rFonts w:ascii="Calibri" w:cs="Calibri" w:eastAsia="Calibri" w:hAnsi="Calibri"/>
                <w:sz w:val="11"/>
                <w:szCs w:val="11"/>
                <w:color w:val="auto"/>
              </w:rPr>
              <w:t>(13,274)</w:t>
            </w:r>
          </w:p>
        </w:tc>
        <w:tc>
          <w:tcPr>
            <w:tcW w:w="240" w:type="dxa"/>
            <w:vAlign w:val="bottom"/>
            <w:tcBorders>
              <w:right w:val="single" w:sz="8" w:color="auto"/>
            </w:tcBorders>
          </w:tcPr>
          <w:p>
            <w:pPr>
              <w:spacing w:after="0"/>
              <w:rPr>
                <w:sz w:val="12"/>
                <w:szCs w:val="12"/>
                <w:color w:val="auto"/>
              </w:rPr>
            </w:pPr>
          </w:p>
        </w:tc>
        <w:tc>
          <w:tcPr>
            <w:tcW w:w="1220" w:type="dxa"/>
            <w:vAlign w:val="bottom"/>
          </w:tcPr>
          <w:p>
            <w:pPr>
              <w:jc w:val="center"/>
              <w:ind w:right="222"/>
              <w:spacing w:after="0"/>
              <w:rPr>
                <w:sz w:val="20"/>
                <w:szCs w:val="20"/>
                <w:color w:val="auto"/>
              </w:rPr>
            </w:pPr>
            <w:r>
              <w:rPr>
                <w:rFonts w:ascii="Calibri" w:cs="Calibri" w:eastAsia="Calibri" w:hAnsi="Calibri"/>
                <w:sz w:val="11"/>
                <w:szCs w:val="11"/>
                <w:color w:val="auto"/>
              </w:rPr>
              <w:t>267.2%</w:t>
            </w:r>
          </w:p>
        </w:tc>
        <w:tc>
          <w:tcPr>
            <w:tcW w:w="420" w:type="dxa"/>
            <w:vAlign w:val="bottom"/>
          </w:tcPr>
          <w:p>
            <w:pPr>
              <w:jc w:val="center"/>
              <w:spacing w:after="0"/>
              <w:rPr>
                <w:sz w:val="20"/>
                <w:szCs w:val="20"/>
                <w:color w:val="auto"/>
              </w:rPr>
            </w:pPr>
            <w:r>
              <w:rPr>
                <w:rFonts w:ascii="Calibri" w:cs="Calibri" w:eastAsia="Calibri" w:hAnsi="Calibri"/>
                <w:sz w:val="11"/>
                <w:szCs w:val="11"/>
                <w:color w:val="auto"/>
                <w:w w:val="97"/>
              </w:rPr>
              <w:t>-54.8%</w:t>
            </w:r>
          </w:p>
        </w:tc>
        <w:tc>
          <w:tcPr>
            <w:tcW w:w="300" w:type="dxa"/>
            <w:vAlign w:val="bottom"/>
            <w:tcBorders>
              <w:right w:val="single" w:sz="8" w:color="auto"/>
            </w:tcBorders>
          </w:tcPr>
          <w:p>
            <w:pPr>
              <w:spacing w:after="0"/>
              <w:rPr>
                <w:sz w:val="12"/>
                <w:szCs w:val="12"/>
                <w:color w:val="auto"/>
              </w:rPr>
            </w:pPr>
          </w:p>
        </w:tc>
        <w:tc>
          <w:tcPr>
            <w:tcW w:w="820" w:type="dxa"/>
            <w:vAlign w:val="bottom"/>
            <w:gridSpan w:val="2"/>
          </w:tcPr>
          <w:p>
            <w:pPr>
              <w:jc w:val="center"/>
              <w:ind w:left="183"/>
              <w:spacing w:after="0"/>
              <w:rPr>
                <w:sz w:val="20"/>
                <w:szCs w:val="20"/>
                <w:color w:val="auto"/>
              </w:rPr>
            </w:pPr>
            <w:r>
              <w:rPr>
                <w:rFonts w:ascii="Calibri" w:cs="Calibri" w:eastAsia="Calibri" w:hAnsi="Calibri"/>
                <w:sz w:val="11"/>
                <w:szCs w:val="11"/>
                <w:color w:val="auto"/>
              </w:rPr>
              <w:t>(40,290)</w:t>
            </w:r>
          </w:p>
        </w:tc>
        <w:tc>
          <w:tcPr>
            <w:tcW w:w="1200" w:type="dxa"/>
            <w:vAlign w:val="bottom"/>
            <w:tcBorders>
              <w:right w:val="single" w:sz="8" w:color="auto"/>
            </w:tcBorders>
          </w:tcPr>
          <w:p>
            <w:pPr>
              <w:jc w:val="center"/>
              <w:ind w:left="158"/>
              <w:spacing w:after="0"/>
              <w:rPr>
                <w:sz w:val="20"/>
                <w:szCs w:val="20"/>
                <w:color w:val="auto"/>
              </w:rPr>
            </w:pPr>
            <w:r>
              <w:rPr>
                <w:rFonts w:ascii="Calibri" w:cs="Calibri" w:eastAsia="Calibri" w:hAnsi="Calibri"/>
                <w:sz w:val="11"/>
                <w:szCs w:val="11"/>
                <w:color w:val="auto"/>
              </w:rPr>
              <w:t>(44,280)</w:t>
            </w:r>
          </w:p>
        </w:tc>
        <w:tc>
          <w:tcPr>
            <w:tcW w:w="300" w:type="dxa"/>
            <w:vAlign w:val="bottom"/>
          </w:tcPr>
          <w:p>
            <w:pPr>
              <w:spacing w:after="0"/>
              <w:rPr>
                <w:sz w:val="12"/>
                <w:szCs w:val="12"/>
                <w:color w:val="auto"/>
              </w:rPr>
            </w:pPr>
          </w:p>
        </w:tc>
        <w:tc>
          <w:tcPr>
            <w:tcW w:w="1140" w:type="dxa"/>
            <w:vAlign w:val="bottom"/>
            <w:tcBorders>
              <w:right w:val="single" w:sz="8" w:color="auto"/>
            </w:tcBorders>
          </w:tcPr>
          <w:p>
            <w:pPr>
              <w:jc w:val="center"/>
              <w:ind w:right="258"/>
              <w:spacing w:after="0"/>
              <w:rPr>
                <w:sz w:val="20"/>
                <w:szCs w:val="20"/>
                <w:color w:val="auto"/>
              </w:rPr>
            </w:pPr>
            <w:r>
              <w:rPr>
                <w:rFonts w:ascii="Calibri" w:cs="Calibri" w:eastAsia="Calibri" w:hAnsi="Calibri"/>
                <w:sz w:val="11"/>
                <w:szCs w:val="11"/>
                <w:color w:val="auto"/>
              </w:rPr>
              <w:t>9.9%</w:t>
            </w:r>
          </w:p>
        </w:tc>
        <w:tc>
          <w:tcPr>
            <w:tcW w:w="0" w:type="dxa"/>
            <w:vAlign w:val="bottom"/>
          </w:tcPr>
          <w:p>
            <w:pPr>
              <w:spacing w:after="0"/>
              <w:rPr>
                <w:sz w:val="1"/>
                <w:szCs w:val="1"/>
                <w:color w:val="auto"/>
              </w:rPr>
            </w:pPr>
          </w:p>
        </w:tc>
      </w:tr>
      <w:tr>
        <w:trPr>
          <w:trHeight w:val="127"/>
        </w:trPr>
        <w:tc>
          <w:tcPr>
            <w:tcW w:w="2300" w:type="dxa"/>
            <w:vAlign w:val="bottom"/>
            <w:tcBorders>
              <w:left w:val="single" w:sz="8" w:color="auto"/>
              <w:bottom w:val="single" w:sz="8" w:color="auto"/>
            </w:tcBorders>
          </w:tcPr>
          <w:p>
            <w:pPr>
              <w:ind w:left="20"/>
              <w:spacing w:after="0" w:line="128" w:lineRule="exact"/>
              <w:rPr>
                <w:sz w:val="20"/>
                <w:szCs w:val="20"/>
                <w:color w:val="auto"/>
              </w:rPr>
            </w:pPr>
            <w:r>
              <w:rPr>
                <w:rFonts w:ascii="Calibri" w:cs="Calibri" w:eastAsia="Calibri" w:hAnsi="Calibri"/>
                <w:sz w:val="11"/>
                <w:szCs w:val="11"/>
                <w:b w:val="1"/>
                <w:bCs w:val="1"/>
                <w:color w:val="auto"/>
              </w:rPr>
              <w:t>Net income</w:t>
            </w:r>
          </w:p>
        </w:tc>
        <w:tc>
          <w:tcPr>
            <w:tcW w:w="5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263"/>
              <w:spacing w:after="0" w:line="128" w:lineRule="exact"/>
              <w:rPr>
                <w:sz w:val="20"/>
                <w:szCs w:val="20"/>
                <w:color w:val="auto"/>
              </w:rPr>
            </w:pPr>
            <w:r>
              <w:rPr>
                <w:rFonts w:ascii="Calibri" w:cs="Calibri" w:eastAsia="Calibri" w:hAnsi="Calibri"/>
                <w:sz w:val="11"/>
                <w:szCs w:val="11"/>
                <w:b w:val="1"/>
                <w:bCs w:val="1"/>
                <w:color w:val="auto"/>
              </w:rPr>
              <w:t>136,000</w:t>
            </w:r>
          </w:p>
        </w:tc>
        <w:tc>
          <w:tcPr>
            <w:tcW w:w="480" w:type="dxa"/>
            <w:vAlign w:val="bottom"/>
            <w:tcBorders>
              <w:bottom w:val="single" w:sz="8" w:color="auto"/>
            </w:tcBorders>
          </w:tcPr>
          <w:p>
            <w:pPr>
              <w:jc w:val="center"/>
              <w:spacing w:after="0" w:line="128" w:lineRule="exact"/>
              <w:rPr>
                <w:sz w:val="20"/>
                <w:szCs w:val="20"/>
                <w:color w:val="auto"/>
              </w:rPr>
            </w:pPr>
            <w:r>
              <w:rPr>
                <w:rFonts w:ascii="Calibri" w:cs="Calibri" w:eastAsia="Calibri" w:hAnsi="Calibri"/>
                <w:sz w:val="11"/>
                <w:szCs w:val="11"/>
                <w:b w:val="1"/>
                <w:bCs w:val="1"/>
                <w:color w:val="auto"/>
              </w:rPr>
              <w:t>189,308</w:t>
            </w:r>
          </w:p>
        </w:tc>
        <w:tc>
          <w:tcPr>
            <w:tcW w:w="980" w:type="dxa"/>
            <w:vAlign w:val="bottom"/>
            <w:tcBorders>
              <w:bottom w:val="single" w:sz="8" w:color="auto"/>
            </w:tcBorders>
          </w:tcPr>
          <w:p>
            <w:pPr>
              <w:jc w:val="center"/>
              <w:ind w:left="418"/>
              <w:spacing w:after="0" w:line="128" w:lineRule="exact"/>
              <w:rPr>
                <w:sz w:val="20"/>
                <w:szCs w:val="20"/>
                <w:color w:val="auto"/>
              </w:rPr>
            </w:pPr>
            <w:r>
              <w:rPr>
                <w:rFonts w:ascii="Calibri" w:cs="Calibri" w:eastAsia="Calibri" w:hAnsi="Calibri"/>
                <w:sz w:val="11"/>
                <w:szCs w:val="11"/>
                <w:b w:val="1"/>
                <w:bCs w:val="1"/>
                <w:color w:val="auto"/>
              </w:rPr>
              <w:t>169,594</w:t>
            </w:r>
          </w:p>
        </w:tc>
        <w:tc>
          <w:tcPr>
            <w:tcW w:w="24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tcBorders>
          </w:tcPr>
          <w:p>
            <w:pPr>
              <w:jc w:val="center"/>
              <w:ind w:right="202"/>
              <w:spacing w:after="0" w:line="128" w:lineRule="exact"/>
              <w:rPr>
                <w:sz w:val="20"/>
                <w:szCs w:val="20"/>
                <w:color w:val="auto"/>
              </w:rPr>
            </w:pPr>
            <w:r>
              <w:rPr>
                <w:rFonts w:ascii="Calibri" w:cs="Calibri" w:eastAsia="Calibri" w:hAnsi="Calibri"/>
                <w:sz w:val="11"/>
                <w:szCs w:val="11"/>
                <w:b w:val="1"/>
                <w:bCs w:val="1"/>
                <w:color w:val="auto"/>
              </w:rPr>
              <w:t>-10.4%</w:t>
            </w:r>
          </w:p>
        </w:tc>
        <w:tc>
          <w:tcPr>
            <w:tcW w:w="420" w:type="dxa"/>
            <w:vAlign w:val="bottom"/>
            <w:tcBorders>
              <w:bottom w:val="single" w:sz="8" w:color="auto"/>
            </w:tcBorders>
          </w:tcPr>
          <w:p>
            <w:pPr>
              <w:jc w:val="center"/>
              <w:spacing w:after="0" w:line="128" w:lineRule="exact"/>
              <w:rPr>
                <w:sz w:val="20"/>
                <w:szCs w:val="20"/>
                <w:color w:val="auto"/>
              </w:rPr>
            </w:pPr>
            <w:r>
              <w:rPr>
                <w:rFonts w:ascii="Calibri" w:cs="Calibri" w:eastAsia="Calibri" w:hAnsi="Calibri"/>
                <w:sz w:val="11"/>
                <w:szCs w:val="11"/>
                <w:b w:val="1"/>
                <w:bCs w:val="1"/>
                <w:color w:val="auto"/>
              </w:rPr>
              <w:t>24.7%</w:t>
            </w:r>
          </w:p>
        </w:tc>
        <w:tc>
          <w:tcPr>
            <w:tcW w:w="30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183"/>
              <w:spacing w:after="0" w:line="128" w:lineRule="exact"/>
              <w:rPr>
                <w:sz w:val="20"/>
                <w:szCs w:val="20"/>
                <w:color w:val="auto"/>
              </w:rPr>
            </w:pPr>
            <w:r>
              <w:rPr>
                <w:rFonts w:ascii="Calibri" w:cs="Calibri" w:eastAsia="Calibri" w:hAnsi="Calibri"/>
                <w:sz w:val="11"/>
                <w:szCs w:val="11"/>
                <w:b w:val="1"/>
                <w:bCs w:val="1"/>
                <w:color w:val="auto"/>
              </w:rPr>
              <w:t>810,426</w:t>
            </w:r>
          </w:p>
        </w:tc>
        <w:tc>
          <w:tcPr>
            <w:tcW w:w="1200" w:type="dxa"/>
            <w:vAlign w:val="bottom"/>
            <w:tcBorders>
              <w:bottom w:val="single" w:sz="8" w:color="auto"/>
              <w:right w:val="single" w:sz="8" w:color="auto"/>
            </w:tcBorders>
          </w:tcPr>
          <w:p>
            <w:pPr>
              <w:jc w:val="center"/>
              <w:ind w:left="158"/>
              <w:spacing w:after="0" w:line="128" w:lineRule="exact"/>
              <w:rPr>
                <w:sz w:val="20"/>
                <w:szCs w:val="20"/>
                <w:color w:val="auto"/>
              </w:rPr>
            </w:pPr>
            <w:r>
              <w:rPr>
                <w:rFonts w:ascii="Calibri" w:cs="Calibri" w:eastAsia="Calibri" w:hAnsi="Calibri"/>
                <w:sz w:val="11"/>
                <w:szCs w:val="11"/>
                <w:b w:val="1"/>
                <w:bCs w:val="1"/>
                <w:color w:val="auto"/>
              </w:rPr>
              <w:t>769,774</w:t>
            </w: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center"/>
              <w:ind w:right="258"/>
              <w:spacing w:after="0" w:line="128" w:lineRule="exact"/>
              <w:rPr>
                <w:sz w:val="20"/>
                <w:szCs w:val="20"/>
                <w:color w:val="auto"/>
              </w:rPr>
            </w:pPr>
            <w:r>
              <w:rPr>
                <w:rFonts w:ascii="Calibri" w:cs="Calibri" w:eastAsia="Calibri" w:hAnsi="Calibri"/>
                <w:sz w:val="11"/>
                <w:szCs w:val="11"/>
                <w:b w:val="1"/>
                <w:bCs w:val="1"/>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-3979545</wp:posOffset>
            </wp:positionV>
            <wp:extent cx="1016000" cy="141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145" w:lineRule="exact"/>
        <w:rPr>
          <w:sz w:val="20"/>
          <w:szCs w:val="20"/>
          <w:color w:val="auto"/>
        </w:rPr>
      </w:pPr>
    </w:p>
    <w:p>
      <w:pPr>
        <w:ind w:left="200" w:hanging="195"/>
        <w:spacing w:after="0"/>
        <w:tabs>
          <w:tab w:leader="none" w:pos="200" w:val="left"/>
        </w:tabs>
        <w:numPr>
          <w:ilvl w:val="0"/>
          <w:numId w:val="59"/>
        </w:numPr>
        <w:rPr>
          <w:rFonts w:ascii="Calibri" w:cs="Calibri" w:eastAsia="Calibri" w:hAnsi="Calibri"/>
          <w:sz w:val="14"/>
          <w:szCs w:val="14"/>
          <w:color w:val="auto"/>
        </w:rPr>
      </w:pPr>
      <w:r>
        <w:rPr>
          <w:rFonts w:ascii="Calibri" w:cs="Calibri" w:eastAsia="Calibri" w:hAnsi="Calibri"/>
          <w:sz w:val="14"/>
          <w:szCs w:val="14"/>
          <w:color w:val="auto"/>
        </w:rPr>
        <w:t>The net proftability of lace and mutual funds is being presented net of taxes, for which the retroactve change was made (it was presented gross before)</w:t>
      </w:r>
    </w:p>
    <w:p>
      <w:pPr>
        <w:spacing w:after="0"/>
        <w:rPr>
          <w:rFonts w:ascii="Calibri" w:cs="Calibri" w:eastAsia="Calibri" w:hAnsi="Calibri"/>
          <w:sz w:val="14"/>
          <w:szCs w:val="14"/>
          <w:color w:val="auto"/>
        </w:rPr>
      </w:pPr>
      <w:r>
        <w:rPr>
          <w:rFonts w:ascii="Calibri" w:cs="Calibri" w:eastAsia="Calibri" w:hAnsi="Calibri"/>
          <w:sz w:val="14"/>
          <w:szCs w:val="14"/>
          <w:color w:val="auto"/>
        </w:rPr>
        <w:t>(1) Net shareholders' equity includes unrealized gains from Prima's investment portolio.</w:t>
      </w:r>
    </w:p>
    <w:p>
      <w:pPr>
        <w:spacing w:after="0" w:line="162" w:lineRule="exact"/>
        <w:rPr>
          <w:sz w:val="20"/>
          <w:szCs w:val="20"/>
          <w:color w:val="auto"/>
        </w:rPr>
      </w:pPr>
    </w:p>
    <w:p>
      <w:pPr>
        <w:spacing w:after="0"/>
        <w:rPr>
          <w:sz w:val="20"/>
          <w:szCs w:val="20"/>
          <w:color w:val="auto"/>
        </w:rPr>
      </w:pPr>
      <w:r>
        <w:rPr>
          <w:rFonts w:ascii="Calibri" w:cs="Calibri" w:eastAsia="Calibri" w:hAnsi="Calibri"/>
          <w:sz w:val="16"/>
          <w:szCs w:val="16"/>
          <w:color w:val="auto"/>
        </w:rPr>
        <w:t>From 1Q15 and on, Grupo Pacifco’s fnancial statements refect the agreement with Banmedica (in equal parts) of the businesses of:</w:t>
      </w:r>
    </w:p>
    <w:p>
      <w:pPr>
        <w:spacing w:after="0" w:line="1" w:lineRule="exact"/>
        <w:rPr>
          <w:sz w:val="20"/>
          <w:szCs w:val="20"/>
          <w:color w:val="auto"/>
        </w:rPr>
      </w:pPr>
    </w:p>
    <w:p>
      <w:pPr>
        <w:ind w:left="800" w:hanging="310"/>
        <w:spacing w:after="0"/>
        <w:tabs>
          <w:tab w:leader="none" w:pos="800" w:val="left"/>
        </w:tabs>
        <w:numPr>
          <w:ilvl w:val="0"/>
          <w:numId w:val="60"/>
        </w:numPr>
        <w:rPr>
          <w:rFonts w:ascii="Calibri" w:cs="Calibri" w:eastAsia="Calibri" w:hAnsi="Calibri"/>
          <w:sz w:val="16"/>
          <w:szCs w:val="16"/>
          <w:color w:val="auto"/>
        </w:rPr>
      </w:pPr>
      <w:r>
        <w:rPr>
          <w:rFonts w:ascii="Calibri" w:cs="Calibri" w:eastAsia="Calibri" w:hAnsi="Calibri"/>
          <w:sz w:val="16"/>
          <w:szCs w:val="16"/>
          <w:color w:val="auto"/>
        </w:rPr>
        <w:t>private health insurance managed by Grupo Pacifco and included in its Financial Statements in each of the accountng lines;</w:t>
      </w:r>
    </w:p>
    <w:p>
      <w:pPr>
        <w:spacing w:after="0" w:line="14" w:lineRule="exact"/>
        <w:rPr>
          <w:rFonts w:ascii="Calibri" w:cs="Calibri" w:eastAsia="Calibri" w:hAnsi="Calibri"/>
          <w:sz w:val="16"/>
          <w:szCs w:val="16"/>
          <w:color w:val="auto"/>
        </w:rPr>
      </w:pPr>
    </w:p>
    <w:p>
      <w:pPr>
        <w:ind w:left="800" w:hanging="310"/>
        <w:spacing w:after="0"/>
        <w:tabs>
          <w:tab w:leader="none" w:pos="800" w:val="left"/>
        </w:tabs>
        <w:numPr>
          <w:ilvl w:val="0"/>
          <w:numId w:val="60"/>
        </w:numPr>
        <w:rPr>
          <w:rFonts w:ascii="Calibri" w:cs="Calibri" w:eastAsia="Calibri" w:hAnsi="Calibri"/>
          <w:sz w:val="16"/>
          <w:szCs w:val="16"/>
          <w:color w:val="auto"/>
        </w:rPr>
      </w:pPr>
      <w:r>
        <w:rPr>
          <w:rFonts w:ascii="Calibri" w:cs="Calibri" w:eastAsia="Calibri" w:hAnsi="Calibri"/>
          <w:sz w:val="16"/>
          <w:szCs w:val="16"/>
          <w:color w:val="auto"/>
        </w:rPr>
        <w:t>corporate health insurance (dependent workers); and</w:t>
      </w:r>
    </w:p>
    <w:p>
      <w:pPr>
        <w:spacing w:after="0" w:line="14" w:lineRule="exact"/>
        <w:rPr>
          <w:rFonts w:ascii="Calibri" w:cs="Calibri" w:eastAsia="Calibri" w:hAnsi="Calibri"/>
          <w:sz w:val="16"/>
          <w:szCs w:val="16"/>
          <w:color w:val="auto"/>
        </w:rPr>
      </w:pPr>
    </w:p>
    <w:p>
      <w:pPr>
        <w:ind w:left="800" w:hanging="310"/>
        <w:spacing w:after="0"/>
        <w:tabs>
          <w:tab w:leader="none" w:pos="800" w:val="left"/>
        </w:tabs>
        <w:numPr>
          <w:ilvl w:val="0"/>
          <w:numId w:val="60"/>
        </w:numPr>
        <w:rPr>
          <w:rFonts w:ascii="Calibri" w:cs="Calibri" w:eastAsia="Calibri" w:hAnsi="Calibri"/>
          <w:sz w:val="16"/>
          <w:szCs w:val="16"/>
          <w:color w:val="auto"/>
        </w:rPr>
      </w:pPr>
      <w:r>
        <w:rPr>
          <w:rFonts w:ascii="Calibri" w:cs="Calibri" w:eastAsia="Calibri" w:hAnsi="Calibri"/>
          <w:sz w:val="16"/>
          <w:szCs w:val="16"/>
          <w:color w:val="auto"/>
        </w:rPr>
        <w:t>medical services.</w:t>
      </w:r>
    </w:p>
    <w:p>
      <w:pPr>
        <w:spacing w:after="0" w:line="220" w:lineRule="exact"/>
        <w:rPr>
          <w:sz w:val="20"/>
          <w:szCs w:val="20"/>
          <w:color w:val="auto"/>
        </w:rPr>
      </w:pPr>
    </w:p>
    <w:p>
      <w:pPr>
        <w:ind w:right="60"/>
        <w:spacing w:after="0" w:line="235" w:lineRule="auto"/>
        <w:rPr>
          <w:sz w:val="20"/>
          <w:szCs w:val="20"/>
          <w:color w:val="auto"/>
        </w:rPr>
      </w:pPr>
      <w:r>
        <w:rPr>
          <w:rFonts w:ascii="Calibri" w:cs="Calibri" w:eastAsia="Calibri" w:hAnsi="Calibri"/>
          <w:sz w:val="16"/>
          <w:szCs w:val="16"/>
          <w:color w:val="auto"/>
        </w:rPr>
        <w:t>The businesses described in ii) and iii) are managed by Banmedica, therefore they do not consolidate in Grupo Pacifco’s fnancial statements. The 50% of net income generated by Banmedica is recorded in Grupo Pacifco’s Income Statement as a gain/loss on investments in subsidiaries.</w:t>
      </w:r>
    </w:p>
    <w:p>
      <w:pPr>
        <w:spacing w:after="0" w:line="208" w:lineRule="exact"/>
        <w:rPr>
          <w:sz w:val="20"/>
          <w:szCs w:val="20"/>
          <w:color w:val="auto"/>
        </w:rPr>
      </w:pPr>
    </w:p>
    <w:p>
      <w:pPr>
        <w:ind w:right="360"/>
        <w:spacing w:after="0" w:line="235" w:lineRule="auto"/>
        <w:rPr>
          <w:sz w:val="20"/>
          <w:szCs w:val="20"/>
          <w:color w:val="auto"/>
        </w:rPr>
      </w:pPr>
      <w:r>
        <w:rPr>
          <w:rFonts w:ascii="Calibri" w:cs="Calibri" w:eastAsia="Calibri" w:hAnsi="Calibri"/>
          <w:sz w:val="16"/>
          <w:szCs w:val="16"/>
          <w:color w:val="auto"/>
        </w:rPr>
        <w:t>As explained before, corporate health insurance and medical services businesses are consolidated by Banmedica. The following table refects the consolidated results from which Grupo Pacifco receives the 50% net income.</w:t>
      </w:r>
    </w:p>
    <w:p>
      <w:pPr>
        <w:spacing w:after="0" w:line="37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65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291" w:lineRule="exact"/>
        <w:rPr>
          <w:sz w:val="20"/>
          <w:szCs w:val="20"/>
          <w:color w:val="auto"/>
        </w:rPr>
      </w:pPr>
    </w:p>
    <w:p>
      <w:pPr>
        <w:ind w:left="80"/>
        <w:spacing w:after="0"/>
        <w:rPr>
          <w:sz w:val="20"/>
          <w:szCs w:val="20"/>
          <w:color w:val="auto"/>
        </w:rPr>
      </w:pPr>
      <w:r>
        <w:rPr>
          <w:rFonts w:ascii="Calibri" w:cs="Calibri" w:eastAsia="Calibri" w:hAnsi="Calibri"/>
          <w:sz w:val="19"/>
          <w:szCs w:val="19"/>
          <w:b w:val="1"/>
          <w:bCs w:val="1"/>
          <w:color w:val="FFFFFF"/>
        </w:rPr>
        <w:t>12. Appendix</w:t>
      </w: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Corporate health insurance and Medical services (1)</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(S/ in thousands)</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2740" w:type="dxa"/>
            <w:vAlign w:val="bottom"/>
            <w:tcBorders>
              <w:top w:val="single" w:sz="8" w:color="auto"/>
              <w:left w:val="single" w:sz="8" w:color="auto"/>
              <w:right w:val="single" w:sz="8" w:color="auto"/>
            </w:tcBorders>
            <w:shd w:val="clear" w:color="auto" w:fill="33CCCC"/>
          </w:tcPr>
          <w:p>
            <w:pPr>
              <w:spacing w:after="0"/>
              <w:rPr>
                <w:sz w:val="12"/>
                <w:szCs w:val="12"/>
                <w:color w:val="auto"/>
              </w:rPr>
            </w:pPr>
          </w:p>
        </w:tc>
        <w:tc>
          <w:tcPr>
            <w:tcW w:w="960" w:type="dxa"/>
            <w:vAlign w:val="bottom"/>
            <w:tcBorders>
              <w:top w:val="single" w:sz="8" w:color="auto"/>
            </w:tcBorders>
            <w:shd w:val="clear" w:color="auto" w:fill="33CCCC"/>
          </w:tcPr>
          <w:p>
            <w:pPr>
              <w:spacing w:after="0"/>
              <w:rPr>
                <w:sz w:val="12"/>
                <w:szCs w:val="12"/>
                <w:color w:val="auto"/>
              </w:rPr>
            </w:pPr>
          </w:p>
        </w:tc>
        <w:tc>
          <w:tcPr>
            <w:tcW w:w="1000" w:type="dxa"/>
            <w:vAlign w:val="bottom"/>
            <w:tcBorders>
              <w:top w:val="single" w:sz="8" w:color="auto"/>
            </w:tcBorders>
            <w:shd w:val="clear" w:color="auto" w:fill="33CCCC"/>
          </w:tcPr>
          <w:p>
            <w:pPr>
              <w:ind w:left="280"/>
              <w:spacing w:after="0"/>
              <w:rPr>
                <w:sz w:val="20"/>
                <w:szCs w:val="20"/>
                <w:color w:val="auto"/>
              </w:rPr>
            </w:pPr>
            <w:r>
              <w:rPr>
                <w:rFonts w:ascii="Calibri" w:cs="Calibri" w:eastAsia="Calibri" w:hAnsi="Calibri"/>
                <w:sz w:val="11"/>
                <w:szCs w:val="11"/>
                <w:b w:val="1"/>
                <w:bCs w:val="1"/>
                <w:color w:val="FFFFFF"/>
              </w:rPr>
              <w:t>Quarterly</w:t>
            </w:r>
          </w:p>
        </w:tc>
        <w:tc>
          <w:tcPr>
            <w:tcW w:w="1000" w:type="dxa"/>
            <w:vAlign w:val="bottom"/>
            <w:tcBorders>
              <w:top w:val="single" w:sz="8" w:color="auto"/>
              <w:right w:val="single" w:sz="8" w:color="auto"/>
            </w:tcBorders>
            <w:shd w:val="clear" w:color="auto" w:fill="33CCCC"/>
          </w:tcPr>
          <w:p>
            <w:pPr>
              <w:spacing w:after="0"/>
              <w:rPr>
                <w:sz w:val="12"/>
                <w:szCs w:val="12"/>
                <w:color w:val="auto"/>
              </w:rPr>
            </w:pPr>
          </w:p>
        </w:tc>
        <w:tc>
          <w:tcPr>
            <w:tcW w:w="1240" w:type="dxa"/>
            <w:vAlign w:val="bottom"/>
            <w:tcBorders>
              <w:top w:val="single" w:sz="8" w:color="auto"/>
            </w:tcBorders>
            <w:shd w:val="clear" w:color="auto" w:fill="33CCCC"/>
          </w:tcPr>
          <w:p>
            <w:pPr>
              <w:ind w:left="760"/>
              <w:spacing w:after="0"/>
              <w:rPr>
                <w:sz w:val="20"/>
                <w:szCs w:val="20"/>
                <w:color w:val="auto"/>
              </w:rPr>
            </w:pPr>
            <w:r>
              <w:rPr>
                <w:rFonts w:ascii="Calibri" w:cs="Calibri" w:eastAsia="Calibri" w:hAnsi="Calibri"/>
                <w:sz w:val="11"/>
                <w:szCs w:val="11"/>
                <w:b w:val="1"/>
                <w:bCs w:val="1"/>
                <w:color w:val="FFFFFF"/>
              </w:rPr>
              <w:t>% change</w:t>
            </w:r>
          </w:p>
        </w:tc>
        <w:tc>
          <w:tcPr>
            <w:tcW w:w="760" w:type="dxa"/>
            <w:vAlign w:val="bottom"/>
            <w:tcBorders>
              <w:top w:val="single" w:sz="8" w:color="auto"/>
              <w:right w:val="single" w:sz="8" w:color="auto"/>
            </w:tcBorders>
            <w:shd w:val="clear" w:color="auto" w:fill="33CCCC"/>
          </w:tcPr>
          <w:p>
            <w:pPr>
              <w:spacing w:after="0"/>
              <w:rPr>
                <w:sz w:val="12"/>
                <w:szCs w:val="12"/>
                <w:color w:val="auto"/>
              </w:rPr>
            </w:pPr>
          </w:p>
        </w:tc>
        <w:tc>
          <w:tcPr>
            <w:tcW w:w="800" w:type="dxa"/>
            <w:vAlign w:val="bottom"/>
            <w:tcBorders>
              <w:top w:val="single" w:sz="8" w:color="auto"/>
            </w:tcBorders>
            <w:shd w:val="clear" w:color="auto" w:fill="33CCCC"/>
          </w:tcPr>
          <w:p>
            <w:pPr>
              <w:spacing w:after="0"/>
              <w:rPr>
                <w:sz w:val="12"/>
                <w:szCs w:val="12"/>
                <w:color w:val="auto"/>
              </w:rPr>
            </w:pPr>
          </w:p>
        </w:tc>
        <w:tc>
          <w:tcPr>
            <w:tcW w:w="1180" w:type="dxa"/>
            <w:vAlign w:val="bottom"/>
            <w:tcBorders>
              <w:top w:val="single" w:sz="8" w:color="auto"/>
              <w:right w:val="single" w:sz="8" w:color="auto"/>
            </w:tcBorders>
            <w:shd w:val="clear" w:color="auto" w:fill="33CCCC"/>
          </w:tcPr>
          <w:p>
            <w:pPr>
              <w:ind w:left="40"/>
              <w:spacing w:after="0"/>
              <w:rPr>
                <w:sz w:val="20"/>
                <w:szCs w:val="20"/>
                <w:color w:val="auto"/>
              </w:rPr>
            </w:pPr>
            <w:r>
              <w:rPr>
                <w:rFonts w:ascii="Calibri" w:cs="Calibri" w:eastAsia="Calibri" w:hAnsi="Calibri"/>
                <w:sz w:val="11"/>
                <w:szCs w:val="11"/>
                <w:b w:val="1"/>
                <w:bCs w:val="1"/>
                <w:color w:val="FFFFFF"/>
              </w:rPr>
              <w:t>Up to</w:t>
            </w:r>
          </w:p>
        </w:tc>
        <w:tc>
          <w:tcPr>
            <w:tcW w:w="15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Calibri" w:cs="Calibri" w:eastAsia="Calibri" w:hAnsi="Calibri"/>
                <w:sz w:val="11"/>
                <w:szCs w:val="11"/>
                <w:b w:val="1"/>
                <w:bCs w:val="1"/>
                <w:color w:val="FFFFFF"/>
              </w:rPr>
              <w:t>% change</w:t>
            </w:r>
          </w:p>
        </w:tc>
      </w:tr>
      <w:tr>
        <w:trPr>
          <w:trHeight w:val="131"/>
        </w:trPr>
        <w:tc>
          <w:tcPr>
            <w:tcW w:w="2740" w:type="dxa"/>
            <w:vAlign w:val="bottom"/>
            <w:tcBorders>
              <w:left w:val="single" w:sz="8" w:color="auto"/>
              <w:bottom w:val="single" w:sz="8" w:color="auto"/>
              <w:right w:val="single" w:sz="8" w:color="auto"/>
            </w:tcBorders>
            <w:shd w:val="clear" w:color="auto" w:fill="33CCCC"/>
          </w:tcPr>
          <w:p>
            <w:pPr>
              <w:spacing w:after="0"/>
              <w:rPr>
                <w:sz w:val="11"/>
                <w:szCs w:val="11"/>
                <w:color w:val="auto"/>
              </w:rPr>
            </w:pPr>
          </w:p>
        </w:tc>
        <w:tc>
          <w:tcPr>
            <w:tcW w:w="96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w w:val="98"/>
              </w:rPr>
              <w:t>4Q23</w:t>
            </w:r>
          </w:p>
        </w:tc>
        <w:tc>
          <w:tcPr>
            <w:tcW w:w="1000" w:type="dxa"/>
            <w:vAlign w:val="bottom"/>
            <w:tcBorders>
              <w:bottom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3Q24</w:t>
            </w:r>
          </w:p>
        </w:tc>
        <w:tc>
          <w:tcPr>
            <w:tcW w:w="100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4Q24</w:t>
            </w:r>
          </w:p>
        </w:tc>
        <w:tc>
          <w:tcPr>
            <w:tcW w:w="1240" w:type="dxa"/>
            <w:vAlign w:val="bottom"/>
            <w:tcBorders>
              <w:bottom w:val="single" w:sz="8" w:color="auto"/>
            </w:tcBorders>
            <w:shd w:val="clear" w:color="auto" w:fill="33CCCC"/>
          </w:tcPr>
          <w:p>
            <w:pPr>
              <w:ind w:left="380"/>
              <w:spacing w:after="0" w:line="131" w:lineRule="exact"/>
              <w:rPr>
                <w:sz w:val="20"/>
                <w:szCs w:val="20"/>
                <w:color w:val="auto"/>
              </w:rPr>
            </w:pPr>
            <w:r>
              <w:rPr>
                <w:rFonts w:ascii="Calibri" w:cs="Calibri" w:eastAsia="Calibri" w:hAnsi="Calibri"/>
                <w:sz w:val="11"/>
                <w:szCs w:val="11"/>
                <w:b w:val="1"/>
                <w:bCs w:val="1"/>
                <w:color w:val="FFFFFF"/>
              </w:rPr>
              <w:t>QoQ</w:t>
            </w:r>
          </w:p>
        </w:tc>
        <w:tc>
          <w:tcPr>
            <w:tcW w:w="760" w:type="dxa"/>
            <w:vAlign w:val="bottom"/>
            <w:tcBorders>
              <w:bottom w:val="single" w:sz="8" w:color="auto"/>
              <w:right w:val="single" w:sz="8" w:color="auto"/>
            </w:tcBorders>
            <w:shd w:val="clear" w:color="auto" w:fill="33CCCC"/>
          </w:tcPr>
          <w:p>
            <w:pPr>
              <w:ind w:left="160"/>
              <w:spacing w:after="0" w:line="131" w:lineRule="exact"/>
              <w:rPr>
                <w:sz w:val="20"/>
                <w:szCs w:val="20"/>
                <w:color w:val="auto"/>
              </w:rPr>
            </w:pPr>
            <w:r>
              <w:rPr>
                <w:rFonts w:ascii="Calibri" w:cs="Calibri" w:eastAsia="Calibri" w:hAnsi="Calibri"/>
                <w:sz w:val="11"/>
                <w:szCs w:val="11"/>
                <w:b w:val="1"/>
                <w:bCs w:val="1"/>
                <w:color w:val="FFFFFF"/>
              </w:rPr>
              <w:t>YoY</w:t>
            </w:r>
          </w:p>
        </w:tc>
        <w:tc>
          <w:tcPr>
            <w:tcW w:w="800" w:type="dxa"/>
            <w:vAlign w:val="bottom"/>
            <w:tcBorders>
              <w:bottom w:val="single" w:sz="8" w:color="auto"/>
            </w:tcBorders>
            <w:shd w:val="clear" w:color="auto" w:fill="33CCCC"/>
          </w:tcPr>
          <w:p>
            <w:pPr>
              <w:ind w:left="320"/>
              <w:spacing w:after="0" w:line="131" w:lineRule="exact"/>
              <w:rPr>
                <w:sz w:val="20"/>
                <w:szCs w:val="20"/>
                <w:color w:val="auto"/>
              </w:rPr>
            </w:pPr>
            <w:r>
              <w:rPr>
                <w:rFonts w:ascii="Calibri" w:cs="Calibri" w:eastAsia="Calibri" w:hAnsi="Calibri"/>
                <w:sz w:val="11"/>
                <w:szCs w:val="11"/>
                <w:b w:val="1"/>
                <w:bCs w:val="1"/>
                <w:color w:val="FFFFFF"/>
              </w:rPr>
              <w:t>Dec 23</w:t>
            </w:r>
          </w:p>
        </w:tc>
        <w:tc>
          <w:tcPr>
            <w:tcW w:w="1180" w:type="dxa"/>
            <w:vAlign w:val="bottom"/>
            <w:tcBorders>
              <w:bottom w:val="single" w:sz="8" w:color="auto"/>
              <w:right w:val="single" w:sz="8" w:color="auto"/>
            </w:tcBorders>
            <w:shd w:val="clear" w:color="auto" w:fill="33CCCC"/>
          </w:tcPr>
          <w:p>
            <w:pPr>
              <w:ind w:left="520"/>
              <w:spacing w:after="0" w:line="131" w:lineRule="exact"/>
              <w:rPr>
                <w:sz w:val="20"/>
                <w:szCs w:val="20"/>
                <w:color w:val="auto"/>
              </w:rPr>
            </w:pPr>
            <w:r>
              <w:rPr>
                <w:rFonts w:ascii="Calibri" w:cs="Calibri" w:eastAsia="Calibri" w:hAnsi="Calibri"/>
                <w:sz w:val="11"/>
                <w:szCs w:val="11"/>
                <w:b w:val="1"/>
                <w:bCs w:val="1"/>
                <w:color w:val="FFFFFF"/>
              </w:rPr>
              <w:t>Dec 24</w:t>
            </w:r>
          </w:p>
        </w:tc>
        <w:tc>
          <w:tcPr>
            <w:tcW w:w="1560" w:type="dxa"/>
            <w:vAlign w:val="bottom"/>
            <w:tcBorders>
              <w:bottom w:val="single" w:sz="8" w:color="auto"/>
              <w:right w:val="single" w:sz="8" w:color="auto"/>
            </w:tcBorders>
            <w:shd w:val="clear" w:color="auto" w:fill="33CCCC"/>
          </w:tcPr>
          <w:p>
            <w:pPr>
              <w:jc w:val="center"/>
              <w:spacing w:after="0" w:line="131" w:lineRule="exact"/>
              <w:rPr>
                <w:sz w:val="20"/>
                <w:szCs w:val="20"/>
                <w:color w:val="auto"/>
              </w:rPr>
            </w:pPr>
            <w:r>
              <w:rPr>
                <w:rFonts w:ascii="Calibri" w:cs="Calibri" w:eastAsia="Calibri" w:hAnsi="Calibri"/>
                <w:sz w:val="11"/>
                <w:szCs w:val="11"/>
                <w:b w:val="1"/>
                <w:bCs w:val="1"/>
                <w:color w:val="FFFFFF"/>
              </w:rPr>
              <w:t>Dec 24 / Dec 23</w:t>
            </w:r>
          </w:p>
        </w:tc>
      </w:tr>
      <w:tr>
        <w:trPr>
          <w:trHeight w:val="109"/>
        </w:trPr>
        <w:tc>
          <w:tcPr>
            <w:tcW w:w="2740" w:type="dxa"/>
            <w:vAlign w:val="bottom"/>
            <w:tcBorders>
              <w:left w:val="single" w:sz="8" w:color="auto"/>
              <w:right w:val="single" w:sz="8" w:color="auto"/>
            </w:tcBorders>
          </w:tcPr>
          <w:p>
            <w:pPr>
              <w:ind w:left="20"/>
              <w:spacing w:after="0" w:line="109" w:lineRule="exact"/>
              <w:rPr>
                <w:sz w:val="20"/>
                <w:szCs w:val="20"/>
                <w:color w:val="auto"/>
              </w:rPr>
            </w:pPr>
            <w:r>
              <w:rPr>
                <w:rFonts w:ascii="Calibri" w:cs="Calibri" w:eastAsia="Calibri" w:hAnsi="Calibri"/>
                <w:sz w:val="11"/>
                <w:szCs w:val="11"/>
                <w:b w:val="1"/>
                <w:bCs w:val="1"/>
                <w:color w:val="auto"/>
              </w:rPr>
              <w:t>Results</w:t>
            </w: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r>
      <w:tr>
        <w:trPr>
          <w:trHeight w:val="165"/>
        </w:trPr>
        <w:tc>
          <w:tcPr>
            <w:tcW w:w="2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earned premiums</w:t>
            </w:r>
          </w:p>
        </w:tc>
        <w:tc>
          <w:tcPr>
            <w:tcW w:w="960" w:type="dxa"/>
            <w:vAlign w:val="bottom"/>
          </w:tcPr>
          <w:p>
            <w:pPr>
              <w:jc w:val="center"/>
              <w:spacing w:after="0"/>
              <w:rPr>
                <w:sz w:val="20"/>
                <w:szCs w:val="20"/>
                <w:color w:val="auto"/>
              </w:rPr>
            </w:pPr>
            <w:r>
              <w:rPr>
                <w:rFonts w:ascii="Calibri" w:cs="Calibri" w:eastAsia="Calibri" w:hAnsi="Calibri"/>
                <w:sz w:val="13"/>
                <w:szCs w:val="13"/>
                <w:color w:val="auto"/>
              </w:rPr>
              <w:t>350,926</w:t>
            </w:r>
          </w:p>
        </w:tc>
        <w:tc>
          <w:tcPr>
            <w:tcW w:w="1000" w:type="dxa"/>
            <w:vAlign w:val="bottom"/>
          </w:tcPr>
          <w:p>
            <w:pPr>
              <w:jc w:val="center"/>
              <w:spacing w:after="0"/>
              <w:rPr>
                <w:sz w:val="20"/>
                <w:szCs w:val="20"/>
                <w:color w:val="auto"/>
              </w:rPr>
            </w:pPr>
            <w:r>
              <w:rPr>
                <w:rFonts w:ascii="Calibri" w:cs="Calibri" w:eastAsia="Calibri" w:hAnsi="Calibri"/>
                <w:sz w:val="11"/>
                <w:szCs w:val="11"/>
                <w:color w:val="auto"/>
              </w:rPr>
              <w:t>374,166</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375,687</w:t>
            </w:r>
          </w:p>
        </w:tc>
        <w:tc>
          <w:tcPr>
            <w:tcW w:w="1240" w:type="dxa"/>
            <w:vAlign w:val="bottom"/>
          </w:tcPr>
          <w:p>
            <w:pPr>
              <w:jc w:val="center"/>
              <w:ind w:right="203"/>
              <w:spacing w:after="0"/>
              <w:rPr>
                <w:sz w:val="20"/>
                <w:szCs w:val="20"/>
                <w:color w:val="auto"/>
              </w:rPr>
            </w:pPr>
            <w:r>
              <w:rPr>
                <w:rFonts w:ascii="Calibri" w:cs="Calibri" w:eastAsia="Calibri" w:hAnsi="Calibri"/>
                <w:sz w:val="11"/>
                <w:szCs w:val="11"/>
                <w:color w:val="auto"/>
              </w:rPr>
              <w:t>0.4%</w:t>
            </w:r>
          </w:p>
        </w:tc>
        <w:tc>
          <w:tcPr>
            <w:tcW w:w="760" w:type="dxa"/>
            <w:vAlign w:val="bottom"/>
            <w:tcBorders>
              <w:right w:val="single" w:sz="8" w:color="auto"/>
            </w:tcBorders>
          </w:tcPr>
          <w:p>
            <w:pPr>
              <w:jc w:val="center"/>
              <w:ind w:right="223"/>
              <w:spacing w:after="0"/>
              <w:rPr>
                <w:sz w:val="20"/>
                <w:szCs w:val="20"/>
                <w:color w:val="auto"/>
              </w:rPr>
            </w:pPr>
            <w:r>
              <w:rPr>
                <w:rFonts w:ascii="Calibri" w:cs="Calibri" w:eastAsia="Calibri" w:hAnsi="Calibri"/>
                <w:sz w:val="11"/>
                <w:szCs w:val="11"/>
                <w:color w:val="auto"/>
              </w:rPr>
              <w:t>7.1%</w:t>
            </w:r>
          </w:p>
        </w:tc>
        <w:tc>
          <w:tcPr>
            <w:tcW w:w="800" w:type="dxa"/>
            <w:vAlign w:val="bottom"/>
          </w:tcPr>
          <w:p>
            <w:pPr>
              <w:jc w:val="center"/>
              <w:ind w:left="123"/>
              <w:spacing w:after="0"/>
              <w:rPr>
                <w:sz w:val="20"/>
                <w:szCs w:val="20"/>
                <w:color w:val="auto"/>
              </w:rPr>
            </w:pPr>
            <w:r>
              <w:rPr>
                <w:rFonts w:ascii="Calibri" w:cs="Calibri" w:eastAsia="Calibri" w:hAnsi="Calibri"/>
                <w:sz w:val="11"/>
                <w:szCs w:val="11"/>
                <w:color w:val="auto"/>
              </w:rPr>
              <w:t>1,360,411</w:t>
            </w:r>
          </w:p>
        </w:tc>
        <w:tc>
          <w:tcPr>
            <w:tcW w:w="1180" w:type="dxa"/>
            <w:vAlign w:val="bottom"/>
            <w:tcBorders>
              <w:right w:val="single" w:sz="8" w:color="auto"/>
            </w:tcBorders>
          </w:tcPr>
          <w:p>
            <w:pPr>
              <w:jc w:val="center"/>
              <w:ind w:left="103"/>
              <w:spacing w:after="0"/>
              <w:rPr>
                <w:sz w:val="20"/>
                <w:szCs w:val="20"/>
                <w:color w:val="auto"/>
              </w:rPr>
            </w:pPr>
            <w:r>
              <w:rPr>
                <w:rFonts w:ascii="Calibri" w:cs="Calibri" w:eastAsia="Calibri" w:hAnsi="Calibri"/>
                <w:sz w:val="11"/>
                <w:szCs w:val="11"/>
                <w:color w:val="auto"/>
              </w:rPr>
              <w:t>1,464,885</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7.7%</w:t>
            </w:r>
          </w:p>
        </w:tc>
      </w:tr>
      <w:tr>
        <w:trPr>
          <w:trHeight w:val="136"/>
        </w:trPr>
        <w:tc>
          <w:tcPr>
            <w:tcW w:w="2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claims</w:t>
            </w:r>
          </w:p>
        </w:tc>
        <w:tc>
          <w:tcPr>
            <w:tcW w:w="960" w:type="dxa"/>
            <w:vAlign w:val="bottom"/>
          </w:tcPr>
          <w:p>
            <w:pPr>
              <w:jc w:val="center"/>
              <w:spacing w:after="0"/>
              <w:rPr>
                <w:sz w:val="20"/>
                <w:szCs w:val="20"/>
                <w:color w:val="auto"/>
              </w:rPr>
            </w:pPr>
            <w:r>
              <w:rPr>
                <w:rFonts w:ascii="Calibri" w:cs="Calibri" w:eastAsia="Calibri" w:hAnsi="Calibri"/>
                <w:sz w:val="11"/>
                <w:szCs w:val="11"/>
                <w:color w:val="auto"/>
              </w:rPr>
              <w:t>(260,201)</w:t>
            </w:r>
          </w:p>
        </w:tc>
        <w:tc>
          <w:tcPr>
            <w:tcW w:w="1000" w:type="dxa"/>
            <w:vAlign w:val="bottom"/>
          </w:tcPr>
          <w:p>
            <w:pPr>
              <w:jc w:val="center"/>
              <w:spacing w:after="0"/>
              <w:rPr>
                <w:sz w:val="20"/>
                <w:szCs w:val="20"/>
                <w:color w:val="auto"/>
              </w:rPr>
            </w:pPr>
            <w:r>
              <w:rPr>
                <w:rFonts w:ascii="Calibri" w:cs="Calibri" w:eastAsia="Calibri" w:hAnsi="Calibri"/>
                <w:sz w:val="11"/>
                <w:szCs w:val="11"/>
                <w:color w:val="auto"/>
              </w:rPr>
              <w:t>(315,869)</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(300,166)</w:t>
            </w:r>
          </w:p>
        </w:tc>
        <w:tc>
          <w:tcPr>
            <w:tcW w:w="1240" w:type="dxa"/>
            <w:vAlign w:val="bottom"/>
          </w:tcPr>
          <w:p>
            <w:pPr>
              <w:jc w:val="center"/>
              <w:ind w:right="203"/>
              <w:spacing w:after="0"/>
              <w:rPr>
                <w:sz w:val="20"/>
                <w:szCs w:val="20"/>
                <w:color w:val="auto"/>
              </w:rPr>
            </w:pPr>
            <w:r>
              <w:rPr>
                <w:rFonts w:ascii="Calibri" w:cs="Calibri" w:eastAsia="Calibri" w:hAnsi="Calibri"/>
                <w:sz w:val="11"/>
                <w:szCs w:val="11"/>
                <w:color w:val="auto"/>
              </w:rPr>
              <w:t>-5.0%</w:t>
            </w:r>
          </w:p>
        </w:tc>
        <w:tc>
          <w:tcPr>
            <w:tcW w:w="760" w:type="dxa"/>
            <w:vAlign w:val="bottom"/>
            <w:tcBorders>
              <w:right w:val="single" w:sz="8" w:color="auto"/>
            </w:tcBorders>
          </w:tcPr>
          <w:p>
            <w:pPr>
              <w:jc w:val="center"/>
              <w:ind w:right="223"/>
              <w:spacing w:after="0"/>
              <w:rPr>
                <w:sz w:val="20"/>
                <w:szCs w:val="20"/>
                <w:color w:val="auto"/>
              </w:rPr>
            </w:pPr>
            <w:r>
              <w:rPr>
                <w:rFonts w:ascii="Calibri" w:cs="Calibri" w:eastAsia="Calibri" w:hAnsi="Calibri"/>
                <w:sz w:val="11"/>
                <w:szCs w:val="11"/>
                <w:color w:val="auto"/>
              </w:rPr>
              <w:t>15.4%</w:t>
            </w:r>
          </w:p>
        </w:tc>
        <w:tc>
          <w:tcPr>
            <w:tcW w:w="800" w:type="dxa"/>
            <w:vAlign w:val="bottom"/>
          </w:tcPr>
          <w:p>
            <w:pPr>
              <w:jc w:val="center"/>
              <w:ind w:left="103"/>
              <w:spacing w:after="0"/>
              <w:rPr>
                <w:sz w:val="20"/>
                <w:szCs w:val="20"/>
                <w:color w:val="auto"/>
              </w:rPr>
            </w:pPr>
            <w:r>
              <w:rPr>
                <w:rFonts w:ascii="Calibri" w:cs="Calibri" w:eastAsia="Calibri" w:hAnsi="Calibri"/>
                <w:sz w:val="11"/>
                <w:szCs w:val="11"/>
                <w:color w:val="auto"/>
              </w:rPr>
              <w:t>(1,070,205)</w:t>
            </w:r>
          </w:p>
        </w:tc>
        <w:tc>
          <w:tcPr>
            <w:tcW w:w="1180" w:type="dxa"/>
            <w:vAlign w:val="bottom"/>
            <w:tcBorders>
              <w:right w:val="single" w:sz="8" w:color="auto"/>
            </w:tcBorders>
          </w:tcPr>
          <w:p>
            <w:pPr>
              <w:jc w:val="center"/>
              <w:ind w:left="103"/>
              <w:spacing w:after="0"/>
              <w:rPr>
                <w:sz w:val="20"/>
                <w:szCs w:val="20"/>
                <w:color w:val="auto"/>
              </w:rPr>
            </w:pPr>
            <w:r>
              <w:rPr>
                <w:rFonts w:ascii="Calibri" w:cs="Calibri" w:eastAsia="Calibri" w:hAnsi="Calibri"/>
                <w:sz w:val="11"/>
                <w:szCs w:val="11"/>
                <w:color w:val="auto"/>
              </w:rPr>
              <w:t>(1,216,644)</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13.7%</w:t>
            </w:r>
          </w:p>
        </w:tc>
      </w:tr>
      <w:tr>
        <w:trPr>
          <w:trHeight w:val="131"/>
        </w:trPr>
        <w:tc>
          <w:tcPr>
            <w:tcW w:w="274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fees</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(14,818)</w:t>
            </w:r>
          </w:p>
        </w:tc>
        <w:tc>
          <w:tcPr>
            <w:tcW w:w="1000" w:type="dxa"/>
            <w:vAlign w:val="bottom"/>
          </w:tcPr>
          <w:p>
            <w:pPr>
              <w:jc w:val="center"/>
              <w:spacing w:after="0" w:line="131" w:lineRule="exact"/>
              <w:rPr>
                <w:sz w:val="20"/>
                <w:szCs w:val="20"/>
                <w:color w:val="auto"/>
              </w:rPr>
            </w:pPr>
            <w:r>
              <w:rPr>
                <w:rFonts w:ascii="Calibri" w:cs="Calibri" w:eastAsia="Calibri" w:hAnsi="Calibri"/>
                <w:sz w:val="11"/>
                <w:szCs w:val="11"/>
                <w:color w:val="auto"/>
              </w:rPr>
              <w:t>(16,553)</w:t>
            </w:r>
          </w:p>
        </w:tc>
        <w:tc>
          <w:tcPr>
            <w:tcW w:w="100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(16,671)</w:t>
            </w:r>
          </w:p>
        </w:tc>
        <w:tc>
          <w:tcPr>
            <w:tcW w:w="1240" w:type="dxa"/>
            <w:vAlign w:val="bottom"/>
          </w:tcPr>
          <w:p>
            <w:pPr>
              <w:jc w:val="center"/>
              <w:ind w:right="203"/>
              <w:spacing w:after="0" w:line="131" w:lineRule="exact"/>
              <w:rPr>
                <w:sz w:val="20"/>
                <w:szCs w:val="20"/>
                <w:color w:val="auto"/>
              </w:rPr>
            </w:pPr>
            <w:r>
              <w:rPr>
                <w:rFonts w:ascii="Calibri" w:cs="Calibri" w:eastAsia="Calibri" w:hAnsi="Calibri"/>
                <w:sz w:val="11"/>
                <w:szCs w:val="11"/>
                <w:color w:val="auto"/>
              </w:rPr>
              <w:t>0.7%</w:t>
            </w:r>
          </w:p>
        </w:tc>
        <w:tc>
          <w:tcPr>
            <w:tcW w:w="760" w:type="dxa"/>
            <w:vAlign w:val="bottom"/>
            <w:tcBorders>
              <w:right w:val="single" w:sz="8" w:color="auto"/>
            </w:tcBorders>
          </w:tcPr>
          <w:p>
            <w:pPr>
              <w:jc w:val="center"/>
              <w:ind w:right="223"/>
              <w:spacing w:after="0" w:line="131" w:lineRule="exact"/>
              <w:rPr>
                <w:sz w:val="20"/>
                <w:szCs w:val="20"/>
                <w:color w:val="auto"/>
              </w:rPr>
            </w:pPr>
            <w:r>
              <w:rPr>
                <w:rFonts w:ascii="Calibri" w:cs="Calibri" w:eastAsia="Calibri" w:hAnsi="Calibri"/>
                <w:sz w:val="11"/>
                <w:szCs w:val="11"/>
                <w:color w:val="auto"/>
              </w:rPr>
              <w:t>12.5%</w:t>
            </w:r>
          </w:p>
        </w:tc>
        <w:tc>
          <w:tcPr>
            <w:tcW w:w="800" w:type="dxa"/>
            <w:vAlign w:val="bottom"/>
          </w:tcPr>
          <w:p>
            <w:pPr>
              <w:jc w:val="center"/>
              <w:ind w:left="103"/>
              <w:spacing w:after="0" w:line="131" w:lineRule="exact"/>
              <w:rPr>
                <w:sz w:val="20"/>
                <w:szCs w:val="20"/>
                <w:color w:val="auto"/>
              </w:rPr>
            </w:pPr>
            <w:r>
              <w:rPr>
                <w:rFonts w:ascii="Calibri" w:cs="Calibri" w:eastAsia="Calibri" w:hAnsi="Calibri"/>
                <w:sz w:val="11"/>
                <w:szCs w:val="11"/>
                <w:color w:val="auto"/>
              </w:rPr>
              <w:t>(58,543)</w:t>
            </w:r>
          </w:p>
        </w:tc>
        <w:tc>
          <w:tcPr>
            <w:tcW w:w="1180" w:type="dxa"/>
            <w:vAlign w:val="bottom"/>
            <w:tcBorders>
              <w:right w:val="single" w:sz="8" w:color="auto"/>
            </w:tcBorders>
          </w:tcPr>
          <w:p>
            <w:pPr>
              <w:jc w:val="center"/>
              <w:ind w:left="103"/>
              <w:spacing w:after="0" w:line="131" w:lineRule="exact"/>
              <w:rPr>
                <w:sz w:val="20"/>
                <w:szCs w:val="20"/>
                <w:color w:val="auto"/>
              </w:rPr>
            </w:pPr>
            <w:r>
              <w:rPr>
                <w:rFonts w:ascii="Calibri" w:cs="Calibri" w:eastAsia="Calibri" w:hAnsi="Calibri"/>
                <w:sz w:val="11"/>
                <w:szCs w:val="11"/>
                <w:color w:val="auto"/>
              </w:rPr>
              <w:t>(64,397)</w:t>
            </w:r>
          </w:p>
        </w:tc>
        <w:tc>
          <w:tcPr>
            <w:tcW w:w="15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10.0%</w:t>
            </w:r>
          </w:p>
        </w:tc>
      </w:tr>
      <w:tr>
        <w:trPr>
          <w:trHeight w:val="131"/>
        </w:trPr>
        <w:tc>
          <w:tcPr>
            <w:tcW w:w="274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Net underwritng expenses</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(3,262)</w:t>
            </w:r>
          </w:p>
        </w:tc>
        <w:tc>
          <w:tcPr>
            <w:tcW w:w="1000" w:type="dxa"/>
            <w:vAlign w:val="bottom"/>
          </w:tcPr>
          <w:p>
            <w:pPr>
              <w:jc w:val="center"/>
              <w:spacing w:after="0" w:line="131" w:lineRule="exact"/>
              <w:rPr>
                <w:sz w:val="20"/>
                <w:szCs w:val="20"/>
                <w:color w:val="auto"/>
              </w:rPr>
            </w:pPr>
            <w:r>
              <w:rPr>
                <w:rFonts w:ascii="Calibri" w:cs="Calibri" w:eastAsia="Calibri" w:hAnsi="Calibri"/>
                <w:sz w:val="11"/>
                <w:szCs w:val="11"/>
                <w:color w:val="auto"/>
              </w:rPr>
              <w:t>(4,433)</w:t>
            </w:r>
          </w:p>
        </w:tc>
        <w:tc>
          <w:tcPr>
            <w:tcW w:w="100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(3,275)</w:t>
            </w:r>
          </w:p>
        </w:tc>
        <w:tc>
          <w:tcPr>
            <w:tcW w:w="1240" w:type="dxa"/>
            <w:vAlign w:val="bottom"/>
          </w:tcPr>
          <w:p>
            <w:pPr>
              <w:jc w:val="center"/>
              <w:ind w:right="223"/>
              <w:spacing w:after="0" w:line="131" w:lineRule="exact"/>
              <w:rPr>
                <w:sz w:val="20"/>
                <w:szCs w:val="20"/>
                <w:color w:val="auto"/>
              </w:rPr>
            </w:pPr>
            <w:r>
              <w:rPr>
                <w:rFonts w:ascii="Calibri" w:cs="Calibri" w:eastAsia="Calibri" w:hAnsi="Calibri"/>
                <w:sz w:val="11"/>
                <w:szCs w:val="11"/>
                <w:color w:val="auto"/>
              </w:rPr>
              <w:t>-26.1%</w:t>
            </w:r>
          </w:p>
        </w:tc>
        <w:tc>
          <w:tcPr>
            <w:tcW w:w="760" w:type="dxa"/>
            <w:vAlign w:val="bottom"/>
            <w:tcBorders>
              <w:right w:val="single" w:sz="8" w:color="auto"/>
            </w:tcBorders>
          </w:tcPr>
          <w:p>
            <w:pPr>
              <w:jc w:val="center"/>
              <w:ind w:right="223"/>
              <w:spacing w:after="0" w:line="131" w:lineRule="exact"/>
              <w:rPr>
                <w:sz w:val="20"/>
                <w:szCs w:val="20"/>
                <w:color w:val="auto"/>
              </w:rPr>
            </w:pPr>
            <w:r>
              <w:rPr>
                <w:rFonts w:ascii="Calibri" w:cs="Calibri" w:eastAsia="Calibri" w:hAnsi="Calibri"/>
                <w:sz w:val="11"/>
                <w:szCs w:val="11"/>
                <w:color w:val="auto"/>
              </w:rPr>
              <w:t>0.4%</w:t>
            </w:r>
          </w:p>
        </w:tc>
        <w:tc>
          <w:tcPr>
            <w:tcW w:w="800" w:type="dxa"/>
            <w:vAlign w:val="bottom"/>
          </w:tcPr>
          <w:p>
            <w:pPr>
              <w:jc w:val="center"/>
              <w:ind w:left="103"/>
              <w:spacing w:after="0" w:line="131" w:lineRule="exact"/>
              <w:rPr>
                <w:sz w:val="20"/>
                <w:szCs w:val="20"/>
                <w:color w:val="auto"/>
              </w:rPr>
            </w:pPr>
            <w:r>
              <w:rPr>
                <w:rFonts w:ascii="Calibri" w:cs="Calibri" w:eastAsia="Calibri" w:hAnsi="Calibri"/>
                <w:sz w:val="11"/>
                <w:szCs w:val="11"/>
                <w:color w:val="auto"/>
              </w:rPr>
              <w:t>(12,051)</w:t>
            </w:r>
          </w:p>
        </w:tc>
        <w:tc>
          <w:tcPr>
            <w:tcW w:w="1180" w:type="dxa"/>
            <w:vAlign w:val="bottom"/>
            <w:tcBorders>
              <w:right w:val="single" w:sz="8" w:color="auto"/>
            </w:tcBorders>
          </w:tcPr>
          <w:p>
            <w:pPr>
              <w:jc w:val="center"/>
              <w:ind w:left="103"/>
              <w:spacing w:after="0" w:line="131" w:lineRule="exact"/>
              <w:rPr>
                <w:sz w:val="20"/>
                <w:szCs w:val="20"/>
                <w:color w:val="auto"/>
              </w:rPr>
            </w:pPr>
            <w:r>
              <w:rPr>
                <w:rFonts w:ascii="Calibri" w:cs="Calibri" w:eastAsia="Calibri" w:hAnsi="Calibri"/>
                <w:sz w:val="11"/>
                <w:szCs w:val="11"/>
                <w:color w:val="auto"/>
              </w:rPr>
              <w:t>(14,495)</w:t>
            </w:r>
          </w:p>
        </w:tc>
        <w:tc>
          <w:tcPr>
            <w:tcW w:w="15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20.3%</w:t>
            </w:r>
          </w:p>
        </w:tc>
      </w:tr>
      <w:tr>
        <w:trPr>
          <w:trHeight w:val="135"/>
        </w:trPr>
        <w:tc>
          <w:tcPr>
            <w:tcW w:w="2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Underwritng result</w:t>
            </w:r>
          </w:p>
        </w:tc>
        <w:tc>
          <w:tcPr>
            <w:tcW w:w="960" w:type="dxa"/>
            <w:vAlign w:val="bottom"/>
          </w:tcPr>
          <w:p>
            <w:pPr>
              <w:jc w:val="center"/>
              <w:spacing w:after="0"/>
              <w:rPr>
                <w:sz w:val="20"/>
                <w:szCs w:val="20"/>
                <w:color w:val="auto"/>
              </w:rPr>
            </w:pPr>
            <w:r>
              <w:rPr>
                <w:rFonts w:ascii="Calibri" w:cs="Calibri" w:eastAsia="Calibri" w:hAnsi="Calibri"/>
                <w:sz w:val="11"/>
                <w:szCs w:val="11"/>
                <w:b w:val="1"/>
                <w:bCs w:val="1"/>
                <w:color w:val="auto"/>
              </w:rPr>
              <w:t>72,645</w:t>
            </w:r>
          </w:p>
        </w:tc>
        <w:tc>
          <w:tcPr>
            <w:tcW w:w="1000" w:type="dxa"/>
            <w:vAlign w:val="bottom"/>
          </w:tcPr>
          <w:p>
            <w:pPr>
              <w:jc w:val="center"/>
              <w:spacing w:after="0"/>
              <w:rPr>
                <w:sz w:val="20"/>
                <w:szCs w:val="20"/>
                <w:color w:val="auto"/>
              </w:rPr>
            </w:pPr>
            <w:r>
              <w:rPr>
                <w:rFonts w:ascii="Calibri" w:cs="Calibri" w:eastAsia="Calibri" w:hAnsi="Calibri"/>
                <w:sz w:val="11"/>
                <w:szCs w:val="11"/>
                <w:b w:val="1"/>
                <w:bCs w:val="1"/>
                <w:color w:val="auto"/>
              </w:rPr>
              <w:t>37,312</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55,574</w:t>
            </w:r>
          </w:p>
        </w:tc>
        <w:tc>
          <w:tcPr>
            <w:tcW w:w="1240" w:type="dxa"/>
            <w:vAlign w:val="bottom"/>
          </w:tcPr>
          <w:p>
            <w:pPr>
              <w:jc w:val="center"/>
              <w:ind w:right="203"/>
              <w:spacing w:after="0"/>
              <w:rPr>
                <w:sz w:val="20"/>
                <w:szCs w:val="20"/>
                <w:color w:val="auto"/>
              </w:rPr>
            </w:pPr>
            <w:r>
              <w:rPr>
                <w:rFonts w:ascii="Calibri" w:cs="Calibri" w:eastAsia="Calibri" w:hAnsi="Calibri"/>
                <w:sz w:val="11"/>
                <w:szCs w:val="11"/>
                <w:b w:val="1"/>
                <w:bCs w:val="1"/>
                <w:color w:val="auto"/>
              </w:rPr>
              <w:t>48.9%</w:t>
            </w:r>
          </w:p>
        </w:tc>
        <w:tc>
          <w:tcPr>
            <w:tcW w:w="760" w:type="dxa"/>
            <w:vAlign w:val="bottom"/>
            <w:tcBorders>
              <w:right w:val="single" w:sz="8" w:color="auto"/>
            </w:tcBorders>
          </w:tcPr>
          <w:p>
            <w:pPr>
              <w:jc w:val="center"/>
              <w:ind w:right="223"/>
              <w:spacing w:after="0"/>
              <w:rPr>
                <w:sz w:val="20"/>
                <w:szCs w:val="20"/>
                <w:color w:val="auto"/>
              </w:rPr>
            </w:pPr>
            <w:r>
              <w:rPr>
                <w:rFonts w:ascii="Calibri" w:cs="Calibri" w:eastAsia="Calibri" w:hAnsi="Calibri"/>
                <w:sz w:val="11"/>
                <w:szCs w:val="11"/>
                <w:b w:val="1"/>
                <w:bCs w:val="1"/>
                <w:color w:val="auto"/>
              </w:rPr>
              <w:t>-23.5%</w:t>
            </w:r>
          </w:p>
        </w:tc>
        <w:tc>
          <w:tcPr>
            <w:tcW w:w="800" w:type="dxa"/>
            <w:vAlign w:val="bottom"/>
          </w:tcPr>
          <w:p>
            <w:pPr>
              <w:jc w:val="center"/>
              <w:ind w:left="103"/>
              <w:spacing w:after="0"/>
              <w:rPr>
                <w:sz w:val="20"/>
                <w:szCs w:val="20"/>
                <w:color w:val="auto"/>
              </w:rPr>
            </w:pPr>
            <w:r>
              <w:rPr>
                <w:rFonts w:ascii="Calibri" w:cs="Calibri" w:eastAsia="Calibri" w:hAnsi="Calibri"/>
                <w:sz w:val="11"/>
                <w:szCs w:val="11"/>
                <w:b w:val="1"/>
                <w:bCs w:val="1"/>
                <w:color w:val="auto"/>
                <w:w w:val="99"/>
              </w:rPr>
              <w:t>219,613</w:t>
            </w:r>
          </w:p>
        </w:tc>
        <w:tc>
          <w:tcPr>
            <w:tcW w:w="1180" w:type="dxa"/>
            <w:vAlign w:val="bottom"/>
            <w:tcBorders>
              <w:right w:val="single" w:sz="8" w:color="auto"/>
            </w:tcBorders>
          </w:tcPr>
          <w:p>
            <w:pPr>
              <w:jc w:val="center"/>
              <w:ind w:left="103"/>
              <w:spacing w:after="0"/>
              <w:rPr>
                <w:sz w:val="20"/>
                <w:szCs w:val="20"/>
                <w:color w:val="auto"/>
              </w:rPr>
            </w:pPr>
            <w:r>
              <w:rPr>
                <w:rFonts w:ascii="Calibri" w:cs="Calibri" w:eastAsia="Calibri" w:hAnsi="Calibri"/>
                <w:sz w:val="11"/>
                <w:szCs w:val="11"/>
                <w:b w:val="1"/>
                <w:bCs w:val="1"/>
                <w:color w:val="auto"/>
              </w:rPr>
              <w:t>169,348</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-22.9%</w:t>
            </w:r>
          </w:p>
        </w:tc>
      </w:tr>
      <w:tr>
        <w:trPr>
          <w:trHeight w:val="258"/>
        </w:trPr>
        <w:tc>
          <w:tcPr>
            <w:tcW w:w="2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Net fnancial income</w:t>
            </w:r>
          </w:p>
        </w:tc>
        <w:tc>
          <w:tcPr>
            <w:tcW w:w="960" w:type="dxa"/>
            <w:vAlign w:val="bottom"/>
          </w:tcPr>
          <w:p>
            <w:pPr>
              <w:jc w:val="center"/>
              <w:spacing w:after="0"/>
              <w:rPr>
                <w:sz w:val="20"/>
                <w:szCs w:val="20"/>
                <w:color w:val="auto"/>
              </w:rPr>
            </w:pPr>
            <w:r>
              <w:rPr>
                <w:rFonts w:ascii="Calibri" w:cs="Calibri" w:eastAsia="Calibri" w:hAnsi="Calibri"/>
                <w:sz w:val="11"/>
                <w:szCs w:val="11"/>
                <w:color w:val="auto"/>
              </w:rPr>
              <w:t>5,035</w:t>
            </w:r>
          </w:p>
        </w:tc>
        <w:tc>
          <w:tcPr>
            <w:tcW w:w="1000" w:type="dxa"/>
            <w:vAlign w:val="bottom"/>
          </w:tcPr>
          <w:p>
            <w:pPr>
              <w:jc w:val="center"/>
              <w:spacing w:after="0"/>
              <w:rPr>
                <w:sz w:val="20"/>
                <w:szCs w:val="20"/>
                <w:color w:val="auto"/>
              </w:rPr>
            </w:pPr>
            <w:r>
              <w:rPr>
                <w:rFonts w:ascii="Calibri" w:cs="Calibri" w:eastAsia="Calibri" w:hAnsi="Calibri"/>
                <w:sz w:val="11"/>
                <w:szCs w:val="11"/>
                <w:color w:val="auto"/>
              </w:rPr>
              <w:t>5,834</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5,304</w:t>
            </w:r>
          </w:p>
        </w:tc>
        <w:tc>
          <w:tcPr>
            <w:tcW w:w="1240" w:type="dxa"/>
            <w:vAlign w:val="bottom"/>
          </w:tcPr>
          <w:p>
            <w:pPr>
              <w:jc w:val="center"/>
              <w:ind w:right="203"/>
              <w:spacing w:after="0"/>
              <w:rPr>
                <w:sz w:val="20"/>
                <w:szCs w:val="20"/>
                <w:color w:val="auto"/>
              </w:rPr>
            </w:pPr>
            <w:r>
              <w:rPr>
                <w:rFonts w:ascii="Calibri" w:cs="Calibri" w:eastAsia="Calibri" w:hAnsi="Calibri"/>
                <w:sz w:val="11"/>
                <w:szCs w:val="11"/>
                <w:color w:val="auto"/>
              </w:rPr>
              <w:t>-9.1%</w:t>
            </w:r>
          </w:p>
        </w:tc>
        <w:tc>
          <w:tcPr>
            <w:tcW w:w="760" w:type="dxa"/>
            <w:vAlign w:val="bottom"/>
            <w:tcBorders>
              <w:right w:val="single" w:sz="8" w:color="auto"/>
            </w:tcBorders>
          </w:tcPr>
          <w:p>
            <w:pPr>
              <w:jc w:val="center"/>
              <w:ind w:right="223"/>
              <w:spacing w:after="0"/>
              <w:rPr>
                <w:sz w:val="20"/>
                <w:szCs w:val="20"/>
                <w:color w:val="auto"/>
              </w:rPr>
            </w:pPr>
            <w:r>
              <w:rPr>
                <w:rFonts w:ascii="Calibri" w:cs="Calibri" w:eastAsia="Calibri" w:hAnsi="Calibri"/>
                <w:sz w:val="11"/>
                <w:szCs w:val="11"/>
                <w:color w:val="auto"/>
              </w:rPr>
              <w:t>5.3%</w:t>
            </w:r>
          </w:p>
        </w:tc>
        <w:tc>
          <w:tcPr>
            <w:tcW w:w="800" w:type="dxa"/>
            <w:vAlign w:val="bottom"/>
          </w:tcPr>
          <w:p>
            <w:pPr>
              <w:jc w:val="center"/>
              <w:ind w:left="103"/>
              <w:spacing w:after="0"/>
              <w:rPr>
                <w:sz w:val="20"/>
                <w:szCs w:val="20"/>
                <w:color w:val="auto"/>
              </w:rPr>
            </w:pPr>
            <w:r>
              <w:rPr>
                <w:rFonts w:ascii="Calibri" w:cs="Calibri" w:eastAsia="Calibri" w:hAnsi="Calibri"/>
                <w:sz w:val="11"/>
                <w:szCs w:val="11"/>
                <w:color w:val="auto"/>
              </w:rPr>
              <w:t>16,562</w:t>
            </w:r>
          </w:p>
        </w:tc>
        <w:tc>
          <w:tcPr>
            <w:tcW w:w="1180" w:type="dxa"/>
            <w:vAlign w:val="bottom"/>
            <w:tcBorders>
              <w:right w:val="single" w:sz="8" w:color="auto"/>
            </w:tcBorders>
          </w:tcPr>
          <w:p>
            <w:pPr>
              <w:jc w:val="center"/>
              <w:ind w:left="103"/>
              <w:spacing w:after="0"/>
              <w:rPr>
                <w:sz w:val="20"/>
                <w:szCs w:val="20"/>
                <w:color w:val="auto"/>
              </w:rPr>
            </w:pPr>
            <w:r>
              <w:rPr>
                <w:rFonts w:ascii="Calibri" w:cs="Calibri" w:eastAsia="Calibri" w:hAnsi="Calibri"/>
                <w:sz w:val="11"/>
                <w:szCs w:val="11"/>
                <w:color w:val="auto"/>
                <w:w w:val="97"/>
              </w:rPr>
              <w:t>22,501</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35.9%</w:t>
            </w:r>
          </w:p>
        </w:tc>
      </w:tr>
      <w:tr>
        <w:trPr>
          <w:trHeight w:val="131"/>
        </w:trPr>
        <w:tc>
          <w:tcPr>
            <w:tcW w:w="274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Total expenses</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(33,987)</w:t>
            </w:r>
          </w:p>
        </w:tc>
        <w:tc>
          <w:tcPr>
            <w:tcW w:w="1000" w:type="dxa"/>
            <w:vAlign w:val="bottom"/>
          </w:tcPr>
          <w:p>
            <w:pPr>
              <w:jc w:val="center"/>
              <w:spacing w:after="0" w:line="131" w:lineRule="exact"/>
              <w:rPr>
                <w:sz w:val="20"/>
                <w:szCs w:val="20"/>
                <w:color w:val="auto"/>
              </w:rPr>
            </w:pPr>
            <w:r>
              <w:rPr>
                <w:rFonts w:ascii="Calibri" w:cs="Calibri" w:eastAsia="Calibri" w:hAnsi="Calibri"/>
                <w:sz w:val="11"/>
                <w:szCs w:val="11"/>
                <w:color w:val="auto"/>
              </w:rPr>
              <w:t>(24,998)</w:t>
            </w:r>
          </w:p>
        </w:tc>
        <w:tc>
          <w:tcPr>
            <w:tcW w:w="100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(33,712)</w:t>
            </w:r>
          </w:p>
        </w:tc>
        <w:tc>
          <w:tcPr>
            <w:tcW w:w="1240" w:type="dxa"/>
            <w:vAlign w:val="bottom"/>
          </w:tcPr>
          <w:p>
            <w:pPr>
              <w:jc w:val="center"/>
              <w:ind w:right="223"/>
              <w:spacing w:after="0" w:line="131" w:lineRule="exact"/>
              <w:rPr>
                <w:sz w:val="20"/>
                <w:szCs w:val="20"/>
                <w:color w:val="auto"/>
              </w:rPr>
            </w:pPr>
            <w:r>
              <w:rPr>
                <w:rFonts w:ascii="Calibri" w:cs="Calibri" w:eastAsia="Calibri" w:hAnsi="Calibri"/>
                <w:sz w:val="11"/>
                <w:szCs w:val="11"/>
                <w:color w:val="auto"/>
              </w:rPr>
              <w:t>34.9%</w:t>
            </w:r>
          </w:p>
        </w:tc>
        <w:tc>
          <w:tcPr>
            <w:tcW w:w="760" w:type="dxa"/>
            <w:vAlign w:val="bottom"/>
            <w:tcBorders>
              <w:right w:val="single" w:sz="8" w:color="auto"/>
            </w:tcBorders>
          </w:tcPr>
          <w:p>
            <w:pPr>
              <w:jc w:val="center"/>
              <w:ind w:right="243"/>
              <w:spacing w:after="0" w:line="131" w:lineRule="exact"/>
              <w:rPr>
                <w:sz w:val="20"/>
                <w:szCs w:val="20"/>
                <w:color w:val="auto"/>
              </w:rPr>
            </w:pPr>
            <w:r>
              <w:rPr>
                <w:rFonts w:ascii="Calibri" w:cs="Calibri" w:eastAsia="Calibri" w:hAnsi="Calibri"/>
                <w:sz w:val="11"/>
                <w:szCs w:val="11"/>
                <w:color w:val="auto"/>
              </w:rPr>
              <w:t>-0.8%</w:t>
            </w:r>
          </w:p>
        </w:tc>
        <w:tc>
          <w:tcPr>
            <w:tcW w:w="800" w:type="dxa"/>
            <w:vAlign w:val="bottom"/>
          </w:tcPr>
          <w:p>
            <w:pPr>
              <w:jc w:val="center"/>
              <w:ind w:left="103"/>
              <w:spacing w:after="0" w:line="131" w:lineRule="exact"/>
              <w:rPr>
                <w:sz w:val="20"/>
                <w:szCs w:val="20"/>
                <w:color w:val="auto"/>
              </w:rPr>
            </w:pPr>
            <w:r>
              <w:rPr>
                <w:rFonts w:ascii="Calibri" w:cs="Calibri" w:eastAsia="Calibri" w:hAnsi="Calibri"/>
                <w:sz w:val="11"/>
                <w:szCs w:val="11"/>
                <w:color w:val="auto"/>
              </w:rPr>
              <w:t>(99,844)</w:t>
            </w:r>
          </w:p>
        </w:tc>
        <w:tc>
          <w:tcPr>
            <w:tcW w:w="1180" w:type="dxa"/>
            <w:vAlign w:val="bottom"/>
            <w:tcBorders>
              <w:right w:val="single" w:sz="8" w:color="auto"/>
            </w:tcBorders>
          </w:tcPr>
          <w:p>
            <w:pPr>
              <w:jc w:val="center"/>
              <w:ind w:left="123"/>
              <w:spacing w:after="0" w:line="131" w:lineRule="exact"/>
              <w:rPr>
                <w:sz w:val="20"/>
                <w:szCs w:val="20"/>
                <w:color w:val="auto"/>
              </w:rPr>
            </w:pPr>
            <w:r>
              <w:rPr>
                <w:rFonts w:ascii="Calibri" w:cs="Calibri" w:eastAsia="Calibri" w:hAnsi="Calibri"/>
                <w:sz w:val="11"/>
                <w:szCs w:val="11"/>
                <w:color w:val="auto"/>
              </w:rPr>
              <w:t>(110,797)</w:t>
            </w:r>
          </w:p>
        </w:tc>
        <w:tc>
          <w:tcPr>
            <w:tcW w:w="15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11.0%</w:t>
            </w:r>
          </w:p>
        </w:tc>
      </w:tr>
      <w:tr>
        <w:trPr>
          <w:trHeight w:val="131"/>
        </w:trPr>
        <w:tc>
          <w:tcPr>
            <w:tcW w:w="274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Other income</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2,036</w:t>
            </w:r>
          </w:p>
        </w:tc>
        <w:tc>
          <w:tcPr>
            <w:tcW w:w="1000" w:type="dxa"/>
            <w:vAlign w:val="bottom"/>
          </w:tcPr>
          <w:p>
            <w:pPr>
              <w:jc w:val="center"/>
              <w:spacing w:after="0" w:line="131" w:lineRule="exact"/>
              <w:rPr>
                <w:sz w:val="20"/>
                <w:szCs w:val="20"/>
                <w:color w:val="auto"/>
              </w:rPr>
            </w:pPr>
            <w:r>
              <w:rPr>
                <w:rFonts w:ascii="Calibri" w:cs="Calibri" w:eastAsia="Calibri" w:hAnsi="Calibri"/>
                <w:sz w:val="11"/>
                <w:szCs w:val="11"/>
                <w:color w:val="auto"/>
              </w:rPr>
              <w:t>1,945</w:t>
            </w:r>
          </w:p>
        </w:tc>
        <w:tc>
          <w:tcPr>
            <w:tcW w:w="100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9,389</w:t>
            </w:r>
          </w:p>
        </w:tc>
        <w:tc>
          <w:tcPr>
            <w:tcW w:w="1240" w:type="dxa"/>
            <w:vAlign w:val="bottom"/>
          </w:tcPr>
          <w:p>
            <w:pPr>
              <w:jc w:val="center"/>
              <w:ind w:right="203"/>
              <w:spacing w:after="0" w:line="131" w:lineRule="exact"/>
              <w:rPr>
                <w:sz w:val="20"/>
                <w:szCs w:val="20"/>
                <w:color w:val="auto"/>
              </w:rPr>
            </w:pPr>
            <w:r>
              <w:rPr>
                <w:rFonts w:ascii="Calibri" w:cs="Calibri" w:eastAsia="Calibri" w:hAnsi="Calibri"/>
                <w:sz w:val="11"/>
                <w:szCs w:val="11"/>
                <w:color w:val="auto"/>
              </w:rPr>
              <w:t>382.6%</w:t>
            </w:r>
          </w:p>
        </w:tc>
        <w:tc>
          <w:tcPr>
            <w:tcW w:w="760" w:type="dxa"/>
            <w:vAlign w:val="bottom"/>
            <w:tcBorders>
              <w:right w:val="single" w:sz="8" w:color="auto"/>
            </w:tcBorders>
          </w:tcPr>
          <w:p>
            <w:pPr>
              <w:jc w:val="center"/>
              <w:ind w:right="243"/>
              <w:spacing w:after="0" w:line="131" w:lineRule="exact"/>
              <w:rPr>
                <w:sz w:val="20"/>
                <w:szCs w:val="20"/>
                <w:color w:val="auto"/>
              </w:rPr>
            </w:pPr>
            <w:r>
              <w:rPr>
                <w:rFonts w:ascii="Calibri" w:cs="Calibri" w:eastAsia="Calibri" w:hAnsi="Calibri"/>
                <w:sz w:val="11"/>
                <w:szCs w:val="11"/>
                <w:color w:val="auto"/>
              </w:rPr>
              <w:t>361.1%</w:t>
            </w:r>
          </w:p>
        </w:tc>
        <w:tc>
          <w:tcPr>
            <w:tcW w:w="800" w:type="dxa"/>
            <w:vAlign w:val="bottom"/>
          </w:tcPr>
          <w:p>
            <w:pPr>
              <w:jc w:val="center"/>
              <w:ind w:left="103"/>
              <w:spacing w:after="0" w:line="131" w:lineRule="exact"/>
              <w:rPr>
                <w:sz w:val="20"/>
                <w:szCs w:val="20"/>
                <w:color w:val="auto"/>
              </w:rPr>
            </w:pPr>
            <w:r>
              <w:rPr>
                <w:rFonts w:ascii="Calibri" w:cs="Calibri" w:eastAsia="Calibri" w:hAnsi="Calibri"/>
                <w:sz w:val="11"/>
                <w:szCs w:val="11"/>
                <w:color w:val="auto"/>
              </w:rPr>
              <w:t>(2,686)</w:t>
            </w:r>
          </w:p>
        </w:tc>
        <w:tc>
          <w:tcPr>
            <w:tcW w:w="1180" w:type="dxa"/>
            <w:vAlign w:val="bottom"/>
            <w:tcBorders>
              <w:right w:val="single" w:sz="8" w:color="auto"/>
            </w:tcBorders>
          </w:tcPr>
          <w:p>
            <w:pPr>
              <w:jc w:val="center"/>
              <w:ind w:left="103"/>
              <w:spacing w:after="0" w:line="131" w:lineRule="exact"/>
              <w:rPr>
                <w:sz w:val="20"/>
                <w:szCs w:val="20"/>
                <w:color w:val="auto"/>
              </w:rPr>
            </w:pPr>
            <w:r>
              <w:rPr>
                <w:rFonts w:ascii="Calibri" w:cs="Calibri" w:eastAsia="Calibri" w:hAnsi="Calibri"/>
                <w:sz w:val="11"/>
                <w:szCs w:val="11"/>
                <w:color w:val="auto"/>
                <w:w w:val="97"/>
              </w:rPr>
              <w:t>15,795</w:t>
            </w:r>
          </w:p>
        </w:tc>
        <w:tc>
          <w:tcPr>
            <w:tcW w:w="15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-688.1%</w:t>
            </w:r>
          </w:p>
        </w:tc>
      </w:tr>
      <w:tr>
        <w:trPr>
          <w:trHeight w:val="131"/>
        </w:trPr>
        <w:tc>
          <w:tcPr>
            <w:tcW w:w="2740" w:type="dxa"/>
            <w:vAlign w:val="bottom"/>
            <w:tcBorders>
              <w:left w:val="single" w:sz="8" w:color="auto"/>
              <w:right w:val="single" w:sz="8" w:color="auto"/>
            </w:tcBorders>
          </w:tcPr>
          <w:p>
            <w:pPr>
              <w:ind w:left="20"/>
              <w:spacing w:after="0" w:line="131" w:lineRule="exact"/>
              <w:rPr>
                <w:sz w:val="20"/>
                <w:szCs w:val="20"/>
                <w:color w:val="auto"/>
              </w:rPr>
            </w:pPr>
            <w:r>
              <w:rPr>
                <w:rFonts w:ascii="Calibri" w:cs="Calibri" w:eastAsia="Calibri" w:hAnsi="Calibri"/>
                <w:sz w:val="11"/>
                <w:szCs w:val="11"/>
                <w:color w:val="auto"/>
              </w:rPr>
              <w:t>Traslatons results</w:t>
            </w:r>
          </w:p>
        </w:tc>
        <w:tc>
          <w:tcPr>
            <w:tcW w:w="960" w:type="dxa"/>
            <w:vAlign w:val="bottom"/>
          </w:tcPr>
          <w:p>
            <w:pPr>
              <w:jc w:val="center"/>
              <w:spacing w:after="0" w:line="131" w:lineRule="exact"/>
              <w:rPr>
                <w:sz w:val="20"/>
                <w:szCs w:val="20"/>
                <w:color w:val="auto"/>
              </w:rPr>
            </w:pPr>
            <w:r>
              <w:rPr>
                <w:rFonts w:ascii="Calibri" w:cs="Calibri" w:eastAsia="Calibri" w:hAnsi="Calibri"/>
                <w:sz w:val="11"/>
                <w:szCs w:val="11"/>
                <w:color w:val="auto"/>
              </w:rPr>
              <w:t>(1,596)</w:t>
            </w:r>
          </w:p>
        </w:tc>
        <w:tc>
          <w:tcPr>
            <w:tcW w:w="1000" w:type="dxa"/>
            <w:vAlign w:val="bottom"/>
          </w:tcPr>
          <w:p>
            <w:pPr>
              <w:jc w:val="center"/>
              <w:spacing w:after="0" w:line="131" w:lineRule="exact"/>
              <w:rPr>
                <w:sz w:val="20"/>
                <w:szCs w:val="20"/>
                <w:color w:val="auto"/>
              </w:rPr>
            </w:pPr>
            <w:r>
              <w:rPr>
                <w:rFonts w:ascii="Calibri" w:cs="Calibri" w:eastAsia="Calibri" w:hAnsi="Calibri"/>
                <w:sz w:val="11"/>
                <w:szCs w:val="11"/>
                <w:color w:val="auto"/>
              </w:rPr>
              <w:t>(2,780)</w:t>
            </w:r>
          </w:p>
        </w:tc>
        <w:tc>
          <w:tcPr>
            <w:tcW w:w="100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1,261</w:t>
            </w:r>
          </w:p>
        </w:tc>
        <w:tc>
          <w:tcPr>
            <w:tcW w:w="1240" w:type="dxa"/>
            <w:vAlign w:val="bottom"/>
          </w:tcPr>
          <w:p>
            <w:pPr>
              <w:jc w:val="center"/>
              <w:ind w:right="203"/>
              <w:spacing w:after="0" w:line="131" w:lineRule="exact"/>
              <w:rPr>
                <w:sz w:val="20"/>
                <w:szCs w:val="20"/>
                <w:color w:val="auto"/>
              </w:rPr>
            </w:pPr>
            <w:r>
              <w:rPr>
                <w:rFonts w:ascii="Calibri" w:cs="Calibri" w:eastAsia="Calibri" w:hAnsi="Calibri"/>
                <w:sz w:val="11"/>
                <w:szCs w:val="11"/>
                <w:color w:val="auto"/>
              </w:rPr>
              <w:t>-145.4%</w:t>
            </w:r>
          </w:p>
        </w:tc>
        <w:tc>
          <w:tcPr>
            <w:tcW w:w="760" w:type="dxa"/>
            <w:vAlign w:val="bottom"/>
            <w:tcBorders>
              <w:right w:val="single" w:sz="8" w:color="auto"/>
            </w:tcBorders>
          </w:tcPr>
          <w:p>
            <w:pPr>
              <w:jc w:val="center"/>
              <w:ind w:right="223"/>
              <w:spacing w:after="0" w:line="131" w:lineRule="exact"/>
              <w:rPr>
                <w:sz w:val="20"/>
                <w:szCs w:val="20"/>
                <w:color w:val="auto"/>
              </w:rPr>
            </w:pPr>
            <w:r>
              <w:rPr>
                <w:rFonts w:ascii="Calibri" w:cs="Calibri" w:eastAsia="Calibri" w:hAnsi="Calibri"/>
                <w:sz w:val="11"/>
                <w:szCs w:val="11"/>
                <w:color w:val="auto"/>
                <w:w w:val="99"/>
              </w:rPr>
              <w:t>-179.1%</w:t>
            </w:r>
          </w:p>
        </w:tc>
        <w:tc>
          <w:tcPr>
            <w:tcW w:w="800" w:type="dxa"/>
            <w:vAlign w:val="bottom"/>
          </w:tcPr>
          <w:p>
            <w:pPr>
              <w:jc w:val="center"/>
              <w:ind w:left="103"/>
              <w:spacing w:after="0" w:line="131" w:lineRule="exact"/>
              <w:rPr>
                <w:sz w:val="20"/>
                <w:szCs w:val="20"/>
                <w:color w:val="auto"/>
              </w:rPr>
            </w:pPr>
            <w:r>
              <w:rPr>
                <w:rFonts w:ascii="Calibri" w:cs="Calibri" w:eastAsia="Calibri" w:hAnsi="Calibri"/>
                <w:sz w:val="11"/>
                <w:szCs w:val="11"/>
                <w:color w:val="auto"/>
              </w:rPr>
              <w:t>(2,423)</w:t>
            </w:r>
          </w:p>
        </w:tc>
        <w:tc>
          <w:tcPr>
            <w:tcW w:w="1180" w:type="dxa"/>
            <w:vAlign w:val="bottom"/>
            <w:tcBorders>
              <w:right w:val="single" w:sz="8" w:color="auto"/>
            </w:tcBorders>
          </w:tcPr>
          <w:p>
            <w:pPr>
              <w:jc w:val="center"/>
              <w:ind w:left="103"/>
              <w:spacing w:after="0" w:line="131" w:lineRule="exact"/>
              <w:rPr>
                <w:sz w:val="20"/>
                <w:szCs w:val="20"/>
                <w:color w:val="auto"/>
              </w:rPr>
            </w:pPr>
            <w:r>
              <w:rPr>
                <w:rFonts w:ascii="Calibri" w:cs="Calibri" w:eastAsia="Calibri" w:hAnsi="Calibri"/>
                <w:sz w:val="11"/>
                <w:szCs w:val="11"/>
                <w:color w:val="auto"/>
              </w:rPr>
              <w:t>1,004</w:t>
            </w:r>
          </w:p>
        </w:tc>
        <w:tc>
          <w:tcPr>
            <w:tcW w:w="1560" w:type="dxa"/>
            <w:vAlign w:val="bottom"/>
            <w:tcBorders>
              <w:right w:val="single" w:sz="8" w:color="auto"/>
            </w:tcBorders>
          </w:tcPr>
          <w:p>
            <w:pPr>
              <w:jc w:val="center"/>
              <w:spacing w:after="0" w:line="131" w:lineRule="exact"/>
              <w:rPr>
                <w:sz w:val="20"/>
                <w:szCs w:val="20"/>
                <w:color w:val="auto"/>
              </w:rPr>
            </w:pPr>
            <w:r>
              <w:rPr>
                <w:rFonts w:ascii="Calibri" w:cs="Calibri" w:eastAsia="Calibri" w:hAnsi="Calibri"/>
                <w:sz w:val="11"/>
                <w:szCs w:val="11"/>
                <w:color w:val="auto"/>
              </w:rPr>
              <w:t>-141.4%</w:t>
            </w:r>
          </w:p>
        </w:tc>
      </w:tr>
      <w:tr>
        <w:trPr>
          <w:trHeight w:val="135"/>
        </w:trPr>
        <w:tc>
          <w:tcPr>
            <w:tcW w:w="2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color w:val="auto"/>
              </w:rPr>
              <w:t>Income tax</w:t>
            </w:r>
          </w:p>
        </w:tc>
        <w:tc>
          <w:tcPr>
            <w:tcW w:w="960" w:type="dxa"/>
            <w:vAlign w:val="bottom"/>
          </w:tcPr>
          <w:p>
            <w:pPr>
              <w:jc w:val="center"/>
              <w:spacing w:after="0"/>
              <w:rPr>
                <w:sz w:val="20"/>
                <w:szCs w:val="20"/>
                <w:color w:val="auto"/>
              </w:rPr>
            </w:pPr>
            <w:r>
              <w:rPr>
                <w:rFonts w:ascii="Calibri" w:cs="Calibri" w:eastAsia="Calibri" w:hAnsi="Calibri"/>
                <w:sz w:val="11"/>
                <w:szCs w:val="11"/>
                <w:color w:val="auto"/>
              </w:rPr>
              <w:t>(13,532)</w:t>
            </w:r>
          </w:p>
        </w:tc>
        <w:tc>
          <w:tcPr>
            <w:tcW w:w="1000" w:type="dxa"/>
            <w:vAlign w:val="bottom"/>
          </w:tcPr>
          <w:p>
            <w:pPr>
              <w:jc w:val="center"/>
              <w:spacing w:after="0"/>
              <w:rPr>
                <w:sz w:val="20"/>
                <w:szCs w:val="20"/>
                <w:color w:val="auto"/>
              </w:rPr>
            </w:pPr>
            <w:r>
              <w:rPr>
                <w:rFonts w:ascii="Calibri" w:cs="Calibri" w:eastAsia="Calibri" w:hAnsi="Calibri"/>
                <w:sz w:val="11"/>
                <w:szCs w:val="11"/>
                <w:color w:val="auto"/>
              </w:rPr>
              <w:t>(4,866)</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(11,122)</w:t>
            </w:r>
          </w:p>
        </w:tc>
        <w:tc>
          <w:tcPr>
            <w:tcW w:w="1240" w:type="dxa"/>
            <w:vAlign w:val="bottom"/>
          </w:tcPr>
          <w:p>
            <w:pPr>
              <w:jc w:val="center"/>
              <w:ind w:right="203"/>
              <w:spacing w:after="0"/>
              <w:rPr>
                <w:sz w:val="20"/>
                <w:szCs w:val="20"/>
                <w:color w:val="auto"/>
              </w:rPr>
            </w:pPr>
            <w:r>
              <w:rPr>
                <w:rFonts w:ascii="Calibri" w:cs="Calibri" w:eastAsia="Calibri" w:hAnsi="Calibri"/>
                <w:sz w:val="11"/>
                <w:szCs w:val="11"/>
                <w:color w:val="auto"/>
              </w:rPr>
              <w:t>128.6%</w:t>
            </w:r>
          </w:p>
        </w:tc>
        <w:tc>
          <w:tcPr>
            <w:tcW w:w="760" w:type="dxa"/>
            <w:vAlign w:val="bottom"/>
            <w:tcBorders>
              <w:right w:val="single" w:sz="8" w:color="auto"/>
            </w:tcBorders>
          </w:tcPr>
          <w:p>
            <w:pPr>
              <w:jc w:val="center"/>
              <w:ind w:right="223"/>
              <w:spacing w:after="0"/>
              <w:rPr>
                <w:sz w:val="20"/>
                <w:szCs w:val="20"/>
                <w:color w:val="auto"/>
              </w:rPr>
            </w:pPr>
            <w:r>
              <w:rPr>
                <w:rFonts w:ascii="Calibri" w:cs="Calibri" w:eastAsia="Calibri" w:hAnsi="Calibri"/>
                <w:sz w:val="11"/>
                <w:szCs w:val="11"/>
                <w:color w:val="auto"/>
              </w:rPr>
              <w:t>-17.8%</w:t>
            </w:r>
          </w:p>
        </w:tc>
        <w:tc>
          <w:tcPr>
            <w:tcW w:w="800" w:type="dxa"/>
            <w:vAlign w:val="bottom"/>
          </w:tcPr>
          <w:p>
            <w:pPr>
              <w:jc w:val="center"/>
              <w:ind w:left="103"/>
              <w:spacing w:after="0"/>
              <w:rPr>
                <w:sz w:val="20"/>
                <w:szCs w:val="20"/>
                <w:color w:val="auto"/>
              </w:rPr>
            </w:pPr>
            <w:r>
              <w:rPr>
                <w:rFonts w:ascii="Calibri" w:cs="Calibri" w:eastAsia="Calibri" w:hAnsi="Calibri"/>
                <w:sz w:val="11"/>
                <w:szCs w:val="11"/>
                <w:color w:val="auto"/>
              </w:rPr>
              <w:t>(44,855)</w:t>
            </w:r>
          </w:p>
        </w:tc>
        <w:tc>
          <w:tcPr>
            <w:tcW w:w="1180" w:type="dxa"/>
            <w:vAlign w:val="bottom"/>
            <w:tcBorders>
              <w:right w:val="single" w:sz="8" w:color="auto"/>
            </w:tcBorders>
          </w:tcPr>
          <w:p>
            <w:pPr>
              <w:jc w:val="center"/>
              <w:ind w:left="103"/>
              <w:spacing w:after="0"/>
              <w:rPr>
                <w:sz w:val="20"/>
                <w:szCs w:val="20"/>
                <w:color w:val="auto"/>
              </w:rPr>
            </w:pPr>
            <w:r>
              <w:rPr>
                <w:rFonts w:ascii="Calibri" w:cs="Calibri" w:eastAsia="Calibri" w:hAnsi="Calibri"/>
                <w:sz w:val="11"/>
                <w:szCs w:val="11"/>
                <w:color w:val="auto"/>
              </w:rPr>
              <w:t>(28,760)</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color w:val="auto"/>
              </w:rPr>
              <w:t>-35.9%</w:t>
            </w:r>
          </w:p>
        </w:tc>
      </w:tr>
      <w:tr>
        <w:trPr>
          <w:trHeight w:val="262"/>
        </w:trPr>
        <w:tc>
          <w:tcPr>
            <w:tcW w:w="2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income before Medical services</w:t>
            </w:r>
          </w:p>
        </w:tc>
        <w:tc>
          <w:tcPr>
            <w:tcW w:w="960" w:type="dxa"/>
            <w:vAlign w:val="bottom"/>
          </w:tcPr>
          <w:p>
            <w:pPr>
              <w:jc w:val="center"/>
              <w:spacing w:after="0"/>
              <w:rPr>
                <w:sz w:val="20"/>
                <w:szCs w:val="20"/>
                <w:color w:val="auto"/>
              </w:rPr>
            </w:pPr>
            <w:r>
              <w:rPr>
                <w:rFonts w:ascii="Calibri" w:cs="Calibri" w:eastAsia="Calibri" w:hAnsi="Calibri"/>
                <w:sz w:val="11"/>
                <w:szCs w:val="11"/>
                <w:b w:val="1"/>
                <w:bCs w:val="1"/>
                <w:color w:val="auto"/>
              </w:rPr>
              <w:t>30,602</w:t>
            </w:r>
          </w:p>
        </w:tc>
        <w:tc>
          <w:tcPr>
            <w:tcW w:w="1000" w:type="dxa"/>
            <w:vAlign w:val="bottom"/>
          </w:tcPr>
          <w:p>
            <w:pPr>
              <w:jc w:val="center"/>
              <w:spacing w:after="0"/>
              <w:rPr>
                <w:sz w:val="20"/>
                <w:szCs w:val="20"/>
                <w:color w:val="auto"/>
              </w:rPr>
            </w:pPr>
            <w:r>
              <w:rPr>
                <w:rFonts w:ascii="Calibri" w:cs="Calibri" w:eastAsia="Calibri" w:hAnsi="Calibri"/>
                <w:sz w:val="11"/>
                <w:szCs w:val="11"/>
                <w:b w:val="1"/>
                <w:bCs w:val="1"/>
                <w:color w:val="auto"/>
              </w:rPr>
              <w:t>12,448</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26,695</w:t>
            </w:r>
          </w:p>
        </w:tc>
        <w:tc>
          <w:tcPr>
            <w:tcW w:w="1240" w:type="dxa"/>
            <w:vAlign w:val="bottom"/>
          </w:tcPr>
          <w:p>
            <w:pPr>
              <w:jc w:val="center"/>
              <w:ind w:right="203"/>
              <w:spacing w:after="0"/>
              <w:rPr>
                <w:sz w:val="20"/>
                <w:szCs w:val="20"/>
                <w:color w:val="auto"/>
              </w:rPr>
            </w:pPr>
            <w:r>
              <w:rPr>
                <w:rFonts w:ascii="Calibri" w:cs="Calibri" w:eastAsia="Calibri" w:hAnsi="Calibri"/>
                <w:sz w:val="11"/>
                <w:szCs w:val="11"/>
                <w:b w:val="1"/>
                <w:bCs w:val="1"/>
                <w:color w:val="auto"/>
              </w:rPr>
              <w:t>114.5%</w:t>
            </w:r>
          </w:p>
        </w:tc>
        <w:tc>
          <w:tcPr>
            <w:tcW w:w="760" w:type="dxa"/>
            <w:vAlign w:val="bottom"/>
            <w:tcBorders>
              <w:right w:val="single" w:sz="8" w:color="auto"/>
            </w:tcBorders>
          </w:tcPr>
          <w:p>
            <w:pPr>
              <w:jc w:val="center"/>
              <w:ind w:right="223"/>
              <w:spacing w:after="0"/>
              <w:rPr>
                <w:sz w:val="20"/>
                <w:szCs w:val="20"/>
                <w:color w:val="auto"/>
              </w:rPr>
            </w:pPr>
            <w:r>
              <w:rPr>
                <w:rFonts w:ascii="Calibri" w:cs="Calibri" w:eastAsia="Calibri" w:hAnsi="Calibri"/>
                <w:sz w:val="11"/>
                <w:szCs w:val="11"/>
                <w:b w:val="1"/>
                <w:bCs w:val="1"/>
                <w:color w:val="auto"/>
              </w:rPr>
              <w:t>-12.8%</w:t>
            </w:r>
          </w:p>
        </w:tc>
        <w:tc>
          <w:tcPr>
            <w:tcW w:w="800" w:type="dxa"/>
            <w:vAlign w:val="bottom"/>
          </w:tcPr>
          <w:p>
            <w:pPr>
              <w:jc w:val="center"/>
              <w:ind w:left="103"/>
              <w:spacing w:after="0"/>
              <w:rPr>
                <w:sz w:val="20"/>
                <w:szCs w:val="20"/>
                <w:color w:val="auto"/>
              </w:rPr>
            </w:pPr>
            <w:r>
              <w:rPr>
                <w:rFonts w:ascii="Calibri" w:cs="Calibri" w:eastAsia="Calibri" w:hAnsi="Calibri"/>
                <w:sz w:val="11"/>
                <w:szCs w:val="11"/>
                <w:b w:val="1"/>
                <w:bCs w:val="1"/>
                <w:color w:val="auto"/>
              </w:rPr>
              <w:t>86,367</w:t>
            </w:r>
          </w:p>
        </w:tc>
        <w:tc>
          <w:tcPr>
            <w:tcW w:w="1180" w:type="dxa"/>
            <w:vAlign w:val="bottom"/>
            <w:tcBorders>
              <w:right w:val="single" w:sz="8" w:color="auto"/>
            </w:tcBorders>
          </w:tcPr>
          <w:p>
            <w:pPr>
              <w:jc w:val="center"/>
              <w:ind w:left="103"/>
              <w:spacing w:after="0"/>
              <w:rPr>
                <w:sz w:val="20"/>
                <w:szCs w:val="20"/>
                <w:color w:val="auto"/>
              </w:rPr>
            </w:pPr>
            <w:r>
              <w:rPr>
                <w:rFonts w:ascii="Calibri" w:cs="Calibri" w:eastAsia="Calibri" w:hAnsi="Calibri"/>
                <w:sz w:val="11"/>
                <w:szCs w:val="11"/>
                <w:b w:val="1"/>
                <w:bCs w:val="1"/>
                <w:color w:val="auto"/>
                <w:w w:val="97"/>
              </w:rPr>
              <w:t>69,092</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-20.0%</w:t>
            </w:r>
          </w:p>
        </w:tc>
      </w:tr>
      <w:tr>
        <w:trPr>
          <w:trHeight w:val="262"/>
        </w:trPr>
        <w:tc>
          <w:tcPr>
            <w:tcW w:w="2740" w:type="dxa"/>
            <w:vAlign w:val="bottom"/>
            <w:tcBorders>
              <w:left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income of Medical services</w:t>
            </w:r>
          </w:p>
        </w:tc>
        <w:tc>
          <w:tcPr>
            <w:tcW w:w="960" w:type="dxa"/>
            <w:vAlign w:val="bottom"/>
          </w:tcPr>
          <w:p>
            <w:pPr>
              <w:jc w:val="center"/>
              <w:spacing w:after="0"/>
              <w:rPr>
                <w:sz w:val="20"/>
                <w:szCs w:val="20"/>
                <w:color w:val="auto"/>
              </w:rPr>
            </w:pPr>
            <w:r>
              <w:rPr>
                <w:rFonts w:ascii="Calibri" w:cs="Calibri" w:eastAsia="Calibri" w:hAnsi="Calibri"/>
                <w:sz w:val="11"/>
                <w:szCs w:val="11"/>
                <w:b w:val="1"/>
                <w:bCs w:val="1"/>
                <w:color w:val="auto"/>
              </w:rPr>
              <w:t>30,083</w:t>
            </w:r>
          </w:p>
        </w:tc>
        <w:tc>
          <w:tcPr>
            <w:tcW w:w="1000" w:type="dxa"/>
            <w:vAlign w:val="bottom"/>
          </w:tcPr>
          <w:p>
            <w:pPr>
              <w:jc w:val="center"/>
              <w:spacing w:after="0"/>
              <w:rPr>
                <w:sz w:val="20"/>
                <w:szCs w:val="20"/>
                <w:color w:val="auto"/>
              </w:rPr>
            </w:pPr>
            <w:r>
              <w:rPr>
                <w:rFonts w:ascii="Calibri" w:cs="Calibri" w:eastAsia="Calibri" w:hAnsi="Calibri"/>
                <w:sz w:val="11"/>
                <w:szCs w:val="11"/>
                <w:b w:val="1"/>
                <w:bCs w:val="1"/>
                <w:color w:val="auto"/>
              </w:rPr>
              <w:t>40,519</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33,837</w:t>
            </w:r>
          </w:p>
        </w:tc>
        <w:tc>
          <w:tcPr>
            <w:tcW w:w="1240" w:type="dxa"/>
            <w:vAlign w:val="bottom"/>
          </w:tcPr>
          <w:p>
            <w:pPr>
              <w:jc w:val="center"/>
              <w:ind w:right="223"/>
              <w:spacing w:after="0"/>
              <w:rPr>
                <w:sz w:val="20"/>
                <w:szCs w:val="20"/>
                <w:color w:val="auto"/>
              </w:rPr>
            </w:pPr>
            <w:r>
              <w:rPr>
                <w:rFonts w:ascii="Calibri" w:cs="Calibri" w:eastAsia="Calibri" w:hAnsi="Calibri"/>
                <w:sz w:val="11"/>
                <w:szCs w:val="11"/>
                <w:b w:val="1"/>
                <w:bCs w:val="1"/>
                <w:color w:val="auto"/>
              </w:rPr>
              <w:t>-16.5%</w:t>
            </w:r>
          </w:p>
        </w:tc>
        <w:tc>
          <w:tcPr>
            <w:tcW w:w="760" w:type="dxa"/>
            <w:vAlign w:val="bottom"/>
            <w:tcBorders>
              <w:right w:val="single" w:sz="8" w:color="auto"/>
            </w:tcBorders>
          </w:tcPr>
          <w:p>
            <w:pPr>
              <w:jc w:val="center"/>
              <w:ind w:right="223"/>
              <w:spacing w:after="0"/>
              <w:rPr>
                <w:sz w:val="20"/>
                <w:szCs w:val="20"/>
                <w:color w:val="auto"/>
              </w:rPr>
            </w:pPr>
            <w:r>
              <w:rPr>
                <w:rFonts w:ascii="Calibri" w:cs="Calibri" w:eastAsia="Calibri" w:hAnsi="Calibri"/>
                <w:sz w:val="11"/>
                <w:szCs w:val="11"/>
                <w:b w:val="1"/>
                <w:bCs w:val="1"/>
                <w:color w:val="auto"/>
              </w:rPr>
              <w:t>12.5%</w:t>
            </w:r>
          </w:p>
        </w:tc>
        <w:tc>
          <w:tcPr>
            <w:tcW w:w="800" w:type="dxa"/>
            <w:vAlign w:val="bottom"/>
          </w:tcPr>
          <w:p>
            <w:pPr>
              <w:jc w:val="center"/>
              <w:ind w:left="103"/>
              <w:spacing w:after="0"/>
              <w:rPr>
                <w:sz w:val="20"/>
                <w:szCs w:val="20"/>
                <w:color w:val="auto"/>
              </w:rPr>
            </w:pPr>
            <w:r>
              <w:rPr>
                <w:rFonts w:ascii="Calibri" w:cs="Calibri" w:eastAsia="Calibri" w:hAnsi="Calibri"/>
                <w:sz w:val="11"/>
                <w:szCs w:val="11"/>
                <w:b w:val="1"/>
                <w:bCs w:val="1"/>
                <w:color w:val="auto"/>
                <w:w w:val="99"/>
              </w:rPr>
              <w:t>118,449</w:t>
            </w:r>
          </w:p>
        </w:tc>
        <w:tc>
          <w:tcPr>
            <w:tcW w:w="1180" w:type="dxa"/>
            <w:vAlign w:val="bottom"/>
            <w:tcBorders>
              <w:right w:val="single" w:sz="8" w:color="auto"/>
            </w:tcBorders>
          </w:tcPr>
          <w:p>
            <w:pPr>
              <w:jc w:val="center"/>
              <w:ind w:left="103"/>
              <w:spacing w:after="0"/>
              <w:rPr>
                <w:sz w:val="20"/>
                <w:szCs w:val="20"/>
                <w:color w:val="auto"/>
              </w:rPr>
            </w:pPr>
            <w:r>
              <w:rPr>
                <w:rFonts w:ascii="Calibri" w:cs="Calibri" w:eastAsia="Calibri" w:hAnsi="Calibri"/>
                <w:sz w:val="11"/>
                <w:szCs w:val="11"/>
                <w:b w:val="1"/>
                <w:bCs w:val="1"/>
                <w:color w:val="auto"/>
              </w:rPr>
              <w:t>138,156</w:t>
            </w:r>
          </w:p>
        </w:tc>
        <w:tc>
          <w:tcPr>
            <w:tcW w:w="1560" w:type="dxa"/>
            <w:vAlign w:val="bottom"/>
            <w:tcBorders>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16.6%</w:t>
            </w:r>
          </w:p>
        </w:tc>
      </w:tr>
      <w:tr>
        <w:trPr>
          <w:trHeight w:val="268"/>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Calibri" w:cs="Calibri" w:eastAsia="Calibri" w:hAnsi="Calibri"/>
                <w:sz w:val="11"/>
                <w:szCs w:val="11"/>
                <w:b w:val="1"/>
                <w:bCs w:val="1"/>
                <w:color w:val="auto"/>
              </w:rPr>
              <w:t>Net income</w:t>
            </w: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60,685</w:t>
            </w:r>
          </w:p>
        </w:tc>
        <w:tc>
          <w:tcPr>
            <w:tcW w:w="1000" w:type="dxa"/>
            <w:vAlign w:val="bottom"/>
            <w:tcBorders>
              <w:bottom w:val="single" w:sz="8" w:color="auto"/>
            </w:tcBorders>
          </w:tcPr>
          <w:p>
            <w:pPr>
              <w:jc w:val="center"/>
              <w:spacing w:after="0"/>
              <w:rPr>
                <w:sz w:val="20"/>
                <w:szCs w:val="20"/>
                <w:color w:val="auto"/>
              </w:rPr>
            </w:pPr>
            <w:r>
              <w:rPr>
                <w:rFonts w:ascii="Calibri" w:cs="Calibri" w:eastAsia="Calibri" w:hAnsi="Calibri"/>
                <w:sz w:val="11"/>
                <w:szCs w:val="11"/>
                <w:b w:val="1"/>
                <w:bCs w:val="1"/>
                <w:color w:val="auto"/>
              </w:rPr>
              <w:t>52,967</w:t>
            </w:r>
          </w:p>
        </w:tc>
        <w:tc>
          <w:tcPr>
            <w:tcW w:w="100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60,531</w:t>
            </w:r>
          </w:p>
        </w:tc>
        <w:tc>
          <w:tcPr>
            <w:tcW w:w="1240" w:type="dxa"/>
            <w:vAlign w:val="bottom"/>
            <w:tcBorders>
              <w:bottom w:val="single" w:sz="8" w:color="auto"/>
            </w:tcBorders>
          </w:tcPr>
          <w:p>
            <w:pPr>
              <w:jc w:val="center"/>
              <w:ind w:right="203"/>
              <w:spacing w:after="0"/>
              <w:rPr>
                <w:sz w:val="20"/>
                <w:szCs w:val="20"/>
                <w:color w:val="auto"/>
              </w:rPr>
            </w:pPr>
            <w:r>
              <w:rPr>
                <w:rFonts w:ascii="Calibri" w:cs="Calibri" w:eastAsia="Calibri" w:hAnsi="Calibri"/>
                <w:sz w:val="11"/>
                <w:szCs w:val="11"/>
                <w:b w:val="1"/>
                <w:bCs w:val="1"/>
                <w:color w:val="auto"/>
              </w:rPr>
              <w:t>14.3%</w:t>
            </w:r>
          </w:p>
        </w:tc>
        <w:tc>
          <w:tcPr>
            <w:tcW w:w="760" w:type="dxa"/>
            <w:vAlign w:val="bottom"/>
            <w:tcBorders>
              <w:bottom w:val="single" w:sz="8" w:color="auto"/>
              <w:right w:val="single" w:sz="8" w:color="auto"/>
            </w:tcBorders>
          </w:tcPr>
          <w:p>
            <w:pPr>
              <w:jc w:val="center"/>
              <w:ind w:right="243"/>
              <w:spacing w:after="0"/>
              <w:rPr>
                <w:sz w:val="20"/>
                <w:szCs w:val="20"/>
                <w:color w:val="auto"/>
              </w:rPr>
            </w:pPr>
            <w:r>
              <w:rPr>
                <w:rFonts w:ascii="Calibri" w:cs="Calibri" w:eastAsia="Calibri" w:hAnsi="Calibri"/>
                <w:sz w:val="11"/>
                <w:szCs w:val="11"/>
                <w:b w:val="1"/>
                <w:bCs w:val="1"/>
                <w:color w:val="auto"/>
              </w:rPr>
              <w:t>-0.3%</w:t>
            </w:r>
          </w:p>
        </w:tc>
        <w:tc>
          <w:tcPr>
            <w:tcW w:w="800" w:type="dxa"/>
            <w:vAlign w:val="bottom"/>
            <w:tcBorders>
              <w:bottom w:val="single" w:sz="8" w:color="auto"/>
            </w:tcBorders>
          </w:tcPr>
          <w:p>
            <w:pPr>
              <w:jc w:val="center"/>
              <w:ind w:left="103"/>
              <w:spacing w:after="0"/>
              <w:rPr>
                <w:sz w:val="20"/>
                <w:szCs w:val="20"/>
                <w:color w:val="auto"/>
              </w:rPr>
            </w:pPr>
            <w:r>
              <w:rPr>
                <w:rFonts w:ascii="Calibri" w:cs="Calibri" w:eastAsia="Calibri" w:hAnsi="Calibri"/>
                <w:sz w:val="11"/>
                <w:szCs w:val="11"/>
                <w:b w:val="1"/>
                <w:bCs w:val="1"/>
                <w:color w:val="auto"/>
                <w:w w:val="99"/>
              </w:rPr>
              <w:t>204,816</w:t>
            </w:r>
          </w:p>
        </w:tc>
        <w:tc>
          <w:tcPr>
            <w:tcW w:w="1180" w:type="dxa"/>
            <w:vAlign w:val="bottom"/>
            <w:tcBorders>
              <w:bottom w:val="single" w:sz="8" w:color="auto"/>
              <w:right w:val="single" w:sz="8" w:color="auto"/>
            </w:tcBorders>
          </w:tcPr>
          <w:p>
            <w:pPr>
              <w:jc w:val="center"/>
              <w:ind w:left="103"/>
              <w:spacing w:after="0"/>
              <w:rPr>
                <w:sz w:val="20"/>
                <w:szCs w:val="20"/>
                <w:color w:val="auto"/>
              </w:rPr>
            </w:pPr>
            <w:r>
              <w:rPr>
                <w:rFonts w:ascii="Calibri" w:cs="Calibri" w:eastAsia="Calibri" w:hAnsi="Calibri"/>
                <w:sz w:val="11"/>
                <w:szCs w:val="11"/>
                <w:b w:val="1"/>
                <w:bCs w:val="1"/>
                <w:color w:val="auto"/>
              </w:rPr>
              <w:t>207,248</w:t>
            </w:r>
          </w:p>
        </w:tc>
        <w:tc>
          <w:tcPr>
            <w:tcW w:w="1560" w:type="dxa"/>
            <w:vAlign w:val="bottom"/>
            <w:tcBorders>
              <w:bottom w:val="single" w:sz="8" w:color="auto"/>
              <w:right w:val="single" w:sz="8" w:color="auto"/>
            </w:tcBorders>
          </w:tcPr>
          <w:p>
            <w:pPr>
              <w:jc w:val="center"/>
              <w:spacing w:after="0"/>
              <w:rPr>
                <w:sz w:val="20"/>
                <w:szCs w:val="20"/>
                <w:color w:val="auto"/>
              </w:rPr>
            </w:pPr>
            <w:r>
              <w:rPr>
                <w:rFonts w:ascii="Calibri" w:cs="Calibri" w:eastAsia="Calibri" w:hAnsi="Calibri"/>
                <w:sz w:val="11"/>
                <w:szCs w:val="11"/>
                <w:b w:val="1"/>
                <w:bCs w:val="1"/>
                <w:color w:val="auto"/>
              </w:rPr>
              <w:t>1.2%</w:t>
            </w:r>
          </w:p>
        </w:tc>
      </w:tr>
    </w:tbl>
    <w:p>
      <w:pPr>
        <w:ind w:left="840"/>
        <w:spacing w:after="0" w:line="221" w:lineRule="auto"/>
        <w:rPr>
          <w:sz w:val="20"/>
          <w:szCs w:val="20"/>
          <w:color w:val="auto"/>
        </w:rPr>
      </w:pPr>
      <w:r>
        <w:rPr>
          <w:rFonts w:ascii="Calibri" w:cs="Calibri" w:eastAsia="Calibri" w:hAnsi="Calibri"/>
          <w:sz w:val="12"/>
          <w:szCs w:val="12"/>
          <w:color w:val="auto"/>
        </w:rPr>
        <w:t>(1) Reported under IFRS 4 standards.</w:t>
      </w:r>
    </w:p>
    <w:p>
      <w:pPr>
        <w:spacing w:after="0" w:line="30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9" w:name="page70"/>
    <w:bookmarkEnd w:id="69"/>
    <w:tbl>
      <w:tblPr>
        <w:tblLayout w:type="fixed"/>
        <w:tblInd w:w="10" w:type="dxa"/>
        <w:tblCellMar>
          <w:top w:w="0" w:type="dxa"/>
          <w:left w:w="0" w:type="dxa"/>
          <w:bottom w:w="0" w:type="dxa"/>
          <w:right w:w="0" w:type="dxa"/>
        </w:tblCellMar>
      </w:tblPr>
      <w:tr>
        <w:trPr>
          <w:trHeight w:val="415"/>
        </w:trPr>
        <w:tc>
          <w:tcPr>
            <w:tcW w:w="2560" w:type="dxa"/>
            <w:vAlign w:val="bottom"/>
            <w:tcBorders>
              <w:left w:val="single" w:sz="8" w:color="auto"/>
            </w:tcBorders>
            <w:shd w:val="clear" w:color="auto" w:fill="000000"/>
          </w:tcPr>
          <w:p>
            <w:pPr>
              <w:spacing w:after="0"/>
              <w:rPr>
                <w:sz w:val="24"/>
                <w:szCs w:val="24"/>
                <w:color w:val="auto"/>
              </w:rPr>
            </w:pPr>
          </w:p>
        </w:tc>
        <w:tc>
          <w:tcPr>
            <w:tcW w:w="2180" w:type="dxa"/>
            <w:vAlign w:val="bottom"/>
            <w:gridSpan w:val="2"/>
            <w:shd w:val="clear" w:color="auto" w:fill="000000"/>
          </w:tcPr>
          <w:p>
            <w:pPr>
              <w:ind w:left="120"/>
              <w:spacing w:after="0"/>
              <w:rPr>
                <w:sz w:val="20"/>
                <w:szCs w:val="20"/>
                <w:color w:val="auto"/>
              </w:rPr>
            </w:pPr>
            <w:r>
              <w:rPr>
                <w:rFonts w:ascii="Calibri" w:cs="Calibri" w:eastAsia="Calibri" w:hAnsi="Calibri"/>
                <w:sz w:val="19"/>
                <w:szCs w:val="19"/>
                <w:color w:val="A6A6A6"/>
              </w:rPr>
              <w:t xml:space="preserve">|  </w:t>
            </w:r>
            <w:r>
              <w:rPr>
                <w:rFonts w:ascii="Calibri" w:cs="Calibri" w:eastAsia="Calibri" w:hAnsi="Calibri"/>
                <w:sz w:val="15"/>
                <w:szCs w:val="15"/>
                <w:color w:val="FFFFFF"/>
              </w:rPr>
              <w:t>Earnings Release 4Q / 2024</w:t>
            </w:r>
          </w:p>
        </w:tc>
        <w:tc>
          <w:tcPr>
            <w:tcW w:w="700" w:type="dxa"/>
            <w:vAlign w:val="bottom"/>
            <w:shd w:val="clear" w:color="auto" w:fill="000000"/>
          </w:tcPr>
          <w:p>
            <w:pPr>
              <w:spacing w:after="0"/>
              <w:rPr>
                <w:sz w:val="24"/>
                <w:szCs w:val="24"/>
                <w:color w:val="auto"/>
              </w:rPr>
            </w:pPr>
          </w:p>
        </w:tc>
        <w:tc>
          <w:tcPr>
            <w:tcW w:w="940" w:type="dxa"/>
            <w:vAlign w:val="bottom"/>
            <w:tcBorders>
              <w:right w:val="single" w:sz="8" w:color="auto"/>
            </w:tcBorders>
            <w:shd w:val="clear" w:color="auto" w:fill="000000"/>
          </w:tcPr>
          <w:p>
            <w:pPr>
              <w:spacing w:after="0"/>
              <w:rPr>
                <w:sz w:val="24"/>
                <w:szCs w:val="24"/>
                <w:color w:val="auto"/>
              </w:rPr>
            </w:pPr>
          </w:p>
        </w:tc>
        <w:tc>
          <w:tcPr>
            <w:tcW w:w="1140" w:type="dxa"/>
            <w:vAlign w:val="bottom"/>
            <w:shd w:val="clear" w:color="auto" w:fill="000000"/>
          </w:tcPr>
          <w:p>
            <w:pPr>
              <w:spacing w:after="0"/>
              <w:rPr>
                <w:sz w:val="24"/>
                <w:szCs w:val="24"/>
                <w:color w:val="auto"/>
              </w:rPr>
            </w:pPr>
          </w:p>
        </w:tc>
        <w:tc>
          <w:tcPr>
            <w:tcW w:w="2640" w:type="dxa"/>
            <w:vAlign w:val="bottom"/>
            <w:gridSpan w:val="4"/>
            <w:shd w:val="clear" w:color="auto" w:fill="000000"/>
          </w:tcPr>
          <w:p>
            <w:pPr>
              <w:ind w:left="140"/>
              <w:spacing w:after="0"/>
              <w:rPr>
                <w:sz w:val="20"/>
                <w:szCs w:val="20"/>
                <w:color w:val="auto"/>
              </w:rPr>
            </w:pPr>
            <w:r>
              <w:rPr>
                <w:rFonts w:ascii="Calibri" w:cs="Calibri" w:eastAsia="Calibri" w:hAnsi="Calibri"/>
                <w:sz w:val="16"/>
                <w:szCs w:val="16"/>
                <w:color w:val="ED3FA8"/>
              </w:rPr>
              <w:t>Analysis of 4Q24 Consolidated Results</w:t>
            </w:r>
          </w:p>
        </w:tc>
        <w:tc>
          <w:tcPr>
            <w:tcW w:w="1080" w:type="dxa"/>
            <w:vAlign w:val="bottom"/>
            <w:tcBorders>
              <w:right w:val="single" w:sz="8" w:color="auto"/>
            </w:tcBorders>
            <w:shd w:val="clear" w:color="auto" w:fill="000000"/>
          </w:tcPr>
          <w:p>
            <w:pPr>
              <w:spacing w:after="0"/>
              <w:rPr>
                <w:sz w:val="24"/>
                <w:szCs w:val="24"/>
                <w:color w:val="auto"/>
              </w:rPr>
            </w:pPr>
          </w:p>
        </w:tc>
      </w:tr>
      <w:tr>
        <w:trPr>
          <w:trHeight w:val="240"/>
        </w:trPr>
        <w:tc>
          <w:tcPr>
            <w:tcW w:w="2560" w:type="dxa"/>
            <w:vAlign w:val="bottom"/>
            <w:tcBorders>
              <w:left w:val="single" w:sz="8" w:color="auto"/>
            </w:tcBorders>
            <w:shd w:val="clear" w:color="auto" w:fill="000000"/>
          </w:tcPr>
          <w:p>
            <w:pPr>
              <w:spacing w:after="0"/>
              <w:rPr>
                <w:sz w:val="20"/>
                <w:szCs w:val="20"/>
                <w:color w:val="auto"/>
              </w:rPr>
            </w:pPr>
          </w:p>
        </w:tc>
        <w:tc>
          <w:tcPr>
            <w:tcW w:w="1060" w:type="dxa"/>
            <w:vAlign w:val="bottom"/>
            <w:tcBorders>
              <w:right w:val="single" w:sz="8" w:color="auto"/>
            </w:tcBorders>
            <w:shd w:val="clear" w:color="auto" w:fill="000000"/>
          </w:tcPr>
          <w:p>
            <w:pPr>
              <w:spacing w:after="0"/>
              <w:rPr>
                <w:sz w:val="20"/>
                <w:szCs w:val="20"/>
                <w:color w:val="auto"/>
              </w:rPr>
            </w:pPr>
          </w:p>
        </w:tc>
        <w:tc>
          <w:tcPr>
            <w:tcW w:w="1120" w:type="dxa"/>
            <w:vAlign w:val="bottom"/>
            <w:shd w:val="clear" w:color="auto" w:fill="000000"/>
          </w:tcPr>
          <w:p>
            <w:pPr>
              <w:spacing w:after="0"/>
              <w:rPr>
                <w:sz w:val="20"/>
                <w:szCs w:val="20"/>
                <w:color w:val="auto"/>
              </w:rPr>
            </w:pPr>
          </w:p>
        </w:tc>
        <w:tc>
          <w:tcPr>
            <w:tcW w:w="700" w:type="dxa"/>
            <w:vAlign w:val="bottom"/>
            <w:shd w:val="clear" w:color="auto" w:fill="000000"/>
          </w:tcPr>
          <w:p>
            <w:pPr>
              <w:spacing w:after="0"/>
              <w:rPr>
                <w:sz w:val="20"/>
                <w:szCs w:val="20"/>
                <w:color w:val="auto"/>
              </w:rPr>
            </w:pPr>
          </w:p>
        </w:tc>
        <w:tc>
          <w:tcPr>
            <w:tcW w:w="940" w:type="dxa"/>
            <w:vAlign w:val="bottom"/>
            <w:tcBorders>
              <w:right w:val="single" w:sz="8" w:color="auto"/>
            </w:tcBorders>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680" w:type="dxa"/>
            <w:vAlign w:val="bottom"/>
            <w:tcBorders>
              <w:right w:val="single" w:sz="8" w:color="auto"/>
            </w:tcBorders>
            <w:shd w:val="clear" w:color="auto" w:fill="000000"/>
          </w:tcPr>
          <w:p>
            <w:pPr>
              <w:spacing w:after="0"/>
              <w:rPr>
                <w:sz w:val="20"/>
                <w:szCs w:val="20"/>
                <w:color w:val="auto"/>
              </w:rPr>
            </w:pPr>
          </w:p>
        </w:tc>
        <w:tc>
          <w:tcPr>
            <w:tcW w:w="740" w:type="dxa"/>
            <w:vAlign w:val="bottom"/>
            <w:shd w:val="clear" w:color="auto" w:fill="000000"/>
          </w:tcPr>
          <w:p>
            <w:pPr>
              <w:spacing w:after="0"/>
              <w:rPr>
                <w:sz w:val="20"/>
                <w:szCs w:val="20"/>
                <w:color w:val="auto"/>
              </w:rPr>
            </w:pPr>
          </w:p>
        </w:tc>
        <w:tc>
          <w:tcPr>
            <w:tcW w:w="1120" w:type="dxa"/>
            <w:vAlign w:val="bottom"/>
            <w:tcBorders>
              <w:right w:val="single" w:sz="8" w:color="auto"/>
            </w:tcBorders>
            <w:shd w:val="clear" w:color="auto" w:fill="000000"/>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1080" w:type="dxa"/>
            <w:vAlign w:val="bottom"/>
            <w:tcBorders>
              <w:right w:val="single" w:sz="8" w:color="auto"/>
            </w:tcBorders>
            <w:shd w:val="clear" w:color="auto" w:fill="000000"/>
          </w:tcPr>
          <w:p>
            <w:pPr>
              <w:spacing w:after="0"/>
              <w:rPr>
                <w:sz w:val="20"/>
                <w:szCs w:val="20"/>
                <w:color w:val="auto"/>
              </w:rPr>
            </w:pPr>
          </w:p>
        </w:tc>
      </w:tr>
      <w:tr>
        <w:trPr>
          <w:trHeight w:val="258"/>
        </w:trPr>
        <w:tc>
          <w:tcPr>
            <w:tcW w:w="2560" w:type="dxa"/>
            <w:vAlign w:val="bottom"/>
            <w:tcBorders>
              <w:left w:val="single" w:sz="8" w:color="E93BAC"/>
            </w:tcBorders>
            <w:shd w:val="clear" w:color="auto" w:fill="E93BAC"/>
          </w:tcPr>
          <w:p>
            <w:pPr>
              <w:ind w:left="80"/>
              <w:spacing w:after="0"/>
              <w:rPr>
                <w:sz w:val="20"/>
                <w:szCs w:val="20"/>
                <w:color w:val="auto"/>
              </w:rPr>
            </w:pPr>
            <w:r>
              <w:rPr>
                <w:rFonts w:ascii="Calibri" w:cs="Calibri" w:eastAsia="Calibri" w:hAnsi="Calibri"/>
                <w:sz w:val="19"/>
                <w:szCs w:val="19"/>
                <w:b w:val="1"/>
                <w:bCs w:val="1"/>
                <w:color w:val="FFFFFF"/>
              </w:rPr>
              <w:t>12. Appendix</w:t>
            </w:r>
          </w:p>
        </w:tc>
        <w:tc>
          <w:tcPr>
            <w:tcW w:w="1060" w:type="dxa"/>
            <w:vAlign w:val="bottom"/>
            <w:tcBorders>
              <w:right w:val="single" w:sz="8" w:color="E93BAC"/>
            </w:tcBorders>
            <w:shd w:val="clear" w:color="auto" w:fill="E93BAC"/>
          </w:tcPr>
          <w:p>
            <w:pPr>
              <w:spacing w:after="0"/>
              <w:rPr>
                <w:sz w:val="22"/>
                <w:szCs w:val="22"/>
                <w:color w:val="auto"/>
              </w:rPr>
            </w:pPr>
          </w:p>
        </w:tc>
        <w:tc>
          <w:tcPr>
            <w:tcW w:w="1120" w:type="dxa"/>
            <w:vAlign w:val="bottom"/>
            <w:shd w:val="clear" w:color="auto" w:fill="E93BAC"/>
          </w:tcPr>
          <w:p>
            <w:pPr>
              <w:spacing w:after="0"/>
              <w:rPr>
                <w:sz w:val="22"/>
                <w:szCs w:val="22"/>
                <w:color w:val="auto"/>
              </w:rPr>
            </w:pPr>
          </w:p>
        </w:tc>
        <w:tc>
          <w:tcPr>
            <w:tcW w:w="700" w:type="dxa"/>
            <w:vAlign w:val="bottom"/>
            <w:shd w:val="clear" w:color="auto" w:fill="E93BAC"/>
          </w:tcPr>
          <w:p>
            <w:pPr>
              <w:spacing w:after="0"/>
              <w:rPr>
                <w:sz w:val="22"/>
                <w:szCs w:val="22"/>
                <w:color w:val="auto"/>
              </w:rPr>
            </w:pPr>
          </w:p>
        </w:tc>
        <w:tc>
          <w:tcPr>
            <w:tcW w:w="940" w:type="dxa"/>
            <w:vAlign w:val="bottom"/>
            <w:tcBorders>
              <w:right w:val="single" w:sz="8" w:color="E93BAC"/>
            </w:tcBorders>
            <w:shd w:val="clear" w:color="auto" w:fill="E93BAC"/>
          </w:tcPr>
          <w:p>
            <w:pPr>
              <w:spacing w:after="0"/>
              <w:rPr>
                <w:sz w:val="22"/>
                <w:szCs w:val="22"/>
                <w:color w:val="auto"/>
              </w:rPr>
            </w:pPr>
          </w:p>
        </w:tc>
        <w:tc>
          <w:tcPr>
            <w:tcW w:w="1140" w:type="dxa"/>
            <w:vAlign w:val="bottom"/>
            <w:shd w:val="clear" w:color="auto" w:fill="E93BAC"/>
          </w:tcPr>
          <w:p>
            <w:pPr>
              <w:spacing w:after="0"/>
              <w:rPr>
                <w:sz w:val="22"/>
                <w:szCs w:val="22"/>
                <w:color w:val="auto"/>
              </w:rPr>
            </w:pPr>
          </w:p>
        </w:tc>
        <w:tc>
          <w:tcPr>
            <w:tcW w:w="680" w:type="dxa"/>
            <w:vAlign w:val="bottom"/>
            <w:tcBorders>
              <w:right w:val="single" w:sz="8" w:color="E93BAC"/>
            </w:tcBorders>
            <w:shd w:val="clear" w:color="auto" w:fill="E93BAC"/>
          </w:tcPr>
          <w:p>
            <w:pPr>
              <w:spacing w:after="0"/>
              <w:rPr>
                <w:sz w:val="22"/>
                <w:szCs w:val="22"/>
                <w:color w:val="auto"/>
              </w:rPr>
            </w:pPr>
          </w:p>
        </w:tc>
        <w:tc>
          <w:tcPr>
            <w:tcW w:w="740" w:type="dxa"/>
            <w:vAlign w:val="bottom"/>
            <w:shd w:val="clear" w:color="auto" w:fill="E93BAC"/>
          </w:tcPr>
          <w:p>
            <w:pPr>
              <w:spacing w:after="0"/>
              <w:rPr>
                <w:sz w:val="22"/>
                <w:szCs w:val="22"/>
                <w:color w:val="auto"/>
              </w:rPr>
            </w:pPr>
          </w:p>
        </w:tc>
        <w:tc>
          <w:tcPr>
            <w:tcW w:w="1120" w:type="dxa"/>
            <w:vAlign w:val="bottom"/>
            <w:tcBorders>
              <w:right w:val="single" w:sz="8" w:color="E93BAC"/>
            </w:tcBorders>
            <w:shd w:val="clear" w:color="auto" w:fill="E93BAC"/>
          </w:tcPr>
          <w:p>
            <w:pPr>
              <w:spacing w:after="0"/>
              <w:rPr>
                <w:sz w:val="22"/>
                <w:szCs w:val="22"/>
                <w:color w:val="auto"/>
              </w:rPr>
            </w:pPr>
          </w:p>
        </w:tc>
        <w:tc>
          <w:tcPr>
            <w:tcW w:w="100" w:type="dxa"/>
            <w:vAlign w:val="bottom"/>
            <w:shd w:val="clear" w:color="auto" w:fill="E93BAC"/>
          </w:tcPr>
          <w:p>
            <w:pPr>
              <w:spacing w:after="0"/>
              <w:rPr>
                <w:sz w:val="22"/>
                <w:szCs w:val="22"/>
                <w:color w:val="auto"/>
              </w:rPr>
            </w:pPr>
          </w:p>
        </w:tc>
        <w:tc>
          <w:tcPr>
            <w:tcW w:w="1080" w:type="dxa"/>
            <w:vAlign w:val="bottom"/>
            <w:tcBorders>
              <w:right w:val="single" w:sz="8" w:color="E93BAC"/>
            </w:tcBorders>
            <w:shd w:val="clear" w:color="auto" w:fill="E93BAC"/>
          </w:tcPr>
          <w:p>
            <w:pPr>
              <w:spacing w:after="0"/>
              <w:rPr>
                <w:sz w:val="22"/>
                <w:szCs w:val="22"/>
                <w:color w:val="auto"/>
              </w:rPr>
            </w:pPr>
          </w:p>
        </w:tc>
      </w:tr>
      <w:tr>
        <w:trPr>
          <w:trHeight w:val="83"/>
        </w:trPr>
        <w:tc>
          <w:tcPr>
            <w:tcW w:w="3620" w:type="dxa"/>
            <w:vAlign w:val="bottom"/>
            <w:tcBorders>
              <w:left w:val="single" w:sz="8" w:color="E93BAC"/>
              <w:right w:val="single" w:sz="8" w:color="E93BAC"/>
            </w:tcBorders>
            <w:gridSpan w:val="2"/>
            <w:shd w:val="clear" w:color="auto" w:fill="E93BAC"/>
          </w:tcPr>
          <w:p>
            <w:pPr>
              <w:spacing w:after="0"/>
              <w:rPr>
                <w:sz w:val="7"/>
                <w:szCs w:val="7"/>
                <w:color w:val="auto"/>
              </w:rPr>
            </w:pPr>
          </w:p>
        </w:tc>
        <w:tc>
          <w:tcPr>
            <w:tcW w:w="1120" w:type="dxa"/>
            <w:vAlign w:val="bottom"/>
            <w:shd w:val="clear" w:color="auto" w:fill="E93BAC"/>
          </w:tcPr>
          <w:p>
            <w:pPr>
              <w:spacing w:after="0"/>
              <w:rPr>
                <w:sz w:val="7"/>
                <w:szCs w:val="7"/>
                <w:color w:val="auto"/>
              </w:rPr>
            </w:pPr>
          </w:p>
        </w:tc>
        <w:tc>
          <w:tcPr>
            <w:tcW w:w="700" w:type="dxa"/>
            <w:vAlign w:val="bottom"/>
            <w:shd w:val="clear" w:color="auto" w:fill="E93BAC"/>
          </w:tcPr>
          <w:p>
            <w:pPr>
              <w:spacing w:after="0"/>
              <w:rPr>
                <w:sz w:val="7"/>
                <w:szCs w:val="7"/>
                <w:color w:val="auto"/>
              </w:rPr>
            </w:pPr>
          </w:p>
        </w:tc>
        <w:tc>
          <w:tcPr>
            <w:tcW w:w="940" w:type="dxa"/>
            <w:vAlign w:val="bottom"/>
            <w:tcBorders>
              <w:right w:val="single" w:sz="8" w:color="E93BAC"/>
            </w:tcBorders>
            <w:shd w:val="clear" w:color="auto" w:fill="E93BAC"/>
          </w:tcPr>
          <w:p>
            <w:pPr>
              <w:spacing w:after="0"/>
              <w:rPr>
                <w:sz w:val="7"/>
                <w:szCs w:val="7"/>
                <w:color w:val="auto"/>
              </w:rPr>
            </w:pPr>
          </w:p>
        </w:tc>
        <w:tc>
          <w:tcPr>
            <w:tcW w:w="1140" w:type="dxa"/>
            <w:vAlign w:val="bottom"/>
            <w:shd w:val="clear" w:color="auto" w:fill="E93BAC"/>
          </w:tcPr>
          <w:p>
            <w:pPr>
              <w:spacing w:after="0"/>
              <w:rPr>
                <w:sz w:val="7"/>
                <w:szCs w:val="7"/>
                <w:color w:val="auto"/>
              </w:rPr>
            </w:pPr>
          </w:p>
        </w:tc>
        <w:tc>
          <w:tcPr>
            <w:tcW w:w="680" w:type="dxa"/>
            <w:vAlign w:val="bottom"/>
            <w:tcBorders>
              <w:right w:val="single" w:sz="8" w:color="E93BAC"/>
            </w:tcBorders>
            <w:shd w:val="clear" w:color="auto" w:fill="E93BAC"/>
          </w:tcPr>
          <w:p>
            <w:pPr>
              <w:spacing w:after="0"/>
              <w:rPr>
                <w:sz w:val="7"/>
                <w:szCs w:val="7"/>
                <w:color w:val="auto"/>
              </w:rPr>
            </w:pPr>
          </w:p>
        </w:tc>
        <w:tc>
          <w:tcPr>
            <w:tcW w:w="740" w:type="dxa"/>
            <w:vAlign w:val="bottom"/>
            <w:shd w:val="clear" w:color="auto" w:fill="E93BAC"/>
          </w:tcPr>
          <w:p>
            <w:pPr>
              <w:spacing w:after="0"/>
              <w:rPr>
                <w:sz w:val="7"/>
                <w:szCs w:val="7"/>
                <w:color w:val="auto"/>
              </w:rPr>
            </w:pPr>
          </w:p>
        </w:tc>
        <w:tc>
          <w:tcPr>
            <w:tcW w:w="1120" w:type="dxa"/>
            <w:vAlign w:val="bottom"/>
            <w:tcBorders>
              <w:right w:val="single" w:sz="8" w:color="E93BAC"/>
            </w:tcBorders>
            <w:shd w:val="clear" w:color="auto" w:fill="E93BAC"/>
          </w:tcPr>
          <w:p>
            <w:pPr>
              <w:spacing w:after="0"/>
              <w:rPr>
                <w:sz w:val="7"/>
                <w:szCs w:val="7"/>
                <w:color w:val="auto"/>
              </w:rPr>
            </w:pPr>
          </w:p>
        </w:tc>
        <w:tc>
          <w:tcPr>
            <w:tcW w:w="100" w:type="dxa"/>
            <w:vAlign w:val="bottom"/>
            <w:shd w:val="clear" w:color="auto" w:fill="E93BAC"/>
          </w:tcPr>
          <w:p>
            <w:pPr>
              <w:spacing w:after="0"/>
              <w:rPr>
                <w:sz w:val="7"/>
                <w:szCs w:val="7"/>
                <w:color w:val="auto"/>
              </w:rPr>
            </w:pPr>
          </w:p>
        </w:tc>
        <w:tc>
          <w:tcPr>
            <w:tcW w:w="1080" w:type="dxa"/>
            <w:vAlign w:val="bottom"/>
            <w:tcBorders>
              <w:right w:val="single" w:sz="8" w:color="E93BAC"/>
            </w:tcBorders>
            <w:shd w:val="clear" w:color="auto" w:fill="E93BAC"/>
          </w:tcPr>
          <w:p>
            <w:pPr>
              <w:spacing w:after="0"/>
              <w:rPr>
                <w:sz w:val="7"/>
                <w:szCs w:val="7"/>
                <w:color w:val="auto"/>
              </w:rPr>
            </w:pPr>
          </w:p>
        </w:tc>
      </w:tr>
      <w:tr>
        <w:trPr>
          <w:trHeight w:val="475"/>
        </w:trPr>
        <w:tc>
          <w:tcPr>
            <w:tcW w:w="4740" w:type="dxa"/>
            <w:vAlign w:val="bottom"/>
            <w:gridSpan w:val="3"/>
          </w:tcPr>
          <w:p>
            <w:pPr>
              <w:spacing w:after="0"/>
              <w:rPr>
                <w:sz w:val="20"/>
                <w:szCs w:val="20"/>
                <w:color w:val="auto"/>
              </w:rPr>
            </w:pPr>
            <w:r>
              <w:rPr>
                <w:rFonts w:ascii="Calibri" w:cs="Calibri" w:eastAsia="Calibri" w:hAnsi="Calibri"/>
                <w:sz w:val="17"/>
                <w:szCs w:val="17"/>
                <w:b w:val="1"/>
                <w:bCs w:val="1"/>
                <w:color w:val="auto"/>
              </w:rPr>
              <w:t xml:space="preserve">12.6.9. Investment Management &amp; Advisory </w:t>
            </w:r>
            <w:r>
              <w:rPr>
                <w:rFonts w:ascii="Calibri" w:cs="Calibri" w:eastAsia="Calibri" w:hAnsi="Calibri"/>
                <w:sz w:val="29"/>
                <w:szCs w:val="29"/>
                <w:b w:val="1"/>
                <w:bCs w:val="1"/>
                <w:color w:val="auto"/>
                <w:vertAlign w:val="superscript"/>
              </w:rPr>
              <w:t>*</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5"/>
        </w:trPr>
        <w:tc>
          <w:tcPr>
            <w:tcW w:w="25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37"/>
        </w:trPr>
        <w:tc>
          <w:tcPr>
            <w:tcW w:w="2560" w:type="dxa"/>
            <w:vAlign w:val="bottom"/>
            <w:tcBorders>
              <w:left w:val="single" w:sz="8" w:color="auto"/>
            </w:tcBorders>
            <w:shd w:val="clear" w:color="auto" w:fill="33CCCC"/>
          </w:tcPr>
          <w:p>
            <w:pPr>
              <w:ind w:left="20"/>
              <w:spacing w:after="0" w:line="138" w:lineRule="exact"/>
              <w:rPr>
                <w:sz w:val="20"/>
                <w:szCs w:val="20"/>
                <w:color w:val="auto"/>
              </w:rPr>
            </w:pPr>
            <w:r>
              <w:rPr>
                <w:rFonts w:ascii="Calibri" w:cs="Calibri" w:eastAsia="Calibri" w:hAnsi="Calibri"/>
                <w:sz w:val="12"/>
                <w:szCs w:val="12"/>
                <w:b w:val="1"/>
                <w:bCs w:val="1"/>
                <w:color w:val="FFFFFF"/>
              </w:rPr>
              <w:t>Investment Management &amp; Advisory</w:t>
            </w:r>
          </w:p>
        </w:tc>
        <w:tc>
          <w:tcPr>
            <w:tcW w:w="1060" w:type="dxa"/>
            <w:vAlign w:val="bottom"/>
            <w:tcBorders>
              <w:right w:val="single" w:sz="8" w:color="auto"/>
            </w:tcBorders>
            <w:shd w:val="clear" w:color="auto" w:fill="33CCCC"/>
          </w:tcPr>
          <w:p>
            <w:pPr>
              <w:spacing w:after="0"/>
              <w:rPr>
                <w:sz w:val="11"/>
                <w:szCs w:val="11"/>
                <w:color w:val="auto"/>
              </w:rPr>
            </w:pPr>
          </w:p>
        </w:tc>
        <w:tc>
          <w:tcPr>
            <w:tcW w:w="1120" w:type="dxa"/>
            <w:vAlign w:val="bottom"/>
            <w:shd w:val="clear" w:color="auto" w:fill="33CCCC"/>
          </w:tcPr>
          <w:p>
            <w:pPr>
              <w:spacing w:after="0"/>
              <w:rPr>
                <w:sz w:val="11"/>
                <w:szCs w:val="11"/>
                <w:color w:val="auto"/>
              </w:rPr>
            </w:pPr>
          </w:p>
        </w:tc>
        <w:tc>
          <w:tcPr>
            <w:tcW w:w="700" w:type="dxa"/>
            <w:vAlign w:val="bottom"/>
            <w:shd w:val="clear" w:color="auto" w:fill="33CCCC"/>
          </w:tcPr>
          <w:p>
            <w:pPr>
              <w:ind w:left="40"/>
              <w:spacing w:after="0" w:line="138" w:lineRule="exact"/>
              <w:rPr>
                <w:sz w:val="20"/>
                <w:szCs w:val="20"/>
                <w:color w:val="auto"/>
              </w:rPr>
            </w:pPr>
            <w:r>
              <w:rPr>
                <w:rFonts w:ascii="Calibri" w:cs="Calibri" w:eastAsia="Calibri" w:hAnsi="Calibri"/>
                <w:sz w:val="12"/>
                <w:szCs w:val="12"/>
                <w:b w:val="1"/>
                <w:bCs w:val="1"/>
                <w:color w:val="FFFFFF"/>
              </w:rPr>
              <w:t>Quarter</w:t>
            </w:r>
          </w:p>
        </w:tc>
        <w:tc>
          <w:tcPr>
            <w:tcW w:w="940" w:type="dxa"/>
            <w:vAlign w:val="bottom"/>
            <w:tcBorders>
              <w:right w:val="single" w:sz="8" w:color="auto"/>
            </w:tcBorders>
            <w:shd w:val="clear" w:color="auto" w:fill="33CCCC"/>
          </w:tcPr>
          <w:p>
            <w:pPr>
              <w:spacing w:after="0"/>
              <w:rPr>
                <w:sz w:val="11"/>
                <w:szCs w:val="11"/>
                <w:color w:val="auto"/>
              </w:rPr>
            </w:pPr>
          </w:p>
        </w:tc>
        <w:tc>
          <w:tcPr>
            <w:tcW w:w="1140" w:type="dxa"/>
            <w:vAlign w:val="bottom"/>
            <w:shd w:val="clear" w:color="auto" w:fill="33CCCC"/>
          </w:tcPr>
          <w:p>
            <w:pPr>
              <w:ind w:left="660"/>
              <w:spacing w:after="0" w:line="138" w:lineRule="exact"/>
              <w:rPr>
                <w:sz w:val="20"/>
                <w:szCs w:val="20"/>
                <w:color w:val="auto"/>
              </w:rPr>
            </w:pPr>
            <w:r>
              <w:rPr>
                <w:rFonts w:ascii="Calibri" w:cs="Calibri" w:eastAsia="Calibri" w:hAnsi="Calibri"/>
                <w:sz w:val="12"/>
                <w:szCs w:val="12"/>
                <w:b w:val="1"/>
                <w:bCs w:val="1"/>
                <w:color w:val="FFFFFF"/>
                <w:w w:val="97"/>
              </w:rPr>
              <w:t>% change</w:t>
            </w:r>
          </w:p>
        </w:tc>
        <w:tc>
          <w:tcPr>
            <w:tcW w:w="680" w:type="dxa"/>
            <w:vAlign w:val="bottom"/>
            <w:tcBorders>
              <w:right w:val="single" w:sz="8" w:color="auto"/>
            </w:tcBorders>
            <w:shd w:val="clear" w:color="auto" w:fill="33CCCC"/>
          </w:tcPr>
          <w:p>
            <w:pPr>
              <w:spacing w:after="0"/>
              <w:rPr>
                <w:sz w:val="11"/>
                <w:szCs w:val="11"/>
                <w:color w:val="auto"/>
              </w:rPr>
            </w:pPr>
          </w:p>
        </w:tc>
        <w:tc>
          <w:tcPr>
            <w:tcW w:w="740" w:type="dxa"/>
            <w:vAlign w:val="bottom"/>
            <w:shd w:val="clear" w:color="auto" w:fill="33CCCC"/>
          </w:tcPr>
          <w:p>
            <w:pPr>
              <w:spacing w:after="0"/>
              <w:rPr>
                <w:sz w:val="11"/>
                <w:szCs w:val="11"/>
                <w:color w:val="auto"/>
              </w:rPr>
            </w:pPr>
          </w:p>
        </w:tc>
        <w:tc>
          <w:tcPr>
            <w:tcW w:w="1120" w:type="dxa"/>
            <w:vAlign w:val="bottom"/>
            <w:tcBorders>
              <w:right w:val="single" w:sz="8" w:color="auto"/>
            </w:tcBorders>
            <w:shd w:val="clear" w:color="auto" w:fill="33CCCC"/>
          </w:tcPr>
          <w:p>
            <w:pPr>
              <w:ind w:left="40"/>
              <w:spacing w:after="0" w:line="138" w:lineRule="exact"/>
              <w:rPr>
                <w:sz w:val="20"/>
                <w:szCs w:val="20"/>
                <w:color w:val="auto"/>
              </w:rPr>
            </w:pPr>
            <w:r>
              <w:rPr>
                <w:rFonts w:ascii="Calibri" w:cs="Calibri" w:eastAsia="Calibri" w:hAnsi="Calibri"/>
                <w:sz w:val="12"/>
                <w:szCs w:val="12"/>
                <w:b w:val="1"/>
                <w:bCs w:val="1"/>
                <w:color w:val="FFFFFF"/>
              </w:rPr>
              <w:t>Up to</w:t>
            </w:r>
          </w:p>
        </w:tc>
        <w:tc>
          <w:tcPr>
            <w:tcW w:w="100" w:type="dxa"/>
            <w:vAlign w:val="bottom"/>
            <w:shd w:val="clear" w:color="auto" w:fill="33CCCC"/>
          </w:tcPr>
          <w:p>
            <w:pPr>
              <w:spacing w:after="0"/>
              <w:rPr>
                <w:sz w:val="11"/>
                <w:szCs w:val="11"/>
                <w:color w:val="auto"/>
              </w:rPr>
            </w:pPr>
          </w:p>
        </w:tc>
        <w:tc>
          <w:tcPr>
            <w:tcW w:w="1080" w:type="dxa"/>
            <w:vAlign w:val="bottom"/>
            <w:tcBorders>
              <w:right w:val="single" w:sz="8" w:color="auto"/>
            </w:tcBorders>
            <w:shd w:val="clear" w:color="auto" w:fill="33CCCC"/>
          </w:tcPr>
          <w:p>
            <w:pPr>
              <w:jc w:val="center"/>
              <w:ind w:right="59"/>
              <w:spacing w:after="0" w:line="138" w:lineRule="exact"/>
              <w:rPr>
                <w:sz w:val="20"/>
                <w:szCs w:val="20"/>
                <w:color w:val="auto"/>
              </w:rPr>
            </w:pPr>
            <w:r>
              <w:rPr>
                <w:rFonts w:ascii="Calibri" w:cs="Calibri" w:eastAsia="Calibri" w:hAnsi="Calibri"/>
                <w:sz w:val="12"/>
                <w:szCs w:val="12"/>
                <w:b w:val="1"/>
                <w:bCs w:val="1"/>
                <w:color w:val="FFFFFF"/>
              </w:rPr>
              <w:t>% change</w:t>
            </w:r>
          </w:p>
        </w:tc>
      </w:tr>
      <w:tr>
        <w:trPr>
          <w:trHeight w:val="144"/>
        </w:trPr>
        <w:tc>
          <w:tcPr>
            <w:tcW w:w="2560" w:type="dxa"/>
            <w:vAlign w:val="bottom"/>
            <w:tcBorders>
              <w:left w:val="single" w:sz="8" w:color="auto"/>
              <w:bottom w:val="single" w:sz="8" w:color="auto"/>
            </w:tcBorders>
            <w:shd w:val="clear" w:color="auto" w:fill="33CCCC"/>
          </w:tcPr>
          <w:p>
            <w:pPr>
              <w:ind w:left="20"/>
              <w:spacing w:after="0" w:line="145" w:lineRule="exact"/>
              <w:rPr>
                <w:sz w:val="20"/>
                <w:szCs w:val="20"/>
                <w:color w:val="auto"/>
              </w:rPr>
            </w:pPr>
            <w:r>
              <w:rPr>
                <w:rFonts w:ascii="Calibri" w:cs="Calibri" w:eastAsia="Calibri" w:hAnsi="Calibri"/>
                <w:sz w:val="12"/>
                <w:szCs w:val="12"/>
                <w:b w:val="1"/>
                <w:bCs w:val="1"/>
                <w:color w:val="FFFFFF"/>
              </w:rPr>
              <w:t>S/000</w:t>
            </w:r>
          </w:p>
        </w:tc>
        <w:tc>
          <w:tcPr>
            <w:tcW w:w="1060" w:type="dxa"/>
            <w:vAlign w:val="bottom"/>
            <w:tcBorders>
              <w:bottom w:val="single" w:sz="8" w:color="auto"/>
              <w:right w:val="single" w:sz="8" w:color="auto"/>
            </w:tcBorders>
            <w:shd w:val="clear" w:color="auto" w:fill="33CCCC"/>
          </w:tcPr>
          <w:p>
            <w:pPr>
              <w:spacing w:after="0"/>
              <w:rPr>
                <w:sz w:val="12"/>
                <w:szCs w:val="12"/>
                <w:color w:val="auto"/>
              </w:rPr>
            </w:pPr>
          </w:p>
        </w:tc>
        <w:tc>
          <w:tcPr>
            <w:tcW w:w="1120" w:type="dxa"/>
            <w:vAlign w:val="bottom"/>
            <w:tcBorders>
              <w:bottom w:val="single" w:sz="8" w:color="auto"/>
            </w:tcBorders>
            <w:shd w:val="clear" w:color="auto" w:fill="33CCCC"/>
          </w:tcPr>
          <w:p>
            <w:pPr>
              <w:jc w:val="center"/>
              <w:ind w:right="179"/>
              <w:spacing w:after="0" w:line="145" w:lineRule="exact"/>
              <w:rPr>
                <w:sz w:val="20"/>
                <w:szCs w:val="20"/>
                <w:color w:val="auto"/>
              </w:rPr>
            </w:pPr>
            <w:r>
              <w:rPr>
                <w:rFonts w:ascii="Calibri" w:cs="Calibri" w:eastAsia="Calibri" w:hAnsi="Calibri"/>
                <w:sz w:val="12"/>
                <w:szCs w:val="12"/>
                <w:b w:val="1"/>
                <w:bCs w:val="1"/>
                <w:color w:val="FFFFFF"/>
              </w:rPr>
              <w:t>4Q23</w:t>
            </w:r>
          </w:p>
        </w:tc>
        <w:tc>
          <w:tcPr>
            <w:tcW w:w="700" w:type="dxa"/>
            <w:vAlign w:val="bottom"/>
            <w:tcBorders>
              <w:bottom w:val="single" w:sz="8" w:color="auto"/>
            </w:tcBorders>
            <w:shd w:val="clear" w:color="auto" w:fill="33CCCC"/>
          </w:tcPr>
          <w:p>
            <w:pPr>
              <w:jc w:val="center"/>
              <w:ind w:right="179"/>
              <w:spacing w:after="0" w:line="145" w:lineRule="exact"/>
              <w:rPr>
                <w:sz w:val="20"/>
                <w:szCs w:val="20"/>
                <w:color w:val="auto"/>
              </w:rPr>
            </w:pPr>
            <w:r>
              <w:rPr>
                <w:rFonts w:ascii="Calibri" w:cs="Calibri" w:eastAsia="Calibri" w:hAnsi="Calibri"/>
                <w:sz w:val="12"/>
                <w:szCs w:val="12"/>
                <w:b w:val="1"/>
                <w:bCs w:val="1"/>
                <w:color w:val="FFFFFF"/>
                <w:w w:val="97"/>
              </w:rPr>
              <w:t>3Q24</w:t>
            </w:r>
          </w:p>
        </w:tc>
        <w:tc>
          <w:tcPr>
            <w:tcW w:w="940" w:type="dxa"/>
            <w:vAlign w:val="bottom"/>
            <w:tcBorders>
              <w:bottom w:val="single" w:sz="8" w:color="auto"/>
              <w:right w:val="single" w:sz="8" w:color="auto"/>
            </w:tcBorders>
            <w:shd w:val="clear" w:color="auto" w:fill="33CCCC"/>
          </w:tcPr>
          <w:p>
            <w:pPr>
              <w:jc w:val="center"/>
              <w:spacing w:after="0" w:line="145" w:lineRule="exact"/>
              <w:rPr>
                <w:sz w:val="20"/>
                <w:szCs w:val="20"/>
                <w:color w:val="auto"/>
              </w:rPr>
            </w:pPr>
            <w:r>
              <w:rPr>
                <w:rFonts w:ascii="Calibri" w:cs="Calibri" w:eastAsia="Calibri" w:hAnsi="Calibri"/>
                <w:sz w:val="12"/>
                <w:szCs w:val="12"/>
                <w:b w:val="1"/>
                <w:bCs w:val="1"/>
                <w:color w:val="FFFFFF"/>
                <w:w w:val="97"/>
              </w:rPr>
              <w:t>4Q24</w:t>
            </w:r>
          </w:p>
        </w:tc>
        <w:tc>
          <w:tcPr>
            <w:tcW w:w="1140" w:type="dxa"/>
            <w:vAlign w:val="bottom"/>
            <w:tcBorders>
              <w:bottom w:val="single" w:sz="8" w:color="auto"/>
            </w:tcBorders>
            <w:shd w:val="clear" w:color="auto" w:fill="33CCCC"/>
          </w:tcPr>
          <w:p>
            <w:pPr>
              <w:ind w:left="320"/>
              <w:spacing w:after="0" w:line="145" w:lineRule="exact"/>
              <w:rPr>
                <w:sz w:val="20"/>
                <w:szCs w:val="20"/>
                <w:color w:val="auto"/>
              </w:rPr>
            </w:pPr>
            <w:r>
              <w:rPr>
                <w:rFonts w:ascii="Calibri" w:cs="Calibri" w:eastAsia="Calibri" w:hAnsi="Calibri"/>
                <w:sz w:val="12"/>
                <w:szCs w:val="12"/>
                <w:b w:val="1"/>
                <w:bCs w:val="1"/>
                <w:color w:val="FFFFFF"/>
              </w:rPr>
              <w:t>QoQ</w:t>
            </w:r>
          </w:p>
        </w:tc>
        <w:tc>
          <w:tcPr>
            <w:tcW w:w="680" w:type="dxa"/>
            <w:vAlign w:val="bottom"/>
            <w:tcBorders>
              <w:bottom w:val="single" w:sz="8" w:color="auto"/>
              <w:right w:val="single" w:sz="8" w:color="auto"/>
            </w:tcBorders>
            <w:shd w:val="clear" w:color="auto" w:fill="33CCCC"/>
          </w:tcPr>
          <w:p>
            <w:pPr>
              <w:ind w:left="120"/>
              <w:spacing w:after="0" w:line="145" w:lineRule="exact"/>
              <w:rPr>
                <w:sz w:val="20"/>
                <w:szCs w:val="20"/>
                <w:color w:val="auto"/>
              </w:rPr>
            </w:pPr>
            <w:r>
              <w:rPr>
                <w:rFonts w:ascii="Calibri" w:cs="Calibri" w:eastAsia="Calibri" w:hAnsi="Calibri"/>
                <w:sz w:val="12"/>
                <w:szCs w:val="12"/>
                <w:b w:val="1"/>
                <w:bCs w:val="1"/>
                <w:color w:val="FFFFFF"/>
              </w:rPr>
              <w:t>YoY</w:t>
            </w:r>
          </w:p>
        </w:tc>
        <w:tc>
          <w:tcPr>
            <w:tcW w:w="740" w:type="dxa"/>
            <w:vAlign w:val="bottom"/>
            <w:tcBorders>
              <w:bottom w:val="single" w:sz="8" w:color="auto"/>
            </w:tcBorders>
            <w:shd w:val="clear" w:color="auto" w:fill="33CCCC"/>
          </w:tcPr>
          <w:p>
            <w:pPr>
              <w:ind w:left="280"/>
              <w:spacing w:after="0" w:line="145" w:lineRule="exact"/>
              <w:rPr>
                <w:sz w:val="20"/>
                <w:szCs w:val="20"/>
                <w:color w:val="auto"/>
              </w:rPr>
            </w:pPr>
            <w:r>
              <w:rPr>
                <w:rFonts w:ascii="Calibri" w:cs="Calibri" w:eastAsia="Calibri" w:hAnsi="Calibri"/>
                <w:sz w:val="12"/>
                <w:szCs w:val="12"/>
                <w:b w:val="1"/>
                <w:bCs w:val="1"/>
                <w:color w:val="FFFFFF"/>
              </w:rPr>
              <w:t>Dec 23</w:t>
            </w:r>
          </w:p>
        </w:tc>
        <w:tc>
          <w:tcPr>
            <w:tcW w:w="1120" w:type="dxa"/>
            <w:vAlign w:val="bottom"/>
            <w:tcBorders>
              <w:bottom w:val="single" w:sz="8" w:color="auto"/>
              <w:right w:val="single" w:sz="8" w:color="auto"/>
            </w:tcBorders>
            <w:shd w:val="clear" w:color="auto" w:fill="33CCCC"/>
          </w:tcPr>
          <w:p>
            <w:pPr>
              <w:ind w:left="460"/>
              <w:spacing w:after="0" w:line="145" w:lineRule="exact"/>
              <w:rPr>
                <w:sz w:val="20"/>
                <w:szCs w:val="20"/>
                <w:color w:val="auto"/>
              </w:rPr>
            </w:pPr>
            <w:r>
              <w:rPr>
                <w:rFonts w:ascii="Calibri" w:cs="Calibri" w:eastAsia="Calibri" w:hAnsi="Calibri"/>
                <w:sz w:val="12"/>
                <w:szCs w:val="12"/>
                <w:b w:val="1"/>
                <w:bCs w:val="1"/>
                <w:color w:val="FFFFFF"/>
              </w:rPr>
              <w:t>Dec 24</w:t>
            </w:r>
          </w:p>
        </w:tc>
        <w:tc>
          <w:tcPr>
            <w:tcW w:w="100" w:type="dxa"/>
            <w:vAlign w:val="bottom"/>
            <w:tcBorders>
              <w:bottom w:val="single" w:sz="8" w:color="auto"/>
            </w:tcBorders>
            <w:shd w:val="clear" w:color="auto" w:fill="33CCCC"/>
          </w:tcPr>
          <w:p>
            <w:pPr>
              <w:spacing w:after="0"/>
              <w:rPr>
                <w:sz w:val="12"/>
                <w:szCs w:val="12"/>
                <w:color w:val="auto"/>
              </w:rPr>
            </w:pPr>
          </w:p>
        </w:tc>
        <w:tc>
          <w:tcPr>
            <w:tcW w:w="1080" w:type="dxa"/>
            <w:vAlign w:val="bottom"/>
            <w:tcBorders>
              <w:bottom w:val="single" w:sz="8" w:color="auto"/>
              <w:right w:val="single" w:sz="8" w:color="auto"/>
            </w:tcBorders>
            <w:shd w:val="clear" w:color="auto" w:fill="33CCCC"/>
          </w:tcPr>
          <w:p>
            <w:pPr>
              <w:jc w:val="center"/>
              <w:ind w:right="59"/>
              <w:spacing w:after="0" w:line="145" w:lineRule="exact"/>
              <w:rPr>
                <w:sz w:val="20"/>
                <w:szCs w:val="20"/>
                <w:color w:val="auto"/>
              </w:rPr>
            </w:pPr>
            <w:r>
              <w:rPr>
                <w:rFonts w:ascii="Calibri" w:cs="Calibri" w:eastAsia="Calibri" w:hAnsi="Calibri"/>
                <w:sz w:val="12"/>
                <w:szCs w:val="12"/>
                <w:b w:val="1"/>
                <w:bCs w:val="1"/>
                <w:color w:val="FFFFFF"/>
              </w:rPr>
              <w:t>Dec 24 / Dec 23</w:t>
            </w:r>
          </w:p>
        </w:tc>
      </w:tr>
      <w:tr>
        <w:trPr>
          <w:trHeight w:val="127"/>
        </w:trPr>
        <w:tc>
          <w:tcPr>
            <w:tcW w:w="2560" w:type="dxa"/>
            <w:vAlign w:val="bottom"/>
            <w:tcBorders>
              <w:left w:val="single" w:sz="8" w:color="auto"/>
            </w:tcBorders>
          </w:tcPr>
          <w:p>
            <w:pPr>
              <w:ind w:left="20"/>
              <w:spacing w:after="0" w:line="127" w:lineRule="exact"/>
              <w:rPr>
                <w:sz w:val="20"/>
                <w:szCs w:val="20"/>
                <w:color w:val="auto"/>
              </w:rPr>
            </w:pPr>
            <w:r>
              <w:rPr>
                <w:rFonts w:ascii="Calibri" w:cs="Calibri" w:eastAsia="Calibri" w:hAnsi="Calibri"/>
                <w:sz w:val="12"/>
                <w:szCs w:val="12"/>
                <w:color w:val="auto"/>
              </w:rPr>
              <w:t>Net interest income</w:t>
            </w:r>
          </w:p>
        </w:tc>
        <w:tc>
          <w:tcPr>
            <w:tcW w:w="1060" w:type="dxa"/>
            <w:vAlign w:val="bottom"/>
            <w:tcBorders>
              <w:right w:val="single" w:sz="8" w:color="auto"/>
            </w:tcBorders>
          </w:tcPr>
          <w:p>
            <w:pPr>
              <w:spacing w:after="0"/>
              <w:rPr>
                <w:sz w:val="11"/>
                <w:szCs w:val="11"/>
                <w:color w:val="auto"/>
              </w:rPr>
            </w:pPr>
          </w:p>
        </w:tc>
        <w:tc>
          <w:tcPr>
            <w:tcW w:w="1120" w:type="dxa"/>
            <w:vAlign w:val="bottom"/>
          </w:tcPr>
          <w:p>
            <w:pPr>
              <w:jc w:val="center"/>
              <w:ind w:right="159"/>
              <w:spacing w:after="0" w:line="127" w:lineRule="exact"/>
              <w:rPr>
                <w:sz w:val="20"/>
                <w:szCs w:val="20"/>
                <w:color w:val="auto"/>
              </w:rPr>
            </w:pPr>
            <w:r>
              <w:rPr>
                <w:rFonts w:ascii="Calibri" w:cs="Calibri" w:eastAsia="Calibri" w:hAnsi="Calibri"/>
                <w:sz w:val="12"/>
                <w:szCs w:val="12"/>
                <w:color w:val="auto"/>
              </w:rPr>
              <w:t>18,757</w:t>
            </w:r>
          </w:p>
        </w:tc>
        <w:tc>
          <w:tcPr>
            <w:tcW w:w="700" w:type="dxa"/>
            <w:vAlign w:val="bottom"/>
          </w:tcPr>
          <w:p>
            <w:pPr>
              <w:jc w:val="center"/>
              <w:ind w:right="159"/>
              <w:spacing w:after="0" w:line="127" w:lineRule="exact"/>
              <w:rPr>
                <w:sz w:val="20"/>
                <w:szCs w:val="20"/>
                <w:color w:val="auto"/>
              </w:rPr>
            </w:pPr>
            <w:r>
              <w:rPr>
                <w:rFonts w:ascii="Calibri" w:cs="Calibri" w:eastAsia="Calibri" w:hAnsi="Calibri"/>
                <w:sz w:val="12"/>
                <w:szCs w:val="12"/>
                <w:color w:val="auto"/>
              </w:rPr>
              <w:t>9,934</w:t>
            </w:r>
          </w:p>
        </w:tc>
        <w:tc>
          <w:tcPr>
            <w:tcW w:w="940" w:type="dxa"/>
            <w:vAlign w:val="bottom"/>
            <w:tcBorders>
              <w:right w:val="single" w:sz="8" w:color="auto"/>
            </w:tcBorders>
          </w:tcPr>
          <w:p>
            <w:pPr>
              <w:jc w:val="center"/>
              <w:spacing w:after="0" w:line="127" w:lineRule="exact"/>
              <w:rPr>
                <w:sz w:val="20"/>
                <w:szCs w:val="20"/>
                <w:color w:val="auto"/>
              </w:rPr>
            </w:pPr>
            <w:r>
              <w:rPr>
                <w:rFonts w:ascii="Calibri" w:cs="Calibri" w:eastAsia="Calibri" w:hAnsi="Calibri"/>
                <w:sz w:val="12"/>
                <w:szCs w:val="12"/>
                <w:color w:val="auto"/>
              </w:rPr>
              <w:t>(15,640)</w:t>
            </w:r>
          </w:p>
        </w:tc>
        <w:tc>
          <w:tcPr>
            <w:tcW w:w="1140" w:type="dxa"/>
            <w:vAlign w:val="bottom"/>
          </w:tcPr>
          <w:p>
            <w:pPr>
              <w:jc w:val="center"/>
              <w:ind w:right="199"/>
              <w:spacing w:after="0" w:line="127" w:lineRule="exact"/>
              <w:rPr>
                <w:sz w:val="20"/>
                <w:szCs w:val="20"/>
                <w:color w:val="auto"/>
              </w:rPr>
            </w:pPr>
            <w:r>
              <w:rPr>
                <w:rFonts w:ascii="Calibri" w:cs="Calibri" w:eastAsia="Calibri" w:hAnsi="Calibri"/>
                <w:sz w:val="12"/>
                <w:szCs w:val="12"/>
                <w:color w:val="auto"/>
              </w:rPr>
              <w:t>-257.4%</w:t>
            </w:r>
          </w:p>
        </w:tc>
        <w:tc>
          <w:tcPr>
            <w:tcW w:w="680" w:type="dxa"/>
            <w:vAlign w:val="bottom"/>
            <w:tcBorders>
              <w:right w:val="single" w:sz="8" w:color="auto"/>
            </w:tcBorders>
          </w:tcPr>
          <w:p>
            <w:pPr>
              <w:jc w:val="center"/>
              <w:ind w:right="198"/>
              <w:spacing w:after="0" w:line="127" w:lineRule="exact"/>
              <w:rPr>
                <w:sz w:val="20"/>
                <w:szCs w:val="20"/>
                <w:color w:val="auto"/>
              </w:rPr>
            </w:pPr>
            <w:r>
              <w:rPr>
                <w:rFonts w:ascii="Calibri" w:cs="Calibri" w:eastAsia="Calibri" w:hAnsi="Calibri"/>
                <w:sz w:val="12"/>
                <w:szCs w:val="12"/>
                <w:color w:val="auto"/>
                <w:w w:val="98"/>
              </w:rPr>
              <w:t>-183%</w:t>
            </w:r>
          </w:p>
        </w:tc>
        <w:tc>
          <w:tcPr>
            <w:tcW w:w="740" w:type="dxa"/>
            <w:vAlign w:val="bottom"/>
          </w:tcPr>
          <w:p>
            <w:pPr>
              <w:jc w:val="center"/>
              <w:ind w:left="99"/>
              <w:spacing w:after="0" w:line="127" w:lineRule="exact"/>
              <w:rPr>
                <w:sz w:val="20"/>
                <w:szCs w:val="20"/>
                <w:color w:val="auto"/>
              </w:rPr>
            </w:pPr>
            <w:r>
              <w:rPr>
                <w:rFonts w:ascii="Calibri" w:cs="Calibri" w:eastAsia="Calibri" w:hAnsi="Calibri"/>
                <w:sz w:val="12"/>
                <w:szCs w:val="12"/>
                <w:color w:val="auto"/>
              </w:rPr>
              <w:t>82,105</w:t>
            </w:r>
          </w:p>
        </w:tc>
        <w:tc>
          <w:tcPr>
            <w:tcW w:w="1120" w:type="dxa"/>
            <w:vAlign w:val="bottom"/>
            <w:tcBorders>
              <w:right w:val="single" w:sz="8" w:color="auto"/>
            </w:tcBorders>
          </w:tcPr>
          <w:p>
            <w:pPr>
              <w:jc w:val="center"/>
              <w:ind w:left="99"/>
              <w:spacing w:after="0" w:line="127" w:lineRule="exact"/>
              <w:rPr>
                <w:sz w:val="20"/>
                <w:szCs w:val="20"/>
                <w:color w:val="auto"/>
              </w:rPr>
            </w:pPr>
            <w:r>
              <w:rPr>
                <w:rFonts w:ascii="Calibri" w:cs="Calibri" w:eastAsia="Calibri" w:hAnsi="Calibri"/>
                <w:sz w:val="12"/>
                <w:szCs w:val="12"/>
                <w:color w:val="auto"/>
              </w:rPr>
              <w:t>6,031</w:t>
            </w:r>
          </w:p>
        </w:tc>
        <w:tc>
          <w:tcPr>
            <w:tcW w:w="100" w:type="dxa"/>
            <w:vAlign w:val="bottom"/>
          </w:tcPr>
          <w:p>
            <w:pPr>
              <w:spacing w:after="0"/>
              <w:rPr>
                <w:sz w:val="11"/>
                <w:szCs w:val="11"/>
                <w:color w:val="auto"/>
              </w:rPr>
            </w:pPr>
          </w:p>
        </w:tc>
        <w:tc>
          <w:tcPr>
            <w:tcW w:w="1080" w:type="dxa"/>
            <w:vAlign w:val="bottom"/>
            <w:tcBorders>
              <w:right w:val="single" w:sz="8" w:color="auto"/>
            </w:tcBorders>
          </w:tcPr>
          <w:p>
            <w:pPr>
              <w:jc w:val="center"/>
              <w:ind w:right="59"/>
              <w:spacing w:after="0" w:line="127" w:lineRule="exact"/>
              <w:rPr>
                <w:sz w:val="20"/>
                <w:szCs w:val="20"/>
                <w:color w:val="auto"/>
              </w:rPr>
            </w:pPr>
            <w:r>
              <w:rPr>
                <w:rFonts w:ascii="Calibri" w:cs="Calibri" w:eastAsia="Calibri" w:hAnsi="Calibri"/>
                <w:sz w:val="12"/>
                <w:szCs w:val="12"/>
                <w:color w:val="auto"/>
              </w:rPr>
              <w:t>-92.7%</w:t>
            </w:r>
          </w:p>
        </w:tc>
      </w:tr>
      <w:tr>
        <w:trPr>
          <w:trHeight w:val="144"/>
        </w:trPr>
        <w:tc>
          <w:tcPr>
            <w:tcW w:w="2560" w:type="dxa"/>
            <w:vAlign w:val="bottom"/>
            <w:tcBorders>
              <w:lef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Non-fnancial income</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79"/>
              <w:spacing w:after="0" w:line="145" w:lineRule="exact"/>
              <w:rPr>
                <w:sz w:val="20"/>
                <w:szCs w:val="20"/>
                <w:color w:val="auto"/>
              </w:rPr>
            </w:pPr>
            <w:r>
              <w:rPr>
                <w:rFonts w:ascii="Calibri" w:cs="Calibri" w:eastAsia="Calibri" w:hAnsi="Calibri"/>
                <w:sz w:val="12"/>
                <w:szCs w:val="12"/>
                <w:color w:val="auto"/>
              </w:rPr>
              <w:t>226,078</w:t>
            </w:r>
          </w:p>
        </w:tc>
        <w:tc>
          <w:tcPr>
            <w:tcW w:w="700" w:type="dxa"/>
            <w:vAlign w:val="bottom"/>
          </w:tcPr>
          <w:p>
            <w:pPr>
              <w:jc w:val="center"/>
              <w:ind w:right="159"/>
              <w:spacing w:after="0" w:line="145" w:lineRule="exact"/>
              <w:rPr>
                <w:sz w:val="20"/>
                <w:szCs w:val="20"/>
                <w:color w:val="auto"/>
              </w:rPr>
            </w:pPr>
            <w:r>
              <w:rPr>
                <w:rFonts w:ascii="Calibri" w:cs="Calibri" w:eastAsia="Calibri" w:hAnsi="Calibri"/>
                <w:sz w:val="12"/>
                <w:szCs w:val="12"/>
                <w:color w:val="auto"/>
              </w:rPr>
              <w:t>241,628</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214,144</w:t>
            </w:r>
          </w:p>
        </w:tc>
        <w:tc>
          <w:tcPr>
            <w:tcW w:w="1140" w:type="dxa"/>
            <w:vAlign w:val="bottom"/>
          </w:tcPr>
          <w:p>
            <w:pPr>
              <w:jc w:val="center"/>
              <w:ind w:right="219"/>
              <w:spacing w:after="0" w:line="145" w:lineRule="exact"/>
              <w:rPr>
                <w:sz w:val="20"/>
                <w:szCs w:val="20"/>
                <w:color w:val="auto"/>
              </w:rPr>
            </w:pPr>
            <w:r>
              <w:rPr>
                <w:rFonts w:ascii="Calibri" w:cs="Calibri" w:eastAsia="Calibri" w:hAnsi="Calibri"/>
                <w:sz w:val="12"/>
                <w:szCs w:val="12"/>
                <w:color w:val="auto"/>
              </w:rPr>
              <w:t>-11.4%</w:t>
            </w:r>
          </w:p>
        </w:tc>
        <w:tc>
          <w:tcPr>
            <w:tcW w:w="680" w:type="dxa"/>
            <w:vAlign w:val="bottom"/>
            <w:tcBorders>
              <w:right w:val="single" w:sz="8" w:color="auto"/>
            </w:tcBorders>
          </w:tcPr>
          <w:p>
            <w:pPr>
              <w:jc w:val="center"/>
              <w:ind w:right="218"/>
              <w:spacing w:after="0" w:line="145" w:lineRule="exact"/>
              <w:rPr>
                <w:sz w:val="20"/>
                <w:szCs w:val="20"/>
                <w:color w:val="auto"/>
              </w:rPr>
            </w:pPr>
            <w:r>
              <w:rPr>
                <w:rFonts w:ascii="Calibri" w:cs="Calibri" w:eastAsia="Calibri" w:hAnsi="Calibri"/>
                <w:sz w:val="12"/>
                <w:szCs w:val="12"/>
                <w:color w:val="auto"/>
              </w:rPr>
              <w:t>-5.3%</w:t>
            </w:r>
          </w:p>
        </w:tc>
        <w:tc>
          <w:tcPr>
            <w:tcW w:w="74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rPr>
              <w:t>809,387</w:t>
            </w:r>
          </w:p>
        </w:tc>
        <w:tc>
          <w:tcPr>
            <w:tcW w:w="1120" w:type="dxa"/>
            <w:vAlign w:val="bottom"/>
            <w:tcBorders>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color w:val="auto"/>
              </w:rPr>
              <w:t>944,976</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16.8%</w:t>
            </w:r>
          </w:p>
        </w:tc>
      </w:tr>
      <w:tr>
        <w:trPr>
          <w:trHeight w:val="144"/>
        </w:trPr>
        <w:tc>
          <w:tcPr>
            <w:tcW w:w="25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Fee income</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79"/>
              <w:spacing w:after="0" w:line="145" w:lineRule="exact"/>
              <w:rPr>
                <w:sz w:val="20"/>
                <w:szCs w:val="20"/>
                <w:color w:val="auto"/>
              </w:rPr>
            </w:pPr>
            <w:r>
              <w:rPr>
                <w:rFonts w:ascii="Calibri" w:cs="Calibri" w:eastAsia="Calibri" w:hAnsi="Calibri"/>
                <w:sz w:val="12"/>
                <w:szCs w:val="12"/>
                <w:color w:val="auto"/>
              </w:rPr>
              <w:t>147,019</w:t>
            </w:r>
          </w:p>
        </w:tc>
        <w:tc>
          <w:tcPr>
            <w:tcW w:w="700" w:type="dxa"/>
            <w:vAlign w:val="bottom"/>
          </w:tcPr>
          <w:p>
            <w:pPr>
              <w:jc w:val="center"/>
              <w:ind w:right="159"/>
              <w:spacing w:after="0" w:line="145" w:lineRule="exact"/>
              <w:rPr>
                <w:sz w:val="20"/>
                <w:szCs w:val="20"/>
                <w:color w:val="auto"/>
              </w:rPr>
            </w:pPr>
            <w:r>
              <w:rPr>
                <w:rFonts w:ascii="Calibri" w:cs="Calibri" w:eastAsia="Calibri" w:hAnsi="Calibri"/>
                <w:sz w:val="12"/>
                <w:szCs w:val="12"/>
                <w:color w:val="auto"/>
              </w:rPr>
              <w:t>157,828</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145,476</w:t>
            </w:r>
          </w:p>
        </w:tc>
        <w:tc>
          <w:tcPr>
            <w:tcW w:w="1140" w:type="dxa"/>
            <w:vAlign w:val="bottom"/>
          </w:tcPr>
          <w:p>
            <w:pPr>
              <w:jc w:val="center"/>
              <w:ind w:right="199"/>
              <w:spacing w:after="0" w:line="145" w:lineRule="exact"/>
              <w:rPr>
                <w:sz w:val="20"/>
                <w:szCs w:val="20"/>
                <w:color w:val="auto"/>
              </w:rPr>
            </w:pPr>
            <w:r>
              <w:rPr>
                <w:rFonts w:ascii="Calibri" w:cs="Calibri" w:eastAsia="Calibri" w:hAnsi="Calibri"/>
                <w:sz w:val="12"/>
                <w:szCs w:val="12"/>
                <w:color w:val="auto"/>
              </w:rPr>
              <w:t>-7.8%</w:t>
            </w:r>
          </w:p>
        </w:tc>
        <w:tc>
          <w:tcPr>
            <w:tcW w:w="680" w:type="dxa"/>
            <w:vAlign w:val="bottom"/>
            <w:tcBorders>
              <w:right w:val="single" w:sz="8" w:color="auto"/>
            </w:tcBorders>
          </w:tcPr>
          <w:p>
            <w:pPr>
              <w:jc w:val="center"/>
              <w:ind w:right="218"/>
              <w:spacing w:after="0" w:line="145" w:lineRule="exact"/>
              <w:rPr>
                <w:sz w:val="20"/>
                <w:szCs w:val="20"/>
                <w:color w:val="auto"/>
              </w:rPr>
            </w:pPr>
            <w:r>
              <w:rPr>
                <w:rFonts w:ascii="Calibri" w:cs="Calibri" w:eastAsia="Calibri" w:hAnsi="Calibri"/>
                <w:sz w:val="12"/>
                <w:szCs w:val="12"/>
                <w:color w:val="auto"/>
              </w:rPr>
              <w:t>-1.0%</w:t>
            </w:r>
          </w:p>
        </w:tc>
        <w:tc>
          <w:tcPr>
            <w:tcW w:w="74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rPr>
              <w:t>530,413</w:t>
            </w:r>
          </w:p>
        </w:tc>
        <w:tc>
          <w:tcPr>
            <w:tcW w:w="1120" w:type="dxa"/>
            <w:vAlign w:val="bottom"/>
            <w:tcBorders>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color w:val="auto"/>
              </w:rPr>
              <w:t>617,225</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16.4%</w:t>
            </w:r>
          </w:p>
        </w:tc>
      </w:tr>
      <w:tr>
        <w:trPr>
          <w:trHeight w:val="144"/>
        </w:trPr>
        <w:tc>
          <w:tcPr>
            <w:tcW w:w="2560" w:type="dxa"/>
            <w:vAlign w:val="bottom"/>
            <w:tcBorders>
              <w:left w:val="single" w:sz="8" w:color="auto"/>
            </w:tcBorders>
          </w:tcPr>
          <w:p>
            <w:pPr>
              <w:ind w:left="340"/>
              <w:spacing w:after="0" w:line="145" w:lineRule="exact"/>
              <w:rPr>
                <w:sz w:val="20"/>
                <w:szCs w:val="20"/>
                <w:color w:val="auto"/>
              </w:rPr>
            </w:pPr>
            <w:r>
              <w:rPr>
                <w:rFonts w:ascii="Calibri" w:cs="Calibri" w:eastAsia="Calibri" w:hAnsi="Calibri"/>
                <w:sz w:val="12"/>
                <w:szCs w:val="12"/>
                <w:color w:val="auto"/>
              </w:rPr>
              <w:t>Net gain on foreign exchange transactons</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59"/>
              <w:spacing w:after="0" w:line="145" w:lineRule="exact"/>
              <w:rPr>
                <w:sz w:val="20"/>
                <w:szCs w:val="20"/>
                <w:color w:val="auto"/>
              </w:rPr>
            </w:pPr>
            <w:r>
              <w:rPr>
                <w:rFonts w:ascii="Calibri" w:cs="Calibri" w:eastAsia="Calibri" w:hAnsi="Calibri"/>
                <w:sz w:val="12"/>
                <w:szCs w:val="12"/>
                <w:color w:val="auto"/>
              </w:rPr>
              <w:t>14,844</w:t>
            </w:r>
          </w:p>
        </w:tc>
        <w:tc>
          <w:tcPr>
            <w:tcW w:w="700" w:type="dxa"/>
            <w:vAlign w:val="bottom"/>
          </w:tcPr>
          <w:p>
            <w:pPr>
              <w:jc w:val="center"/>
              <w:ind w:right="179"/>
              <w:spacing w:after="0" w:line="145" w:lineRule="exact"/>
              <w:rPr>
                <w:sz w:val="20"/>
                <w:szCs w:val="20"/>
                <w:color w:val="auto"/>
              </w:rPr>
            </w:pPr>
            <w:r>
              <w:rPr>
                <w:rFonts w:ascii="Calibri" w:cs="Calibri" w:eastAsia="Calibri" w:hAnsi="Calibri"/>
                <w:sz w:val="12"/>
                <w:szCs w:val="12"/>
                <w:color w:val="auto"/>
              </w:rPr>
              <w:t>19,448</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15,356</w:t>
            </w:r>
          </w:p>
        </w:tc>
        <w:tc>
          <w:tcPr>
            <w:tcW w:w="1140" w:type="dxa"/>
            <w:vAlign w:val="bottom"/>
          </w:tcPr>
          <w:p>
            <w:pPr>
              <w:jc w:val="center"/>
              <w:ind w:right="219"/>
              <w:spacing w:after="0" w:line="145" w:lineRule="exact"/>
              <w:rPr>
                <w:sz w:val="20"/>
                <w:szCs w:val="20"/>
                <w:color w:val="auto"/>
              </w:rPr>
            </w:pPr>
            <w:r>
              <w:rPr>
                <w:rFonts w:ascii="Calibri" w:cs="Calibri" w:eastAsia="Calibri" w:hAnsi="Calibri"/>
                <w:sz w:val="12"/>
                <w:szCs w:val="12"/>
                <w:color w:val="auto"/>
              </w:rPr>
              <w:t>-21.0%</w:t>
            </w:r>
          </w:p>
        </w:tc>
        <w:tc>
          <w:tcPr>
            <w:tcW w:w="680" w:type="dxa"/>
            <w:vAlign w:val="bottom"/>
            <w:tcBorders>
              <w:right w:val="single" w:sz="8" w:color="auto"/>
            </w:tcBorders>
          </w:tcPr>
          <w:p>
            <w:pPr>
              <w:jc w:val="center"/>
              <w:ind w:right="198"/>
              <w:spacing w:after="0" w:line="145" w:lineRule="exact"/>
              <w:rPr>
                <w:sz w:val="20"/>
                <w:szCs w:val="20"/>
                <w:color w:val="auto"/>
              </w:rPr>
            </w:pPr>
            <w:r>
              <w:rPr>
                <w:rFonts w:ascii="Calibri" w:cs="Calibri" w:eastAsia="Calibri" w:hAnsi="Calibri"/>
                <w:sz w:val="12"/>
                <w:szCs w:val="12"/>
                <w:color w:val="auto"/>
              </w:rPr>
              <w:t>3.4%</w:t>
            </w:r>
          </w:p>
        </w:tc>
        <w:tc>
          <w:tcPr>
            <w:tcW w:w="740" w:type="dxa"/>
            <w:vAlign w:val="bottom"/>
          </w:tcPr>
          <w:p>
            <w:pPr>
              <w:jc w:val="center"/>
              <w:ind w:left="99"/>
              <w:spacing w:after="0" w:line="145" w:lineRule="exact"/>
              <w:rPr>
                <w:sz w:val="20"/>
                <w:szCs w:val="20"/>
                <w:color w:val="auto"/>
              </w:rPr>
            </w:pPr>
            <w:r>
              <w:rPr>
                <w:rFonts w:ascii="Calibri" w:cs="Calibri" w:eastAsia="Calibri" w:hAnsi="Calibri"/>
                <w:sz w:val="12"/>
                <w:szCs w:val="12"/>
                <w:color w:val="auto"/>
              </w:rPr>
              <w:t>55,473</w:t>
            </w:r>
          </w:p>
        </w:tc>
        <w:tc>
          <w:tcPr>
            <w:tcW w:w="1120" w:type="dxa"/>
            <w:vAlign w:val="bottom"/>
            <w:tcBorders>
              <w:right w:val="single" w:sz="8" w:color="auto"/>
            </w:tcBorders>
          </w:tcPr>
          <w:p>
            <w:pPr>
              <w:jc w:val="center"/>
              <w:ind w:left="79"/>
              <w:spacing w:after="0" w:line="145" w:lineRule="exact"/>
              <w:rPr>
                <w:sz w:val="20"/>
                <w:szCs w:val="20"/>
                <w:color w:val="auto"/>
              </w:rPr>
            </w:pPr>
            <w:r>
              <w:rPr>
                <w:rFonts w:ascii="Calibri" w:cs="Calibri" w:eastAsia="Calibri" w:hAnsi="Calibri"/>
                <w:sz w:val="12"/>
                <w:szCs w:val="12"/>
                <w:color w:val="auto"/>
              </w:rPr>
              <w:t>66,524</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19.9%</w:t>
            </w:r>
          </w:p>
        </w:tc>
      </w:tr>
      <w:tr>
        <w:trPr>
          <w:trHeight w:val="144"/>
        </w:trPr>
        <w:tc>
          <w:tcPr>
            <w:tcW w:w="25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Net gain on sales of securites</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59"/>
              <w:spacing w:after="0" w:line="145" w:lineRule="exact"/>
              <w:rPr>
                <w:sz w:val="20"/>
                <w:szCs w:val="20"/>
                <w:color w:val="auto"/>
              </w:rPr>
            </w:pPr>
            <w:r>
              <w:rPr>
                <w:rFonts w:ascii="Calibri" w:cs="Calibri" w:eastAsia="Calibri" w:hAnsi="Calibri"/>
                <w:sz w:val="12"/>
                <w:szCs w:val="12"/>
                <w:color w:val="auto"/>
              </w:rPr>
              <w:t>64,928</w:t>
            </w:r>
          </w:p>
        </w:tc>
        <w:tc>
          <w:tcPr>
            <w:tcW w:w="700" w:type="dxa"/>
            <w:vAlign w:val="bottom"/>
          </w:tcPr>
          <w:p>
            <w:pPr>
              <w:jc w:val="center"/>
              <w:ind w:right="179"/>
              <w:spacing w:after="0" w:line="145" w:lineRule="exact"/>
              <w:rPr>
                <w:sz w:val="20"/>
                <w:szCs w:val="20"/>
                <w:color w:val="auto"/>
              </w:rPr>
            </w:pPr>
            <w:r>
              <w:rPr>
                <w:rFonts w:ascii="Calibri" w:cs="Calibri" w:eastAsia="Calibri" w:hAnsi="Calibri"/>
                <w:sz w:val="12"/>
                <w:szCs w:val="12"/>
                <w:color w:val="auto"/>
              </w:rPr>
              <w:t>72,105</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15,289</w:t>
            </w:r>
          </w:p>
        </w:tc>
        <w:tc>
          <w:tcPr>
            <w:tcW w:w="1140" w:type="dxa"/>
            <w:vAlign w:val="bottom"/>
          </w:tcPr>
          <w:p>
            <w:pPr>
              <w:jc w:val="center"/>
              <w:ind w:right="219"/>
              <w:spacing w:after="0" w:line="145" w:lineRule="exact"/>
              <w:rPr>
                <w:sz w:val="20"/>
                <w:szCs w:val="20"/>
                <w:color w:val="auto"/>
              </w:rPr>
            </w:pPr>
            <w:r>
              <w:rPr>
                <w:rFonts w:ascii="Calibri" w:cs="Calibri" w:eastAsia="Calibri" w:hAnsi="Calibri"/>
                <w:sz w:val="12"/>
                <w:szCs w:val="12"/>
                <w:color w:val="auto"/>
              </w:rPr>
              <w:t>-78.8%</w:t>
            </w:r>
          </w:p>
        </w:tc>
        <w:tc>
          <w:tcPr>
            <w:tcW w:w="680" w:type="dxa"/>
            <w:vAlign w:val="bottom"/>
            <w:tcBorders>
              <w:right w:val="single" w:sz="8" w:color="auto"/>
            </w:tcBorders>
          </w:tcPr>
          <w:p>
            <w:pPr>
              <w:jc w:val="center"/>
              <w:ind w:right="198"/>
              <w:spacing w:after="0" w:line="145" w:lineRule="exact"/>
              <w:rPr>
                <w:sz w:val="20"/>
                <w:szCs w:val="20"/>
                <w:color w:val="auto"/>
              </w:rPr>
            </w:pPr>
            <w:r>
              <w:rPr>
                <w:rFonts w:ascii="Calibri" w:cs="Calibri" w:eastAsia="Calibri" w:hAnsi="Calibri"/>
                <w:sz w:val="12"/>
                <w:szCs w:val="12"/>
                <w:color w:val="auto"/>
              </w:rPr>
              <w:t>-76.5%</w:t>
            </w:r>
          </w:p>
        </w:tc>
        <w:tc>
          <w:tcPr>
            <w:tcW w:w="74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rPr>
              <w:t>209,066</w:t>
            </w:r>
          </w:p>
        </w:tc>
        <w:tc>
          <w:tcPr>
            <w:tcW w:w="1120" w:type="dxa"/>
            <w:vAlign w:val="bottom"/>
            <w:tcBorders>
              <w:right w:val="single" w:sz="8" w:color="auto"/>
            </w:tcBorders>
          </w:tcPr>
          <w:p>
            <w:pPr>
              <w:jc w:val="center"/>
              <w:ind w:left="99"/>
              <w:spacing w:after="0" w:line="145" w:lineRule="exact"/>
              <w:rPr>
                <w:sz w:val="20"/>
                <w:szCs w:val="20"/>
                <w:color w:val="auto"/>
              </w:rPr>
            </w:pPr>
            <w:r>
              <w:rPr>
                <w:rFonts w:ascii="Calibri" w:cs="Calibri" w:eastAsia="Calibri" w:hAnsi="Calibri"/>
                <w:sz w:val="12"/>
                <w:szCs w:val="12"/>
                <w:color w:val="auto"/>
              </w:rPr>
              <w:t>187,606</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-10.3%</w:t>
            </w:r>
          </w:p>
        </w:tc>
      </w:tr>
      <w:tr>
        <w:trPr>
          <w:trHeight w:val="144"/>
        </w:trPr>
        <w:tc>
          <w:tcPr>
            <w:tcW w:w="25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Derivatve Result</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39"/>
              <w:spacing w:after="0" w:line="145" w:lineRule="exact"/>
              <w:rPr>
                <w:sz w:val="20"/>
                <w:szCs w:val="20"/>
                <w:color w:val="auto"/>
              </w:rPr>
            </w:pPr>
            <w:r>
              <w:rPr>
                <w:rFonts w:ascii="Calibri" w:cs="Calibri" w:eastAsia="Calibri" w:hAnsi="Calibri"/>
                <w:sz w:val="12"/>
                <w:szCs w:val="12"/>
                <w:color w:val="auto"/>
                <w:w w:val="98"/>
              </w:rPr>
              <w:t>(16,731)</w:t>
            </w:r>
          </w:p>
        </w:tc>
        <w:tc>
          <w:tcPr>
            <w:tcW w:w="700" w:type="dxa"/>
            <w:vAlign w:val="bottom"/>
          </w:tcPr>
          <w:p>
            <w:pPr>
              <w:jc w:val="center"/>
              <w:ind w:right="139"/>
              <w:spacing w:after="0" w:line="145" w:lineRule="exact"/>
              <w:rPr>
                <w:sz w:val="20"/>
                <w:szCs w:val="20"/>
                <w:color w:val="auto"/>
              </w:rPr>
            </w:pPr>
            <w:r>
              <w:rPr>
                <w:rFonts w:ascii="Calibri" w:cs="Calibri" w:eastAsia="Calibri" w:hAnsi="Calibri"/>
                <w:sz w:val="12"/>
                <w:szCs w:val="12"/>
                <w:color w:val="auto"/>
              </w:rPr>
              <w:t>(17,139)</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53,081</w:t>
            </w:r>
          </w:p>
        </w:tc>
        <w:tc>
          <w:tcPr>
            <w:tcW w:w="1140" w:type="dxa"/>
            <w:vAlign w:val="bottom"/>
          </w:tcPr>
          <w:p>
            <w:pPr>
              <w:jc w:val="center"/>
              <w:ind w:right="199"/>
              <w:spacing w:after="0" w:line="145" w:lineRule="exact"/>
              <w:rPr>
                <w:sz w:val="20"/>
                <w:szCs w:val="20"/>
                <w:color w:val="auto"/>
              </w:rPr>
            </w:pPr>
            <w:r>
              <w:rPr>
                <w:rFonts w:ascii="Calibri" w:cs="Calibri" w:eastAsia="Calibri" w:hAnsi="Calibri"/>
                <w:sz w:val="12"/>
                <w:szCs w:val="12"/>
                <w:color w:val="auto"/>
              </w:rPr>
              <w:t>-409.7%</w:t>
            </w:r>
          </w:p>
        </w:tc>
        <w:tc>
          <w:tcPr>
            <w:tcW w:w="680" w:type="dxa"/>
            <w:vAlign w:val="bottom"/>
            <w:tcBorders>
              <w:right w:val="single" w:sz="8" w:color="auto"/>
            </w:tcBorders>
          </w:tcPr>
          <w:p>
            <w:pPr>
              <w:jc w:val="center"/>
              <w:ind w:right="198"/>
              <w:spacing w:after="0" w:line="145" w:lineRule="exact"/>
              <w:rPr>
                <w:sz w:val="20"/>
                <w:szCs w:val="20"/>
                <w:color w:val="auto"/>
              </w:rPr>
            </w:pPr>
            <w:r>
              <w:rPr>
                <w:rFonts w:ascii="Calibri" w:cs="Calibri" w:eastAsia="Calibri" w:hAnsi="Calibri"/>
                <w:sz w:val="12"/>
                <w:szCs w:val="12"/>
                <w:color w:val="auto"/>
              </w:rPr>
              <w:t>-417.3%</w:t>
            </w:r>
          </w:p>
        </w:tc>
        <w:tc>
          <w:tcPr>
            <w:tcW w:w="740" w:type="dxa"/>
            <w:vAlign w:val="bottom"/>
          </w:tcPr>
          <w:p>
            <w:pPr>
              <w:jc w:val="center"/>
              <w:ind w:left="99"/>
              <w:spacing w:after="0" w:line="145" w:lineRule="exact"/>
              <w:rPr>
                <w:sz w:val="20"/>
                <w:szCs w:val="20"/>
                <w:color w:val="auto"/>
              </w:rPr>
            </w:pPr>
            <w:r>
              <w:rPr>
                <w:rFonts w:ascii="Calibri" w:cs="Calibri" w:eastAsia="Calibri" w:hAnsi="Calibri"/>
                <w:sz w:val="12"/>
                <w:szCs w:val="12"/>
                <w:color w:val="auto"/>
              </w:rPr>
              <w:t>(45,497)</w:t>
            </w:r>
          </w:p>
        </w:tc>
        <w:tc>
          <w:tcPr>
            <w:tcW w:w="1120" w:type="dxa"/>
            <w:vAlign w:val="bottom"/>
            <w:tcBorders>
              <w:right w:val="single" w:sz="8" w:color="auto"/>
            </w:tcBorders>
          </w:tcPr>
          <w:p>
            <w:pPr>
              <w:jc w:val="center"/>
              <w:ind w:left="79"/>
              <w:spacing w:after="0" w:line="145" w:lineRule="exact"/>
              <w:rPr>
                <w:sz w:val="20"/>
                <w:szCs w:val="20"/>
                <w:color w:val="auto"/>
              </w:rPr>
            </w:pPr>
            <w:r>
              <w:rPr>
                <w:rFonts w:ascii="Calibri" w:cs="Calibri" w:eastAsia="Calibri" w:hAnsi="Calibri"/>
                <w:sz w:val="12"/>
                <w:szCs w:val="12"/>
                <w:color w:val="auto"/>
              </w:rPr>
              <w:t>78,521</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-272.6%</w:t>
            </w:r>
          </w:p>
        </w:tc>
      </w:tr>
      <w:tr>
        <w:trPr>
          <w:trHeight w:val="144"/>
        </w:trPr>
        <w:tc>
          <w:tcPr>
            <w:tcW w:w="2560" w:type="dxa"/>
            <w:vAlign w:val="bottom"/>
            <w:tcBorders>
              <w:left w:val="single" w:sz="8" w:color="auto"/>
            </w:tcBorders>
          </w:tcPr>
          <w:p>
            <w:pPr>
              <w:ind w:left="340"/>
              <w:spacing w:after="0" w:line="145" w:lineRule="exact"/>
              <w:rPr>
                <w:sz w:val="20"/>
                <w:szCs w:val="20"/>
                <w:color w:val="auto"/>
              </w:rPr>
            </w:pPr>
            <w:r>
              <w:rPr>
                <w:rFonts w:ascii="Calibri" w:cs="Calibri" w:eastAsia="Calibri" w:hAnsi="Calibri"/>
                <w:sz w:val="12"/>
                <w:szCs w:val="12"/>
                <w:color w:val="auto"/>
              </w:rPr>
              <w:t>Result from exposure to the exchange rate</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79"/>
              <w:spacing w:after="0" w:line="145" w:lineRule="exact"/>
              <w:rPr>
                <w:sz w:val="20"/>
                <w:szCs w:val="20"/>
                <w:color w:val="auto"/>
              </w:rPr>
            </w:pPr>
            <w:r>
              <w:rPr>
                <w:rFonts w:ascii="Calibri" w:cs="Calibri" w:eastAsia="Calibri" w:hAnsi="Calibri"/>
                <w:sz w:val="12"/>
                <w:szCs w:val="12"/>
                <w:color w:val="auto"/>
              </w:rPr>
              <w:t>9,470</w:t>
            </w:r>
          </w:p>
        </w:tc>
        <w:tc>
          <w:tcPr>
            <w:tcW w:w="700" w:type="dxa"/>
            <w:vAlign w:val="bottom"/>
          </w:tcPr>
          <w:p>
            <w:pPr>
              <w:jc w:val="center"/>
              <w:ind w:right="159"/>
              <w:spacing w:after="0" w:line="145" w:lineRule="exact"/>
              <w:rPr>
                <w:sz w:val="20"/>
                <w:szCs w:val="20"/>
                <w:color w:val="auto"/>
              </w:rPr>
            </w:pPr>
            <w:r>
              <w:rPr>
                <w:rFonts w:ascii="Calibri" w:cs="Calibri" w:eastAsia="Calibri" w:hAnsi="Calibri"/>
                <w:sz w:val="12"/>
                <w:szCs w:val="12"/>
                <w:color w:val="auto"/>
              </w:rPr>
              <w:t>6,061</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(21,323)</w:t>
            </w:r>
          </w:p>
        </w:tc>
        <w:tc>
          <w:tcPr>
            <w:tcW w:w="1140" w:type="dxa"/>
            <w:vAlign w:val="bottom"/>
          </w:tcPr>
          <w:p>
            <w:pPr>
              <w:jc w:val="center"/>
              <w:ind w:right="199"/>
              <w:spacing w:after="0" w:line="145" w:lineRule="exact"/>
              <w:rPr>
                <w:sz w:val="20"/>
                <w:szCs w:val="20"/>
                <w:color w:val="auto"/>
              </w:rPr>
            </w:pPr>
            <w:r>
              <w:rPr>
                <w:rFonts w:ascii="Calibri" w:cs="Calibri" w:eastAsia="Calibri" w:hAnsi="Calibri"/>
                <w:sz w:val="12"/>
                <w:szCs w:val="12"/>
                <w:color w:val="auto"/>
              </w:rPr>
              <w:t>-451.8%</w:t>
            </w:r>
          </w:p>
        </w:tc>
        <w:tc>
          <w:tcPr>
            <w:tcW w:w="680" w:type="dxa"/>
            <w:vAlign w:val="bottom"/>
            <w:tcBorders>
              <w:right w:val="single" w:sz="8" w:color="auto"/>
            </w:tcBorders>
          </w:tcPr>
          <w:p>
            <w:pPr>
              <w:jc w:val="center"/>
              <w:ind w:right="198"/>
              <w:spacing w:after="0" w:line="145" w:lineRule="exact"/>
              <w:rPr>
                <w:sz w:val="20"/>
                <w:szCs w:val="20"/>
                <w:color w:val="auto"/>
              </w:rPr>
            </w:pPr>
            <w:r>
              <w:rPr>
                <w:rFonts w:ascii="Calibri" w:cs="Calibri" w:eastAsia="Calibri" w:hAnsi="Calibri"/>
                <w:sz w:val="12"/>
                <w:szCs w:val="12"/>
                <w:color w:val="auto"/>
              </w:rPr>
              <w:t>-325.2%</w:t>
            </w:r>
          </w:p>
        </w:tc>
        <w:tc>
          <w:tcPr>
            <w:tcW w:w="740" w:type="dxa"/>
            <w:vAlign w:val="bottom"/>
          </w:tcPr>
          <w:p>
            <w:pPr>
              <w:jc w:val="center"/>
              <w:ind w:left="99"/>
              <w:spacing w:after="0" w:line="145" w:lineRule="exact"/>
              <w:rPr>
                <w:sz w:val="20"/>
                <w:szCs w:val="20"/>
                <w:color w:val="auto"/>
              </w:rPr>
            </w:pPr>
            <w:r>
              <w:rPr>
                <w:rFonts w:ascii="Calibri" w:cs="Calibri" w:eastAsia="Calibri" w:hAnsi="Calibri"/>
                <w:sz w:val="12"/>
                <w:szCs w:val="12"/>
                <w:color w:val="auto"/>
              </w:rPr>
              <w:t>33,330</w:t>
            </w:r>
          </w:p>
        </w:tc>
        <w:tc>
          <w:tcPr>
            <w:tcW w:w="1120" w:type="dxa"/>
            <w:vAlign w:val="bottom"/>
            <w:tcBorders>
              <w:right w:val="single" w:sz="8" w:color="auto"/>
            </w:tcBorders>
          </w:tcPr>
          <w:p>
            <w:pPr>
              <w:jc w:val="center"/>
              <w:ind w:left="79"/>
              <w:spacing w:after="0" w:line="145" w:lineRule="exact"/>
              <w:rPr>
                <w:sz w:val="20"/>
                <w:szCs w:val="20"/>
                <w:color w:val="auto"/>
              </w:rPr>
            </w:pPr>
            <w:r>
              <w:rPr>
                <w:rFonts w:ascii="Calibri" w:cs="Calibri" w:eastAsia="Calibri" w:hAnsi="Calibri"/>
                <w:sz w:val="12"/>
                <w:szCs w:val="12"/>
                <w:color w:val="auto"/>
              </w:rPr>
              <w:t>(32,613)</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-197.8%</w:t>
            </w:r>
          </w:p>
        </w:tc>
      </w:tr>
      <w:tr>
        <w:trPr>
          <w:trHeight w:val="144"/>
        </w:trPr>
        <w:tc>
          <w:tcPr>
            <w:tcW w:w="2560" w:type="dxa"/>
            <w:vAlign w:val="bottom"/>
            <w:tcBorders>
              <w:left w:val="single" w:sz="8" w:color="auto"/>
            </w:tcBorders>
          </w:tcPr>
          <w:p>
            <w:pPr>
              <w:ind w:left="180"/>
              <w:spacing w:after="0" w:line="145" w:lineRule="exact"/>
              <w:rPr>
                <w:sz w:val="20"/>
                <w:szCs w:val="20"/>
                <w:color w:val="auto"/>
              </w:rPr>
            </w:pPr>
            <w:r>
              <w:rPr>
                <w:rFonts w:ascii="Calibri" w:cs="Calibri" w:eastAsia="Calibri" w:hAnsi="Calibri"/>
                <w:sz w:val="12"/>
                <w:szCs w:val="12"/>
                <w:color w:val="auto"/>
              </w:rPr>
              <w:t>Other income</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79"/>
              <w:spacing w:after="0" w:line="145" w:lineRule="exact"/>
              <w:rPr>
                <w:sz w:val="20"/>
                <w:szCs w:val="20"/>
                <w:color w:val="auto"/>
              </w:rPr>
            </w:pPr>
            <w:r>
              <w:rPr>
                <w:rFonts w:ascii="Calibri" w:cs="Calibri" w:eastAsia="Calibri" w:hAnsi="Calibri"/>
                <w:sz w:val="12"/>
                <w:szCs w:val="12"/>
                <w:color w:val="auto"/>
              </w:rPr>
              <w:t>6,548</w:t>
            </w:r>
          </w:p>
        </w:tc>
        <w:tc>
          <w:tcPr>
            <w:tcW w:w="700" w:type="dxa"/>
            <w:vAlign w:val="bottom"/>
          </w:tcPr>
          <w:p>
            <w:pPr>
              <w:jc w:val="center"/>
              <w:ind w:right="159"/>
              <w:spacing w:after="0" w:line="145" w:lineRule="exact"/>
              <w:rPr>
                <w:sz w:val="20"/>
                <w:szCs w:val="20"/>
                <w:color w:val="auto"/>
              </w:rPr>
            </w:pPr>
            <w:r>
              <w:rPr>
                <w:rFonts w:ascii="Calibri" w:cs="Calibri" w:eastAsia="Calibri" w:hAnsi="Calibri"/>
                <w:sz w:val="12"/>
                <w:szCs w:val="12"/>
                <w:color w:val="auto"/>
              </w:rPr>
              <w:t>3,325</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6,265</w:t>
            </w:r>
          </w:p>
        </w:tc>
        <w:tc>
          <w:tcPr>
            <w:tcW w:w="1140" w:type="dxa"/>
            <w:vAlign w:val="bottom"/>
          </w:tcPr>
          <w:p>
            <w:pPr>
              <w:jc w:val="center"/>
              <w:ind w:right="219"/>
              <w:spacing w:after="0" w:line="145" w:lineRule="exact"/>
              <w:rPr>
                <w:sz w:val="20"/>
                <w:szCs w:val="20"/>
                <w:color w:val="auto"/>
              </w:rPr>
            </w:pPr>
            <w:r>
              <w:rPr>
                <w:rFonts w:ascii="Calibri" w:cs="Calibri" w:eastAsia="Calibri" w:hAnsi="Calibri"/>
                <w:sz w:val="12"/>
                <w:szCs w:val="12"/>
                <w:color w:val="auto"/>
              </w:rPr>
              <w:t>88.4%</w:t>
            </w:r>
          </w:p>
        </w:tc>
        <w:tc>
          <w:tcPr>
            <w:tcW w:w="680" w:type="dxa"/>
            <w:vAlign w:val="bottom"/>
            <w:tcBorders>
              <w:right w:val="single" w:sz="8" w:color="auto"/>
            </w:tcBorders>
          </w:tcPr>
          <w:p>
            <w:pPr>
              <w:jc w:val="center"/>
              <w:ind w:right="218"/>
              <w:spacing w:after="0" w:line="145" w:lineRule="exact"/>
              <w:rPr>
                <w:sz w:val="20"/>
                <w:szCs w:val="20"/>
                <w:color w:val="auto"/>
              </w:rPr>
            </w:pPr>
            <w:r>
              <w:rPr>
                <w:rFonts w:ascii="Calibri" w:cs="Calibri" w:eastAsia="Calibri" w:hAnsi="Calibri"/>
                <w:sz w:val="12"/>
                <w:szCs w:val="12"/>
                <w:color w:val="auto"/>
              </w:rPr>
              <w:t>-4.3%</w:t>
            </w:r>
          </w:p>
        </w:tc>
        <w:tc>
          <w:tcPr>
            <w:tcW w:w="740" w:type="dxa"/>
            <w:vAlign w:val="bottom"/>
          </w:tcPr>
          <w:p>
            <w:pPr>
              <w:jc w:val="center"/>
              <w:ind w:left="99"/>
              <w:spacing w:after="0" w:line="145" w:lineRule="exact"/>
              <w:rPr>
                <w:sz w:val="20"/>
                <w:szCs w:val="20"/>
                <w:color w:val="auto"/>
              </w:rPr>
            </w:pPr>
            <w:r>
              <w:rPr>
                <w:rFonts w:ascii="Calibri" w:cs="Calibri" w:eastAsia="Calibri" w:hAnsi="Calibri"/>
                <w:sz w:val="12"/>
                <w:szCs w:val="12"/>
                <w:color w:val="auto"/>
              </w:rPr>
              <w:t>26,602</w:t>
            </w:r>
          </w:p>
        </w:tc>
        <w:tc>
          <w:tcPr>
            <w:tcW w:w="1120" w:type="dxa"/>
            <w:vAlign w:val="bottom"/>
            <w:tcBorders>
              <w:right w:val="single" w:sz="8" w:color="auto"/>
            </w:tcBorders>
          </w:tcPr>
          <w:p>
            <w:pPr>
              <w:jc w:val="center"/>
              <w:ind w:left="79"/>
              <w:spacing w:after="0" w:line="145" w:lineRule="exact"/>
              <w:rPr>
                <w:sz w:val="20"/>
                <w:szCs w:val="20"/>
                <w:color w:val="auto"/>
              </w:rPr>
            </w:pPr>
            <w:r>
              <w:rPr>
                <w:rFonts w:ascii="Calibri" w:cs="Calibri" w:eastAsia="Calibri" w:hAnsi="Calibri"/>
                <w:sz w:val="12"/>
                <w:szCs w:val="12"/>
                <w:color w:val="auto"/>
              </w:rPr>
              <w:t>27,713</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4.2%</w:t>
            </w:r>
          </w:p>
        </w:tc>
      </w:tr>
      <w:tr>
        <w:trPr>
          <w:trHeight w:val="144"/>
        </w:trPr>
        <w:tc>
          <w:tcPr>
            <w:tcW w:w="2560" w:type="dxa"/>
            <w:vAlign w:val="bottom"/>
            <w:tcBorders>
              <w:lef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Operatng expenses (1)</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39"/>
              <w:spacing w:after="0" w:line="145" w:lineRule="exact"/>
              <w:rPr>
                <w:sz w:val="20"/>
                <w:szCs w:val="20"/>
                <w:color w:val="auto"/>
              </w:rPr>
            </w:pPr>
            <w:r>
              <w:rPr>
                <w:rFonts w:ascii="Calibri" w:cs="Calibri" w:eastAsia="Calibri" w:hAnsi="Calibri"/>
                <w:sz w:val="12"/>
                <w:szCs w:val="12"/>
                <w:color w:val="auto"/>
              </w:rPr>
              <w:t>(192,097)</w:t>
            </w:r>
          </w:p>
        </w:tc>
        <w:tc>
          <w:tcPr>
            <w:tcW w:w="700" w:type="dxa"/>
            <w:vAlign w:val="bottom"/>
          </w:tcPr>
          <w:p>
            <w:pPr>
              <w:jc w:val="center"/>
              <w:ind w:right="139"/>
              <w:spacing w:after="0" w:line="145" w:lineRule="exact"/>
              <w:rPr>
                <w:sz w:val="20"/>
                <w:szCs w:val="20"/>
                <w:color w:val="auto"/>
              </w:rPr>
            </w:pPr>
            <w:r>
              <w:rPr>
                <w:rFonts w:ascii="Calibri" w:cs="Calibri" w:eastAsia="Calibri" w:hAnsi="Calibri"/>
                <w:sz w:val="12"/>
                <w:szCs w:val="12"/>
                <w:color w:val="auto"/>
                <w:w w:val="98"/>
              </w:rPr>
              <w:t>(187,915)</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(145,999)</w:t>
            </w:r>
          </w:p>
        </w:tc>
        <w:tc>
          <w:tcPr>
            <w:tcW w:w="1140" w:type="dxa"/>
            <w:vAlign w:val="bottom"/>
          </w:tcPr>
          <w:p>
            <w:pPr>
              <w:jc w:val="center"/>
              <w:ind w:right="219"/>
              <w:spacing w:after="0" w:line="145" w:lineRule="exact"/>
              <w:rPr>
                <w:sz w:val="20"/>
                <w:szCs w:val="20"/>
                <w:color w:val="auto"/>
              </w:rPr>
            </w:pPr>
            <w:r>
              <w:rPr>
                <w:rFonts w:ascii="Calibri" w:cs="Calibri" w:eastAsia="Calibri" w:hAnsi="Calibri"/>
                <w:sz w:val="12"/>
                <w:szCs w:val="12"/>
                <w:color w:val="auto"/>
              </w:rPr>
              <w:t>-22.3%</w:t>
            </w:r>
          </w:p>
        </w:tc>
        <w:tc>
          <w:tcPr>
            <w:tcW w:w="680" w:type="dxa"/>
            <w:vAlign w:val="bottom"/>
            <w:tcBorders>
              <w:right w:val="single" w:sz="8" w:color="auto"/>
            </w:tcBorders>
          </w:tcPr>
          <w:p>
            <w:pPr>
              <w:jc w:val="center"/>
              <w:ind w:right="198"/>
              <w:spacing w:after="0" w:line="145" w:lineRule="exact"/>
              <w:rPr>
                <w:sz w:val="20"/>
                <w:szCs w:val="20"/>
                <w:color w:val="auto"/>
              </w:rPr>
            </w:pPr>
            <w:r>
              <w:rPr>
                <w:rFonts w:ascii="Calibri" w:cs="Calibri" w:eastAsia="Calibri" w:hAnsi="Calibri"/>
                <w:sz w:val="12"/>
                <w:szCs w:val="12"/>
                <w:color w:val="auto"/>
              </w:rPr>
              <w:t>-24.0%</w:t>
            </w:r>
          </w:p>
        </w:tc>
        <w:tc>
          <w:tcPr>
            <w:tcW w:w="740" w:type="dxa"/>
            <w:vAlign w:val="bottom"/>
          </w:tcPr>
          <w:p>
            <w:pPr>
              <w:jc w:val="center"/>
              <w:ind w:left="119"/>
              <w:spacing w:after="0" w:line="145" w:lineRule="exact"/>
              <w:rPr>
                <w:sz w:val="20"/>
                <w:szCs w:val="20"/>
                <w:color w:val="auto"/>
              </w:rPr>
            </w:pPr>
            <w:r>
              <w:rPr>
                <w:rFonts w:ascii="Calibri" w:cs="Calibri" w:eastAsia="Calibri" w:hAnsi="Calibri"/>
                <w:sz w:val="12"/>
                <w:szCs w:val="12"/>
                <w:color w:val="auto"/>
              </w:rPr>
              <w:t>(698,702)</w:t>
            </w:r>
          </w:p>
        </w:tc>
        <w:tc>
          <w:tcPr>
            <w:tcW w:w="1120" w:type="dxa"/>
            <w:vAlign w:val="bottom"/>
            <w:tcBorders>
              <w:right w:val="single" w:sz="8" w:color="auto"/>
            </w:tcBorders>
          </w:tcPr>
          <w:p>
            <w:pPr>
              <w:jc w:val="center"/>
              <w:ind w:left="79"/>
              <w:spacing w:after="0" w:line="145" w:lineRule="exact"/>
              <w:rPr>
                <w:sz w:val="20"/>
                <w:szCs w:val="20"/>
                <w:color w:val="auto"/>
              </w:rPr>
            </w:pPr>
            <w:r>
              <w:rPr>
                <w:rFonts w:ascii="Calibri" w:cs="Calibri" w:eastAsia="Calibri" w:hAnsi="Calibri"/>
                <w:sz w:val="12"/>
                <w:szCs w:val="12"/>
                <w:color w:val="auto"/>
                <w:w w:val="98"/>
              </w:rPr>
              <w:t>(686,698)</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-1.7%</w:t>
            </w:r>
          </w:p>
        </w:tc>
      </w:tr>
      <w:tr>
        <w:trPr>
          <w:trHeight w:val="144"/>
        </w:trPr>
        <w:tc>
          <w:tcPr>
            <w:tcW w:w="2560" w:type="dxa"/>
            <w:vAlign w:val="bottom"/>
            <w:tcBorders>
              <w:left w:val="single" w:sz="8" w:color="auto"/>
            </w:tcBorders>
          </w:tcPr>
          <w:p>
            <w:pPr>
              <w:ind w:left="20"/>
              <w:spacing w:after="0" w:line="145" w:lineRule="exact"/>
              <w:rPr>
                <w:sz w:val="20"/>
                <w:szCs w:val="20"/>
                <w:color w:val="auto"/>
              </w:rPr>
            </w:pPr>
            <w:r>
              <w:rPr>
                <w:rFonts w:ascii="Calibri" w:cs="Calibri" w:eastAsia="Calibri" w:hAnsi="Calibri"/>
                <w:sz w:val="12"/>
                <w:szCs w:val="12"/>
                <w:b w:val="1"/>
                <w:bCs w:val="1"/>
                <w:color w:val="auto"/>
              </w:rPr>
              <w:t>Operatng income</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59"/>
              <w:spacing w:after="0" w:line="145" w:lineRule="exact"/>
              <w:rPr>
                <w:sz w:val="20"/>
                <w:szCs w:val="20"/>
                <w:color w:val="auto"/>
              </w:rPr>
            </w:pPr>
            <w:r>
              <w:rPr>
                <w:rFonts w:ascii="Calibri" w:cs="Calibri" w:eastAsia="Calibri" w:hAnsi="Calibri"/>
                <w:sz w:val="12"/>
                <w:szCs w:val="12"/>
                <w:b w:val="1"/>
                <w:bCs w:val="1"/>
                <w:color w:val="auto"/>
              </w:rPr>
              <w:t>52,738</w:t>
            </w:r>
          </w:p>
        </w:tc>
        <w:tc>
          <w:tcPr>
            <w:tcW w:w="700" w:type="dxa"/>
            <w:vAlign w:val="bottom"/>
          </w:tcPr>
          <w:p>
            <w:pPr>
              <w:jc w:val="center"/>
              <w:ind w:right="179"/>
              <w:spacing w:after="0" w:line="145" w:lineRule="exact"/>
              <w:rPr>
                <w:sz w:val="20"/>
                <w:szCs w:val="20"/>
                <w:color w:val="auto"/>
              </w:rPr>
            </w:pPr>
            <w:r>
              <w:rPr>
                <w:rFonts w:ascii="Calibri" w:cs="Calibri" w:eastAsia="Calibri" w:hAnsi="Calibri"/>
                <w:sz w:val="12"/>
                <w:szCs w:val="12"/>
                <w:b w:val="1"/>
                <w:bCs w:val="1"/>
                <w:color w:val="auto"/>
              </w:rPr>
              <w:t>63,647</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b w:val="1"/>
                <w:bCs w:val="1"/>
                <w:color w:val="auto"/>
              </w:rPr>
              <w:t>52,505</w:t>
            </w:r>
          </w:p>
        </w:tc>
        <w:tc>
          <w:tcPr>
            <w:tcW w:w="1140" w:type="dxa"/>
            <w:vAlign w:val="bottom"/>
          </w:tcPr>
          <w:p>
            <w:pPr>
              <w:jc w:val="center"/>
              <w:ind w:right="219"/>
              <w:spacing w:after="0" w:line="145" w:lineRule="exact"/>
              <w:rPr>
                <w:sz w:val="20"/>
                <w:szCs w:val="20"/>
                <w:color w:val="auto"/>
              </w:rPr>
            </w:pPr>
            <w:r>
              <w:rPr>
                <w:rFonts w:ascii="Calibri" w:cs="Calibri" w:eastAsia="Calibri" w:hAnsi="Calibri"/>
                <w:sz w:val="12"/>
                <w:szCs w:val="12"/>
                <w:b w:val="1"/>
                <w:bCs w:val="1"/>
                <w:color w:val="auto"/>
              </w:rPr>
              <w:t>-17.5%</w:t>
            </w:r>
          </w:p>
        </w:tc>
        <w:tc>
          <w:tcPr>
            <w:tcW w:w="680" w:type="dxa"/>
            <w:vAlign w:val="bottom"/>
            <w:tcBorders>
              <w:right w:val="single" w:sz="8" w:color="auto"/>
            </w:tcBorders>
          </w:tcPr>
          <w:p>
            <w:pPr>
              <w:jc w:val="center"/>
              <w:ind w:right="198"/>
              <w:spacing w:after="0" w:line="145" w:lineRule="exact"/>
              <w:rPr>
                <w:sz w:val="20"/>
                <w:szCs w:val="20"/>
                <w:color w:val="auto"/>
              </w:rPr>
            </w:pPr>
            <w:r>
              <w:rPr>
                <w:rFonts w:ascii="Calibri" w:cs="Calibri" w:eastAsia="Calibri" w:hAnsi="Calibri"/>
                <w:sz w:val="12"/>
                <w:szCs w:val="12"/>
                <w:b w:val="1"/>
                <w:bCs w:val="1"/>
                <w:color w:val="auto"/>
              </w:rPr>
              <w:t>-0.4%</w:t>
            </w:r>
          </w:p>
        </w:tc>
        <w:tc>
          <w:tcPr>
            <w:tcW w:w="740" w:type="dxa"/>
            <w:vAlign w:val="bottom"/>
          </w:tcPr>
          <w:p>
            <w:pPr>
              <w:jc w:val="center"/>
              <w:ind w:left="119"/>
              <w:spacing w:after="0" w:line="145" w:lineRule="exact"/>
              <w:rPr>
                <w:sz w:val="20"/>
                <w:szCs w:val="20"/>
                <w:color w:val="auto"/>
              </w:rPr>
            </w:pPr>
            <w:r>
              <w:rPr>
                <w:rFonts w:ascii="Calibri" w:cs="Calibri" w:eastAsia="Calibri" w:hAnsi="Calibri"/>
                <w:sz w:val="12"/>
                <w:szCs w:val="12"/>
                <w:b w:val="1"/>
                <w:bCs w:val="1"/>
                <w:color w:val="auto"/>
              </w:rPr>
              <w:t>192,790</w:t>
            </w:r>
          </w:p>
        </w:tc>
        <w:tc>
          <w:tcPr>
            <w:tcW w:w="1120" w:type="dxa"/>
            <w:vAlign w:val="bottom"/>
            <w:tcBorders>
              <w:right w:val="single" w:sz="8" w:color="auto"/>
            </w:tcBorders>
          </w:tcPr>
          <w:p>
            <w:pPr>
              <w:jc w:val="center"/>
              <w:ind w:left="79"/>
              <w:spacing w:after="0" w:line="145" w:lineRule="exact"/>
              <w:rPr>
                <w:sz w:val="20"/>
                <w:szCs w:val="20"/>
                <w:color w:val="auto"/>
              </w:rPr>
            </w:pPr>
            <w:r>
              <w:rPr>
                <w:rFonts w:ascii="Calibri" w:cs="Calibri" w:eastAsia="Calibri" w:hAnsi="Calibri"/>
                <w:sz w:val="12"/>
                <w:szCs w:val="12"/>
                <w:b w:val="1"/>
                <w:bCs w:val="1"/>
                <w:color w:val="auto"/>
              </w:rPr>
              <w:t>264,309</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b w:val="1"/>
                <w:bCs w:val="1"/>
                <w:color w:val="auto"/>
              </w:rPr>
              <w:t>37.1%</w:t>
            </w:r>
          </w:p>
        </w:tc>
      </w:tr>
      <w:tr>
        <w:trPr>
          <w:trHeight w:val="144"/>
        </w:trPr>
        <w:tc>
          <w:tcPr>
            <w:tcW w:w="2560" w:type="dxa"/>
            <w:vAlign w:val="bottom"/>
            <w:tcBorders>
              <w:left w:val="single" w:sz="8" w:color="auto"/>
            </w:tcBorders>
          </w:tcPr>
          <w:p>
            <w:pPr>
              <w:ind w:left="20"/>
              <w:spacing w:after="0" w:line="145" w:lineRule="exact"/>
              <w:rPr>
                <w:sz w:val="20"/>
                <w:szCs w:val="20"/>
                <w:color w:val="auto"/>
              </w:rPr>
            </w:pPr>
            <w:r>
              <w:rPr>
                <w:rFonts w:ascii="Calibri" w:cs="Calibri" w:eastAsia="Calibri" w:hAnsi="Calibri"/>
                <w:sz w:val="12"/>
                <w:szCs w:val="12"/>
                <w:color w:val="auto"/>
              </w:rPr>
              <w:t>Income taxes</w:t>
            </w:r>
          </w:p>
        </w:tc>
        <w:tc>
          <w:tcPr>
            <w:tcW w:w="1060" w:type="dxa"/>
            <w:vAlign w:val="bottom"/>
            <w:tcBorders>
              <w:right w:val="single" w:sz="8" w:color="auto"/>
            </w:tcBorders>
          </w:tcPr>
          <w:p>
            <w:pPr>
              <w:spacing w:after="0"/>
              <w:rPr>
                <w:sz w:val="12"/>
                <w:szCs w:val="12"/>
                <w:color w:val="auto"/>
              </w:rPr>
            </w:pPr>
          </w:p>
        </w:tc>
        <w:tc>
          <w:tcPr>
            <w:tcW w:w="1120" w:type="dxa"/>
            <w:vAlign w:val="bottom"/>
          </w:tcPr>
          <w:p>
            <w:pPr>
              <w:jc w:val="center"/>
              <w:ind w:right="139"/>
              <w:spacing w:after="0" w:line="145" w:lineRule="exact"/>
              <w:rPr>
                <w:sz w:val="20"/>
                <w:szCs w:val="20"/>
                <w:color w:val="auto"/>
              </w:rPr>
            </w:pPr>
            <w:r>
              <w:rPr>
                <w:rFonts w:ascii="Calibri" w:cs="Calibri" w:eastAsia="Calibri" w:hAnsi="Calibri"/>
                <w:sz w:val="12"/>
                <w:szCs w:val="12"/>
                <w:color w:val="auto"/>
                <w:w w:val="98"/>
              </w:rPr>
              <w:t>(10,006)</w:t>
            </w:r>
          </w:p>
        </w:tc>
        <w:tc>
          <w:tcPr>
            <w:tcW w:w="700" w:type="dxa"/>
            <w:vAlign w:val="bottom"/>
          </w:tcPr>
          <w:p>
            <w:pPr>
              <w:jc w:val="center"/>
              <w:ind w:right="139"/>
              <w:spacing w:after="0" w:line="145" w:lineRule="exact"/>
              <w:rPr>
                <w:sz w:val="20"/>
                <w:szCs w:val="20"/>
                <w:color w:val="auto"/>
              </w:rPr>
            </w:pPr>
            <w:r>
              <w:rPr>
                <w:rFonts w:ascii="Calibri" w:cs="Calibri" w:eastAsia="Calibri" w:hAnsi="Calibri"/>
                <w:sz w:val="12"/>
                <w:szCs w:val="12"/>
                <w:color w:val="auto"/>
              </w:rPr>
              <w:t>(11,053)</w:t>
            </w:r>
          </w:p>
        </w:tc>
        <w:tc>
          <w:tcPr>
            <w:tcW w:w="940" w:type="dxa"/>
            <w:vAlign w:val="bottom"/>
            <w:tcBorders>
              <w:right w:val="single" w:sz="8" w:color="auto"/>
            </w:tcBorders>
          </w:tcPr>
          <w:p>
            <w:pPr>
              <w:jc w:val="center"/>
              <w:spacing w:after="0" w:line="145" w:lineRule="exact"/>
              <w:rPr>
                <w:sz w:val="20"/>
                <w:szCs w:val="20"/>
                <w:color w:val="auto"/>
              </w:rPr>
            </w:pPr>
            <w:r>
              <w:rPr>
                <w:rFonts w:ascii="Calibri" w:cs="Calibri" w:eastAsia="Calibri" w:hAnsi="Calibri"/>
                <w:sz w:val="12"/>
                <w:szCs w:val="12"/>
                <w:color w:val="auto"/>
              </w:rPr>
              <w:t>(22,722)</w:t>
            </w:r>
          </w:p>
        </w:tc>
        <w:tc>
          <w:tcPr>
            <w:tcW w:w="1140" w:type="dxa"/>
            <w:vAlign w:val="bottom"/>
          </w:tcPr>
          <w:p>
            <w:pPr>
              <w:jc w:val="center"/>
              <w:ind w:right="199"/>
              <w:spacing w:after="0" w:line="145" w:lineRule="exact"/>
              <w:rPr>
                <w:sz w:val="20"/>
                <w:szCs w:val="20"/>
                <w:color w:val="auto"/>
              </w:rPr>
            </w:pPr>
            <w:r>
              <w:rPr>
                <w:rFonts w:ascii="Calibri" w:cs="Calibri" w:eastAsia="Calibri" w:hAnsi="Calibri"/>
                <w:sz w:val="12"/>
                <w:szCs w:val="12"/>
                <w:color w:val="auto"/>
              </w:rPr>
              <w:t>105.6%</w:t>
            </w:r>
          </w:p>
        </w:tc>
        <w:tc>
          <w:tcPr>
            <w:tcW w:w="680" w:type="dxa"/>
            <w:vAlign w:val="bottom"/>
            <w:tcBorders>
              <w:right w:val="single" w:sz="8" w:color="auto"/>
            </w:tcBorders>
          </w:tcPr>
          <w:p>
            <w:pPr>
              <w:jc w:val="center"/>
              <w:ind w:right="198"/>
              <w:spacing w:after="0" w:line="145" w:lineRule="exact"/>
              <w:rPr>
                <w:sz w:val="20"/>
                <w:szCs w:val="20"/>
                <w:color w:val="auto"/>
              </w:rPr>
            </w:pPr>
            <w:r>
              <w:rPr>
                <w:rFonts w:ascii="Calibri" w:cs="Calibri" w:eastAsia="Calibri" w:hAnsi="Calibri"/>
                <w:sz w:val="12"/>
                <w:szCs w:val="12"/>
                <w:color w:val="auto"/>
              </w:rPr>
              <w:t>127.1%</w:t>
            </w:r>
          </w:p>
        </w:tc>
        <w:tc>
          <w:tcPr>
            <w:tcW w:w="740" w:type="dxa"/>
            <w:vAlign w:val="bottom"/>
          </w:tcPr>
          <w:p>
            <w:pPr>
              <w:jc w:val="center"/>
              <w:ind w:left="99"/>
              <w:spacing w:after="0" w:line="145" w:lineRule="exact"/>
              <w:rPr>
                <w:sz w:val="20"/>
                <w:szCs w:val="20"/>
                <w:color w:val="auto"/>
              </w:rPr>
            </w:pPr>
            <w:r>
              <w:rPr>
                <w:rFonts w:ascii="Calibri" w:cs="Calibri" w:eastAsia="Calibri" w:hAnsi="Calibri"/>
                <w:sz w:val="12"/>
                <w:szCs w:val="12"/>
                <w:color w:val="auto"/>
              </w:rPr>
              <w:t>(31,394)</w:t>
            </w:r>
          </w:p>
        </w:tc>
        <w:tc>
          <w:tcPr>
            <w:tcW w:w="1120" w:type="dxa"/>
            <w:vAlign w:val="bottom"/>
            <w:tcBorders>
              <w:right w:val="single" w:sz="8" w:color="auto"/>
            </w:tcBorders>
          </w:tcPr>
          <w:p>
            <w:pPr>
              <w:jc w:val="center"/>
              <w:ind w:left="79"/>
              <w:spacing w:after="0" w:line="145" w:lineRule="exact"/>
              <w:rPr>
                <w:sz w:val="20"/>
                <w:szCs w:val="20"/>
                <w:color w:val="auto"/>
              </w:rPr>
            </w:pPr>
            <w:r>
              <w:rPr>
                <w:rFonts w:ascii="Calibri" w:cs="Calibri" w:eastAsia="Calibri" w:hAnsi="Calibri"/>
                <w:sz w:val="12"/>
                <w:szCs w:val="12"/>
                <w:color w:val="auto"/>
              </w:rPr>
              <w:t>(68,660)</w:t>
            </w:r>
          </w:p>
        </w:tc>
        <w:tc>
          <w:tcPr>
            <w:tcW w:w="100" w:type="dxa"/>
            <w:vAlign w:val="bottom"/>
          </w:tcPr>
          <w:p>
            <w:pPr>
              <w:spacing w:after="0"/>
              <w:rPr>
                <w:sz w:val="12"/>
                <w:szCs w:val="12"/>
                <w:color w:val="auto"/>
              </w:rPr>
            </w:pPr>
          </w:p>
        </w:tc>
        <w:tc>
          <w:tcPr>
            <w:tcW w:w="1080" w:type="dxa"/>
            <w:vAlign w:val="bottom"/>
            <w:tcBorders>
              <w:right w:val="single" w:sz="8" w:color="auto"/>
            </w:tcBorders>
          </w:tcPr>
          <w:p>
            <w:pPr>
              <w:jc w:val="center"/>
              <w:ind w:right="59"/>
              <w:spacing w:after="0" w:line="145" w:lineRule="exact"/>
              <w:rPr>
                <w:sz w:val="20"/>
                <w:szCs w:val="20"/>
                <w:color w:val="auto"/>
              </w:rPr>
            </w:pPr>
            <w:r>
              <w:rPr>
                <w:rFonts w:ascii="Calibri" w:cs="Calibri" w:eastAsia="Calibri" w:hAnsi="Calibri"/>
                <w:sz w:val="12"/>
                <w:szCs w:val="12"/>
                <w:color w:val="auto"/>
              </w:rPr>
              <w:t>118.7%</w:t>
            </w:r>
          </w:p>
        </w:tc>
      </w:tr>
      <w:tr>
        <w:trPr>
          <w:trHeight w:val="155"/>
        </w:trPr>
        <w:tc>
          <w:tcPr>
            <w:tcW w:w="2560" w:type="dxa"/>
            <w:vAlign w:val="bottom"/>
            <w:tcBorders>
              <w:left w:val="single" w:sz="8" w:color="auto"/>
            </w:tcBorders>
          </w:tcPr>
          <w:p>
            <w:pPr>
              <w:ind w:left="20"/>
              <w:spacing w:after="0"/>
              <w:rPr>
                <w:sz w:val="20"/>
                <w:szCs w:val="20"/>
                <w:color w:val="auto"/>
              </w:rPr>
            </w:pPr>
            <w:r>
              <w:rPr>
                <w:rFonts w:ascii="Calibri" w:cs="Calibri" w:eastAsia="Calibri" w:hAnsi="Calibri"/>
                <w:sz w:val="12"/>
                <w:szCs w:val="12"/>
                <w:color w:val="auto"/>
              </w:rPr>
              <w:t>Non-controlling interest</w:t>
            </w:r>
          </w:p>
        </w:tc>
        <w:tc>
          <w:tcPr>
            <w:tcW w:w="1060" w:type="dxa"/>
            <w:vAlign w:val="bottom"/>
            <w:tcBorders>
              <w:right w:val="single" w:sz="8" w:color="auto"/>
            </w:tcBorders>
          </w:tcPr>
          <w:p>
            <w:pPr>
              <w:spacing w:after="0"/>
              <w:rPr>
                <w:sz w:val="13"/>
                <w:szCs w:val="13"/>
                <w:color w:val="auto"/>
              </w:rPr>
            </w:pPr>
          </w:p>
        </w:tc>
        <w:tc>
          <w:tcPr>
            <w:tcW w:w="1120" w:type="dxa"/>
            <w:vAlign w:val="bottom"/>
          </w:tcPr>
          <w:p>
            <w:pPr>
              <w:jc w:val="center"/>
              <w:ind w:right="139"/>
              <w:spacing w:after="0"/>
              <w:rPr>
                <w:sz w:val="20"/>
                <w:szCs w:val="20"/>
                <w:color w:val="auto"/>
              </w:rPr>
            </w:pPr>
            <w:r>
              <w:rPr>
                <w:rFonts w:ascii="Calibri" w:cs="Calibri" w:eastAsia="Calibri" w:hAnsi="Calibri"/>
                <w:sz w:val="12"/>
                <w:szCs w:val="12"/>
                <w:color w:val="auto"/>
              </w:rPr>
              <w:t>(6,818)</w:t>
            </w:r>
          </w:p>
        </w:tc>
        <w:tc>
          <w:tcPr>
            <w:tcW w:w="700" w:type="dxa"/>
            <w:vAlign w:val="bottom"/>
          </w:tcPr>
          <w:p>
            <w:pPr>
              <w:jc w:val="center"/>
              <w:ind w:right="159"/>
              <w:spacing w:after="0"/>
              <w:rPr>
                <w:sz w:val="20"/>
                <w:szCs w:val="20"/>
                <w:color w:val="auto"/>
              </w:rPr>
            </w:pPr>
            <w:r>
              <w:rPr>
                <w:rFonts w:ascii="Calibri" w:cs="Calibri" w:eastAsia="Calibri" w:hAnsi="Calibri"/>
                <w:sz w:val="12"/>
                <w:szCs w:val="12"/>
                <w:color w:val="auto"/>
                <w:w w:val="98"/>
              </w:rPr>
              <w:t>86</w:t>
            </w:r>
          </w:p>
        </w:tc>
        <w:tc>
          <w:tcPr>
            <w:tcW w:w="940" w:type="dxa"/>
            <w:vAlign w:val="bottom"/>
            <w:tcBorders>
              <w:right w:val="single" w:sz="8" w:color="auto"/>
            </w:tcBorders>
          </w:tcPr>
          <w:p>
            <w:pPr>
              <w:jc w:val="center"/>
              <w:spacing w:after="0"/>
              <w:rPr>
                <w:sz w:val="20"/>
                <w:szCs w:val="20"/>
                <w:color w:val="auto"/>
              </w:rPr>
            </w:pPr>
            <w:r>
              <w:rPr>
                <w:rFonts w:ascii="Calibri" w:cs="Calibri" w:eastAsia="Calibri" w:hAnsi="Calibri"/>
                <w:sz w:val="12"/>
                <w:szCs w:val="12"/>
                <w:color w:val="auto"/>
                <w:w w:val="98"/>
              </w:rPr>
              <w:t>156</w:t>
            </w:r>
          </w:p>
        </w:tc>
        <w:tc>
          <w:tcPr>
            <w:tcW w:w="1140" w:type="dxa"/>
            <w:vAlign w:val="bottom"/>
          </w:tcPr>
          <w:p>
            <w:pPr>
              <w:jc w:val="center"/>
              <w:ind w:right="219"/>
              <w:spacing w:after="0"/>
              <w:rPr>
                <w:sz w:val="20"/>
                <w:szCs w:val="20"/>
                <w:color w:val="auto"/>
              </w:rPr>
            </w:pPr>
            <w:r>
              <w:rPr>
                <w:rFonts w:ascii="Calibri" w:cs="Calibri" w:eastAsia="Calibri" w:hAnsi="Calibri"/>
                <w:sz w:val="12"/>
                <w:szCs w:val="12"/>
                <w:color w:val="auto"/>
              </w:rPr>
              <w:t>81.4%</w:t>
            </w:r>
          </w:p>
        </w:tc>
        <w:tc>
          <w:tcPr>
            <w:tcW w:w="680" w:type="dxa"/>
            <w:vAlign w:val="bottom"/>
            <w:tcBorders>
              <w:right w:val="single" w:sz="8" w:color="auto"/>
            </w:tcBorders>
          </w:tcPr>
          <w:p>
            <w:pPr>
              <w:jc w:val="center"/>
              <w:ind w:right="198"/>
              <w:spacing w:after="0"/>
              <w:rPr>
                <w:sz w:val="20"/>
                <w:szCs w:val="20"/>
                <w:color w:val="auto"/>
              </w:rPr>
            </w:pPr>
            <w:r>
              <w:rPr>
                <w:rFonts w:ascii="Calibri" w:cs="Calibri" w:eastAsia="Calibri" w:hAnsi="Calibri"/>
                <w:sz w:val="12"/>
                <w:szCs w:val="12"/>
                <w:color w:val="auto"/>
              </w:rPr>
              <w:t>-102.3%</w:t>
            </w:r>
          </w:p>
        </w:tc>
        <w:tc>
          <w:tcPr>
            <w:tcW w:w="740" w:type="dxa"/>
            <w:vAlign w:val="bottom"/>
          </w:tcPr>
          <w:p>
            <w:pPr>
              <w:jc w:val="center"/>
              <w:ind w:left="99"/>
              <w:spacing w:after="0"/>
              <w:rPr>
                <w:sz w:val="20"/>
                <w:szCs w:val="20"/>
                <w:color w:val="auto"/>
              </w:rPr>
            </w:pPr>
            <w:r>
              <w:rPr>
                <w:rFonts w:ascii="Calibri" w:cs="Calibri" w:eastAsia="Calibri" w:hAnsi="Calibri"/>
                <w:sz w:val="12"/>
                <w:szCs w:val="12"/>
                <w:color w:val="auto"/>
              </w:rPr>
              <w:t>(11,955)</w:t>
            </w:r>
          </w:p>
        </w:tc>
        <w:tc>
          <w:tcPr>
            <w:tcW w:w="1120" w:type="dxa"/>
            <w:vAlign w:val="bottom"/>
            <w:tcBorders>
              <w:right w:val="single" w:sz="8" w:color="auto"/>
            </w:tcBorders>
          </w:tcPr>
          <w:p>
            <w:pPr>
              <w:jc w:val="center"/>
              <w:ind w:left="79"/>
              <w:spacing w:after="0"/>
              <w:rPr>
                <w:sz w:val="20"/>
                <w:szCs w:val="20"/>
                <w:color w:val="auto"/>
              </w:rPr>
            </w:pPr>
            <w:r>
              <w:rPr>
                <w:rFonts w:ascii="Calibri" w:cs="Calibri" w:eastAsia="Calibri" w:hAnsi="Calibri"/>
                <w:sz w:val="12"/>
                <w:szCs w:val="12"/>
                <w:color w:val="auto"/>
                <w:w w:val="98"/>
              </w:rPr>
              <w:t>392</w:t>
            </w:r>
          </w:p>
        </w:tc>
        <w:tc>
          <w:tcPr>
            <w:tcW w:w="100" w:type="dxa"/>
            <w:vAlign w:val="bottom"/>
          </w:tcPr>
          <w:p>
            <w:pPr>
              <w:spacing w:after="0"/>
              <w:rPr>
                <w:sz w:val="13"/>
                <w:szCs w:val="13"/>
                <w:color w:val="auto"/>
              </w:rPr>
            </w:pPr>
          </w:p>
        </w:tc>
        <w:tc>
          <w:tcPr>
            <w:tcW w:w="1080" w:type="dxa"/>
            <w:vAlign w:val="bottom"/>
            <w:tcBorders>
              <w:right w:val="single" w:sz="8" w:color="auto"/>
            </w:tcBorders>
          </w:tcPr>
          <w:p>
            <w:pPr>
              <w:jc w:val="center"/>
              <w:ind w:right="59"/>
              <w:spacing w:after="0"/>
              <w:rPr>
                <w:sz w:val="20"/>
                <w:szCs w:val="20"/>
                <w:color w:val="auto"/>
              </w:rPr>
            </w:pPr>
            <w:r>
              <w:rPr>
                <w:rFonts w:ascii="Calibri" w:cs="Calibri" w:eastAsia="Calibri" w:hAnsi="Calibri"/>
                <w:sz w:val="12"/>
                <w:szCs w:val="12"/>
                <w:color w:val="auto"/>
              </w:rPr>
              <w:t>-103.3%</w:t>
            </w:r>
          </w:p>
        </w:tc>
      </w:tr>
      <w:tr>
        <w:trPr>
          <w:trHeight w:val="140"/>
        </w:trPr>
        <w:tc>
          <w:tcPr>
            <w:tcW w:w="2560" w:type="dxa"/>
            <w:vAlign w:val="bottom"/>
            <w:tcBorders>
              <w:left w:val="single" w:sz="8" w:color="auto"/>
              <w:bottom w:val="single" w:sz="8" w:color="auto"/>
            </w:tcBorders>
          </w:tcPr>
          <w:p>
            <w:pPr>
              <w:ind w:left="20"/>
              <w:spacing w:after="0" w:line="140" w:lineRule="exact"/>
              <w:rPr>
                <w:sz w:val="20"/>
                <w:szCs w:val="20"/>
                <w:color w:val="auto"/>
              </w:rPr>
            </w:pPr>
            <w:r>
              <w:rPr>
                <w:rFonts w:ascii="Calibri" w:cs="Calibri" w:eastAsia="Calibri" w:hAnsi="Calibri"/>
                <w:sz w:val="12"/>
                <w:szCs w:val="12"/>
                <w:b w:val="1"/>
                <w:bCs w:val="1"/>
                <w:color w:val="auto"/>
              </w:rPr>
              <w:t>Net income</w:t>
            </w:r>
          </w:p>
        </w:tc>
        <w:tc>
          <w:tcPr>
            <w:tcW w:w="10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59"/>
              <w:spacing w:after="0" w:line="140" w:lineRule="exact"/>
              <w:rPr>
                <w:sz w:val="20"/>
                <w:szCs w:val="20"/>
                <w:color w:val="auto"/>
              </w:rPr>
            </w:pPr>
            <w:r>
              <w:rPr>
                <w:rFonts w:ascii="Calibri" w:cs="Calibri" w:eastAsia="Calibri" w:hAnsi="Calibri"/>
                <w:sz w:val="12"/>
                <w:szCs w:val="12"/>
                <w:b w:val="1"/>
                <w:bCs w:val="1"/>
                <w:color w:val="auto"/>
              </w:rPr>
              <w:t>49,550</w:t>
            </w:r>
          </w:p>
        </w:tc>
        <w:tc>
          <w:tcPr>
            <w:tcW w:w="700" w:type="dxa"/>
            <w:vAlign w:val="bottom"/>
            <w:tcBorders>
              <w:bottom w:val="single" w:sz="8" w:color="auto"/>
            </w:tcBorders>
          </w:tcPr>
          <w:p>
            <w:pPr>
              <w:jc w:val="center"/>
              <w:ind w:right="179"/>
              <w:spacing w:after="0" w:line="140" w:lineRule="exact"/>
              <w:rPr>
                <w:sz w:val="20"/>
                <w:szCs w:val="20"/>
                <w:color w:val="auto"/>
              </w:rPr>
            </w:pPr>
            <w:r>
              <w:rPr>
                <w:rFonts w:ascii="Calibri" w:cs="Calibri" w:eastAsia="Calibri" w:hAnsi="Calibri"/>
                <w:sz w:val="12"/>
                <w:szCs w:val="12"/>
                <w:b w:val="1"/>
                <w:bCs w:val="1"/>
                <w:color w:val="auto"/>
              </w:rPr>
              <w:t>52,508</w:t>
            </w:r>
          </w:p>
        </w:tc>
        <w:tc>
          <w:tcPr>
            <w:tcW w:w="940" w:type="dxa"/>
            <w:vAlign w:val="bottom"/>
            <w:tcBorders>
              <w:bottom w:val="single" w:sz="8" w:color="auto"/>
              <w:right w:val="single" w:sz="8" w:color="auto"/>
            </w:tcBorders>
          </w:tcPr>
          <w:p>
            <w:pPr>
              <w:jc w:val="center"/>
              <w:spacing w:after="0" w:line="140" w:lineRule="exact"/>
              <w:rPr>
                <w:sz w:val="20"/>
                <w:szCs w:val="20"/>
                <w:color w:val="auto"/>
              </w:rPr>
            </w:pPr>
            <w:r>
              <w:rPr>
                <w:rFonts w:ascii="Calibri" w:cs="Calibri" w:eastAsia="Calibri" w:hAnsi="Calibri"/>
                <w:sz w:val="12"/>
                <w:szCs w:val="12"/>
                <w:b w:val="1"/>
                <w:bCs w:val="1"/>
                <w:color w:val="auto"/>
              </w:rPr>
              <w:t>29,627</w:t>
            </w:r>
          </w:p>
        </w:tc>
        <w:tc>
          <w:tcPr>
            <w:tcW w:w="1140" w:type="dxa"/>
            <w:vAlign w:val="bottom"/>
            <w:tcBorders>
              <w:bottom w:val="single" w:sz="8" w:color="auto"/>
            </w:tcBorders>
          </w:tcPr>
          <w:p>
            <w:pPr>
              <w:jc w:val="center"/>
              <w:ind w:right="219"/>
              <w:spacing w:after="0" w:line="140" w:lineRule="exact"/>
              <w:rPr>
                <w:sz w:val="20"/>
                <w:szCs w:val="20"/>
                <w:color w:val="auto"/>
              </w:rPr>
            </w:pPr>
            <w:r>
              <w:rPr>
                <w:rFonts w:ascii="Calibri" w:cs="Calibri" w:eastAsia="Calibri" w:hAnsi="Calibri"/>
                <w:sz w:val="12"/>
                <w:szCs w:val="12"/>
                <w:b w:val="1"/>
                <w:bCs w:val="1"/>
                <w:color w:val="auto"/>
              </w:rPr>
              <w:t>-43.6%</w:t>
            </w:r>
          </w:p>
        </w:tc>
        <w:tc>
          <w:tcPr>
            <w:tcW w:w="680" w:type="dxa"/>
            <w:vAlign w:val="bottom"/>
            <w:tcBorders>
              <w:bottom w:val="single" w:sz="8" w:color="auto"/>
              <w:right w:val="single" w:sz="8" w:color="auto"/>
            </w:tcBorders>
          </w:tcPr>
          <w:p>
            <w:pPr>
              <w:jc w:val="center"/>
              <w:ind w:right="198"/>
              <w:spacing w:after="0" w:line="140" w:lineRule="exact"/>
              <w:rPr>
                <w:sz w:val="20"/>
                <w:szCs w:val="20"/>
                <w:color w:val="auto"/>
              </w:rPr>
            </w:pPr>
            <w:r>
              <w:rPr>
                <w:rFonts w:ascii="Calibri" w:cs="Calibri" w:eastAsia="Calibri" w:hAnsi="Calibri"/>
                <w:sz w:val="12"/>
                <w:szCs w:val="12"/>
                <w:b w:val="1"/>
                <w:bCs w:val="1"/>
                <w:color w:val="auto"/>
              </w:rPr>
              <w:t>-40.2%</w:t>
            </w:r>
          </w:p>
        </w:tc>
        <w:tc>
          <w:tcPr>
            <w:tcW w:w="740" w:type="dxa"/>
            <w:vAlign w:val="bottom"/>
            <w:tcBorders>
              <w:bottom w:val="single" w:sz="8" w:color="auto"/>
            </w:tcBorders>
          </w:tcPr>
          <w:p>
            <w:pPr>
              <w:jc w:val="center"/>
              <w:ind w:left="119"/>
              <w:spacing w:after="0" w:line="140" w:lineRule="exact"/>
              <w:rPr>
                <w:sz w:val="20"/>
                <w:szCs w:val="20"/>
                <w:color w:val="auto"/>
              </w:rPr>
            </w:pPr>
            <w:r>
              <w:rPr>
                <w:rFonts w:ascii="Calibri" w:cs="Calibri" w:eastAsia="Calibri" w:hAnsi="Calibri"/>
                <w:sz w:val="12"/>
                <w:szCs w:val="12"/>
                <w:b w:val="1"/>
                <w:bCs w:val="1"/>
                <w:color w:val="auto"/>
              </w:rPr>
              <w:t>173,351</w:t>
            </w:r>
          </w:p>
        </w:tc>
        <w:tc>
          <w:tcPr>
            <w:tcW w:w="1120" w:type="dxa"/>
            <w:vAlign w:val="bottom"/>
            <w:tcBorders>
              <w:bottom w:val="single" w:sz="8" w:color="auto"/>
              <w:right w:val="single" w:sz="8" w:color="auto"/>
            </w:tcBorders>
          </w:tcPr>
          <w:p>
            <w:pPr>
              <w:jc w:val="center"/>
              <w:ind w:left="79"/>
              <w:spacing w:after="0" w:line="140" w:lineRule="exact"/>
              <w:rPr>
                <w:sz w:val="20"/>
                <w:szCs w:val="20"/>
                <w:color w:val="auto"/>
              </w:rPr>
            </w:pPr>
            <w:r>
              <w:rPr>
                <w:rFonts w:ascii="Calibri" w:cs="Calibri" w:eastAsia="Calibri" w:hAnsi="Calibri"/>
                <w:sz w:val="12"/>
                <w:szCs w:val="12"/>
                <w:b w:val="1"/>
                <w:bCs w:val="1"/>
                <w:color w:val="auto"/>
              </w:rPr>
              <w:t>195,257</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59"/>
              <w:spacing w:after="0" w:line="140" w:lineRule="exact"/>
              <w:rPr>
                <w:sz w:val="20"/>
                <w:szCs w:val="20"/>
                <w:color w:val="auto"/>
              </w:rPr>
            </w:pPr>
            <w:r>
              <w:rPr>
                <w:rFonts w:ascii="Calibri" w:cs="Calibri" w:eastAsia="Calibri" w:hAnsi="Calibri"/>
                <w:sz w:val="12"/>
                <w:szCs w:val="12"/>
                <w:b w:val="1"/>
                <w:bCs w:val="1"/>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-2247900</wp:posOffset>
            </wp:positionV>
            <wp:extent cx="1016000" cy="141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Calibri" w:cs="Calibri" w:eastAsia="Calibri" w:hAnsi="Calibri"/>
          <w:sz w:val="14"/>
          <w:szCs w:val="14"/>
          <w:color w:val="auto"/>
        </w:rPr>
        <w:t>* Unaudited results.</w:t>
      </w:r>
    </w:p>
    <w:p>
      <w:pPr>
        <w:spacing w:after="0"/>
        <w:rPr>
          <w:sz w:val="20"/>
          <w:szCs w:val="20"/>
          <w:color w:val="auto"/>
        </w:rPr>
      </w:pPr>
      <w:r>
        <w:rPr>
          <w:rFonts w:ascii="Calibri" w:cs="Calibri" w:eastAsia="Calibri" w:hAnsi="Calibri"/>
          <w:sz w:val="14"/>
          <w:szCs w:val="14"/>
          <w:color w:val="auto"/>
        </w:rPr>
        <w:t>(1) Includes: Salaries and employees benefts + Administratve expenses + Assigned expenses + Depreciaton and amortzaton + Tax and contributons + Other expenses.</w:t>
      </w:r>
    </w:p>
    <w:p>
      <w:pPr>
        <w:spacing w:after="0" w:line="33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ind w:left="2680"/>
        <w:spacing w:after="0"/>
        <w:tabs>
          <w:tab w:leader="none" w:pos="2960" w:val="left"/>
          <w:tab w:leader="none" w:pos="7640" w:val="left"/>
        </w:tabs>
        <w:rPr>
          <w:sz w:val="20"/>
          <w:szCs w:val="20"/>
          <w:color w:val="auto"/>
        </w:rPr>
      </w:pPr>
      <w:r>
        <w:rPr>
          <w:rFonts w:ascii="Calibri" w:cs="Calibri" w:eastAsia="Calibri" w:hAnsi="Calibri"/>
          <w:sz w:val="19"/>
          <w:szCs w:val="19"/>
          <w:color w:val="A6A6A6"/>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6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6130" cy="416560"/>
                    </a:xfrm>
                    <a:prstGeom prst="rect">
                      <a:avLst/>
                    </a:prstGeom>
                    <a:noFill/>
                  </pic:spPr>
                </pic:pic>
              </a:graphicData>
            </a:graphic>
          </wp:anchor>
        </w:drawing>
        <w:t>|</w:t>
      </w:r>
      <w:r>
        <w:rPr>
          <w:sz w:val="20"/>
          <w:szCs w:val="20"/>
          <w:color w:val="auto"/>
        </w:rPr>
        <w:tab/>
      </w:r>
      <w:r>
        <w:rPr>
          <w:rFonts w:ascii="Calibri" w:cs="Calibri" w:eastAsia="Calibri" w:hAnsi="Calibri"/>
          <w:sz w:val="16"/>
          <w:szCs w:val="16"/>
          <w:color w:val="FFFFFF"/>
        </w:rPr>
        <w:t>Earnings Release 4Q / 2024</w:t>
      </w:r>
      <w:r>
        <w:rPr>
          <w:sz w:val="20"/>
          <w:szCs w:val="20"/>
          <w:color w:val="auto"/>
        </w:rPr>
        <w:tab/>
      </w:r>
      <w:r>
        <w:rPr>
          <w:rFonts w:ascii="Calibri" w:cs="Calibri" w:eastAsia="Calibri" w:hAnsi="Calibri"/>
          <w:sz w:val="15"/>
          <w:szCs w:val="15"/>
          <w:color w:val="ED3FA8"/>
        </w:rPr>
        <w:t>Analysis of 4Q24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65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6130" cy="216535"/>
                    </a:xfrm>
                    <a:prstGeom prst="rect">
                      <a:avLst/>
                    </a:prstGeom>
                    <a:noFill/>
                  </pic:spPr>
                </pic:pic>
              </a:graphicData>
            </a:graphic>
          </wp:anchor>
        </w:drawing>
      </w:r>
    </w:p>
    <w:p>
      <w:pPr>
        <w:spacing w:after="0" w:line="291" w:lineRule="exact"/>
        <w:rPr>
          <w:sz w:val="20"/>
          <w:szCs w:val="20"/>
          <w:color w:val="auto"/>
        </w:rPr>
      </w:pPr>
    </w:p>
    <w:p>
      <w:pPr>
        <w:ind w:left="80"/>
        <w:spacing w:after="0"/>
        <w:rPr>
          <w:sz w:val="20"/>
          <w:szCs w:val="20"/>
          <w:color w:val="auto"/>
        </w:rPr>
      </w:pPr>
      <w:r>
        <w:rPr>
          <w:rFonts w:ascii="Calibri" w:cs="Calibri" w:eastAsia="Calibri" w:hAnsi="Calibri"/>
          <w:sz w:val="19"/>
          <w:szCs w:val="19"/>
          <w:b w:val="1"/>
          <w:bCs w:val="1"/>
          <w:color w:val="FFFFFF"/>
        </w:rPr>
        <w:t>12. Appendix</w:t>
      </w:r>
    </w:p>
    <w:p>
      <w:pPr>
        <w:spacing w:after="0" w:line="2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12.7. Table of calculatons</w:t>
      </w:r>
    </w:p>
    <w:p>
      <w:pPr>
        <w:spacing w:after="0" w:line="187" w:lineRule="exact"/>
        <w:rPr>
          <w:sz w:val="20"/>
          <w:szCs w:val="20"/>
          <w:color w:val="auto"/>
        </w:rPr>
      </w:pPr>
    </w:p>
    <w:tbl>
      <w:tblPr>
        <w:tblLayout w:type="fixed"/>
        <w:tblInd w:w="1730" w:type="dxa"/>
        <w:tblCellMar>
          <w:top w:w="0" w:type="dxa"/>
          <w:left w:w="0" w:type="dxa"/>
          <w:bottom w:w="0" w:type="dxa"/>
          <w:right w:w="0" w:type="dxa"/>
        </w:tblCellMar>
      </w:tblPr>
      <w:tr>
        <w:trPr>
          <w:trHeight w:val="184"/>
        </w:trPr>
        <w:tc>
          <w:tcPr>
            <w:tcW w:w="1040" w:type="dxa"/>
            <w:vAlign w:val="bottom"/>
            <w:tcBorders>
              <w:top w:val="single" w:sz="8" w:color="auto"/>
              <w:left w:val="single" w:sz="8" w:color="auto"/>
              <w:bottom w:val="single" w:sz="8" w:color="auto"/>
              <w:right w:val="single" w:sz="8" w:color="33CCCC"/>
            </w:tcBorders>
            <w:shd w:val="clear" w:color="auto" w:fill="33CCCC"/>
          </w:tcPr>
          <w:p>
            <w:pPr>
              <w:spacing w:after="0"/>
              <w:rPr>
                <w:sz w:val="15"/>
                <w:szCs w:val="15"/>
                <w:color w:val="auto"/>
              </w:rPr>
            </w:pPr>
          </w:p>
        </w:tc>
        <w:tc>
          <w:tcPr>
            <w:tcW w:w="2060" w:type="dxa"/>
            <w:vAlign w:val="bottom"/>
            <w:tcBorders>
              <w:top w:val="single" w:sz="8" w:color="auto"/>
              <w:bottom w:val="single" w:sz="8" w:color="auto"/>
              <w:right w:val="single" w:sz="8" w:color="33CCCC"/>
            </w:tcBorders>
            <w:shd w:val="clear" w:color="auto" w:fill="33CCCC"/>
          </w:tcPr>
          <w:p>
            <w:pPr>
              <w:spacing w:after="0"/>
              <w:rPr>
                <w:sz w:val="15"/>
                <w:szCs w:val="15"/>
                <w:color w:val="auto"/>
              </w:rPr>
            </w:pPr>
          </w:p>
        </w:tc>
        <w:tc>
          <w:tcPr>
            <w:tcW w:w="140" w:type="dxa"/>
            <w:vAlign w:val="bottom"/>
            <w:tcBorders>
              <w:top w:val="single" w:sz="8" w:color="auto"/>
              <w:bottom w:val="single" w:sz="8" w:color="auto"/>
            </w:tcBorders>
            <w:shd w:val="clear" w:color="auto" w:fill="33CCCC"/>
          </w:tcPr>
          <w:p>
            <w:pPr>
              <w:spacing w:after="0"/>
              <w:rPr>
                <w:sz w:val="15"/>
                <w:szCs w:val="15"/>
                <w:color w:val="auto"/>
              </w:rPr>
            </w:pPr>
          </w:p>
        </w:tc>
        <w:tc>
          <w:tcPr>
            <w:tcW w:w="400" w:type="dxa"/>
            <w:vAlign w:val="bottom"/>
            <w:tcBorders>
              <w:top w:val="single" w:sz="8" w:color="auto"/>
              <w:bottom w:val="single" w:sz="8" w:color="auto"/>
            </w:tcBorders>
            <w:shd w:val="clear" w:color="auto" w:fill="33CCCC"/>
          </w:tcPr>
          <w:p>
            <w:pPr>
              <w:spacing w:after="0"/>
              <w:rPr>
                <w:sz w:val="15"/>
                <w:szCs w:val="15"/>
                <w:color w:val="auto"/>
              </w:rPr>
            </w:pPr>
          </w:p>
        </w:tc>
        <w:tc>
          <w:tcPr>
            <w:tcW w:w="60" w:type="dxa"/>
            <w:vAlign w:val="bottom"/>
            <w:tcBorders>
              <w:top w:val="single" w:sz="8" w:color="auto"/>
              <w:bottom w:val="single" w:sz="8" w:color="auto"/>
            </w:tcBorders>
            <w:shd w:val="clear" w:color="auto" w:fill="33CCCC"/>
          </w:tcPr>
          <w:p>
            <w:pPr>
              <w:spacing w:after="0"/>
              <w:rPr>
                <w:sz w:val="15"/>
                <w:szCs w:val="15"/>
                <w:color w:val="auto"/>
              </w:rPr>
            </w:pPr>
          </w:p>
        </w:tc>
        <w:tc>
          <w:tcPr>
            <w:tcW w:w="1660" w:type="dxa"/>
            <w:vAlign w:val="bottom"/>
            <w:tcBorders>
              <w:top w:val="single" w:sz="8" w:color="auto"/>
              <w:bottom w:val="single" w:sz="8" w:color="auto"/>
            </w:tcBorders>
            <w:gridSpan w:val="10"/>
            <w:shd w:val="clear" w:color="auto" w:fill="33CCCC"/>
          </w:tcPr>
          <w:p>
            <w:pPr>
              <w:spacing w:after="0" w:line="184" w:lineRule="exact"/>
              <w:rPr>
                <w:sz w:val="20"/>
                <w:szCs w:val="20"/>
                <w:color w:val="auto"/>
              </w:rPr>
            </w:pPr>
            <w:r>
              <w:rPr>
                <w:rFonts w:ascii="Calibri" w:cs="Calibri" w:eastAsia="Calibri" w:hAnsi="Calibri"/>
                <w:sz w:val="12"/>
                <w:szCs w:val="12"/>
                <w:b w:val="1"/>
                <w:bCs w:val="1"/>
                <w:color w:val="FFFFFF"/>
              </w:rPr>
              <w:t xml:space="preserve">Table of calculatons </w:t>
            </w:r>
            <w:r>
              <w:rPr>
                <w:rFonts w:ascii="Calibri" w:cs="Calibri" w:eastAsia="Calibri" w:hAnsi="Calibri"/>
                <w:sz w:val="20"/>
                <w:szCs w:val="20"/>
                <w:color w:val="FFFFFF"/>
                <w:vertAlign w:val="superscript"/>
              </w:rPr>
              <w:t>(1)</w:t>
            </w:r>
          </w:p>
        </w:tc>
        <w:tc>
          <w:tcPr>
            <w:tcW w:w="80" w:type="dxa"/>
            <w:vAlign w:val="bottom"/>
            <w:tcBorders>
              <w:top w:val="single" w:sz="8" w:color="auto"/>
              <w:bottom w:val="single" w:sz="8" w:color="auto"/>
            </w:tcBorders>
            <w:shd w:val="clear" w:color="auto" w:fill="33CCCC"/>
          </w:tcPr>
          <w:p>
            <w:pPr>
              <w:spacing w:after="0"/>
              <w:rPr>
                <w:sz w:val="15"/>
                <w:szCs w:val="15"/>
                <w:color w:val="auto"/>
              </w:rPr>
            </w:pPr>
          </w:p>
        </w:tc>
        <w:tc>
          <w:tcPr>
            <w:tcW w:w="100" w:type="dxa"/>
            <w:vAlign w:val="bottom"/>
            <w:tcBorders>
              <w:top w:val="single" w:sz="8" w:color="auto"/>
              <w:bottom w:val="single" w:sz="8" w:color="auto"/>
            </w:tcBorders>
            <w:shd w:val="clear" w:color="auto" w:fill="33CCCC"/>
          </w:tcPr>
          <w:p>
            <w:pPr>
              <w:spacing w:after="0"/>
              <w:rPr>
                <w:sz w:val="15"/>
                <w:szCs w:val="15"/>
                <w:color w:val="auto"/>
              </w:rPr>
            </w:pPr>
          </w:p>
        </w:tc>
        <w:tc>
          <w:tcPr>
            <w:tcW w:w="120" w:type="dxa"/>
            <w:vAlign w:val="bottom"/>
            <w:tcBorders>
              <w:top w:val="single" w:sz="8" w:color="auto"/>
              <w:bottom w:val="single" w:sz="8" w:color="auto"/>
            </w:tcBorders>
            <w:shd w:val="clear" w:color="auto" w:fill="33CCCC"/>
          </w:tcPr>
          <w:p>
            <w:pPr>
              <w:spacing w:after="0"/>
              <w:rPr>
                <w:sz w:val="15"/>
                <w:szCs w:val="15"/>
                <w:color w:val="auto"/>
              </w:rPr>
            </w:pPr>
          </w:p>
        </w:tc>
        <w:tc>
          <w:tcPr>
            <w:tcW w:w="360" w:type="dxa"/>
            <w:vAlign w:val="bottom"/>
            <w:tcBorders>
              <w:top w:val="single" w:sz="8" w:color="auto"/>
              <w:bottom w:val="single" w:sz="8" w:color="auto"/>
            </w:tcBorders>
            <w:shd w:val="clear" w:color="auto" w:fill="33CCCC"/>
          </w:tcPr>
          <w:p>
            <w:pPr>
              <w:spacing w:after="0"/>
              <w:rPr>
                <w:sz w:val="15"/>
                <w:szCs w:val="15"/>
                <w:color w:val="auto"/>
              </w:rPr>
            </w:pPr>
          </w:p>
        </w:tc>
        <w:tc>
          <w:tcPr>
            <w:tcW w:w="20" w:type="dxa"/>
            <w:vAlign w:val="bottom"/>
            <w:tcBorders>
              <w:top w:val="single" w:sz="8" w:color="auto"/>
              <w:bottom w:val="single" w:sz="8" w:color="auto"/>
            </w:tcBorders>
            <w:shd w:val="clear" w:color="auto" w:fill="33CCCC"/>
          </w:tcPr>
          <w:p>
            <w:pPr>
              <w:spacing w:after="0"/>
              <w:rPr>
                <w:sz w:val="15"/>
                <w:szCs w:val="15"/>
                <w:color w:val="auto"/>
              </w:rPr>
            </w:pPr>
          </w:p>
        </w:tc>
        <w:tc>
          <w:tcPr>
            <w:tcW w:w="120" w:type="dxa"/>
            <w:vAlign w:val="bottom"/>
            <w:tcBorders>
              <w:top w:val="single" w:sz="8" w:color="auto"/>
              <w:bottom w:val="single" w:sz="8" w:color="auto"/>
            </w:tcBorders>
            <w:shd w:val="clear" w:color="auto" w:fill="33CCCC"/>
          </w:tcPr>
          <w:p>
            <w:pPr>
              <w:spacing w:after="0"/>
              <w:rPr>
                <w:sz w:val="15"/>
                <w:szCs w:val="15"/>
                <w:color w:val="auto"/>
              </w:rPr>
            </w:pPr>
          </w:p>
        </w:tc>
        <w:tc>
          <w:tcPr>
            <w:tcW w:w="120" w:type="dxa"/>
            <w:vAlign w:val="bottom"/>
            <w:tcBorders>
              <w:top w:val="single" w:sz="8" w:color="auto"/>
              <w:bottom w:val="single" w:sz="8" w:color="auto"/>
            </w:tcBorders>
            <w:shd w:val="clear" w:color="auto" w:fill="33CCCC"/>
          </w:tcPr>
          <w:p>
            <w:pPr>
              <w:spacing w:after="0"/>
              <w:rPr>
                <w:sz w:val="15"/>
                <w:szCs w:val="15"/>
                <w:color w:val="auto"/>
              </w:rPr>
            </w:pPr>
          </w:p>
        </w:tc>
        <w:tc>
          <w:tcPr>
            <w:tcW w:w="100" w:type="dxa"/>
            <w:vAlign w:val="bottom"/>
            <w:tcBorders>
              <w:top w:val="single" w:sz="8" w:color="auto"/>
              <w:bottom w:val="single" w:sz="8" w:color="auto"/>
            </w:tcBorders>
            <w:shd w:val="clear" w:color="auto" w:fill="33CCCC"/>
          </w:tcPr>
          <w:p>
            <w:pPr>
              <w:spacing w:after="0"/>
              <w:rPr>
                <w:sz w:val="15"/>
                <w:szCs w:val="15"/>
                <w:color w:val="auto"/>
              </w:rPr>
            </w:pPr>
          </w:p>
        </w:tc>
        <w:tc>
          <w:tcPr>
            <w:tcW w:w="20" w:type="dxa"/>
            <w:vAlign w:val="bottom"/>
            <w:tcBorders>
              <w:top w:val="single" w:sz="8" w:color="auto"/>
              <w:bottom w:val="single" w:sz="8" w:color="auto"/>
            </w:tcBorders>
            <w:shd w:val="clear" w:color="auto" w:fill="33CCCC"/>
          </w:tcPr>
          <w:p>
            <w:pPr>
              <w:spacing w:after="0"/>
              <w:rPr>
                <w:sz w:val="15"/>
                <w:szCs w:val="15"/>
                <w:color w:val="auto"/>
              </w:rPr>
            </w:pPr>
          </w:p>
        </w:tc>
        <w:tc>
          <w:tcPr>
            <w:tcW w:w="140" w:type="dxa"/>
            <w:vAlign w:val="bottom"/>
            <w:tcBorders>
              <w:top w:val="single" w:sz="8" w:color="auto"/>
              <w:bottom w:val="single" w:sz="8" w:color="auto"/>
              <w:right w:val="single" w:sz="8" w:color="33CCCC"/>
            </w:tcBorders>
            <w:shd w:val="clear" w:color="auto" w:fill="33CCCC"/>
          </w:tcPr>
          <w:p>
            <w:pPr>
              <w:spacing w:after="0"/>
              <w:rPr>
                <w:sz w:val="15"/>
                <w:szCs w:val="15"/>
                <w:color w:val="auto"/>
              </w:rPr>
            </w:pPr>
          </w:p>
        </w:tc>
        <w:tc>
          <w:tcPr>
            <w:tcW w:w="100" w:type="dxa"/>
            <w:vAlign w:val="bottom"/>
            <w:tcBorders>
              <w:top w:val="single" w:sz="8" w:color="auto"/>
              <w:bottom w:val="single" w:sz="8" w:color="auto"/>
            </w:tcBorders>
            <w:shd w:val="clear" w:color="auto" w:fill="33CCCC"/>
          </w:tcPr>
          <w:p>
            <w:pPr>
              <w:spacing w:after="0"/>
              <w:rPr>
                <w:sz w:val="15"/>
                <w:szCs w:val="15"/>
                <w:color w:val="auto"/>
              </w:rPr>
            </w:pPr>
          </w:p>
        </w:tc>
        <w:tc>
          <w:tcPr>
            <w:tcW w:w="140" w:type="dxa"/>
            <w:vAlign w:val="bottom"/>
            <w:tcBorders>
              <w:top w:val="single" w:sz="8" w:color="auto"/>
              <w:bottom w:val="single" w:sz="8" w:color="auto"/>
            </w:tcBorders>
            <w:shd w:val="clear" w:color="auto" w:fill="33CCCC"/>
          </w:tcPr>
          <w:p>
            <w:pPr>
              <w:spacing w:after="0"/>
              <w:rPr>
                <w:sz w:val="15"/>
                <w:szCs w:val="15"/>
                <w:color w:val="auto"/>
              </w:rPr>
            </w:pPr>
          </w:p>
        </w:tc>
        <w:tc>
          <w:tcPr>
            <w:tcW w:w="20" w:type="dxa"/>
            <w:vAlign w:val="bottom"/>
            <w:tcBorders>
              <w:top w:val="single" w:sz="8" w:color="auto"/>
              <w:bottom w:val="single" w:sz="8" w:color="auto"/>
            </w:tcBorders>
            <w:shd w:val="clear" w:color="auto" w:fill="33CCCC"/>
          </w:tcPr>
          <w:p>
            <w:pPr>
              <w:spacing w:after="0"/>
              <w:rPr>
                <w:sz w:val="15"/>
                <w:szCs w:val="15"/>
                <w:color w:val="auto"/>
              </w:rPr>
            </w:pPr>
          </w:p>
        </w:tc>
        <w:tc>
          <w:tcPr>
            <w:tcW w:w="420" w:type="dxa"/>
            <w:vAlign w:val="bottom"/>
            <w:tcBorders>
              <w:top w:val="single" w:sz="8" w:color="auto"/>
              <w:bottom w:val="single" w:sz="8" w:color="auto"/>
            </w:tcBorders>
            <w:shd w:val="clear" w:color="auto" w:fill="33CCCC"/>
          </w:tcPr>
          <w:p>
            <w:pPr>
              <w:spacing w:after="0"/>
              <w:rPr>
                <w:sz w:val="15"/>
                <w:szCs w:val="15"/>
                <w:color w:val="auto"/>
              </w:rPr>
            </w:pPr>
          </w:p>
        </w:tc>
        <w:tc>
          <w:tcPr>
            <w:tcW w:w="240" w:type="dxa"/>
            <w:vAlign w:val="bottom"/>
            <w:tcBorders>
              <w:top w:val="single" w:sz="8" w:color="auto"/>
              <w:bottom w:val="single" w:sz="8" w:color="auto"/>
            </w:tcBorders>
            <w:shd w:val="clear" w:color="auto" w:fill="33CCCC"/>
          </w:tcPr>
          <w:p>
            <w:pPr>
              <w:spacing w:after="0"/>
              <w:rPr>
                <w:sz w:val="15"/>
                <w:szCs w:val="15"/>
                <w:color w:val="auto"/>
              </w:rPr>
            </w:pPr>
          </w:p>
        </w:tc>
        <w:tc>
          <w:tcPr>
            <w:tcW w:w="540" w:type="dxa"/>
            <w:vAlign w:val="bottom"/>
            <w:tcBorders>
              <w:top w:val="single" w:sz="8" w:color="auto"/>
              <w:bottom w:val="single" w:sz="8" w:color="auto"/>
            </w:tcBorders>
            <w:shd w:val="clear" w:color="auto" w:fill="33CCCC"/>
          </w:tcPr>
          <w:p>
            <w:pPr>
              <w:spacing w:after="0"/>
              <w:rPr>
                <w:sz w:val="15"/>
                <w:szCs w:val="15"/>
                <w:color w:val="auto"/>
              </w:rPr>
            </w:pPr>
          </w:p>
        </w:tc>
        <w:tc>
          <w:tcPr>
            <w:tcW w:w="120" w:type="dxa"/>
            <w:vAlign w:val="bottom"/>
            <w:tcBorders>
              <w:top w:val="single" w:sz="8" w:color="auto"/>
              <w:bottom w:val="single" w:sz="8" w:color="auto"/>
            </w:tcBorders>
            <w:shd w:val="clear" w:color="auto" w:fill="33CCCC"/>
          </w:tcPr>
          <w:p>
            <w:pPr>
              <w:spacing w:after="0"/>
              <w:rPr>
                <w:sz w:val="15"/>
                <w:szCs w:val="15"/>
                <w:color w:val="auto"/>
              </w:rPr>
            </w:pPr>
          </w:p>
        </w:tc>
        <w:tc>
          <w:tcPr>
            <w:tcW w:w="120" w:type="dxa"/>
            <w:vAlign w:val="bottom"/>
            <w:tcBorders>
              <w:top w:val="single" w:sz="8" w:color="auto"/>
              <w:bottom w:val="single" w:sz="8" w:color="auto"/>
            </w:tcBorders>
            <w:shd w:val="clear" w:color="auto" w:fill="33CCCC"/>
          </w:tcPr>
          <w:p>
            <w:pPr>
              <w:spacing w:after="0"/>
              <w:rPr>
                <w:sz w:val="15"/>
                <w:szCs w:val="15"/>
                <w:color w:val="auto"/>
              </w:rPr>
            </w:pPr>
          </w:p>
        </w:tc>
        <w:tc>
          <w:tcPr>
            <w:tcW w:w="40" w:type="dxa"/>
            <w:vAlign w:val="bottom"/>
            <w:tcBorders>
              <w:top w:val="single" w:sz="8" w:color="auto"/>
              <w:bottom w:val="single" w:sz="8" w:color="auto"/>
            </w:tcBorders>
            <w:shd w:val="clear" w:color="auto" w:fill="33CCCC"/>
          </w:tcPr>
          <w:p>
            <w:pPr>
              <w:spacing w:after="0"/>
              <w:rPr>
                <w:sz w:val="15"/>
                <w:szCs w:val="15"/>
                <w:color w:val="auto"/>
              </w:rPr>
            </w:pPr>
          </w:p>
        </w:tc>
        <w:tc>
          <w:tcPr>
            <w:tcW w:w="300" w:type="dxa"/>
            <w:vAlign w:val="bottom"/>
            <w:tcBorders>
              <w:top w:val="single" w:sz="8" w:color="auto"/>
              <w:bottom w:val="single" w:sz="8" w:color="auto"/>
            </w:tcBorders>
            <w:shd w:val="clear" w:color="auto" w:fill="33CCCC"/>
          </w:tcPr>
          <w:p>
            <w:pPr>
              <w:spacing w:after="0"/>
              <w:rPr>
                <w:sz w:val="15"/>
                <w:szCs w:val="15"/>
                <w:color w:val="auto"/>
              </w:rPr>
            </w:pPr>
          </w:p>
        </w:tc>
        <w:tc>
          <w:tcPr>
            <w:tcW w:w="180" w:type="dxa"/>
            <w:vAlign w:val="bottom"/>
            <w:tcBorders>
              <w:top w:val="single" w:sz="8" w:color="auto"/>
              <w:bottom w:val="single" w:sz="8" w:color="auto"/>
              <w:right w:val="single" w:sz="8" w:color="auto"/>
            </w:tcBorders>
            <w:shd w:val="clear" w:color="auto" w:fill="33CCCC"/>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040" w:type="dxa"/>
            <w:vAlign w:val="bottom"/>
            <w:tcBorders>
              <w:left w:val="single" w:sz="8" w:color="auto"/>
              <w:right w:val="single" w:sz="8" w:color="auto"/>
            </w:tcBorders>
          </w:tcPr>
          <w:p>
            <w:pPr>
              <w:jc w:val="center"/>
              <w:spacing w:after="0" w:line="141" w:lineRule="exact"/>
              <w:rPr>
                <w:sz w:val="20"/>
                <w:szCs w:val="20"/>
                <w:color w:val="auto"/>
              </w:rPr>
            </w:pPr>
            <w:r>
              <w:rPr>
                <w:rFonts w:ascii="Calibri" w:cs="Calibri" w:eastAsia="Calibri" w:hAnsi="Calibri"/>
                <w:sz w:val="14"/>
                <w:szCs w:val="14"/>
                <w:b w:val="1"/>
                <w:bCs w:val="1"/>
                <w:color w:val="auto"/>
              </w:rPr>
              <w:t>Proftability</w:t>
            </w:r>
          </w:p>
        </w:tc>
        <w:tc>
          <w:tcPr>
            <w:tcW w:w="2060" w:type="dxa"/>
            <w:vAlign w:val="bottom"/>
            <w:tcBorders>
              <w:right w:val="single" w:sz="8" w:color="auto"/>
            </w:tcBorders>
          </w:tcPr>
          <w:p>
            <w:pPr>
              <w:spacing w:after="0" w:line="141" w:lineRule="exact"/>
              <w:rPr>
                <w:sz w:val="20"/>
                <w:szCs w:val="20"/>
                <w:color w:val="auto"/>
              </w:rPr>
            </w:pPr>
            <w:r>
              <w:rPr>
                <w:rFonts w:ascii="Calibri" w:cs="Calibri" w:eastAsia="Calibri" w:hAnsi="Calibri"/>
                <w:sz w:val="14"/>
                <w:szCs w:val="14"/>
                <w:b w:val="1"/>
                <w:bCs w:val="1"/>
                <w:color w:val="auto"/>
              </w:rPr>
              <w:t>Interest earning assets</w:t>
            </w:r>
          </w:p>
        </w:tc>
        <w:tc>
          <w:tcPr>
            <w:tcW w:w="140" w:type="dxa"/>
            <w:vAlign w:val="bottom"/>
          </w:tcPr>
          <w:p>
            <w:pPr>
              <w:spacing w:after="0"/>
              <w:rPr>
                <w:sz w:val="12"/>
                <w:szCs w:val="12"/>
                <w:color w:val="auto"/>
              </w:rPr>
            </w:pPr>
          </w:p>
        </w:tc>
        <w:tc>
          <w:tcPr>
            <w:tcW w:w="5520" w:type="dxa"/>
            <w:vAlign w:val="bottom"/>
            <w:tcBorders>
              <w:right w:val="single" w:sz="8" w:color="auto"/>
            </w:tcBorders>
            <w:gridSpan w:val="33"/>
          </w:tcPr>
          <w:p>
            <w:pPr>
              <w:jc w:val="center"/>
              <w:ind w:right="180"/>
              <w:spacing w:after="0" w:line="141" w:lineRule="exact"/>
              <w:rPr>
                <w:sz w:val="20"/>
                <w:szCs w:val="20"/>
                <w:color w:val="auto"/>
              </w:rPr>
            </w:pPr>
            <w:r>
              <w:rPr>
                <w:rFonts w:ascii="Arial" w:cs="Arial" w:eastAsia="Arial" w:hAnsi="Arial"/>
                <w:sz w:val="14"/>
                <w:szCs w:val="14"/>
                <w:color w:val="auto"/>
                <w:w w:val="99"/>
              </w:rPr>
              <w:t>Cash and due from banks+Total investments+Cash collateral, reverse repurchase</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360" w:type="dxa"/>
            <w:vAlign w:val="bottom"/>
            <w:tcBorders>
              <w:bottom w:val="single" w:sz="8" w:color="auto"/>
              <w:right w:val="single" w:sz="8" w:color="auto"/>
            </w:tcBorders>
            <w:gridSpan w:val="28"/>
          </w:tcPr>
          <w:p>
            <w:pPr>
              <w:jc w:val="center"/>
              <w:ind w:right="1340"/>
              <w:spacing w:after="0"/>
              <w:rPr>
                <w:sz w:val="20"/>
                <w:szCs w:val="20"/>
                <w:color w:val="auto"/>
              </w:rPr>
            </w:pPr>
            <w:r>
              <w:rPr>
                <w:rFonts w:ascii="Arial" w:cs="Arial" w:eastAsia="Arial" w:hAnsi="Arial"/>
                <w:sz w:val="14"/>
                <w:szCs w:val="14"/>
                <w:color w:val="auto"/>
                <w:w w:val="99"/>
              </w:rPr>
              <w:t>agreements and securities borrowing+Loans</w:t>
            </w:r>
          </w:p>
        </w:tc>
        <w:tc>
          <w:tcPr>
            <w:tcW w:w="0" w:type="dxa"/>
            <w:vAlign w:val="bottom"/>
          </w:tcPr>
          <w:p>
            <w:pPr>
              <w:spacing w:after="0"/>
              <w:rPr>
                <w:sz w:val="1"/>
                <w:szCs w:val="1"/>
                <w:color w:val="auto"/>
              </w:rPr>
            </w:pPr>
          </w:p>
        </w:tc>
      </w:tr>
      <w:tr>
        <w:trPr>
          <w:trHeight w:val="141"/>
        </w:trPr>
        <w:tc>
          <w:tcPr>
            <w:tcW w:w="1040" w:type="dxa"/>
            <w:vAlign w:val="bottom"/>
            <w:tcBorders>
              <w:left w:val="single" w:sz="8" w:color="auto"/>
              <w:right w:val="single" w:sz="8" w:color="auto"/>
            </w:tcBorders>
          </w:tcPr>
          <w:p>
            <w:pPr>
              <w:spacing w:after="0"/>
              <w:rPr>
                <w:sz w:val="12"/>
                <w:szCs w:val="12"/>
                <w:color w:val="auto"/>
              </w:rPr>
            </w:pPr>
          </w:p>
        </w:tc>
        <w:tc>
          <w:tcPr>
            <w:tcW w:w="2060" w:type="dxa"/>
            <w:vAlign w:val="bottom"/>
            <w:tcBorders>
              <w:right w:val="single" w:sz="8" w:color="auto"/>
            </w:tcBorders>
          </w:tcPr>
          <w:p>
            <w:pPr>
              <w:spacing w:after="0" w:line="141" w:lineRule="exact"/>
              <w:rPr>
                <w:sz w:val="20"/>
                <w:szCs w:val="20"/>
                <w:color w:val="auto"/>
              </w:rPr>
            </w:pPr>
            <w:r>
              <w:rPr>
                <w:rFonts w:ascii="Calibri" w:cs="Calibri" w:eastAsia="Calibri" w:hAnsi="Calibri"/>
                <w:sz w:val="14"/>
                <w:szCs w:val="14"/>
                <w:b w:val="1"/>
                <w:bCs w:val="1"/>
                <w:color w:val="auto"/>
              </w:rPr>
              <w:t>Funding</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40" w:type="dxa"/>
            <w:vAlign w:val="bottom"/>
            <w:tcBorders>
              <w:right w:val="single" w:sz="8" w:color="auto"/>
            </w:tcBorders>
            <w:gridSpan w:val="30"/>
          </w:tcPr>
          <w:p>
            <w:pPr>
              <w:jc w:val="center"/>
              <w:ind w:right="760"/>
              <w:spacing w:after="0" w:line="141" w:lineRule="exact"/>
              <w:rPr>
                <w:sz w:val="20"/>
                <w:szCs w:val="20"/>
                <w:color w:val="auto"/>
              </w:rPr>
            </w:pPr>
            <w:r>
              <w:rPr>
                <w:rFonts w:ascii="Arial" w:cs="Arial" w:eastAsia="Arial" w:hAnsi="Arial"/>
                <w:sz w:val="14"/>
                <w:szCs w:val="14"/>
                <w:color w:val="auto"/>
              </w:rPr>
              <w:t>Deposits and obligations+Due to banks and correspondents+BCRP</w:t>
            </w:r>
          </w:p>
        </w:tc>
        <w:tc>
          <w:tcPr>
            <w:tcW w:w="0" w:type="dxa"/>
            <w:vAlign w:val="bottom"/>
          </w:tcPr>
          <w:p>
            <w:pPr>
              <w:spacing w:after="0"/>
              <w:rPr>
                <w:sz w:val="1"/>
                <w:szCs w:val="1"/>
                <w:color w:val="auto"/>
              </w:rPr>
            </w:pPr>
          </w:p>
        </w:tc>
      </w:tr>
      <w:tr>
        <w:trPr>
          <w:trHeight w:val="157"/>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520" w:type="dxa"/>
            <w:vAlign w:val="bottom"/>
            <w:tcBorders>
              <w:right w:val="single" w:sz="8" w:color="auto"/>
            </w:tcBorders>
            <w:gridSpan w:val="33"/>
          </w:tcPr>
          <w:p>
            <w:pPr>
              <w:jc w:val="center"/>
              <w:ind w:right="180"/>
              <w:spacing w:after="0" w:line="157" w:lineRule="exact"/>
              <w:rPr>
                <w:sz w:val="20"/>
                <w:szCs w:val="20"/>
                <w:color w:val="auto"/>
              </w:rPr>
            </w:pPr>
            <w:r>
              <w:rPr>
                <w:rFonts w:ascii="Arial" w:cs="Arial" w:eastAsia="Arial" w:hAnsi="Arial"/>
                <w:sz w:val="14"/>
                <w:szCs w:val="14"/>
                <w:color w:val="auto"/>
                <w:w w:val="99"/>
              </w:rPr>
              <w:t>instruments+Repurchase agreements with clients and third parties+Bonds and notes</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color w:val="auto"/>
              </w:rPr>
              <w:t>issued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Net Interest Margin (NIM)</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940" w:type="dxa"/>
            <w:vAlign w:val="bottom"/>
            <w:tcBorders>
              <w:right w:val="single" w:sz="8" w:color="auto"/>
            </w:tcBorders>
            <w:gridSpan w:val="30"/>
          </w:tcPr>
          <w:p>
            <w:pPr>
              <w:jc w:val="center"/>
              <w:ind w:right="760"/>
              <w:spacing w:after="0" w:line="137" w:lineRule="exact"/>
              <w:rPr>
                <w:sz w:val="20"/>
                <w:szCs w:val="20"/>
                <w:color w:val="auto"/>
              </w:rPr>
            </w:pPr>
            <w:r>
              <w:rPr>
                <w:rFonts w:ascii="Arial" w:cs="Arial" w:eastAsia="Arial" w:hAnsi="Arial"/>
                <w:sz w:val="14"/>
                <w:szCs w:val="14"/>
                <w:color w:val="auto"/>
              </w:rPr>
              <w:t>(Net Interest Income (excluding Net Insurance Financial Expenses)</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400" w:type="dxa"/>
            <w:vAlign w:val="bottom"/>
            <w:tcBorders>
              <w:top w:val="single" w:sz="8" w:color="auto"/>
              <w:bottom w:val="single" w:sz="8" w:color="auto"/>
            </w:tcBorders>
            <w:gridSpan w:val="22"/>
          </w:tcPr>
          <w:p>
            <w:pPr>
              <w:jc w:val="center"/>
              <w:ind w:right="780"/>
              <w:spacing w:after="0" w:line="151" w:lineRule="exact"/>
              <w:rPr>
                <w:sz w:val="20"/>
                <w:szCs w:val="20"/>
                <w:color w:val="auto"/>
              </w:rPr>
            </w:pPr>
            <w:r>
              <w:rPr>
                <w:rFonts w:ascii="Arial" w:cs="Arial" w:eastAsia="Arial" w:hAnsi="Arial"/>
                <w:sz w:val="14"/>
                <w:szCs w:val="14"/>
                <w:color w:val="auto"/>
                <w:w w:val="99"/>
              </w:rPr>
              <w:t>(Average Interest Earning Assets)</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right w:val="single" w:sz="8" w:color="auto"/>
            </w:tcBorders>
          </w:tcPr>
          <w:p>
            <w:pPr>
              <w:spacing w:after="0" w:line="151" w:lineRule="exact"/>
              <w:rPr>
                <w:sz w:val="20"/>
                <w:szCs w:val="20"/>
                <w:color w:val="auto"/>
              </w:rPr>
            </w:pPr>
            <w:r>
              <w:rPr>
                <w:rFonts w:ascii="Calibri" w:cs="Calibri" w:eastAsia="Calibri" w:hAnsi="Calibri"/>
                <w:sz w:val="14"/>
                <w:szCs w:val="14"/>
                <w:b w:val="1"/>
                <w:bCs w:val="1"/>
                <w:color w:val="auto"/>
              </w:rPr>
              <w:t>Risk-adjusted Net</w:t>
            </w:r>
          </w:p>
        </w:tc>
        <w:tc>
          <w:tcPr>
            <w:tcW w:w="5660" w:type="dxa"/>
            <w:vAlign w:val="bottom"/>
            <w:tcBorders>
              <w:right w:val="single" w:sz="8" w:color="auto"/>
            </w:tcBorders>
            <w:gridSpan w:val="34"/>
          </w:tcPr>
          <w:p>
            <w:pPr>
              <w:jc w:val="center"/>
              <w:ind w:right="40"/>
              <w:spacing w:after="0" w:line="151" w:lineRule="exact"/>
              <w:rPr>
                <w:sz w:val="20"/>
                <w:szCs w:val="20"/>
                <w:color w:val="auto"/>
              </w:rPr>
            </w:pPr>
            <w:r>
              <w:rPr>
                <w:rFonts w:ascii="Arial" w:cs="Arial" w:eastAsia="Arial" w:hAnsi="Arial"/>
                <w:sz w:val="14"/>
                <w:szCs w:val="14"/>
                <w:color w:val="auto"/>
                <w:w w:val="99"/>
              </w:rPr>
              <w:t>(Annualized Net Interest Income (excluding Net Insurance Financial Expenses)-Annualized</w:t>
            </w: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Interest Margin (Risk-</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5"/>
          </w:tcPr>
          <w:p>
            <w:pPr>
              <w:jc w:val="center"/>
              <w:spacing w:after="0" w:line="137" w:lineRule="exact"/>
              <w:rPr>
                <w:sz w:val="20"/>
                <w:szCs w:val="20"/>
                <w:color w:val="auto"/>
              </w:rPr>
            </w:pPr>
            <w:r>
              <w:rPr>
                <w:rFonts w:ascii="Arial" w:cs="Arial" w:eastAsia="Arial" w:hAnsi="Arial"/>
                <w:sz w:val="14"/>
                <w:szCs w:val="14"/>
                <w:color w:val="auto"/>
              </w:rPr>
              <w:t>Provisions )</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40" w:type="dxa"/>
            <w:vAlign w:val="bottom"/>
            <w:tcBorders>
              <w:left w:val="single" w:sz="8" w:color="auto"/>
              <w:right w:val="single" w:sz="8" w:color="auto"/>
            </w:tcBorders>
          </w:tcPr>
          <w:p>
            <w:pPr>
              <w:spacing w:after="0"/>
              <w:rPr>
                <w:sz w:val="15"/>
                <w:szCs w:val="15"/>
                <w:color w:val="auto"/>
              </w:rPr>
            </w:pPr>
          </w:p>
        </w:tc>
        <w:tc>
          <w:tcPr>
            <w:tcW w:w="2060" w:type="dxa"/>
            <w:vAlign w:val="bottom"/>
            <w:tcBorders>
              <w:bottom w:val="single" w:sz="8" w:color="auto"/>
              <w:right w:val="single" w:sz="8" w:color="auto"/>
            </w:tcBorders>
          </w:tcPr>
          <w:p>
            <w:pPr>
              <w:spacing w:after="0" w:line="159" w:lineRule="exact"/>
              <w:rPr>
                <w:sz w:val="20"/>
                <w:szCs w:val="20"/>
                <w:color w:val="auto"/>
              </w:rPr>
            </w:pPr>
            <w:r>
              <w:rPr>
                <w:rFonts w:ascii="Calibri" w:cs="Calibri" w:eastAsia="Calibri" w:hAnsi="Calibri"/>
                <w:sz w:val="14"/>
                <w:szCs w:val="14"/>
                <w:b w:val="1"/>
                <w:bCs w:val="1"/>
                <w:color w:val="auto"/>
              </w:rPr>
              <w:t>adjusted NIM)</w:t>
            </w: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940" w:type="dxa"/>
            <w:vAlign w:val="bottom"/>
            <w:tcBorders>
              <w:bottom w:val="single" w:sz="8" w:color="auto"/>
              <w:right w:val="single" w:sz="8" w:color="auto"/>
            </w:tcBorders>
            <w:gridSpan w:val="30"/>
          </w:tcPr>
          <w:p>
            <w:pPr>
              <w:jc w:val="center"/>
              <w:ind w:right="760"/>
              <w:spacing w:after="0"/>
              <w:rPr>
                <w:sz w:val="20"/>
                <w:szCs w:val="20"/>
                <w:color w:val="auto"/>
              </w:rPr>
            </w:pPr>
            <w:r>
              <w:rPr>
                <w:rFonts w:ascii="Arial" w:cs="Arial" w:eastAsia="Arial" w:hAnsi="Arial"/>
                <w:sz w:val="14"/>
                <w:szCs w:val="14"/>
                <w:color w:val="auto"/>
                <w:w w:val="99"/>
              </w:rPr>
              <w:t>(Average period end and period beginning interest earning assets )</w:t>
            </w: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Funding cost</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60" w:type="dxa"/>
            <w:vAlign w:val="bottom"/>
            <w:tcBorders>
              <w:right w:val="single" w:sz="8" w:color="auto"/>
            </w:tcBorders>
            <w:gridSpan w:val="31"/>
          </w:tcPr>
          <w:p>
            <w:pPr>
              <w:jc w:val="center"/>
              <w:ind w:right="640"/>
              <w:spacing w:after="0" w:line="137" w:lineRule="exact"/>
              <w:rPr>
                <w:sz w:val="20"/>
                <w:szCs w:val="20"/>
                <w:color w:val="auto"/>
              </w:rPr>
            </w:pPr>
            <w:r>
              <w:rPr>
                <w:rFonts w:ascii="Arial" w:cs="Arial" w:eastAsia="Arial" w:hAnsi="Arial"/>
                <w:sz w:val="14"/>
                <w:szCs w:val="14"/>
                <w:color w:val="auto"/>
                <w:w w:val="99"/>
              </w:rPr>
              <w:t>(Interest Expense (Does not Include Net Insurance Financial Expenses)</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gridSpan w:val="12"/>
          </w:tcPr>
          <w:p>
            <w:pPr>
              <w:jc w:val="center"/>
              <w:ind w:left="31"/>
              <w:spacing w:after="0" w:line="151" w:lineRule="exact"/>
              <w:rPr>
                <w:sz w:val="20"/>
                <w:szCs w:val="20"/>
                <w:color w:val="auto"/>
              </w:rPr>
            </w:pPr>
            <w:r>
              <w:rPr>
                <w:rFonts w:ascii="Arial" w:cs="Arial" w:eastAsia="Arial" w:hAnsi="Arial"/>
                <w:sz w:val="14"/>
                <w:szCs w:val="14"/>
                <w:color w:val="auto"/>
                <w:w w:val="98"/>
              </w:rPr>
              <w:t>(Average Funding )</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line="164" w:lineRule="exact"/>
              <w:rPr>
                <w:sz w:val="20"/>
                <w:szCs w:val="20"/>
                <w:color w:val="auto"/>
              </w:rPr>
            </w:pPr>
            <w:r>
              <w:rPr>
                <w:rFonts w:ascii="Calibri" w:cs="Calibri" w:eastAsia="Calibri" w:hAnsi="Calibri"/>
                <w:sz w:val="14"/>
                <w:szCs w:val="14"/>
                <w:b w:val="1"/>
                <w:bCs w:val="1"/>
                <w:color w:val="auto"/>
              </w:rPr>
              <w:t>Core income</w:t>
            </w:r>
          </w:p>
        </w:tc>
        <w:tc>
          <w:tcPr>
            <w:tcW w:w="140" w:type="dxa"/>
            <w:vAlign w:val="bottom"/>
            <w:tcBorders>
              <w:bottom w:val="single" w:sz="8" w:color="auto"/>
            </w:tcBorders>
          </w:tcPr>
          <w:p>
            <w:pPr>
              <w:spacing w:after="0"/>
              <w:rPr>
                <w:sz w:val="14"/>
                <w:szCs w:val="14"/>
                <w:color w:val="auto"/>
              </w:rPr>
            </w:pPr>
          </w:p>
        </w:tc>
        <w:tc>
          <w:tcPr>
            <w:tcW w:w="5520" w:type="dxa"/>
            <w:vAlign w:val="bottom"/>
            <w:tcBorders>
              <w:bottom w:val="single" w:sz="8" w:color="auto"/>
              <w:right w:val="single" w:sz="8" w:color="auto"/>
            </w:tcBorders>
            <w:gridSpan w:val="33"/>
          </w:tcPr>
          <w:p>
            <w:pPr>
              <w:jc w:val="center"/>
              <w:ind w:right="180"/>
              <w:spacing w:after="0"/>
              <w:rPr>
                <w:sz w:val="20"/>
                <w:szCs w:val="20"/>
                <w:color w:val="auto"/>
              </w:rPr>
            </w:pPr>
            <w:r>
              <w:rPr>
                <w:rFonts w:ascii="Arial" w:cs="Arial" w:eastAsia="Arial" w:hAnsi="Arial"/>
                <w:sz w:val="14"/>
                <w:szCs w:val="14"/>
                <w:color w:val="auto"/>
                <w:w w:val="99"/>
              </w:rPr>
              <w:t>Net Interest Income+Fee Income+Net Gain on Foreign exchange transactions</w:t>
            </w:r>
          </w:p>
        </w:tc>
        <w:tc>
          <w:tcPr>
            <w:tcW w:w="0" w:type="dxa"/>
            <w:vAlign w:val="bottom"/>
          </w:tcPr>
          <w:p>
            <w:pPr>
              <w:spacing w:after="0"/>
              <w:rPr>
                <w:sz w:val="1"/>
                <w:szCs w:val="1"/>
                <w:color w:val="auto"/>
              </w:rPr>
            </w:pPr>
          </w:p>
        </w:tc>
      </w:tr>
      <w:tr>
        <w:trPr>
          <w:trHeight w:val="164"/>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line="164" w:lineRule="exact"/>
              <w:rPr>
                <w:sz w:val="20"/>
                <w:szCs w:val="20"/>
                <w:color w:val="auto"/>
              </w:rPr>
            </w:pPr>
            <w:r>
              <w:rPr>
                <w:rFonts w:ascii="Calibri" w:cs="Calibri" w:eastAsia="Calibri" w:hAnsi="Calibri"/>
                <w:sz w:val="14"/>
                <w:szCs w:val="14"/>
                <w:b w:val="1"/>
                <w:bCs w:val="1"/>
                <w:color w:val="auto"/>
              </w:rPr>
              <w:t>Other core income</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940" w:type="dxa"/>
            <w:vAlign w:val="bottom"/>
            <w:tcBorders>
              <w:bottom w:val="single" w:sz="8" w:color="auto"/>
              <w:right w:val="single" w:sz="8" w:color="auto"/>
            </w:tcBorders>
            <w:gridSpan w:val="30"/>
          </w:tcPr>
          <w:p>
            <w:pPr>
              <w:jc w:val="center"/>
              <w:ind w:right="760"/>
              <w:spacing w:after="0"/>
              <w:rPr>
                <w:sz w:val="20"/>
                <w:szCs w:val="20"/>
                <w:color w:val="auto"/>
              </w:rPr>
            </w:pPr>
            <w:r>
              <w:rPr>
                <w:rFonts w:ascii="Arial" w:cs="Arial" w:eastAsia="Arial" w:hAnsi="Arial"/>
                <w:sz w:val="14"/>
                <w:szCs w:val="14"/>
                <w:color w:val="auto"/>
                <w:w w:val="99"/>
              </w:rPr>
              <w:t>Fee Income+Net Gain on Foreign exchange transactions</w:t>
            </w:r>
          </w:p>
        </w:tc>
        <w:tc>
          <w:tcPr>
            <w:tcW w:w="0" w:type="dxa"/>
            <w:vAlign w:val="bottom"/>
          </w:tcPr>
          <w:p>
            <w:pPr>
              <w:spacing w:after="0"/>
              <w:rPr>
                <w:sz w:val="1"/>
                <w:szCs w:val="1"/>
                <w:color w:val="auto"/>
              </w:rPr>
            </w:pPr>
          </w:p>
        </w:tc>
      </w:tr>
      <w:tr>
        <w:trPr>
          <w:trHeight w:val="141"/>
        </w:trPr>
        <w:tc>
          <w:tcPr>
            <w:tcW w:w="1040" w:type="dxa"/>
            <w:vAlign w:val="bottom"/>
            <w:tcBorders>
              <w:left w:val="single" w:sz="8" w:color="auto"/>
              <w:right w:val="single" w:sz="8" w:color="auto"/>
            </w:tcBorders>
          </w:tcPr>
          <w:p>
            <w:pPr>
              <w:spacing w:after="0"/>
              <w:rPr>
                <w:sz w:val="12"/>
                <w:szCs w:val="12"/>
                <w:color w:val="auto"/>
              </w:rPr>
            </w:pPr>
          </w:p>
        </w:tc>
        <w:tc>
          <w:tcPr>
            <w:tcW w:w="2060" w:type="dxa"/>
            <w:vAlign w:val="bottom"/>
            <w:tcBorders>
              <w:right w:val="single" w:sz="8" w:color="auto"/>
            </w:tcBorders>
          </w:tcPr>
          <w:p>
            <w:pPr>
              <w:spacing w:after="0" w:line="141" w:lineRule="exact"/>
              <w:rPr>
                <w:sz w:val="20"/>
                <w:szCs w:val="20"/>
                <w:color w:val="auto"/>
              </w:rPr>
            </w:pPr>
            <w:r>
              <w:rPr>
                <w:rFonts w:ascii="Calibri" w:cs="Calibri" w:eastAsia="Calibri" w:hAnsi="Calibri"/>
                <w:sz w:val="14"/>
                <w:szCs w:val="14"/>
                <w:b w:val="1"/>
                <w:bCs w:val="1"/>
                <w:color w:val="auto"/>
              </w:rPr>
              <w:t>Other non-core income</w:t>
            </w:r>
          </w:p>
        </w:tc>
        <w:tc>
          <w:tcPr>
            <w:tcW w:w="5660" w:type="dxa"/>
            <w:vAlign w:val="bottom"/>
            <w:tcBorders>
              <w:right w:val="single" w:sz="8" w:color="auto"/>
            </w:tcBorders>
            <w:gridSpan w:val="34"/>
          </w:tcPr>
          <w:p>
            <w:pPr>
              <w:jc w:val="center"/>
              <w:ind w:right="40"/>
              <w:spacing w:after="0" w:line="141" w:lineRule="exact"/>
              <w:rPr>
                <w:sz w:val="20"/>
                <w:szCs w:val="20"/>
                <w:color w:val="auto"/>
              </w:rPr>
            </w:pPr>
            <w:r>
              <w:rPr>
                <w:rFonts w:ascii="Arial" w:cs="Arial" w:eastAsia="Arial" w:hAnsi="Arial"/>
                <w:sz w:val="14"/>
                <w:szCs w:val="14"/>
                <w:color w:val="auto"/>
                <w:w w:val="99"/>
              </w:rPr>
              <w:t>Net Gain Securities+Net Gain from associates+Net Gain of derivatives held for trading+Net</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940" w:type="dxa"/>
            <w:vAlign w:val="bottom"/>
            <w:tcBorders>
              <w:bottom w:val="single" w:sz="8" w:color="auto"/>
              <w:right w:val="single" w:sz="8" w:color="auto"/>
            </w:tcBorders>
            <w:gridSpan w:val="30"/>
          </w:tcPr>
          <w:p>
            <w:pPr>
              <w:jc w:val="center"/>
              <w:ind w:right="760"/>
              <w:spacing w:after="0"/>
              <w:rPr>
                <w:sz w:val="20"/>
                <w:szCs w:val="20"/>
                <w:color w:val="auto"/>
              </w:rPr>
            </w:pPr>
            <w:r>
              <w:rPr>
                <w:rFonts w:ascii="Arial" w:cs="Arial" w:eastAsia="Arial" w:hAnsi="Arial"/>
                <w:sz w:val="14"/>
                <w:szCs w:val="14"/>
                <w:color w:val="auto"/>
                <w:w w:val="99"/>
              </w:rPr>
              <w:t>Gain from exchange differences+Other non operative income</w:t>
            </w: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Return on average assets (ROA)</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9"/>
          </w:tcPr>
          <w:p>
            <w:pPr>
              <w:ind w:left="540"/>
              <w:spacing w:after="0" w:line="137" w:lineRule="exact"/>
              <w:rPr>
                <w:sz w:val="20"/>
                <w:szCs w:val="20"/>
                <w:color w:val="auto"/>
              </w:rPr>
            </w:pPr>
            <w:r>
              <w:rPr>
                <w:rFonts w:ascii="Arial" w:cs="Arial" w:eastAsia="Arial" w:hAnsi="Arial"/>
                <w:sz w:val="14"/>
                <w:szCs w:val="14"/>
                <w:color w:val="auto"/>
                <w:w w:val="98"/>
              </w:rPr>
              <w:t>(Annualized Net</w:t>
            </w:r>
          </w:p>
        </w:tc>
        <w:tc>
          <w:tcPr>
            <w:tcW w:w="3400" w:type="dxa"/>
            <w:vAlign w:val="bottom"/>
            <w:tcBorders>
              <w:right w:val="single" w:sz="8" w:color="auto"/>
            </w:tcBorders>
            <w:gridSpan w:val="21"/>
          </w:tcPr>
          <w:p>
            <w:pPr>
              <w:jc w:val="center"/>
              <w:ind w:right="1240"/>
              <w:spacing w:after="0" w:line="137" w:lineRule="exact"/>
              <w:rPr>
                <w:sz w:val="20"/>
                <w:szCs w:val="20"/>
                <w:color w:val="auto"/>
              </w:rPr>
            </w:pPr>
            <w:r>
              <w:rPr>
                <w:rFonts w:ascii="Arial" w:cs="Arial" w:eastAsia="Arial" w:hAnsi="Arial"/>
                <w:sz w:val="14"/>
                <w:szCs w:val="14"/>
                <w:color w:val="auto"/>
              </w:rPr>
              <w:t>Income attributable to Credicorp)</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10"/>
          </w:tcPr>
          <w:p>
            <w:pPr>
              <w:jc w:val="center"/>
              <w:ind w:right="80"/>
              <w:spacing w:after="0" w:line="151" w:lineRule="exact"/>
              <w:rPr>
                <w:sz w:val="20"/>
                <w:szCs w:val="20"/>
                <w:color w:val="auto"/>
              </w:rPr>
            </w:pPr>
            <w:r>
              <w:rPr>
                <w:rFonts w:ascii="Arial" w:cs="Arial" w:eastAsia="Arial" w:hAnsi="Arial"/>
                <w:sz w:val="14"/>
                <w:szCs w:val="14"/>
                <w:color w:val="auto"/>
                <w:w w:val="98"/>
              </w:rPr>
              <w:t>(Average Assets)</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Return on average equity (ROE)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9"/>
          </w:tcPr>
          <w:p>
            <w:pPr>
              <w:ind w:left="540"/>
              <w:spacing w:after="0" w:line="137" w:lineRule="exact"/>
              <w:rPr>
                <w:sz w:val="20"/>
                <w:szCs w:val="20"/>
                <w:color w:val="auto"/>
              </w:rPr>
            </w:pPr>
            <w:r>
              <w:rPr>
                <w:rFonts w:ascii="Arial" w:cs="Arial" w:eastAsia="Arial" w:hAnsi="Arial"/>
                <w:sz w:val="14"/>
                <w:szCs w:val="14"/>
                <w:u w:val="single" w:color="auto"/>
                <w:color w:val="auto"/>
                <w:w w:val="98"/>
              </w:rPr>
              <w:t>(Annualized</w:t>
            </w:r>
            <w:r>
              <w:rPr>
                <w:rFonts w:ascii="Arial" w:cs="Arial" w:eastAsia="Arial" w:hAnsi="Arial"/>
                <w:sz w:val="14"/>
                <w:szCs w:val="14"/>
                <w:color w:val="auto"/>
                <w:w w:val="98"/>
              </w:rPr>
              <w:t xml:space="preserve"> Net</w:t>
            </w:r>
          </w:p>
        </w:tc>
        <w:tc>
          <w:tcPr>
            <w:tcW w:w="3400" w:type="dxa"/>
            <w:vAlign w:val="bottom"/>
            <w:tcBorders>
              <w:right w:val="single" w:sz="8" w:color="auto"/>
            </w:tcBorders>
            <w:gridSpan w:val="21"/>
          </w:tcPr>
          <w:p>
            <w:pPr>
              <w:jc w:val="center"/>
              <w:ind w:right="1240"/>
              <w:spacing w:after="0" w:line="137" w:lineRule="exact"/>
              <w:rPr>
                <w:sz w:val="20"/>
                <w:szCs w:val="20"/>
                <w:color w:val="auto"/>
              </w:rPr>
            </w:pPr>
            <w:r>
              <w:rPr>
                <w:rFonts w:ascii="Arial" w:cs="Arial" w:eastAsia="Arial" w:hAnsi="Arial"/>
                <w:sz w:val="14"/>
                <w:szCs w:val="14"/>
                <w:color w:val="auto"/>
              </w:rPr>
              <w:t>Income attributable to Credicorp)</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80" w:type="dxa"/>
            <w:vAlign w:val="bottom"/>
            <w:tcBorders>
              <w:top w:val="single" w:sz="8" w:color="auto"/>
              <w:bottom w:val="single" w:sz="8" w:color="auto"/>
            </w:tcBorders>
            <w:gridSpan w:val="17"/>
          </w:tcPr>
          <w:p>
            <w:pPr>
              <w:jc w:val="center"/>
              <w:ind w:right="820"/>
              <w:spacing w:after="0" w:line="151" w:lineRule="exact"/>
              <w:rPr>
                <w:sz w:val="20"/>
                <w:szCs w:val="20"/>
                <w:color w:val="auto"/>
              </w:rPr>
            </w:pPr>
            <w:r>
              <w:rPr>
                <w:rFonts w:ascii="Arial" w:cs="Arial" w:eastAsia="Arial" w:hAnsi="Arial"/>
                <w:sz w:val="14"/>
                <w:szCs w:val="14"/>
                <w:color w:val="auto"/>
              </w:rPr>
              <w:t>(Average Net Equity)</w:t>
            </w:r>
          </w:p>
        </w:tc>
        <w:tc>
          <w:tcPr>
            <w:tcW w:w="780" w:type="dxa"/>
            <w:vAlign w:val="bottom"/>
            <w:tcBorders>
              <w:bottom w:val="single" w:sz="8" w:color="auto"/>
            </w:tcBorders>
            <w:gridSpan w:val="3"/>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jc w:val="center"/>
              <w:spacing w:after="0" w:line="137" w:lineRule="exact"/>
              <w:rPr>
                <w:sz w:val="20"/>
                <w:szCs w:val="20"/>
                <w:color w:val="auto"/>
              </w:rPr>
            </w:pPr>
            <w:r>
              <w:rPr>
                <w:rFonts w:ascii="Calibri" w:cs="Calibri" w:eastAsia="Calibri" w:hAnsi="Calibri"/>
                <w:sz w:val="14"/>
                <w:szCs w:val="14"/>
                <w:b w:val="1"/>
                <w:bCs w:val="1"/>
                <w:color w:val="auto"/>
              </w:rPr>
              <w:t>Portolio</w:t>
            </w: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Internal overdue rato</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tcBorders>
              <w:right w:val="single" w:sz="8" w:color="auto"/>
            </w:tcBorders>
            <w:gridSpan w:val="23"/>
          </w:tcPr>
          <w:p>
            <w:pPr>
              <w:jc w:val="center"/>
              <w:ind w:right="2120"/>
              <w:spacing w:after="0" w:line="137" w:lineRule="exact"/>
              <w:rPr>
                <w:sz w:val="20"/>
                <w:szCs w:val="20"/>
                <w:color w:val="auto"/>
              </w:rPr>
            </w:pPr>
            <w:r>
              <w:rPr>
                <w:rFonts w:ascii="Arial" w:cs="Arial" w:eastAsia="Arial" w:hAnsi="Arial"/>
                <w:sz w:val="14"/>
                <w:szCs w:val="14"/>
                <w:color w:val="auto"/>
                <w:w w:val="98"/>
              </w:rPr>
              <w:t>(Internal overdue loans)</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tcPr>
          <w:p>
            <w:pPr>
              <w:jc w:val="center"/>
              <w:spacing w:after="0" w:line="151" w:lineRule="exact"/>
              <w:rPr>
                <w:sz w:val="20"/>
                <w:szCs w:val="20"/>
                <w:color w:val="auto"/>
              </w:rPr>
            </w:pPr>
            <w:r>
              <w:rPr>
                <w:rFonts w:ascii="Calibri" w:cs="Calibri" w:eastAsia="Calibri" w:hAnsi="Calibri"/>
                <w:sz w:val="14"/>
                <w:szCs w:val="14"/>
                <w:b w:val="1"/>
                <w:bCs w:val="1"/>
                <w:color w:val="auto"/>
                <w:w w:val="99"/>
              </w:rPr>
              <w:t>quality</w:t>
            </w: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7"/>
          </w:tcPr>
          <w:p>
            <w:pPr>
              <w:jc w:val="center"/>
              <w:spacing w:after="0" w:line="151" w:lineRule="exact"/>
              <w:rPr>
                <w:sz w:val="20"/>
                <w:szCs w:val="20"/>
                <w:color w:val="auto"/>
              </w:rPr>
            </w:pPr>
            <w:r>
              <w:rPr>
                <w:rFonts w:ascii="Arial" w:cs="Arial" w:eastAsia="Arial" w:hAnsi="Arial"/>
                <w:sz w:val="14"/>
                <w:szCs w:val="14"/>
                <w:color w:val="auto"/>
                <w:w w:val="99"/>
              </w:rPr>
              <w:t>(Total Loans)</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right w:val="single" w:sz="8" w:color="auto"/>
            </w:tcBorders>
          </w:tcPr>
          <w:p>
            <w:pPr>
              <w:spacing w:after="0" w:line="151" w:lineRule="exact"/>
              <w:rPr>
                <w:sz w:val="20"/>
                <w:szCs w:val="20"/>
                <w:color w:val="auto"/>
              </w:rPr>
            </w:pPr>
            <w:r>
              <w:rPr>
                <w:rFonts w:ascii="Calibri" w:cs="Calibri" w:eastAsia="Calibri" w:hAnsi="Calibri"/>
                <w:sz w:val="14"/>
                <w:szCs w:val="14"/>
                <w:b w:val="1"/>
                <w:bCs w:val="1"/>
                <w:color w:val="auto"/>
              </w:rPr>
              <w:t>Non – performing loans rato (NPL</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360" w:type="dxa"/>
            <w:vAlign w:val="bottom"/>
            <w:tcBorders>
              <w:right w:val="single" w:sz="8" w:color="auto"/>
            </w:tcBorders>
            <w:gridSpan w:val="28"/>
          </w:tcPr>
          <w:p>
            <w:pPr>
              <w:jc w:val="center"/>
              <w:ind w:right="1340"/>
              <w:spacing w:after="0" w:line="151" w:lineRule="exact"/>
              <w:rPr>
                <w:sz w:val="20"/>
                <w:szCs w:val="20"/>
                <w:color w:val="auto"/>
              </w:rPr>
            </w:pPr>
            <w:r>
              <w:rPr>
                <w:rFonts w:ascii="Arial" w:cs="Arial" w:eastAsia="Arial" w:hAnsi="Arial"/>
                <w:sz w:val="14"/>
                <w:szCs w:val="14"/>
                <w:color w:val="auto"/>
                <w:w w:val="99"/>
              </w:rPr>
              <w:t>(Internal overdue loans+Refinanced loans)</w:t>
            </w:r>
          </w:p>
        </w:tc>
        <w:tc>
          <w:tcPr>
            <w:tcW w:w="0" w:type="dxa"/>
            <w:vAlign w:val="bottom"/>
          </w:tcPr>
          <w:p>
            <w:pPr>
              <w:spacing w:after="0"/>
              <w:rPr>
                <w:sz w:val="1"/>
                <w:szCs w:val="1"/>
                <w:color w:val="auto"/>
              </w:rPr>
            </w:pPr>
          </w:p>
        </w:tc>
      </w:tr>
      <w:tr>
        <w:trPr>
          <w:trHeight w:val="164"/>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line="147" w:lineRule="exact"/>
              <w:rPr>
                <w:sz w:val="20"/>
                <w:szCs w:val="20"/>
                <w:color w:val="auto"/>
              </w:rPr>
            </w:pPr>
            <w:r>
              <w:rPr>
                <w:rFonts w:ascii="Calibri" w:cs="Calibri" w:eastAsia="Calibri" w:hAnsi="Calibri"/>
                <w:sz w:val="14"/>
                <w:szCs w:val="14"/>
                <w:b w:val="1"/>
                <w:bCs w:val="1"/>
                <w:color w:val="auto"/>
              </w:rPr>
              <w:t>rato)</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7"/>
          </w:tcPr>
          <w:p>
            <w:pPr>
              <w:jc w:val="center"/>
              <w:spacing w:after="0"/>
              <w:rPr>
                <w:sz w:val="20"/>
                <w:szCs w:val="20"/>
                <w:color w:val="auto"/>
              </w:rPr>
            </w:pPr>
            <w:r>
              <w:rPr>
                <w:rFonts w:ascii="Arial" w:cs="Arial" w:eastAsia="Arial" w:hAnsi="Arial"/>
                <w:sz w:val="14"/>
                <w:szCs w:val="14"/>
                <w:color w:val="auto"/>
                <w:w w:val="99"/>
              </w:rPr>
              <w:t>(Total Loans)</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right w:val="single" w:sz="8" w:color="auto"/>
            </w:tcBorders>
          </w:tcPr>
          <w:p>
            <w:pPr>
              <w:spacing w:after="0" w:line="151" w:lineRule="exact"/>
              <w:rPr>
                <w:sz w:val="20"/>
                <w:szCs w:val="20"/>
                <w:color w:val="auto"/>
              </w:rPr>
            </w:pPr>
            <w:r>
              <w:rPr>
                <w:rFonts w:ascii="Calibri" w:cs="Calibri" w:eastAsia="Calibri" w:hAnsi="Calibri"/>
                <w:sz w:val="14"/>
                <w:szCs w:val="14"/>
                <w:b w:val="1"/>
                <w:bCs w:val="1"/>
                <w:color w:val="auto"/>
              </w:rPr>
              <w:t>Coverage rato of internal overdue</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right w:val="single" w:sz="8" w:color="auto"/>
            </w:tcBorders>
            <w:gridSpan w:val="25"/>
          </w:tcPr>
          <w:p>
            <w:pPr>
              <w:jc w:val="center"/>
              <w:ind w:right="1980"/>
              <w:spacing w:after="0" w:line="151" w:lineRule="exact"/>
              <w:rPr>
                <w:sz w:val="20"/>
                <w:szCs w:val="20"/>
                <w:color w:val="auto"/>
              </w:rPr>
            </w:pPr>
            <w:r>
              <w:rPr>
                <w:rFonts w:ascii="Arial" w:cs="Arial" w:eastAsia="Arial" w:hAnsi="Arial"/>
                <w:sz w:val="14"/>
                <w:szCs w:val="14"/>
                <w:u w:val="single" w:color="auto"/>
                <w:color w:val="auto"/>
                <w:w w:val="99"/>
              </w:rPr>
              <w:t>(Allowance</w:t>
            </w:r>
            <w:r>
              <w:rPr>
                <w:rFonts w:ascii="Arial" w:cs="Arial" w:eastAsia="Arial" w:hAnsi="Arial"/>
                <w:sz w:val="14"/>
                <w:szCs w:val="14"/>
                <w:color w:val="auto"/>
                <w:w w:val="99"/>
              </w:rPr>
              <w:t xml:space="preserve"> for loans losses)</w:t>
            </w:r>
          </w:p>
        </w:tc>
        <w:tc>
          <w:tcPr>
            <w:tcW w:w="0" w:type="dxa"/>
            <w:vAlign w:val="bottom"/>
          </w:tcPr>
          <w:p>
            <w:pPr>
              <w:spacing w:after="0"/>
              <w:rPr>
                <w:sz w:val="1"/>
                <w:szCs w:val="1"/>
                <w:color w:val="auto"/>
              </w:rPr>
            </w:pPr>
          </w:p>
        </w:tc>
      </w:tr>
      <w:tr>
        <w:trPr>
          <w:trHeight w:val="164"/>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line="147" w:lineRule="exact"/>
              <w:rPr>
                <w:sz w:val="20"/>
                <w:szCs w:val="20"/>
                <w:color w:val="auto"/>
              </w:rPr>
            </w:pPr>
            <w:r>
              <w:rPr>
                <w:rFonts w:ascii="Calibri" w:cs="Calibri" w:eastAsia="Calibri" w:hAnsi="Calibri"/>
                <w:sz w:val="14"/>
                <w:szCs w:val="14"/>
                <w:b w:val="1"/>
                <w:bCs w:val="1"/>
                <w:color w:val="auto"/>
              </w:rPr>
              <w:t>loans</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14"/>
          </w:tcPr>
          <w:p>
            <w:pPr>
              <w:jc w:val="center"/>
              <w:ind w:right="140"/>
              <w:spacing w:after="0"/>
              <w:rPr>
                <w:sz w:val="20"/>
                <w:szCs w:val="20"/>
                <w:color w:val="auto"/>
              </w:rPr>
            </w:pPr>
            <w:r>
              <w:rPr>
                <w:rFonts w:ascii="Arial" w:cs="Arial" w:eastAsia="Arial" w:hAnsi="Arial"/>
                <w:sz w:val="14"/>
                <w:szCs w:val="14"/>
                <w:color w:val="auto"/>
                <w:w w:val="98"/>
              </w:rPr>
              <w:t>(Internal overdue loans)</w:t>
            </w: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right w:val="single" w:sz="8" w:color="auto"/>
            </w:tcBorders>
          </w:tcPr>
          <w:p>
            <w:pPr>
              <w:spacing w:after="0" w:line="151" w:lineRule="exact"/>
              <w:rPr>
                <w:sz w:val="20"/>
                <w:szCs w:val="20"/>
                <w:color w:val="auto"/>
              </w:rPr>
            </w:pPr>
            <w:r>
              <w:rPr>
                <w:rFonts w:ascii="Calibri" w:cs="Calibri" w:eastAsia="Calibri" w:hAnsi="Calibri"/>
                <w:sz w:val="14"/>
                <w:szCs w:val="14"/>
                <w:b w:val="1"/>
                <w:bCs w:val="1"/>
                <w:color w:val="auto"/>
              </w:rPr>
              <w:t>Coverage rato of non – performing</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right w:val="single" w:sz="8" w:color="auto"/>
            </w:tcBorders>
            <w:gridSpan w:val="25"/>
          </w:tcPr>
          <w:p>
            <w:pPr>
              <w:jc w:val="center"/>
              <w:ind w:right="1980"/>
              <w:spacing w:after="0" w:line="151" w:lineRule="exact"/>
              <w:rPr>
                <w:sz w:val="20"/>
                <w:szCs w:val="20"/>
                <w:color w:val="auto"/>
              </w:rPr>
            </w:pPr>
            <w:r>
              <w:rPr>
                <w:rFonts w:ascii="Arial" w:cs="Arial" w:eastAsia="Arial" w:hAnsi="Arial"/>
                <w:sz w:val="14"/>
                <w:szCs w:val="14"/>
                <w:color w:val="auto"/>
                <w:w w:val="99"/>
              </w:rPr>
              <w:t>(Allowance for loans losses)</w:t>
            </w:r>
          </w:p>
        </w:tc>
        <w:tc>
          <w:tcPr>
            <w:tcW w:w="0" w:type="dxa"/>
            <w:vAlign w:val="bottom"/>
          </w:tcPr>
          <w:p>
            <w:pPr>
              <w:spacing w:after="0"/>
              <w:rPr>
                <w:sz w:val="1"/>
                <w:szCs w:val="1"/>
                <w:color w:val="auto"/>
              </w:rPr>
            </w:pPr>
          </w:p>
        </w:tc>
      </w:tr>
      <w:tr>
        <w:trPr>
          <w:trHeight w:val="164"/>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line="147" w:lineRule="exact"/>
              <w:rPr>
                <w:sz w:val="20"/>
                <w:szCs w:val="20"/>
                <w:color w:val="auto"/>
              </w:rPr>
            </w:pPr>
            <w:r>
              <w:rPr>
                <w:rFonts w:ascii="Calibri" w:cs="Calibri" w:eastAsia="Calibri" w:hAnsi="Calibri"/>
                <w:sz w:val="14"/>
                <w:szCs w:val="14"/>
                <w:b w:val="1"/>
                <w:bCs w:val="1"/>
                <w:color w:val="auto"/>
              </w:rPr>
              <w:t>loans</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14"/>
          </w:tcPr>
          <w:p>
            <w:pPr>
              <w:jc w:val="center"/>
              <w:ind w:right="140"/>
              <w:spacing w:after="0"/>
              <w:rPr>
                <w:sz w:val="20"/>
                <w:szCs w:val="20"/>
                <w:color w:val="auto"/>
              </w:rPr>
            </w:pPr>
            <w:r>
              <w:rPr>
                <w:rFonts w:ascii="Arial" w:cs="Arial" w:eastAsia="Arial" w:hAnsi="Arial"/>
                <w:sz w:val="14"/>
                <w:szCs w:val="14"/>
                <w:color w:val="auto"/>
                <w:w w:val="98"/>
              </w:rPr>
              <w:t>(Non-performing loans)</w:t>
            </w: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Cost of risk</w:t>
            </w:r>
          </w:p>
        </w:tc>
        <w:tc>
          <w:tcPr>
            <w:tcW w:w="140" w:type="dxa"/>
            <w:vAlign w:val="bottom"/>
          </w:tcPr>
          <w:p>
            <w:pPr>
              <w:spacing w:after="0"/>
              <w:rPr>
                <w:sz w:val="11"/>
                <w:szCs w:val="11"/>
                <w:color w:val="auto"/>
              </w:rPr>
            </w:pPr>
          </w:p>
        </w:tc>
        <w:tc>
          <w:tcPr>
            <w:tcW w:w="5520" w:type="dxa"/>
            <w:vAlign w:val="bottom"/>
            <w:tcBorders>
              <w:right w:val="single" w:sz="8" w:color="auto"/>
            </w:tcBorders>
            <w:gridSpan w:val="33"/>
          </w:tcPr>
          <w:p>
            <w:pPr>
              <w:jc w:val="center"/>
              <w:ind w:right="180"/>
              <w:spacing w:after="0" w:line="137" w:lineRule="exact"/>
              <w:rPr>
                <w:sz w:val="20"/>
                <w:szCs w:val="20"/>
                <w:color w:val="auto"/>
              </w:rPr>
            </w:pPr>
            <w:r>
              <w:rPr>
                <w:rFonts w:ascii="Arial" w:cs="Arial" w:eastAsia="Arial" w:hAnsi="Arial"/>
                <w:sz w:val="14"/>
                <w:szCs w:val="14"/>
                <w:u w:val="single" w:color="auto"/>
                <w:color w:val="auto"/>
                <w:w w:val="99"/>
              </w:rPr>
              <w:t>(Annualized</w:t>
            </w:r>
            <w:r>
              <w:rPr>
                <w:rFonts w:ascii="Arial" w:cs="Arial" w:eastAsia="Arial" w:hAnsi="Arial"/>
                <w:sz w:val="14"/>
                <w:szCs w:val="14"/>
                <w:color w:val="auto"/>
                <w:w w:val="99"/>
              </w:rPr>
              <w:t xml:space="preserve"> provision for credit losses on loans portfolio, net of recoveries )</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060" w:type="dxa"/>
            <w:vAlign w:val="bottom"/>
            <w:tcBorders>
              <w:top w:val="single" w:sz="8" w:color="auto"/>
              <w:bottom w:val="single" w:sz="8" w:color="auto"/>
            </w:tcBorders>
            <w:gridSpan w:val="20"/>
          </w:tcPr>
          <w:p>
            <w:pPr>
              <w:jc w:val="center"/>
              <w:ind w:right="1600"/>
              <w:spacing w:after="0" w:line="151" w:lineRule="exact"/>
              <w:rPr>
                <w:sz w:val="20"/>
                <w:szCs w:val="20"/>
                <w:color w:val="auto"/>
              </w:rPr>
            </w:pPr>
            <w:r>
              <w:rPr>
                <w:rFonts w:ascii="Arial" w:cs="Arial" w:eastAsia="Arial" w:hAnsi="Arial"/>
                <w:sz w:val="14"/>
                <w:szCs w:val="14"/>
                <w:color w:val="auto"/>
                <w:w w:val="99"/>
              </w:rPr>
              <w:t>(Average Total Loans)</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040" w:type="dxa"/>
            <w:vAlign w:val="bottom"/>
            <w:tcBorders>
              <w:left w:val="single" w:sz="8" w:color="auto"/>
              <w:right w:val="single" w:sz="8" w:color="auto"/>
            </w:tcBorders>
          </w:tcPr>
          <w:p>
            <w:pPr>
              <w:jc w:val="center"/>
              <w:spacing w:after="0" w:line="141" w:lineRule="exact"/>
              <w:rPr>
                <w:sz w:val="20"/>
                <w:szCs w:val="20"/>
                <w:color w:val="auto"/>
              </w:rPr>
            </w:pPr>
            <w:r>
              <w:rPr>
                <w:rFonts w:ascii="Calibri" w:cs="Calibri" w:eastAsia="Calibri" w:hAnsi="Calibri"/>
                <w:sz w:val="14"/>
                <w:szCs w:val="14"/>
                <w:b w:val="1"/>
                <w:bCs w:val="1"/>
                <w:color w:val="auto"/>
              </w:rPr>
              <w:t>Operatng</w:t>
            </w:r>
          </w:p>
        </w:tc>
        <w:tc>
          <w:tcPr>
            <w:tcW w:w="2060" w:type="dxa"/>
            <w:vAlign w:val="bottom"/>
            <w:tcBorders>
              <w:right w:val="single" w:sz="8" w:color="auto"/>
            </w:tcBorders>
          </w:tcPr>
          <w:p>
            <w:pPr>
              <w:spacing w:after="0" w:line="141" w:lineRule="exact"/>
              <w:rPr>
                <w:sz w:val="20"/>
                <w:szCs w:val="20"/>
                <w:color w:val="auto"/>
              </w:rPr>
            </w:pPr>
            <w:r>
              <w:rPr>
                <w:rFonts w:ascii="Calibri" w:cs="Calibri" w:eastAsia="Calibri" w:hAnsi="Calibri"/>
                <w:sz w:val="14"/>
                <w:szCs w:val="14"/>
                <w:b w:val="1"/>
                <w:bCs w:val="1"/>
                <w:color w:val="auto"/>
              </w:rPr>
              <w:t>Operatng expenses</w:t>
            </w:r>
          </w:p>
        </w:tc>
        <w:tc>
          <w:tcPr>
            <w:tcW w:w="140" w:type="dxa"/>
            <w:vAlign w:val="bottom"/>
          </w:tcPr>
          <w:p>
            <w:pPr>
              <w:spacing w:after="0"/>
              <w:rPr>
                <w:sz w:val="12"/>
                <w:szCs w:val="12"/>
                <w:color w:val="auto"/>
              </w:rPr>
            </w:pPr>
          </w:p>
        </w:tc>
        <w:tc>
          <w:tcPr>
            <w:tcW w:w="5520" w:type="dxa"/>
            <w:vAlign w:val="bottom"/>
            <w:tcBorders>
              <w:right w:val="single" w:sz="8" w:color="auto"/>
            </w:tcBorders>
            <w:gridSpan w:val="33"/>
          </w:tcPr>
          <w:p>
            <w:pPr>
              <w:jc w:val="center"/>
              <w:ind w:right="180"/>
              <w:spacing w:after="0" w:line="141" w:lineRule="exact"/>
              <w:rPr>
                <w:sz w:val="20"/>
                <w:szCs w:val="20"/>
                <w:color w:val="auto"/>
              </w:rPr>
            </w:pPr>
            <w:r>
              <w:rPr>
                <w:rFonts w:ascii="Arial" w:cs="Arial" w:eastAsia="Arial" w:hAnsi="Arial"/>
                <w:sz w:val="14"/>
                <w:szCs w:val="14"/>
                <w:color w:val="auto"/>
                <w:w w:val="99"/>
              </w:rPr>
              <w:t>Salaries and employees benefits+Administrtive expenses+Depreciation and</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right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w w:val="98"/>
              </w:rPr>
              <w:t>performance</w:t>
            </w:r>
          </w:p>
        </w:tc>
        <w:tc>
          <w:tcPr>
            <w:tcW w:w="206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940" w:type="dxa"/>
            <w:vAlign w:val="bottom"/>
            <w:tcBorders>
              <w:bottom w:val="single" w:sz="8" w:color="auto"/>
              <w:right w:val="single" w:sz="8" w:color="auto"/>
            </w:tcBorders>
            <w:gridSpan w:val="30"/>
          </w:tcPr>
          <w:p>
            <w:pPr>
              <w:jc w:val="center"/>
              <w:ind w:right="760"/>
              <w:spacing w:after="0"/>
              <w:rPr>
                <w:sz w:val="20"/>
                <w:szCs w:val="20"/>
                <w:color w:val="auto"/>
              </w:rPr>
            </w:pPr>
            <w:r>
              <w:rPr>
                <w:rFonts w:ascii="Arial" w:cs="Arial" w:eastAsia="Arial" w:hAnsi="Arial"/>
                <w:sz w:val="14"/>
                <w:szCs w:val="14"/>
                <w:color w:val="auto"/>
                <w:w w:val="99"/>
              </w:rPr>
              <w:t>amortization+Association in participation +Acquisition cost</w:t>
            </w:r>
          </w:p>
        </w:tc>
        <w:tc>
          <w:tcPr>
            <w:tcW w:w="0" w:type="dxa"/>
            <w:vAlign w:val="bottom"/>
          </w:tcPr>
          <w:p>
            <w:pPr>
              <w:spacing w:after="0"/>
              <w:rPr>
                <w:sz w:val="1"/>
                <w:szCs w:val="1"/>
                <w:color w:val="auto"/>
              </w:rPr>
            </w:pPr>
          </w:p>
        </w:tc>
      </w:tr>
      <w:tr>
        <w:trPr>
          <w:trHeight w:val="141"/>
        </w:trPr>
        <w:tc>
          <w:tcPr>
            <w:tcW w:w="1040" w:type="dxa"/>
            <w:vAlign w:val="bottom"/>
            <w:tcBorders>
              <w:left w:val="single" w:sz="8" w:color="auto"/>
              <w:right w:val="single" w:sz="8" w:color="auto"/>
            </w:tcBorders>
          </w:tcPr>
          <w:p>
            <w:pPr>
              <w:spacing w:after="0"/>
              <w:rPr>
                <w:sz w:val="12"/>
                <w:szCs w:val="12"/>
                <w:color w:val="auto"/>
              </w:rPr>
            </w:pPr>
          </w:p>
        </w:tc>
        <w:tc>
          <w:tcPr>
            <w:tcW w:w="2060" w:type="dxa"/>
            <w:vAlign w:val="bottom"/>
            <w:tcBorders>
              <w:right w:val="single" w:sz="8" w:color="auto"/>
            </w:tcBorders>
          </w:tcPr>
          <w:p>
            <w:pPr>
              <w:spacing w:after="0" w:line="141" w:lineRule="exact"/>
              <w:rPr>
                <w:sz w:val="20"/>
                <w:szCs w:val="20"/>
                <w:color w:val="auto"/>
              </w:rPr>
            </w:pPr>
            <w:r>
              <w:rPr>
                <w:rFonts w:ascii="Calibri" w:cs="Calibri" w:eastAsia="Calibri" w:hAnsi="Calibri"/>
                <w:sz w:val="14"/>
                <w:szCs w:val="14"/>
                <w:b w:val="1"/>
                <w:bCs w:val="1"/>
                <w:color w:val="auto"/>
              </w:rPr>
              <w:t>Operatng Income</w:t>
            </w:r>
          </w:p>
        </w:tc>
        <w:tc>
          <w:tcPr>
            <w:tcW w:w="5660" w:type="dxa"/>
            <w:vAlign w:val="bottom"/>
            <w:tcBorders>
              <w:right w:val="single" w:sz="8" w:color="auto"/>
            </w:tcBorders>
            <w:gridSpan w:val="34"/>
          </w:tcPr>
          <w:p>
            <w:pPr>
              <w:jc w:val="center"/>
              <w:ind w:right="40"/>
              <w:spacing w:after="0" w:line="141" w:lineRule="exact"/>
              <w:rPr>
                <w:sz w:val="20"/>
                <w:szCs w:val="20"/>
                <w:color w:val="auto"/>
              </w:rPr>
            </w:pPr>
            <w:r>
              <w:rPr>
                <w:rFonts w:ascii="Arial" w:cs="Arial" w:eastAsia="Arial" w:hAnsi="Arial"/>
                <w:sz w:val="14"/>
                <w:szCs w:val="14"/>
                <w:color w:val="auto"/>
                <w:w w:val="99"/>
              </w:rPr>
              <w:t>Net interest, similar income, and expenses+Fee income+Net gain on foreign exchange</w:t>
            </w:r>
          </w:p>
        </w:tc>
        <w:tc>
          <w:tcPr>
            <w:tcW w:w="0" w:type="dxa"/>
            <w:vAlign w:val="bottom"/>
          </w:tcPr>
          <w:p>
            <w:pPr>
              <w:spacing w:after="0"/>
              <w:rPr>
                <w:sz w:val="1"/>
                <w:szCs w:val="1"/>
                <w:color w:val="auto"/>
              </w:rPr>
            </w:pPr>
          </w:p>
        </w:tc>
      </w:tr>
      <w:tr>
        <w:trPr>
          <w:trHeight w:val="157"/>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5660" w:type="dxa"/>
            <w:vAlign w:val="bottom"/>
            <w:tcBorders>
              <w:right w:val="single" w:sz="8" w:color="auto"/>
            </w:tcBorders>
            <w:gridSpan w:val="34"/>
          </w:tcPr>
          <w:p>
            <w:pPr>
              <w:jc w:val="center"/>
              <w:ind w:right="40"/>
              <w:spacing w:after="0" w:line="157" w:lineRule="exact"/>
              <w:rPr>
                <w:sz w:val="20"/>
                <w:szCs w:val="20"/>
                <w:color w:val="auto"/>
              </w:rPr>
            </w:pPr>
            <w:r>
              <w:rPr>
                <w:rFonts w:ascii="Arial" w:cs="Arial" w:eastAsia="Arial" w:hAnsi="Arial"/>
                <w:sz w:val="14"/>
                <w:szCs w:val="14"/>
                <w:color w:val="auto"/>
              </w:rPr>
              <w:t>transactions+Net gain from associates+Net gain on derivatives held for trading+Net gain</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940" w:type="dxa"/>
            <w:vAlign w:val="bottom"/>
            <w:tcBorders>
              <w:bottom w:val="single" w:sz="8" w:color="auto"/>
              <w:right w:val="single" w:sz="8" w:color="auto"/>
            </w:tcBorders>
            <w:gridSpan w:val="30"/>
          </w:tcPr>
          <w:p>
            <w:pPr>
              <w:jc w:val="center"/>
              <w:ind w:right="760"/>
              <w:spacing w:after="0"/>
              <w:rPr>
                <w:sz w:val="20"/>
                <w:szCs w:val="20"/>
                <w:color w:val="auto"/>
              </w:rPr>
            </w:pPr>
            <w:r>
              <w:rPr>
                <w:rFonts w:ascii="Arial" w:cs="Arial" w:eastAsia="Arial" w:hAnsi="Arial"/>
                <w:sz w:val="14"/>
                <w:szCs w:val="14"/>
                <w:color w:val="auto"/>
                <w:w w:val="99"/>
              </w:rPr>
              <w:t>from echange differences+Net Insurance Underwriting Results</w:t>
            </w: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Efciency rato</w:t>
            </w:r>
          </w:p>
        </w:tc>
        <w:tc>
          <w:tcPr>
            <w:tcW w:w="5660" w:type="dxa"/>
            <w:vAlign w:val="bottom"/>
            <w:tcBorders>
              <w:right w:val="single" w:sz="8" w:color="auto"/>
            </w:tcBorders>
            <w:gridSpan w:val="34"/>
          </w:tcPr>
          <w:p>
            <w:pPr>
              <w:jc w:val="center"/>
              <w:ind w:right="40"/>
              <w:spacing w:after="0" w:line="137" w:lineRule="exact"/>
              <w:rPr>
                <w:sz w:val="20"/>
                <w:szCs w:val="20"/>
                <w:color w:val="auto"/>
              </w:rPr>
            </w:pPr>
            <w:r>
              <w:rPr>
                <w:rFonts w:ascii="Arial" w:cs="Arial" w:eastAsia="Arial" w:hAnsi="Arial"/>
                <w:sz w:val="14"/>
                <w:szCs w:val="14"/>
                <w:color w:val="auto"/>
                <w:w w:val="99"/>
              </w:rPr>
              <w:t>Salaries and employee benefits + Administrative expenses + Depreciation and amortization</w:t>
            </w: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780" w:type="dxa"/>
            <w:vAlign w:val="bottom"/>
            <w:tcBorders>
              <w:top w:val="single" w:sz="8" w:color="auto"/>
              <w:bottom w:val="single" w:sz="8" w:color="auto"/>
            </w:tcBorders>
            <w:gridSpan w:val="18"/>
          </w:tcPr>
          <w:p>
            <w:pPr>
              <w:jc w:val="center"/>
              <w:spacing w:after="0" w:line="137" w:lineRule="exact"/>
              <w:rPr>
                <w:sz w:val="20"/>
                <w:szCs w:val="20"/>
                <w:color w:val="auto"/>
              </w:rPr>
            </w:pPr>
            <w:r>
              <w:rPr>
                <w:rFonts w:ascii="Arial" w:cs="Arial" w:eastAsia="Arial" w:hAnsi="Arial"/>
                <w:sz w:val="14"/>
                <w:szCs w:val="14"/>
                <w:color w:val="auto"/>
              </w:rPr>
              <w:t>+ Association in participation</w:t>
            </w:r>
          </w:p>
        </w:tc>
        <w:tc>
          <w:tcPr>
            <w:tcW w:w="1960" w:type="dxa"/>
            <w:vAlign w:val="bottom"/>
            <w:tcBorders>
              <w:top w:val="single" w:sz="8" w:color="auto"/>
              <w:right w:val="single" w:sz="8" w:color="auto"/>
            </w:tcBorders>
            <w:gridSpan w:val="8"/>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40" w:type="dxa"/>
            <w:vAlign w:val="bottom"/>
            <w:tcBorders>
              <w:left w:val="single" w:sz="8" w:color="auto"/>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3700" w:type="dxa"/>
            <w:vAlign w:val="bottom"/>
            <w:gridSpan w:val="26"/>
          </w:tcPr>
          <w:p>
            <w:pPr>
              <w:ind w:left="80"/>
              <w:spacing w:after="0" w:line="141" w:lineRule="exact"/>
              <w:rPr>
                <w:sz w:val="20"/>
                <w:szCs w:val="20"/>
                <w:color w:val="auto"/>
              </w:rPr>
            </w:pPr>
            <w:r>
              <w:rPr>
                <w:rFonts w:ascii="Arial" w:cs="Arial" w:eastAsia="Arial" w:hAnsi="Arial"/>
                <w:sz w:val="14"/>
                <w:szCs w:val="14"/>
                <w:color w:val="auto"/>
                <w:w w:val="99"/>
              </w:rPr>
              <w:t>Net interest, similar income and expenses + Fee Income +</w:t>
            </w:r>
          </w:p>
        </w:tc>
        <w:tc>
          <w:tcPr>
            <w:tcW w:w="1960" w:type="dxa"/>
            <w:vAlign w:val="bottom"/>
            <w:tcBorders>
              <w:right w:val="single" w:sz="8" w:color="auto"/>
            </w:tcBorders>
            <w:gridSpan w:val="8"/>
          </w:tcPr>
          <w:p>
            <w:pPr>
              <w:ind w:left="20"/>
              <w:spacing w:after="0" w:line="141" w:lineRule="exact"/>
              <w:rPr>
                <w:sz w:val="20"/>
                <w:szCs w:val="20"/>
                <w:color w:val="auto"/>
              </w:rPr>
            </w:pPr>
            <w:r>
              <w:rPr>
                <w:rFonts w:ascii="Arial" w:cs="Arial" w:eastAsia="Arial" w:hAnsi="Arial"/>
                <w:sz w:val="14"/>
                <w:szCs w:val="14"/>
                <w:color w:val="auto"/>
              </w:rPr>
              <w:t>Net gain on foreign exchange</w:t>
            </w:r>
          </w:p>
        </w:tc>
        <w:tc>
          <w:tcPr>
            <w:tcW w:w="0" w:type="dxa"/>
            <w:vAlign w:val="bottom"/>
          </w:tcPr>
          <w:p>
            <w:pPr>
              <w:spacing w:after="0"/>
              <w:rPr>
                <w:sz w:val="1"/>
                <w:szCs w:val="1"/>
                <w:color w:val="auto"/>
              </w:rPr>
            </w:pPr>
          </w:p>
        </w:tc>
      </w:tr>
      <w:tr>
        <w:trPr>
          <w:trHeight w:val="157"/>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5660" w:type="dxa"/>
            <w:vAlign w:val="bottom"/>
            <w:tcBorders>
              <w:right w:val="single" w:sz="8" w:color="auto"/>
            </w:tcBorders>
            <w:gridSpan w:val="34"/>
          </w:tcPr>
          <w:p>
            <w:pPr>
              <w:jc w:val="center"/>
              <w:ind w:right="20"/>
              <w:spacing w:after="0" w:line="157" w:lineRule="exact"/>
              <w:rPr>
                <w:sz w:val="20"/>
                <w:szCs w:val="20"/>
                <w:color w:val="auto"/>
              </w:rPr>
            </w:pPr>
            <w:r>
              <w:rPr>
                <w:rFonts w:ascii="Arial" w:cs="Arial" w:eastAsia="Arial" w:hAnsi="Arial"/>
                <w:sz w:val="14"/>
                <w:szCs w:val="14"/>
                <w:color w:val="auto"/>
                <w:w w:val="99"/>
              </w:rPr>
              <w:t>transactions + Net gain from associates+Net gain on derivatives held for trading + Result</w:t>
            </w:r>
          </w:p>
        </w:tc>
        <w:tc>
          <w:tcPr>
            <w:tcW w:w="0" w:type="dxa"/>
            <w:vAlign w:val="bottom"/>
          </w:tcPr>
          <w:p>
            <w:pPr>
              <w:spacing w:after="0"/>
              <w:rPr>
                <w:sz w:val="1"/>
                <w:szCs w:val="1"/>
                <w:color w:val="auto"/>
              </w:rPr>
            </w:pPr>
          </w:p>
        </w:tc>
      </w:tr>
      <w:tr>
        <w:trPr>
          <w:trHeight w:val="167"/>
        </w:trPr>
        <w:tc>
          <w:tcPr>
            <w:tcW w:w="1040" w:type="dxa"/>
            <w:vAlign w:val="bottom"/>
            <w:tcBorders>
              <w:left w:val="single" w:sz="8" w:color="auto"/>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940" w:type="dxa"/>
            <w:vAlign w:val="bottom"/>
            <w:tcBorders>
              <w:bottom w:val="single" w:sz="8" w:color="auto"/>
              <w:right w:val="single" w:sz="8" w:color="auto"/>
            </w:tcBorders>
            <w:gridSpan w:val="30"/>
          </w:tcPr>
          <w:p>
            <w:pPr>
              <w:jc w:val="center"/>
              <w:ind w:right="760"/>
              <w:spacing w:after="0"/>
              <w:rPr>
                <w:sz w:val="20"/>
                <w:szCs w:val="20"/>
                <w:color w:val="auto"/>
              </w:rPr>
            </w:pPr>
            <w:r>
              <w:rPr>
                <w:rFonts w:ascii="Arial" w:cs="Arial" w:eastAsia="Arial" w:hAnsi="Arial"/>
                <w:sz w:val="14"/>
                <w:szCs w:val="14"/>
                <w:color w:val="auto"/>
                <w:w w:val="99"/>
              </w:rPr>
              <w:t>on exchange differences+Insurance Underwriting Result</w:t>
            </w:r>
          </w:p>
        </w:tc>
        <w:tc>
          <w:tcPr>
            <w:tcW w:w="0" w:type="dxa"/>
            <w:vAlign w:val="bottom"/>
          </w:tcPr>
          <w:p>
            <w:pPr>
              <w:spacing w:after="0"/>
              <w:rPr>
                <w:sz w:val="1"/>
                <w:szCs w:val="1"/>
                <w:color w:val="auto"/>
              </w:rPr>
            </w:pPr>
          </w:p>
        </w:tc>
      </w:tr>
      <w:tr>
        <w:trPr>
          <w:trHeight w:val="157"/>
        </w:trPr>
        <w:tc>
          <w:tcPr>
            <w:tcW w:w="1040" w:type="dxa"/>
            <w:vAlign w:val="bottom"/>
            <w:tcBorders>
              <w:left w:val="single" w:sz="8" w:color="auto"/>
              <w:right w:val="single" w:sz="8" w:color="auto"/>
            </w:tcBorders>
          </w:tcPr>
          <w:p>
            <w:pPr>
              <w:jc w:val="center"/>
              <w:spacing w:after="0" w:line="137" w:lineRule="exact"/>
              <w:rPr>
                <w:sz w:val="20"/>
                <w:szCs w:val="20"/>
                <w:color w:val="auto"/>
              </w:rPr>
            </w:pPr>
            <w:r>
              <w:rPr>
                <w:rFonts w:ascii="Calibri" w:cs="Calibri" w:eastAsia="Calibri" w:hAnsi="Calibri"/>
                <w:sz w:val="14"/>
                <w:szCs w:val="14"/>
                <w:b w:val="1"/>
                <w:bCs w:val="1"/>
                <w:color w:val="auto"/>
                <w:w w:val="98"/>
              </w:rPr>
              <w:t>Capital</w:t>
            </w: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Liquidity Coverage rato</w:t>
            </w:r>
          </w:p>
        </w:tc>
        <w:tc>
          <w:tcPr>
            <w:tcW w:w="5660" w:type="dxa"/>
            <w:vAlign w:val="bottom"/>
            <w:tcBorders>
              <w:right w:val="single" w:sz="8" w:color="auto"/>
            </w:tcBorders>
            <w:gridSpan w:val="34"/>
          </w:tcPr>
          <w:p>
            <w:pPr>
              <w:jc w:val="center"/>
              <w:ind w:right="40"/>
              <w:spacing w:after="0" w:line="137" w:lineRule="exact"/>
              <w:rPr>
                <w:sz w:val="20"/>
                <w:szCs w:val="20"/>
                <w:color w:val="auto"/>
              </w:rPr>
            </w:pPr>
            <w:r>
              <w:rPr>
                <w:rFonts w:ascii="Arial" w:cs="Arial" w:eastAsia="Arial" w:hAnsi="Arial"/>
                <w:sz w:val="14"/>
                <w:szCs w:val="14"/>
                <w:color w:val="auto"/>
                <w:w w:val="99"/>
              </w:rPr>
              <w:t xml:space="preserve">Total High Quality Liquid Assets + Min(Total Inflow </w:t>
            </w:r>
            <w:r>
              <w:rPr>
                <w:rFonts w:ascii="Arial" w:cs="Arial" w:eastAsia="Arial" w:hAnsi="Arial"/>
                <w:sz w:val="11"/>
                <w:szCs w:val="11"/>
                <w:color w:val="auto"/>
                <w:w w:val="99"/>
              </w:rPr>
              <w:t>30 days</w:t>
            </w:r>
            <w:r>
              <w:rPr>
                <w:rFonts w:ascii="Arial" w:cs="Arial" w:eastAsia="Arial" w:hAnsi="Arial"/>
                <w:sz w:val="14"/>
                <w:szCs w:val="14"/>
                <w:color w:val="auto"/>
                <w:w w:val="99"/>
              </w:rPr>
              <w:t xml:space="preserve">; 75% * Total Outflow </w:t>
            </w:r>
            <w:r>
              <w:rPr>
                <w:rFonts w:ascii="Arial" w:cs="Arial" w:eastAsia="Arial" w:hAnsi="Arial"/>
                <w:sz w:val="11"/>
                <w:szCs w:val="11"/>
                <w:color w:val="auto"/>
                <w:w w:val="99"/>
              </w:rPr>
              <w:t>30 days</w:t>
            </w: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1040" w:type="dxa"/>
            <w:vAlign w:val="bottom"/>
            <w:tcBorders>
              <w:left w:val="single" w:sz="8" w:color="auto"/>
              <w:right w:val="single" w:sz="8" w:color="auto"/>
            </w:tcBorders>
          </w:tcPr>
          <w:p>
            <w:pPr>
              <w:jc w:val="center"/>
              <w:spacing w:after="0" w:line="131" w:lineRule="exact"/>
              <w:rPr>
                <w:sz w:val="20"/>
                <w:szCs w:val="20"/>
                <w:color w:val="auto"/>
              </w:rPr>
            </w:pPr>
            <w:r>
              <w:rPr>
                <w:rFonts w:ascii="Calibri" w:cs="Calibri" w:eastAsia="Calibri" w:hAnsi="Calibri"/>
                <w:sz w:val="14"/>
                <w:szCs w:val="14"/>
                <w:b w:val="1"/>
                <w:bCs w:val="1"/>
                <w:color w:val="auto"/>
              </w:rPr>
              <w:t>Adequacy</w:t>
            </w:r>
          </w:p>
        </w:tc>
        <w:tc>
          <w:tcPr>
            <w:tcW w:w="20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100" w:type="dxa"/>
            <w:vAlign w:val="bottom"/>
            <w:tcBorders>
              <w:top w:val="single" w:sz="8" w:color="auto"/>
              <w:bottom w:val="single" w:sz="8" w:color="auto"/>
            </w:tcBorders>
            <w:gridSpan w:val="21"/>
          </w:tcPr>
          <w:p>
            <w:pPr>
              <w:jc w:val="center"/>
              <w:ind w:right="1640"/>
              <w:spacing w:after="0" w:line="131" w:lineRule="exact"/>
              <w:rPr>
                <w:sz w:val="20"/>
                <w:szCs w:val="20"/>
                <w:color w:val="auto"/>
              </w:rPr>
            </w:pPr>
            <w:r>
              <w:rPr>
                <w:rFonts w:ascii="Arial" w:cs="Arial" w:eastAsia="Arial" w:hAnsi="Arial"/>
                <w:sz w:val="14"/>
                <w:szCs w:val="14"/>
                <w:color w:val="auto"/>
              </w:rPr>
              <w:t xml:space="preserve">Total Outflow </w:t>
            </w:r>
            <w:r>
              <w:rPr>
                <w:rFonts w:ascii="Arial" w:cs="Arial" w:eastAsia="Arial" w:hAnsi="Arial"/>
                <w:sz w:val="11"/>
                <w:szCs w:val="11"/>
                <w:color w:val="auto"/>
              </w:rPr>
              <w:t>30 days</w:t>
            </w:r>
          </w:p>
        </w:tc>
        <w:tc>
          <w:tcPr>
            <w:tcW w:w="30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line="137" w:lineRule="exact"/>
              <w:rPr>
                <w:sz w:val="20"/>
                <w:szCs w:val="20"/>
                <w:color w:val="auto"/>
              </w:rPr>
            </w:pPr>
            <w:r>
              <w:rPr>
                <w:rFonts w:ascii="Calibri" w:cs="Calibri" w:eastAsia="Calibri" w:hAnsi="Calibri"/>
                <w:sz w:val="14"/>
                <w:szCs w:val="14"/>
                <w:b w:val="1"/>
                <w:bCs w:val="1"/>
                <w:color w:val="auto"/>
              </w:rPr>
              <w:t>Regulatory Capital rato</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tcBorders>
              <w:right w:val="single" w:sz="8" w:color="auto"/>
            </w:tcBorders>
            <w:gridSpan w:val="23"/>
          </w:tcPr>
          <w:p>
            <w:pPr>
              <w:jc w:val="center"/>
              <w:ind w:right="2120"/>
              <w:spacing w:after="0" w:line="137" w:lineRule="exact"/>
              <w:rPr>
                <w:sz w:val="20"/>
                <w:szCs w:val="20"/>
                <w:color w:val="auto"/>
              </w:rPr>
            </w:pPr>
            <w:r>
              <w:rPr>
                <w:rFonts w:ascii="Arial" w:cs="Arial" w:eastAsia="Arial" w:hAnsi="Arial"/>
                <w:sz w:val="14"/>
                <w:szCs w:val="14"/>
                <w:u w:val="single" w:color="auto"/>
                <w:color w:val="auto"/>
              </w:rPr>
              <w:t>(Regulatory</w:t>
            </w:r>
            <w:r>
              <w:rPr>
                <w:rFonts w:ascii="Arial" w:cs="Arial" w:eastAsia="Arial" w:hAnsi="Arial"/>
                <w:sz w:val="14"/>
                <w:szCs w:val="14"/>
                <w:color w:val="auto"/>
              </w:rPr>
              <w:t xml:space="preserve"> Capital)</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right w:val="single" w:sz="8" w:color="auto"/>
            </w:tcBorders>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gridSpan w:val="10"/>
            <w:vMerge w:val="restart"/>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12"/>
          </w:tcPr>
          <w:p>
            <w:pPr>
              <w:spacing w:after="0" w:line="151" w:lineRule="exact"/>
              <w:rPr>
                <w:sz w:val="20"/>
                <w:szCs w:val="20"/>
                <w:color w:val="auto"/>
              </w:rPr>
            </w:pPr>
            <w:r>
              <w:rPr>
                <w:rFonts w:ascii="Arial" w:cs="Arial" w:eastAsia="Arial" w:hAnsi="Arial"/>
                <w:sz w:val="14"/>
                <w:szCs w:val="14"/>
                <w:color w:val="auto"/>
                <w:w w:val="90"/>
              </w:rPr>
              <w:t>(Risk -weighted assets)</w:t>
            </w:r>
          </w:p>
        </w:tc>
        <w:tc>
          <w:tcPr>
            <w:tcW w:w="2040" w:type="dxa"/>
            <w:vAlign w:val="bottom"/>
            <w:tcBorders>
              <w:bottom w:val="single" w:sz="8" w:color="auto"/>
            </w:tcBorders>
            <w:gridSpan w:val="10"/>
            <w:vMerge w:val="continue"/>
          </w:tcPr>
          <w:p>
            <w:pPr>
              <w:spacing w:after="0"/>
              <w:rPr>
                <w:sz w:val="13"/>
                <w:szCs w:val="13"/>
                <w:color w:val="auto"/>
              </w:rPr>
            </w:pPr>
          </w:p>
        </w:tc>
        <w:tc>
          <w:tcPr>
            <w:tcW w:w="1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040" w:type="dxa"/>
            <w:vAlign w:val="bottom"/>
            <w:tcBorders>
              <w:left w:val="single" w:sz="8" w:color="auto"/>
              <w:right w:val="single" w:sz="8" w:color="auto"/>
            </w:tcBorders>
          </w:tcPr>
          <w:p>
            <w:pPr>
              <w:spacing w:after="0"/>
              <w:rPr>
                <w:sz w:val="8"/>
                <w:szCs w:val="8"/>
                <w:color w:val="auto"/>
              </w:rPr>
            </w:pPr>
          </w:p>
        </w:tc>
        <w:tc>
          <w:tcPr>
            <w:tcW w:w="2060" w:type="dxa"/>
            <w:vAlign w:val="bottom"/>
            <w:tcBorders>
              <w:right w:val="single" w:sz="8" w:color="auto"/>
            </w:tcBorders>
            <w:vMerge w:val="restart"/>
          </w:tcPr>
          <w:p>
            <w:pPr>
              <w:spacing w:after="0" w:line="138" w:lineRule="exact"/>
              <w:rPr>
                <w:sz w:val="20"/>
                <w:szCs w:val="20"/>
                <w:color w:val="auto"/>
              </w:rPr>
            </w:pPr>
            <w:r>
              <w:rPr>
                <w:rFonts w:ascii="Calibri" w:cs="Calibri" w:eastAsia="Calibri" w:hAnsi="Calibri"/>
                <w:sz w:val="14"/>
                <w:szCs w:val="14"/>
                <w:b w:val="1"/>
                <w:bCs w:val="1"/>
                <w:color w:val="auto"/>
              </w:rPr>
              <w:t>Tier 1 rato</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vMerge w:val="restart"/>
          </w:tcPr>
          <w:p>
            <w:pPr>
              <w:spacing w:after="0" w:line="138" w:lineRule="exact"/>
              <w:rPr>
                <w:sz w:val="20"/>
                <w:szCs w:val="20"/>
                <w:color w:val="auto"/>
              </w:rPr>
            </w:pPr>
            <w:r>
              <w:rPr>
                <w:rFonts w:ascii="Arial" w:cs="Arial" w:eastAsia="Arial" w:hAnsi="Arial"/>
                <w:sz w:val="14"/>
                <w:szCs w:val="14"/>
                <w:color w:val="auto"/>
                <w:w w:val="94"/>
              </w:rPr>
              <w:t>Tier 1</w:t>
            </w:r>
          </w:p>
        </w:tc>
        <w:tc>
          <w:tcPr>
            <w:tcW w:w="140" w:type="dxa"/>
            <w:vAlign w:val="bottom"/>
            <w:tcBorders>
              <w:bottom w:val="single" w:sz="8" w:color="auto"/>
            </w:tcBorders>
            <w:gridSpan w:val="2"/>
          </w:tcPr>
          <w:p>
            <w:pPr>
              <w:jc w:val="right"/>
              <w:spacing w:after="0" w:line="85" w:lineRule="exact"/>
              <w:rPr>
                <w:sz w:val="20"/>
                <w:szCs w:val="20"/>
                <w:color w:val="auto"/>
              </w:rPr>
            </w:pPr>
            <w:r>
              <w:rPr>
                <w:rFonts w:ascii="Arial" w:cs="Arial" w:eastAsia="Arial" w:hAnsi="Arial"/>
                <w:sz w:val="9"/>
                <w:szCs w:val="9"/>
                <w:color w:val="auto"/>
              </w:rPr>
              <w:t>(2)</w:t>
            </w:r>
          </w:p>
        </w:tc>
        <w:tc>
          <w:tcPr>
            <w:tcW w:w="220" w:type="dxa"/>
            <w:vAlign w:val="bottom"/>
            <w:gridSpan w:val="2"/>
            <w:vMerge w:val="restart"/>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right w:val="single" w:sz="8" w:color="auto"/>
            </w:tcBorders>
          </w:tcPr>
          <w:p>
            <w:pPr>
              <w:spacing w:after="0" w:line="20" w:lineRule="exact"/>
              <w:rPr>
                <w:sz w:val="1"/>
                <w:szCs w:val="1"/>
                <w:color w:val="auto"/>
              </w:rPr>
            </w:pPr>
          </w:p>
        </w:tc>
        <w:tc>
          <w:tcPr>
            <w:tcW w:w="2060" w:type="dxa"/>
            <w:vAlign w:val="bottom"/>
            <w:tcBorders>
              <w:right w:val="single" w:sz="8" w:color="auto"/>
            </w:tcBorders>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Borders>
              <w:left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5"/>
          </w:tcPr>
          <w:p>
            <w:pPr>
              <w:ind w:left="60"/>
              <w:spacing w:after="0" w:line="150" w:lineRule="exact"/>
              <w:rPr>
                <w:sz w:val="20"/>
                <w:szCs w:val="20"/>
                <w:color w:val="auto"/>
              </w:rPr>
            </w:pPr>
            <w:r>
              <w:rPr>
                <w:rFonts w:ascii="Arial" w:cs="Arial" w:eastAsia="Arial" w:hAnsi="Arial"/>
                <w:sz w:val="14"/>
                <w:szCs w:val="14"/>
                <w:color w:val="auto"/>
              </w:rPr>
              <w:t>Risk -</w:t>
            </w:r>
          </w:p>
        </w:tc>
        <w:tc>
          <w:tcPr>
            <w:tcW w:w="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2"/>
                <w:szCs w:val="12"/>
                <w:color w:val="auto"/>
                <w:w w:val="74"/>
              </w:rPr>
              <w:t>weighted</w:t>
            </w:r>
          </w:p>
        </w:tc>
        <w:tc>
          <w:tcPr>
            <w:tcW w:w="120" w:type="dxa"/>
            <w:vAlign w:val="bottom"/>
            <w:tcBorders>
              <w:bottom w:val="single" w:sz="8" w:color="auto"/>
            </w:tcBorders>
          </w:tcPr>
          <w:p>
            <w:pPr>
              <w:spacing w:after="0"/>
              <w:rPr>
                <w:sz w:val="13"/>
                <w:szCs w:val="13"/>
                <w:color w:val="auto"/>
              </w:rPr>
            </w:pPr>
          </w:p>
        </w:tc>
        <w:tc>
          <w:tcPr>
            <w:tcW w:w="2600" w:type="dxa"/>
            <w:vAlign w:val="bottom"/>
            <w:tcBorders>
              <w:bottom w:val="single" w:sz="8" w:color="auto"/>
              <w:right w:val="single" w:sz="8" w:color="auto"/>
            </w:tcBorders>
            <w:gridSpan w:val="15"/>
          </w:tcPr>
          <w:p>
            <w:pPr>
              <w:jc w:val="right"/>
              <w:ind w:right="2160"/>
              <w:spacing w:after="0" w:line="150" w:lineRule="exact"/>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98"/>
        </w:trPr>
        <w:tc>
          <w:tcPr>
            <w:tcW w:w="1040" w:type="dxa"/>
            <w:vAlign w:val="bottom"/>
            <w:tcBorders>
              <w:left w:val="single" w:sz="8" w:color="auto"/>
              <w:right w:val="single" w:sz="8" w:color="auto"/>
            </w:tcBorders>
          </w:tcPr>
          <w:p>
            <w:pPr>
              <w:spacing w:after="0"/>
              <w:rPr>
                <w:sz w:val="8"/>
                <w:szCs w:val="8"/>
                <w:color w:val="auto"/>
              </w:rPr>
            </w:pPr>
          </w:p>
        </w:tc>
        <w:tc>
          <w:tcPr>
            <w:tcW w:w="2060" w:type="dxa"/>
            <w:vAlign w:val="bottom"/>
            <w:tcBorders>
              <w:right w:val="single" w:sz="8" w:color="auto"/>
            </w:tcBorders>
          </w:tcPr>
          <w:p>
            <w:pPr>
              <w:spacing w:after="0" w:line="98" w:lineRule="exact"/>
              <w:rPr>
                <w:sz w:val="20"/>
                <w:szCs w:val="20"/>
                <w:color w:val="auto"/>
              </w:rPr>
            </w:pPr>
            <w:r>
              <w:rPr>
                <w:rFonts w:ascii="Calibri" w:cs="Calibri" w:eastAsia="Calibri" w:hAnsi="Calibri"/>
                <w:sz w:val="7"/>
                <w:szCs w:val="7"/>
                <w:b w:val="1"/>
                <w:bCs w:val="1"/>
                <w:color w:val="auto"/>
              </w:rPr>
              <w:t xml:space="preserve">Common Equity Tier 1 rato </w:t>
            </w:r>
            <w:r>
              <w:rPr>
                <w:rFonts w:ascii="Calibri" w:cs="Calibri" w:eastAsia="Calibri" w:hAnsi="Calibri"/>
                <w:sz w:val="10"/>
                <w:szCs w:val="10"/>
                <w:b w:val="1"/>
                <w:bCs w:val="1"/>
                <w:color w:val="auto"/>
                <w:vertAlign w:val="superscript"/>
              </w:rPr>
              <w:t>(3)</w:t>
            </w:r>
          </w:p>
        </w:tc>
        <w:tc>
          <w:tcPr>
            <w:tcW w:w="140" w:type="dxa"/>
            <w:vAlign w:val="bottom"/>
          </w:tcPr>
          <w:p>
            <w:pPr>
              <w:spacing w:after="0"/>
              <w:rPr>
                <w:sz w:val="8"/>
                <w:szCs w:val="8"/>
                <w:color w:val="auto"/>
              </w:rPr>
            </w:pPr>
          </w:p>
        </w:tc>
        <w:tc>
          <w:tcPr>
            <w:tcW w:w="3140" w:type="dxa"/>
            <w:vAlign w:val="bottom"/>
            <w:gridSpan w:val="20"/>
            <w:vMerge w:val="restart"/>
          </w:tcPr>
          <w:p>
            <w:pPr>
              <w:spacing w:after="0"/>
              <w:rPr>
                <w:sz w:val="20"/>
                <w:szCs w:val="20"/>
                <w:color w:val="auto"/>
              </w:rPr>
            </w:pPr>
            <w:r>
              <w:rPr>
                <w:rFonts w:ascii="Arial" w:cs="Arial" w:eastAsia="Arial" w:hAnsi="Arial"/>
                <w:sz w:val="14"/>
                <w:szCs w:val="14"/>
                <w:color w:val="auto"/>
              </w:rPr>
              <w:t>Capital+Reserves -100% of applicable deductions</w:t>
            </w:r>
          </w:p>
        </w:tc>
        <w:tc>
          <w:tcPr>
            <w:tcW w:w="160" w:type="dxa"/>
            <w:vAlign w:val="bottom"/>
            <w:tcBorders>
              <w:bottom w:val="single" w:sz="8" w:color="auto"/>
            </w:tcBorders>
            <w:gridSpan w:val="2"/>
          </w:tcPr>
          <w:p>
            <w:pPr>
              <w:jc w:val="center"/>
              <w:ind w:right="20"/>
              <w:spacing w:after="0" w:line="85" w:lineRule="exact"/>
              <w:rPr>
                <w:sz w:val="20"/>
                <w:szCs w:val="20"/>
                <w:color w:val="auto"/>
              </w:rPr>
            </w:pPr>
            <w:r>
              <w:rPr>
                <w:rFonts w:ascii="Arial" w:cs="Arial" w:eastAsia="Arial" w:hAnsi="Arial"/>
                <w:sz w:val="9"/>
                <w:szCs w:val="9"/>
                <w:color w:val="auto"/>
              </w:rPr>
              <w:t>(4)</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040" w:type="dxa"/>
            <w:vAlign w:val="bottom"/>
            <w:tcBorders>
              <w:left w:val="single" w:sz="8" w:color="auto"/>
              <w:right w:val="single" w:sz="8" w:color="auto"/>
            </w:tcBorders>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140" w:type="dxa"/>
            <w:vAlign w:val="bottom"/>
            <w:gridSpan w:val="20"/>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20" w:type="dxa"/>
            <w:vAlign w:val="bottom"/>
            <w:tcBorders>
              <w:right w:val="single" w:sz="8" w:color="auto"/>
            </w:tcBorders>
            <w:gridSpan w:val="11"/>
          </w:tcPr>
          <w:p>
            <w:pPr>
              <w:spacing w:after="0" w:line="72" w:lineRule="exact"/>
              <w:rPr>
                <w:sz w:val="20"/>
                <w:szCs w:val="20"/>
                <w:color w:val="auto"/>
              </w:rPr>
            </w:pPr>
            <w:r>
              <w:rPr>
                <w:rFonts w:ascii="Arial" w:cs="Arial" w:eastAsia="Arial" w:hAnsi="Arial"/>
                <w:sz w:val="8"/>
                <w:szCs w:val="8"/>
                <w:color w:val="auto"/>
              </w:rPr>
              <w:t>+ Retained Earnings+Unrealized</w:t>
            </w:r>
          </w:p>
        </w:tc>
        <w:tc>
          <w:tcPr>
            <w:tcW w:w="0" w:type="dxa"/>
            <w:vAlign w:val="bottom"/>
          </w:tcPr>
          <w:p>
            <w:pPr>
              <w:spacing w:after="0"/>
              <w:rPr>
                <w:sz w:val="1"/>
                <w:szCs w:val="1"/>
                <w:color w:val="auto"/>
              </w:rPr>
            </w:pPr>
          </w:p>
        </w:tc>
      </w:tr>
      <w:tr>
        <w:trPr>
          <w:trHeight w:val="137"/>
        </w:trPr>
        <w:tc>
          <w:tcPr>
            <w:tcW w:w="1040" w:type="dxa"/>
            <w:vAlign w:val="bottom"/>
            <w:tcBorders>
              <w:left w:val="single" w:sz="8" w:color="auto"/>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7"/>
          </w:tcPr>
          <w:p>
            <w:pPr>
              <w:jc w:val="center"/>
              <w:spacing w:after="0" w:line="137" w:lineRule="exact"/>
              <w:rPr>
                <w:sz w:val="20"/>
                <w:szCs w:val="20"/>
                <w:color w:val="auto"/>
              </w:rPr>
            </w:pPr>
            <w:r>
              <w:rPr>
                <w:rFonts w:ascii="Arial" w:cs="Arial" w:eastAsia="Arial" w:hAnsi="Arial"/>
                <w:sz w:val="14"/>
                <w:szCs w:val="14"/>
                <w:color w:val="auto"/>
              </w:rPr>
              <w:t>gains or losses</w:t>
            </w: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w w:val="71"/>
              </w:rPr>
              <w:t>Risk</w:t>
            </w:r>
          </w:p>
        </w:tc>
        <w:tc>
          <w:tcPr>
            <w:tcW w:w="3320" w:type="dxa"/>
            <w:vAlign w:val="bottom"/>
            <w:tcBorders>
              <w:bottom w:val="single" w:sz="8" w:color="auto"/>
              <w:right w:val="single" w:sz="8" w:color="auto"/>
            </w:tcBorders>
            <w:gridSpan w:val="20"/>
          </w:tcPr>
          <w:p>
            <w:pPr>
              <w:jc w:val="right"/>
              <w:ind w:right="2160"/>
              <w:spacing w:after="0" w:line="151" w:lineRule="exact"/>
              <w:rPr>
                <w:sz w:val="20"/>
                <w:szCs w:val="20"/>
                <w:color w:val="auto"/>
              </w:rPr>
            </w:pPr>
            <w:r>
              <w:rPr>
                <w:rFonts w:ascii="Arial" w:cs="Arial" w:eastAsia="Arial" w:hAnsi="Arial"/>
                <w:sz w:val="14"/>
                <w:szCs w:val="14"/>
                <w:color w:val="auto"/>
              </w:rPr>
              <w:t>-weighted assets</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00" w:hanging="195"/>
        <w:spacing w:after="0"/>
        <w:tabs>
          <w:tab w:leader="none" w:pos="200" w:val="left"/>
        </w:tabs>
        <w:numPr>
          <w:ilvl w:val="0"/>
          <w:numId w:val="61"/>
        </w:numPr>
        <w:rPr>
          <w:rFonts w:ascii="Calibri" w:cs="Calibri" w:eastAsia="Calibri" w:hAnsi="Calibri"/>
          <w:sz w:val="14"/>
          <w:szCs w:val="14"/>
          <w:color w:val="auto"/>
        </w:rPr>
      </w:pPr>
      <w:r>
        <w:rPr>
          <w:rFonts w:ascii="Calibri" w:cs="Calibri" w:eastAsia="Calibri" w:hAnsi="Calibri"/>
          <w:sz w:val="14"/>
          <w:szCs w:val="14"/>
          <w:color w:val="auto"/>
        </w:rPr>
        <w:t>Averages are determined as the average of period-beginning and period-ending balances.</w:t>
      </w:r>
    </w:p>
    <w:p>
      <w:pPr>
        <w:ind w:left="200" w:hanging="195"/>
        <w:spacing w:after="0"/>
        <w:tabs>
          <w:tab w:leader="none" w:pos="200" w:val="left"/>
        </w:tabs>
        <w:numPr>
          <w:ilvl w:val="0"/>
          <w:numId w:val="61"/>
        </w:numPr>
        <w:rPr>
          <w:rFonts w:ascii="Calibri" w:cs="Calibri" w:eastAsia="Calibri" w:hAnsi="Calibri"/>
          <w:sz w:val="14"/>
          <w:szCs w:val="14"/>
          <w:color w:val="auto"/>
        </w:rPr>
      </w:pPr>
      <w:r>
        <w:rPr>
          <w:rFonts w:ascii="Calibri" w:cs="Calibri" w:eastAsia="Calibri" w:hAnsi="Calibri"/>
          <w:sz w:val="14"/>
          <w:szCs w:val="14"/>
          <w:color w:val="auto"/>
        </w:rPr>
        <w:t>Includes investment in subsidiaries, goodwill, intangibles and deferred tax that rely on future proftability.</w:t>
      </w:r>
    </w:p>
    <w:p>
      <w:pPr>
        <w:spacing w:after="0" w:line="3" w:lineRule="exact"/>
        <w:rPr>
          <w:rFonts w:ascii="Calibri" w:cs="Calibri" w:eastAsia="Calibri" w:hAnsi="Calibri"/>
          <w:sz w:val="14"/>
          <w:szCs w:val="14"/>
          <w:color w:val="auto"/>
        </w:rPr>
      </w:pPr>
    </w:p>
    <w:p>
      <w:pPr>
        <w:ind w:right="3460" w:firstLine="5"/>
        <w:spacing w:after="0" w:line="236" w:lineRule="auto"/>
        <w:tabs>
          <w:tab w:leader="none" w:pos="187" w:val="left"/>
        </w:tabs>
        <w:numPr>
          <w:ilvl w:val="0"/>
          <w:numId w:val="61"/>
        </w:numPr>
        <w:rPr>
          <w:rFonts w:ascii="Calibri" w:cs="Calibri" w:eastAsia="Calibri" w:hAnsi="Calibri"/>
          <w:sz w:val="14"/>
          <w:szCs w:val="14"/>
          <w:color w:val="auto"/>
        </w:rPr>
      </w:pPr>
      <w:r>
        <w:rPr>
          <w:rFonts w:ascii="Calibri" w:cs="Calibri" w:eastAsia="Calibri" w:hAnsi="Calibri"/>
          <w:sz w:val="14"/>
          <w:szCs w:val="14"/>
          <w:color w:val="auto"/>
        </w:rPr>
        <w:t>Common Equity Tier 1 = Capital Stock + Reserves + Accumulated earnings – Unrealized profts or losses - 100% deductons (investment in subsidiaries, goodwill, intangible assets and deferred tax assets based on future returns).</w:t>
      </w:r>
    </w:p>
    <w:p>
      <w:pPr>
        <w:spacing w:after="0" w:line="1" w:lineRule="exact"/>
        <w:rPr>
          <w:rFonts w:ascii="Calibri" w:cs="Calibri" w:eastAsia="Calibri" w:hAnsi="Calibri"/>
          <w:sz w:val="14"/>
          <w:szCs w:val="14"/>
          <w:color w:val="auto"/>
        </w:rPr>
      </w:pPr>
    </w:p>
    <w:p>
      <w:pPr>
        <w:ind w:left="200" w:hanging="195"/>
        <w:spacing w:after="0"/>
        <w:tabs>
          <w:tab w:leader="none" w:pos="200" w:val="left"/>
        </w:tabs>
        <w:numPr>
          <w:ilvl w:val="0"/>
          <w:numId w:val="61"/>
        </w:numPr>
        <w:rPr>
          <w:rFonts w:ascii="Calibri" w:cs="Calibri" w:eastAsia="Calibri" w:hAnsi="Calibri"/>
          <w:sz w:val="14"/>
          <w:szCs w:val="14"/>
          <w:color w:val="auto"/>
        </w:rPr>
      </w:pPr>
      <w:r>
        <w:rPr>
          <w:rFonts w:ascii="Calibri" w:cs="Calibri" w:eastAsia="Calibri" w:hAnsi="Calibri"/>
          <w:sz w:val="14"/>
          <w:szCs w:val="14"/>
          <w:color w:val="auto"/>
        </w:rPr>
        <w:t>Includes investment in subsidiaries, goodwill, intangible assets and deferred taxes based on future returns.</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136130"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415"/>
        </w:trPr>
        <w:tc>
          <w:tcPr>
            <w:tcW w:w="7140" w:type="dxa"/>
            <w:vAlign w:val="bottom"/>
            <w:tcBorders>
              <w:left w:val="single" w:sz="8" w:color="auto"/>
            </w:tcBorders>
            <w:gridSpan w:val="2"/>
            <w:shd w:val="clear" w:color="auto" w:fill="000000"/>
          </w:tcPr>
          <w:p>
            <w:pPr>
              <w:ind w:left="2680"/>
              <w:spacing w:after="0"/>
              <w:rPr>
                <w:sz w:val="20"/>
                <w:szCs w:val="20"/>
                <w:color w:val="auto"/>
              </w:rPr>
            </w:pPr>
            <w:r>
              <w:rPr>
                <w:rFonts w:ascii="Calibri" w:cs="Calibri" w:eastAsia="Calibri" w:hAnsi="Calibri"/>
                <w:sz w:val="19"/>
                <w:szCs w:val="19"/>
                <w:color w:val="A6A6A6"/>
              </w:rPr>
              <w:t xml:space="preserve">|  </w:t>
            </w:r>
            <w:r>
              <w:rPr>
                <w:rFonts w:ascii="Calibri" w:cs="Calibri" w:eastAsia="Calibri" w:hAnsi="Calibri"/>
                <w:sz w:val="15"/>
                <w:szCs w:val="15"/>
                <w:color w:val="FFFFFF"/>
              </w:rPr>
              <w:t>Earnings Release 4Q / 2024</w:t>
            </w:r>
          </w:p>
        </w:tc>
        <w:tc>
          <w:tcPr>
            <w:tcW w:w="4100" w:type="dxa"/>
            <w:vAlign w:val="bottom"/>
            <w:tcBorders>
              <w:right w:val="single" w:sz="8" w:color="auto"/>
            </w:tcBorders>
            <w:shd w:val="clear" w:color="auto" w:fill="000000"/>
          </w:tcPr>
          <w:p>
            <w:pPr>
              <w:ind w:left="520"/>
              <w:spacing w:after="0"/>
              <w:rPr>
                <w:sz w:val="20"/>
                <w:szCs w:val="20"/>
                <w:color w:val="auto"/>
              </w:rPr>
            </w:pPr>
            <w:r>
              <w:rPr>
                <w:rFonts w:ascii="Calibri" w:cs="Calibri" w:eastAsia="Calibri" w:hAnsi="Calibri"/>
                <w:sz w:val="16"/>
                <w:szCs w:val="16"/>
                <w:color w:val="ED3FA8"/>
              </w:rPr>
              <w:t>Analysis of 4Q24 Consolidated Results</w:t>
            </w:r>
          </w:p>
        </w:tc>
      </w:tr>
      <w:tr>
        <w:trPr>
          <w:trHeight w:val="240"/>
        </w:trPr>
        <w:tc>
          <w:tcPr>
            <w:tcW w:w="4080" w:type="dxa"/>
            <w:vAlign w:val="bottom"/>
            <w:tcBorders>
              <w:left w:val="single" w:sz="8" w:color="auto"/>
              <w:right w:val="single" w:sz="8" w:color="auto"/>
            </w:tcBorders>
            <w:shd w:val="clear" w:color="auto" w:fill="000000"/>
          </w:tcPr>
          <w:p>
            <w:pPr>
              <w:spacing w:after="0"/>
              <w:rPr>
                <w:sz w:val="20"/>
                <w:szCs w:val="20"/>
                <w:color w:val="auto"/>
              </w:rPr>
            </w:pPr>
          </w:p>
        </w:tc>
        <w:tc>
          <w:tcPr>
            <w:tcW w:w="3060" w:type="dxa"/>
            <w:vAlign w:val="bottom"/>
            <w:shd w:val="clear" w:color="auto" w:fill="000000"/>
          </w:tcPr>
          <w:p>
            <w:pPr>
              <w:spacing w:after="0"/>
              <w:rPr>
                <w:sz w:val="20"/>
                <w:szCs w:val="20"/>
                <w:color w:val="auto"/>
              </w:rPr>
            </w:pPr>
          </w:p>
        </w:tc>
        <w:tc>
          <w:tcPr>
            <w:tcW w:w="4100" w:type="dxa"/>
            <w:vAlign w:val="bottom"/>
            <w:tcBorders>
              <w:right w:val="single" w:sz="8" w:color="auto"/>
            </w:tcBorders>
            <w:shd w:val="clear" w:color="auto" w:fill="000000"/>
          </w:tcPr>
          <w:p>
            <w:pPr>
              <w:spacing w:after="0"/>
              <w:rPr>
                <w:sz w:val="20"/>
                <w:szCs w:val="20"/>
                <w:color w:val="auto"/>
              </w:rPr>
            </w:pPr>
          </w:p>
        </w:tc>
      </w:tr>
      <w:tr>
        <w:trPr>
          <w:trHeight w:val="258"/>
        </w:trPr>
        <w:tc>
          <w:tcPr>
            <w:tcW w:w="4080" w:type="dxa"/>
            <w:vAlign w:val="bottom"/>
            <w:tcBorders>
              <w:left w:val="single" w:sz="8" w:color="E93BAC"/>
              <w:right w:val="single" w:sz="8" w:color="E93BAC"/>
            </w:tcBorders>
            <w:shd w:val="clear" w:color="auto" w:fill="E93BAC"/>
          </w:tcPr>
          <w:p>
            <w:pPr>
              <w:ind w:left="80"/>
              <w:spacing w:after="0"/>
              <w:rPr>
                <w:sz w:val="20"/>
                <w:szCs w:val="20"/>
                <w:color w:val="auto"/>
              </w:rPr>
            </w:pPr>
            <w:r>
              <w:rPr>
                <w:rFonts w:ascii="Calibri" w:cs="Calibri" w:eastAsia="Calibri" w:hAnsi="Calibri"/>
                <w:sz w:val="19"/>
                <w:szCs w:val="19"/>
                <w:b w:val="1"/>
                <w:bCs w:val="1"/>
                <w:color w:val="FFFFFF"/>
              </w:rPr>
              <w:t>12. Appendix</w:t>
            </w:r>
          </w:p>
        </w:tc>
        <w:tc>
          <w:tcPr>
            <w:tcW w:w="3060" w:type="dxa"/>
            <w:vAlign w:val="bottom"/>
            <w:shd w:val="clear" w:color="auto" w:fill="E93BAC"/>
          </w:tcPr>
          <w:p>
            <w:pPr>
              <w:spacing w:after="0"/>
              <w:rPr>
                <w:sz w:val="22"/>
                <w:szCs w:val="22"/>
                <w:color w:val="auto"/>
              </w:rPr>
            </w:pPr>
          </w:p>
        </w:tc>
        <w:tc>
          <w:tcPr>
            <w:tcW w:w="4100" w:type="dxa"/>
            <w:vAlign w:val="bottom"/>
            <w:tcBorders>
              <w:right w:val="single" w:sz="8" w:color="E93BAC"/>
            </w:tcBorders>
            <w:shd w:val="clear" w:color="auto" w:fill="E93BAC"/>
          </w:tcPr>
          <w:p>
            <w:pPr>
              <w:spacing w:after="0"/>
              <w:rPr>
                <w:sz w:val="22"/>
                <w:szCs w:val="22"/>
                <w:color w:val="auto"/>
              </w:rPr>
            </w:pPr>
          </w:p>
        </w:tc>
      </w:tr>
      <w:tr>
        <w:trPr>
          <w:trHeight w:val="83"/>
        </w:trPr>
        <w:tc>
          <w:tcPr>
            <w:tcW w:w="4080" w:type="dxa"/>
            <w:vAlign w:val="bottom"/>
            <w:tcBorders>
              <w:left w:val="single" w:sz="8" w:color="E93BAC"/>
              <w:right w:val="single" w:sz="8" w:color="E93BAC"/>
            </w:tcBorders>
            <w:shd w:val="clear" w:color="auto" w:fill="E93BAC"/>
          </w:tcPr>
          <w:p>
            <w:pPr>
              <w:spacing w:after="0"/>
              <w:rPr>
                <w:sz w:val="7"/>
                <w:szCs w:val="7"/>
                <w:color w:val="auto"/>
              </w:rPr>
            </w:pPr>
          </w:p>
        </w:tc>
        <w:tc>
          <w:tcPr>
            <w:tcW w:w="3060" w:type="dxa"/>
            <w:vAlign w:val="bottom"/>
            <w:shd w:val="clear" w:color="auto" w:fill="E93BAC"/>
          </w:tcPr>
          <w:p>
            <w:pPr>
              <w:spacing w:after="0"/>
              <w:rPr>
                <w:sz w:val="7"/>
                <w:szCs w:val="7"/>
                <w:color w:val="auto"/>
              </w:rPr>
            </w:pPr>
          </w:p>
        </w:tc>
        <w:tc>
          <w:tcPr>
            <w:tcW w:w="4100" w:type="dxa"/>
            <w:vAlign w:val="bottom"/>
            <w:tcBorders>
              <w:right w:val="single" w:sz="8" w:color="E93BAC"/>
            </w:tcBorders>
            <w:shd w:val="clear" w:color="auto" w:fill="E93BAC"/>
          </w:tcPr>
          <w:p>
            <w:pPr>
              <w:spacing w:after="0"/>
              <w:rPr>
                <w:sz w:val="7"/>
                <w:szCs w:val="7"/>
                <w:color w:val="auto"/>
              </w:rPr>
            </w:pPr>
          </w:p>
        </w:tc>
      </w:tr>
      <w:tr>
        <w:trPr>
          <w:trHeight w:val="360"/>
        </w:trPr>
        <w:tc>
          <w:tcPr>
            <w:tcW w:w="4080" w:type="dxa"/>
            <w:vAlign w:val="bottom"/>
          </w:tcPr>
          <w:p>
            <w:pPr>
              <w:spacing w:after="0"/>
              <w:rPr>
                <w:sz w:val="20"/>
                <w:szCs w:val="20"/>
                <w:color w:val="auto"/>
              </w:rPr>
            </w:pPr>
            <w:r>
              <w:rPr>
                <w:rFonts w:ascii="Arial" w:cs="Arial" w:eastAsia="Arial" w:hAnsi="Arial"/>
                <w:sz w:val="16"/>
                <w:szCs w:val="16"/>
                <w:b w:val="1"/>
                <w:bCs w:val="1"/>
                <w:color w:val="auto"/>
              </w:rPr>
              <w:t>12.8. Glossary of terms</w:t>
            </w:r>
          </w:p>
        </w:tc>
        <w:tc>
          <w:tcPr>
            <w:tcW w:w="30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165"/>
        </w:trPr>
        <w:tc>
          <w:tcPr>
            <w:tcW w:w="40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r>
      <w:tr>
        <w:trPr>
          <w:trHeight w:val="162"/>
        </w:trPr>
        <w:tc>
          <w:tcPr>
            <w:tcW w:w="4080" w:type="dxa"/>
            <w:vAlign w:val="bottom"/>
            <w:tcBorders>
              <w:left w:val="single" w:sz="8" w:color="auto"/>
              <w:bottom w:val="single" w:sz="8" w:color="auto"/>
              <w:right w:val="single" w:sz="8" w:color="auto"/>
            </w:tcBorders>
            <w:shd w:val="clear" w:color="auto" w:fill="33CCCC"/>
          </w:tcPr>
          <w:p>
            <w:pPr>
              <w:ind w:left="1940"/>
              <w:spacing w:after="0" w:line="162" w:lineRule="exact"/>
              <w:rPr>
                <w:sz w:val="20"/>
                <w:szCs w:val="20"/>
                <w:color w:val="auto"/>
              </w:rPr>
            </w:pPr>
            <w:r>
              <w:rPr>
                <w:rFonts w:ascii="Calibri" w:cs="Calibri" w:eastAsia="Calibri" w:hAnsi="Calibri"/>
                <w:sz w:val="14"/>
                <w:szCs w:val="14"/>
                <w:b w:val="1"/>
                <w:bCs w:val="1"/>
                <w:color w:val="FFFFFF"/>
              </w:rPr>
              <w:t>Term</w:t>
            </w:r>
          </w:p>
        </w:tc>
        <w:tc>
          <w:tcPr>
            <w:tcW w:w="3060" w:type="dxa"/>
            <w:vAlign w:val="bottom"/>
            <w:tcBorders>
              <w:bottom w:val="single" w:sz="8" w:color="auto"/>
            </w:tcBorders>
            <w:shd w:val="clear" w:color="auto" w:fill="33CCCC"/>
          </w:tcPr>
          <w:p>
            <w:pPr>
              <w:spacing w:after="0"/>
              <w:rPr>
                <w:sz w:val="14"/>
                <w:szCs w:val="14"/>
                <w:color w:val="auto"/>
              </w:rPr>
            </w:pPr>
          </w:p>
        </w:tc>
        <w:tc>
          <w:tcPr>
            <w:tcW w:w="4100" w:type="dxa"/>
            <w:vAlign w:val="bottom"/>
            <w:tcBorders>
              <w:bottom w:val="single" w:sz="8" w:color="auto"/>
              <w:right w:val="single" w:sz="8" w:color="auto"/>
            </w:tcBorders>
            <w:shd w:val="clear" w:color="auto" w:fill="33CCCC"/>
          </w:tcPr>
          <w:p>
            <w:pPr>
              <w:ind w:left="260"/>
              <w:spacing w:after="0" w:line="162" w:lineRule="exact"/>
              <w:rPr>
                <w:sz w:val="20"/>
                <w:szCs w:val="20"/>
                <w:color w:val="auto"/>
              </w:rPr>
            </w:pPr>
            <w:r>
              <w:rPr>
                <w:rFonts w:ascii="Calibri" w:cs="Calibri" w:eastAsia="Calibri" w:hAnsi="Calibri"/>
                <w:sz w:val="14"/>
                <w:szCs w:val="14"/>
                <w:b w:val="1"/>
                <w:bCs w:val="1"/>
                <w:color w:val="FFFFFF"/>
              </w:rPr>
              <w:t>Defniton</w:t>
            </w:r>
          </w:p>
        </w:tc>
      </w:tr>
      <w:tr>
        <w:trPr>
          <w:trHeight w:val="164"/>
        </w:trPr>
        <w:tc>
          <w:tcPr>
            <w:tcW w:w="4080" w:type="dxa"/>
            <w:vAlign w:val="bottom"/>
            <w:tcBorders>
              <w:left w:val="single" w:sz="8" w:color="auto"/>
              <w:bottom w:val="single" w:sz="8" w:color="auto"/>
              <w:right w:val="single" w:sz="8" w:color="auto"/>
            </w:tcBorders>
          </w:tcPr>
          <w:p>
            <w:pPr>
              <w:ind w:left="120"/>
              <w:spacing w:after="0" w:line="164" w:lineRule="exact"/>
              <w:rPr>
                <w:sz w:val="20"/>
                <w:szCs w:val="20"/>
                <w:color w:val="auto"/>
              </w:rPr>
            </w:pPr>
            <w:r>
              <w:rPr>
                <w:rFonts w:ascii="Calibri" w:cs="Calibri" w:eastAsia="Calibri" w:hAnsi="Calibri"/>
                <w:sz w:val="14"/>
                <w:szCs w:val="14"/>
                <w:b w:val="1"/>
                <w:bCs w:val="1"/>
                <w:color w:val="auto"/>
              </w:rPr>
              <w:t>AFP</w:t>
            </w:r>
          </w:p>
        </w:tc>
        <w:tc>
          <w:tcPr>
            <w:tcW w:w="7160" w:type="dxa"/>
            <w:vAlign w:val="bottom"/>
            <w:tcBorders>
              <w:bottom w:val="single" w:sz="8" w:color="auto"/>
              <w:right w:val="single" w:sz="8" w:color="auto"/>
            </w:tcBorders>
            <w:gridSpan w:val="2"/>
          </w:tcPr>
          <w:p>
            <w:pPr>
              <w:ind w:left="80"/>
              <w:spacing w:after="0" w:line="164" w:lineRule="exact"/>
              <w:rPr>
                <w:sz w:val="20"/>
                <w:szCs w:val="20"/>
                <w:color w:val="auto"/>
              </w:rPr>
            </w:pPr>
            <w:r>
              <w:rPr>
                <w:rFonts w:ascii="Calibri" w:cs="Calibri" w:eastAsia="Calibri" w:hAnsi="Calibri"/>
                <w:sz w:val="14"/>
                <w:szCs w:val="14"/>
                <w:color w:val="auto"/>
              </w:rPr>
              <w:t>Administradora de Fondo de Pensiones or Private Pension Funds Administrators</w:t>
            </w:r>
          </w:p>
        </w:tc>
      </w:tr>
      <w:tr>
        <w:trPr>
          <w:trHeight w:val="164"/>
        </w:trPr>
        <w:tc>
          <w:tcPr>
            <w:tcW w:w="4080" w:type="dxa"/>
            <w:vAlign w:val="bottom"/>
            <w:tcBorders>
              <w:left w:val="single" w:sz="8" w:color="auto"/>
              <w:bottom w:val="single" w:sz="8" w:color="auto"/>
              <w:right w:val="single" w:sz="8" w:color="auto"/>
            </w:tcBorders>
          </w:tcPr>
          <w:p>
            <w:pPr>
              <w:ind w:left="120"/>
              <w:spacing w:after="0" w:line="164" w:lineRule="exact"/>
              <w:rPr>
                <w:sz w:val="20"/>
                <w:szCs w:val="20"/>
                <w:color w:val="auto"/>
              </w:rPr>
            </w:pPr>
            <w:r>
              <w:rPr>
                <w:rFonts w:ascii="Calibri" w:cs="Calibri" w:eastAsia="Calibri" w:hAnsi="Calibri"/>
                <w:sz w:val="14"/>
                <w:szCs w:val="14"/>
                <w:b w:val="1"/>
                <w:bCs w:val="1"/>
                <w:color w:val="auto"/>
              </w:rPr>
              <w:t>BCRP</w:t>
            </w:r>
          </w:p>
        </w:tc>
        <w:tc>
          <w:tcPr>
            <w:tcW w:w="7160" w:type="dxa"/>
            <w:vAlign w:val="bottom"/>
            <w:tcBorders>
              <w:bottom w:val="single" w:sz="8" w:color="auto"/>
              <w:right w:val="single" w:sz="8" w:color="auto"/>
            </w:tcBorders>
            <w:gridSpan w:val="2"/>
          </w:tcPr>
          <w:p>
            <w:pPr>
              <w:ind w:left="80"/>
              <w:spacing w:after="0" w:line="164" w:lineRule="exact"/>
              <w:rPr>
                <w:sz w:val="20"/>
                <w:szCs w:val="20"/>
                <w:color w:val="auto"/>
              </w:rPr>
            </w:pPr>
            <w:r>
              <w:rPr>
                <w:rFonts w:ascii="Calibri" w:cs="Calibri" w:eastAsia="Calibri" w:hAnsi="Calibri"/>
                <w:sz w:val="14"/>
                <w:szCs w:val="14"/>
                <w:color w:val="auto"/>
              </w:rPr>
              <w:t>Banco Central de Reserva del Perú or Peruvian Central Bank</w:t>
            </w:r>
          </w:p>
        </w:tc>
      </w:tr>
      <w:tr>
        <w:trPr>
          <w:trHeight w:val="151"/>
        </w:trPr>
        <w:tc>
          <w:tcPr>
            <w:tcW w:w="4080" w:type="dxa"/>
            <w:vAlign w:val="bottom"/>
            <w:tcBorders>
              <w:left w:val="single" w:sz="8" w:color="auto"/>
              <w:right w:val="single" w:sz="8" w:color="auto"/>
            </w:tcBorders>
          </w:tcPr>
          <w:p>
            <w:pPr>
              <w:ind w:left="120"/>
              <w:spacing w:after="0" w:line="151" w:lineRule="exact"/>
              <w:rPr>
                <w:sz w:val="20"/>
                <w:szCs w:val="20"/>
                <w:color w:val="auto"/>
              </w:rPr>
            </w:pPr>
            <w:r>
              <w:rPr>
                <w:rFonts w:ascii="Calibri" w:cs="Calibri" w:eastAsia="Calibri" w:hAnsi="Calibri"/>
                <w:sz w:val="14"/>
                <w:szCs w:val="14"/>
                <w:b w:val="1"/>
                <w:bCs w:val="1"/>
                <w:color w:val="auto"/>
              </w:rPr>
              <w:t>Financially Included</w:t>
            </w:r>
          </w:p>
        </w:tc>
        <w:tc>
          <w:tcPr>
            <w:tcW w:w="7160" w:type="dxa"/>
            <w:vAlign w:val="bottom"/>
            <w:tcBorders>
              <w:right w:val="single" w:sz="8" w:color="auto"/>
            </w:tcBorders>
            <w:gridSpan w:val="2"/>
          </w:tcPr>
          <w:p>
            <w:pPr>
              <w:ind w:left="80"/>
              <w:spacing w:after="0" w:line="151" w:lineRule="exact"/>
              <w:rPr>
                <w:sz w:val="20"/>
                <w:szCs w:val="20"/>
                <w:color w:val="auto"/>
              </w:rPr>
            </w:pPr>
            <w:r>
              <w:rPr>
                <w:rFonts w:ascii="Calibri" w:cs="Calibri" w:eastAsia="Calibri" w:hAnsi="Calibri"/>
                <w:sz w:val="14"/>
                <w:szCs w:val="14"/>
                <w:color w:val="auto"/>
              </w:rPr>
              <w:t>Stock of fnancially included clients through BCP since 2020. New clients with BCP</w:t>
            </w:r>
          </w:p>
        </w:tc>
      </w:tr>
      <w:tr>
        <w:trPr>
          <w:trHeight w:val="167"/>
        </w:trPr>
        <w:tc>
          <w:tcPr>
            <w:tcW w:w="4080" w:type="dxa"/>
            <w:vAlign w:val="bottom"/>
            <w:tcBorders>
              <w:left w:val="single" w:sz="8" w:color="auto"/>
              <w:right w:val="single" w:sz="8" w:color="auto"/>
            </w:tcBorders>
          </w:tcPr>
          <w:p>
            <w:pPr>
              <w:spacing w:after="0"/>
              <w:rPr>
                <w:sz w:val="14"/>
                <w:szCs w:val="14"/>
                <w:color w:val="auto"/>
              </w:rPr>
            </w:pPr>
          </w:p>
        </w:tc>
        <w:tc>
          <w:tcPr>
            <w:tcW w:w="7160" w:type="dxa"/>
            <w:vAlign w:val="bottom"/>
            <w:tcBorders>
              <w:right w:val="single" w:sz="8" w:color="auto"/>
            </w:tcBorders>
            <w:gridSpan w:val="2"/>
          </w:tcPr>
          <w:p>
            <w:pPr>
              <w:ind w:left="80"/>
              <w:spacing w:after="0" w:line="167" w:lineRule="exact"/>
              <w:rPr>
                <w:sz w:val="20"/>
                <w:szCs w:val="20"/>
                <w:color w:val="auto"/>
              </w:rPr>
            </w:pPr>
            <w:r>
              <w:rPr>
                <w:rFonts w:ascii="Calibri" w:cs="Calibri" w:eastAsia="Calibri" w:hAnsi="Calibri"/>
                <w:sz w:val="14"/>
                <w:szCs w:val="14"/>
                <w:color w:val="auto"/>
              </w:rPr>
              <w:t>savings accounts or new Yape afliates that: (i) Do not have debt in the fnancial system nor other BCP products in the 12</w:t>
            </w:r>
          </w:p>
        </w:tc>
      </w:tr>
      <w:tr>
        <w:trPr>
          <w:trHeight w:val="170"/>
        </w:trPr>
        <w:tc>
          <w:tcPr>
            <w:tcW w:w="4080" w:type="dxa"/>
            <w:vAlign w:val="bottom"/>
            <w:tcBorders>
              <w:left w:val="single" w:sz="8" w:color="auto"/>
              <w:right w:val="single" w:sz="8" w:color="auto"/>
            </w:tcBorders>
          </w:tcPr>
          <w:p>
            <w:pPr>
              <w:spacing w:after="0"/>
              <w:rPr>
                <w:sz w:val="14"/>
                <w:szCs w:val="14"/>
                <w:color w:val="auto"/>
              </w:rPr>
            </w:pPr>
          </w:p>
        </w:tc>
        <w:tc>
          <w:tcPr>
            <w:tcW w:w="3060" w:type="dxa"/>
            <w:vAlign w:val="bottom"/>
          </w:tcPr>
          <w:p>
            <w:pPr>
              <w:ind w:left="80"/>
              <w:spacing w:after="0"/>
              <w:rPr>
                <w:sz w:val="20"/>
                <w:szCs w:val="20"/>
                <w:color w:val="auto"/>
              </w:rPr>
            </w:pPr>
            <w:r>
              <w:rPr>
                <w:rFonts w:ascii="Calibri" w:cs="Calibri" w:eastAsia="Calibri" w:hAnsi="Calibri"/>
                <w:sz w:val="14"/>
                <w:szCs w:val="14"/>
                <w:color w:val="auto"/>
              </w:rPr>
              <w:t>months prior to their inclusion,</w:t>
            </w:r>
          </w:p>
        </w:tc>
        <w:tc>
          <w:tcPr>
            <w:tcW w:w="4100" w:type="dxa"/>
            <w:vAlign w:val="bottom"/>
            <w:tcBorders>
              <w:right w:val="single" w:sz="8" w:color="auto"/>
            </w:tcBorders>
          </w:tcPr>
          <w:p>
            <w:pPr>
              <w:spacing w:after="0"/>
              <w:rPr>
                <w:sz w:val="14"/>
                <w:szCs w:val="14"/>
                <w:color w:val="auto"/>
              </w:rPr>
            </w:pPr>
          </w:p>
        </w:tc>
      </w:tr>
      <w:tr>
        <w:trPr>
          <w:trHeight w:val="182"/>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160" w:type="dxa"/>
            <w:vAlign w:val="bottom"/>
            <w:tcBorders>
              <w:bottom w:val="single" w:sz="8" w:color="auto"/>
              <w:right w:val="single" w:sz="8" w:color="auto"/>
            </w:tcBorders>
            <w:gridSpan w:val="2"/>
          </w:tcPr>
          <w:p>
            <w:pPr>
              <w:ind w:left="80"/>
              <w:spacing w:after="0"/>
              <w:rPr>
                <w:sz w:val="20"/>
                <w:szCs w:val="20"/>
                <w:color w:val="auto"/>
              </w:rPr>
            </w:pPr>
            <w:r>
              <w:rPr>
                <w:rFonts w:ascii="Calibri" w:cs="Calibri" w:eastAsia="Calibri" w:hAnsi="Calibri"/>
                <w:sz w:val="14"/>
                <w:szCs w:val="14"/>
                <w:color w:val="auto"/>
              </w:rPr>
              <w:t>and (ii) Have performed at least 3 monthly transactons on average through any BCP channel in the last 3 months</w:t>
            </w:r>
          </w:p>
        </w:tc>
      </w:tr>
      <w:tr>
        <w:trPr>
          <w:trHeight w:val="169"/>
        </w:trPr>
        <w:tc>
          <w:tcPr>
            <w:tcW w:w="4080" w:type="dxa"/>
            <w:vAlign w:val="bottom"/>
            <w:tcBorders>
              <w:left w:val="single" w:sz="8" w:color="auto"/>
              <w:bottom w:val="single" w:sz="8" w:color="auto"/>
              <w:right w:val="single" w:sz="8" w:color="auto"/>
            </w:tcBorders>
          </w:tcPr>
          <w:p>
            <w:pPr>
              <w:ind w:left="120"/>
              <w:spacing w:after="0" w:line="167" w:lineRule="exact"/>
              <w:rPr>
                <w:sz w:val="20"/>
                <w:szCs w:val="20"/>
                <w:color w:val="auto"/>
              </w:rPr>
            </w:pPr>
            <w:r>
              <w:rPr>
                <w:rFonts w:ascii="Calibri" w:cs="Calibri" w:eastAsia="Calibri" w:hAnsi="Calibri"/>
                <w:sz w:val="14"/>
                <w:szCs w:val="14"/>
                <w:b w:val="1"/>
                <w:bCs w:val="1"/>
                <w:color w:val="auto"/>
              </w:rPr>
              <w:t>GMV</w:t>
            </w:r>
          </w:p>
        </w:tc>
        <w:tc>
          <w:tcPr>
            <w:tcW w:w="3060" w:type="dxa"/>
            <w:vAlign w:val="bottom"/>
            <w:tcBorders>
              <w:bottom w:val="single" w:sz="8" w:color="auto"/>
            </w:tcBorders>
          </w:tcPr>
          <w:p>
            <w:pPr>
              <w:ind w:left="80"/>
              <w:spacing w:after="0" w:line="167" w:lineRule="exact"/>
              <w:rPr>
                <w:sz w:val="20"/>
                <w:szCs w:val="20"/>
                <w:color w:val="auto"/>
              </w:rPr>
            </w:pPr>
            <w:r>
              <w:rPr>
                <w:rFonts w:ascii="Calibri" w:cs="Calibri" w:eastAsia="Calibri" w:hAnsi="Calibri"/>
                <w:sz w:val="14"/>
                <w:szCs w:val="14"/>
                <w:color w:val="auto"/>
              </w:rPr>
              <w:t>Gross Merchant Volume</w:t>
            </w:r>
          </w:p>
        </w:tc>
        <w:tc>
          <w:tcPr>
            <w:tcW w:w="4100" w:type="dxa"/>
            <w:vAlign w:val="bottom"/>
            <w:tcBorders>
              <w:bottom w:val="single" w:sz="8" w:color="auto"/>
              <w:right w:val="single" w:sz="8" w:color="auto"/>
            </w:tcBorders>
          </w:tcPr>
          <w:p>
            <w:pPr>
              <w:spacing w:after="0"/>
              <w:rPr>
                <w:sz w:val="14"/>
                <w:szCs w:val="14"/>
                <w:color w:val="auto"/>
              </w:rPr>
            </w:pPr>
          </w:p>
        </w:tc>
      </w:tr>
      <w:tr>
        <w:trPr>
          <w:trHeight w:val="151"/>
        </w:trPr>
        <w:tc>
          <w:tcPr>
            <w:tcW w:w="4080" w:type="dxa"/>
            <w:vAlign w:val="bottom"/>
            <w:tcBorders>
              <w:left w:val="single" w:sz="8" w:color="auto"/>
              <w:right w:val="single" w:sz="8" w:color="auto"/>
            </w:tcBorders>
          </w:tcPr>
          <w:p>
            <w:pPr>
              <w:ind w:left="120"/>
              <w:spacing w:after="0" w:line="151" w:lineRule="exact"/>
              <w:rPr>
                <w:sz w:val="20"/>
                <w:szCs w:val="20"/>
                <w:color w:val="auto"/>
              </w:rPr>
            </w:pPr>
            <w:r>
              <w:rPr>
                <w:rFonts w:ascii="Calibri" w:cs="Calibri" w:eastAsia="Calibri" w:hAnsi="Calibri"/>
                <w:sz w:val="14"/>
                <w:szCs w:val="14"/>
                <w:b w:val="1"/>
                <w:bCs w:val="1"/>
                <w:color w:val="auto"/>
              </w:rPr>
              <w:t>Government Program Loans ("GP" or "GP Loans")</w:t>
            </w:r>
          </w:p>
        </w:tc>
        <w:tc>
          <w:tcPr>
            <w:tcW w:w="7160" w:type="dxa"/>
            <w:vAlign w:val="bottom"/>
            <w:tcBorders>
              <w:right w:val="single" w:sz="8" w:color="auto"/>
            </w:tcBorders>
            <w:gridSpan w:val="2"/>
          </w:tcPr>
          <w:p>
            <w:pPr>
              <w:ind w:left="80"/>
              <w:spacing w:after="0" w:line="151" w:lineRule="exact"/>
              <w:rPr>
                <w:sz w:val="20"/>
                <w:szCs w:val="20"/>
                <w:color w:val="auto"/>
              </w:rPr>
            </w:pPr>
            <w:r>
              <w:rPr>
                <w:rFonts w:ascii="Calibri" w:cs="Calibri" w:eastAsia="Calibri" w:hAnsi="Calibri"/>
                <w:sz w:val="14"/>
                <w:szCs w:val="14"/>
                <w:color w:val="auto"/>
              </w:rPr>
              <w:t>Loan Portolio related to Reactva Peru, FAE-Mype and Impulso Myperu programs to respond quickly and efectvely to</w:t>
            </w:r>
          </w:p>
        </w:tc>
      </w:tr>
      <w:tr>
        <w:trPr>
          <w:trHeight w:val="178"/>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3060" w:type="dxa"/>
            <w:vAlign w:val="bottom"/>
            <w:tcBorders>
              <w:bottom w:val="single" w:sz="8" w:color="auto"/>
            </w:tcBorders>
          </w:tcPr>
          <w:p>
            <w:pPr>
              <w:ind w:left="80"/>
              <w:spacing w:after="0" w:line="167" w:lineRule="exact"/>
              <w:rPr>
                <w:sz w:val="20"/>
                <w:szCs w:val="20"/>
                <w:color w:val="auto"/>
              </w:rPr>
            </w:pPr>
            <w:r>
              <w:rPr>
                <w:rFonts w:ascii="Calibri" w:cs="Calibri" w:eastAsia="Calibri" w:hAnsi="Calibri"/>
                <w:sz w:val="14"/>
                <w:szCs w:val="14"/>
                <w:color w:val="auto"/>
              </w:rPr>
              <w:t>liquidity needs and maintain the payment chain</w:t>
            </w:r>
          </w:p>
        </w:tc>
        <w:tc>
          <w:tcPr>
            <w:tcW w:w="4100" w:type="dxa"/>
            <w:vAlign w:val="bottom"/>
            <w:tcBorders>
              <w:bottom w:val="single" w:sz="8" w:color="auto"/>
              <w:right w:val="single" w:sz="8" w:color="auto"/>
            </w:tcBorders>
          </w:tcPr>
          <w:p>
            <w:pPr>
              <w:spacing w:after="0"/>
              <w:rPr>
                <w:sz w:val="15"/>
                <w:szCs w:val="15"/>
                <w:color w:val="auto"/>
              </w:rPr>
            </w:pPr>
          </w:p>
        </w:tc>
      </w:tr>
      <w:tr>
        <w:trPr>
          <w:trHeight w:val="169"/>
        </w:trPr>
        <w:tc>
          <w:tcPr>
            <w:tcW w:w="4080" w:type="dxa"/>
            <w:vAlign w:val="bottom"/>
            <w:tcBorders>
              <w:left w:val="single" w:sz="8" w:color="auto"/>
              <w:bottom w:val="single" w:sz="8" w:color="auto"/>
              <w:right w:val="single" w:sz="8" w:color="auto"/>
            </w:tcBorders>
          </w:tcPr>
          <w:p>
            <w:pPr>
              <w:ind w:left="120"/>
              <w:spacing w:after="0" w:line="167" w:lineRule="exact"/>
              <w:rPr>
                <w:sz w:val="20"/>
                <w:szCs w:val="20"/>
                <w:color w:val="auto"/>
              </w:rPr>
            </w:pPr>
            <w:r>
              <w:rPr>
                <w:rFonts w:ascii="Calibri" w:cs="Calibri" w:eastAsia="Calibri" w:hAnsi="Calibri"/>
                <w:sz w:val="14"/>
                <w:szCs w:val="14"/>
                <w:b w:val="1"/>
                <w:bCs w:val="1"/>
                <w:color w:val="auto"/>
              </w:rPr>
              <w:t>MAU</w:t>
            </w:r>
          </w:p>
        </w:tc>
        <w:tc>
          <w:tcPr>
            <w:tcW w:w="3060" w:type="dxa"/>
            <w:vAlign w:val="bottom"/>
            <w:tcBorders>
              <w:bottom w:val="single" w:sz="8" w:color="auto"/>
            </w:tcBorders>
          </w:tcPr>
          <w:p>
            <w:pPr>
              <w:ind w:left="80"/>
              <w:spacing w:after="0" w:line="167" w:lineRule="exact"/>
              <w:rPr>
                <w:sz w:val="20"/>
                <w:szCs w:val="20"/>
                <w:color w:val="auto"/>
              </w:rPr>
            </w:pPr>
            <w:r>
              <w:rPr>
                <w:rFonts w:ascii="Calibri" w:cs="Calibri" w:eastAsia="Calibri" w:hAnsi="Calibri"/>
                <w:sz w:val="14"/>
                <w:szCs w:val="14"/>
                <w:color w:val="auto"/>
              </w:rPr>
              <w:t>Monthly Actve Users</w:t>
            </w:r>
          </w:p>
        </w:tc>
        <w:tc>
          <w:tcPr>
            <w:tcW w:w="4100" w:type="dxa"/>
            <w:vAlign w:val="bottom"/>
            <w:tcBorders>
              <w:bottom w:val="single" w:sz="8" w:color="auto"/>
              <w:right w:val="single" w:sz="8" w:color="auto"/>
            </w:tcBorders>
          </w:tcPr>
          <w:p>
            <w:pPr>
              <w:spacing w:after="0"/>
              <w:rPr>
                <w:sz w:val="14"/>
                <w:szCs w:val="14"/>
                <w:color w:val="auto"/>
              </w:rPr>
            </w:pPr>
          </w:p>
        </w:tc>
      </w:tr>
      <w:tr>
        <w:trPr>
          <w:trHeight w:val="164"/>
        </w:trPr>
        <w:tc>
          <w:tcPr>
            <w:tcW w:w="4080" w:type="dxa"/>
            <w:vAlign w:val="bottom"/>
            <w:tcBorders>
              <w:left w:val="single" w:sz="8" w:color="auto"/>
              <w:bottom w:val="single" w:sz="8" w:color="auto"/>
              <w:right w:val="single" w:sz="8" w:color="auto"/>
            </w:tcBorders>
          </w:tcPr>
          <w:p>
            <w:pPr>
              <w:ind w:left="120"/>
              <w:spacing w:after="0" w:line="164" w:lineRule="exact"/>
              <w:rPr>
                <w:sz w:val="20"/>
                <w:szCs w:val="20"/>
                <w:color w:val="auto"/>
              </w:rPr>
            </w:pPr>
            <w:r>
              <w:rPr>
                <w:rFonts w:ascii="Calibri" w:cs="Calibri" w:eastAsia="Calibri" w:hAnsi="Calibri"/>
                <w:sz w:val="14"/>
                <w:szCs w:val="14"/>
                <w:b w:val="1"/>
                <w:bCs w:val="1"/>
                <w:color w:val="auto"/>
              </w:rPr>
              <w:t>MEF</w:t>
            </w:r>
          </w:p>
        </w:tc>
        <w:tc>
          <w:tcPr>
            <w:tcW w:w="3060" w:type="dxa"/>
            <w:vAlign w:val="bottom"/>
            <w:tcBorders>
              <w:bottom w:val="single" w:sz="8" w:color="auto"/>
            </w:tcBorders>
          </w:tcPr>
          <w:p>
            <w:pPr>
              <w:ind w:left="80"/>
              <w:spacing w:after="0" w:line="164" w:lineRule="exact"/>
              <w:rPr>
                <w:sz w:val="20"/>
                <w:szCs w:val="20"/>
                <w:color w:val="auto"/>
              </w:rPr>
            </w:pPr>
            <w:r>
              <w:rPr>
                <w:rFonts w:ascii="Calibri" w:cs="Calibri" w:eastAsia="Calibri" w:hAnsi="Calibri"/>
                <w:sz w:val="14"/>
                <w:szCs w:val="14"/>
                <w:color w:val="auto"/>
              </w:rPr>
              <w:t>Ministry of Economy and Finance of Peru</w:t>
            </w:r>
          </w:p>
        </w:tc>
        <w:tc>
          <w:tcPr>
            <w:tcW w:w="4100" w:type="dxa"/>
            <w:vAlign w:val="bottom"/>
            <w:tcBorders>
              <w:bottom w:val="single" w:sz="8" w:color="auto"/>
              <w:right w:val="single" w:sz="8" w:color="auto"/>
            </w:tcBorders>
          </w:tcPr>
          <w:p>
            <w:pPr>
              <w:spacing w:after="0"/>
              <w:rPr>
                <w:sz w:val="14"/>
                <w:szCs w:val="14"/>
                <w:color w:val="auto"/>
              </w:rPr>
            </w:pPr>
          </w:p>
        </w:tc>
      </w:tr>
      <w:tr>
        <w:trPr>
          <w:trHeight w:val="164"/>
        </w:trPr>
        <w:tc>
          <w:tcPr>
            <w:tcW w:w="4080" w:type="dxa"/>
            <w:vAlign w:val="bottom"/>
            <w:tcBorders>
              <w:left w:val="single" w:sz="8" w:color="auto"/>
              <w:bottom w:val="single" w:sz="8" w:color="auto"/>
              <w:right w:val="single" w:sz="8" w:color="auto"/>
            </w:tcBorders>
          </w:tcPr>
          <w:p>
            <w:pPr>
              <w:ind w:left="120"/>
              <w:spacing w:after="0" w:line="164" w:lineRule="exact"/>
              <w:rPr>
                <w:sz w:val="20"/>
                <w:szCs w:val="20"/>
                <w:color w:val="auto"/>
              </w:rPr>
            </w:pPr>
            <w:r>
              <w:rPr>
                <w:rFonts w:ascii="Calibri" w:cs="Calibri" w:eastAsia="Calibri" w:hAnsi="Calibri"/>
                <w:sz w:val="14"/>
                <w:szCs w:val="14"/>
                <w:b w:val="1"/>
                <w:bCs w:val="1"/>
                <w:color w:val="auto"/>
              </w:rPr>
              <w:t>TPV</w:t>
            </w:r>
          </w:p>
        </w:tc>
        <w:tc>
          <w:tcPr>
            <w:tcW w:w="3060" w:type="dxa"/>
            <w:vAlign w:val="bottom"/>
            <w:tcBorders>
              <w:bottom w:val="single" w:sz="8" w:color="auto"/>
            </w:tcBorders>
          </w:tcPr>
          <w:p>
            <w:pPr>
              <w:ind w:left="80"/>
              <w:spacing w:after="0" w:line="164" w:lineRule="exact"/>
              <w:rPr>
                <w:sz w:val="20"/>
                <w:szCs w:val="20"/>
                <w:color w:val="auto"/>
              </w:rPr>
            </w:pPr>
            <w:r>
              <w:rPr>
                <w:rFonts w:ascii="Calibri" w:cs="Calibri" w:eastAsia="Calibri" w:hAnsi="Calibri"/>
                <w:sz w:val="14"/>
                <w:szCs w:val="14"/>
                <w:color w:val="auto"/>
              </w:rPr>
              <w:t>Total Payment Volume</w:t>
            </w:r>
          </w:p>
        </w:tc>
        <w:tc>
          <w:tcPr>
            <w:tcW w:w="4100" w:type="dxa"/>
            <w:vAlign w:val="bottom"/>
            <w:tcBorders>
              <w:bottom w:val="single" w:sz="8" w:color="auto"/>
              <w:right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-2322830</wp:posOffset>
            </wp:positionV>
            <wp:extent cx="1016000" cy="141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16000" cy="141605"/>
                    </a:xfrm>
                    <a:prstGeom prst="rect">
                      <a:avLst/>
                    </a:prstGeom>
                    <a:noFill/>
                  </pic:spPr>
                </pic:pic>
              </a:graphicData>
            </a:graphic>
          </wp:anchor>
        </w:drawing>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136130"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lowerRoman"/>
      <w:start w:val="2"/>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2"/>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lvl w:ilvl="1">
      <w:lvlJc w:val="left"/>
      <w:lvlText w:val="o"/>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
      <w:numFmt w:val="bullet"/>
      <w:start w:val="1"/>
    </w:lvl>
    <w:lvl w:ilvl="1">
      <w:lvlJc w:val="left"/>
      <w:lvlText w:val="•"/>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bullet"/>
      <w:start w:val="1"/>
    </w:lvl>
  </w:abstractNum>
  <w:abstractNum w:abstractNumId="46">
    <w:nsid w:val="374A3FE6"/>
    <w:multiLevelType w:val="hybridMultilevel"/>
    <w:lvl w:ilvl="0">
      <w:lvlJc w:val="left"/>
      <w:lvlText w:val="2"/>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1)"/>
      <w:numFmt w:val="lowerRoman"/>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2025-02-14T13:53:57Z</dcterms:created>
  <dcterms:modified xsi:type="dcterms:W3CDTF">2025-02-14T13:53:57Z</dcterms:modified>
</cp:coreProperties>
</file>