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January,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574030" cy="548640"/>
                    </a:xfrm>
                    <a:prstGeom prst="rect">
                      <a:avLst/>
                    </a:prstGeom>
                    <a:noFill/>
                  </pic:spPr>
                </pic:pic>
              </a:graphicData>
            </a:graphic>
          </wp:anchor>
        </w:drawing>
        <w:t>Lima, January 27, 2006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Comisión Nacional Supervisora</w:t>
      </w:r>
    </w:p>
    <w:p>
      <w:pPr>
        <w:spacing w:after="0" w:line="238" w:lineRule="auto"/>
        <w:rPr>
          <w:sz w:val="20"/>
          <w:szCs w:val="20"/>
          <w:color w:val="auto"/>
        </w:rPr>
      </w:pPr>
      <w:r>
        <w:rPr>
          <w:rFonts w:ascii="Arial" w:cs="Arial" w:eastAsia="Arial" w:hAnsi="Arial"/>
          <w:sz w:val="22"/>
          <w:szCs w:val="22"/>
          <w:color w:val="auto"/>
        </w:rPr>
        <w:t>de Empresas y Valores</w:t>
      </w:r>
    </w:p>
    <w:p>
      <w:pPr>
        <w:spacing w:after="0"/>
        <w:rPr>
          <w:sz w:val="20"/>
          <w:szCs w:val="20"/>
          <w:color w:val="auto"/>
        </w:rPr>
      </w:pPr>
      <w:r>
        <w:rPr>
          <w:rFonts w:ascii="Arial" w:cs="Arial" w:eastAsia="Arial" w:hAnsi="Arial"/>
          <w:sz w:val="22"/>
          <w:szCs w:val="22"/>
          <w:color w:val="auto"/>
        </w:rPr>
        <w:t>CONASEV</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Reference: Material Event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Our company, CREDICORP LTD. (NYSE: BAP) in accordance with the amended Peruvian Capital Market Law (TUO - Texto Unico Ordenado) approved by the Supreme Decree N° 093-2002-EF and the Material Event Regulation, Private Information and Other Communications, approved by the CONASEV resolution N° 107-2002-EF/94.10.0 (The Rule), modified by Conasev Resolution N° 009-2003-EF/94.10 (The Regulation), hereby notify you of the following “Material Event”:</w:t>
      </w:r>
    </w:p>
    <w:p>
      <w:pPr>
        <w:spacing w:after="0" w:line="143"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The Board of Directors of Credicorp Ltd., in its session held January 26, 2006 acknowledges that the Insurance Manager of Credicorp, Mr. Arturo Rodrigo announced his resignation to the company in December 28, 2005, beginning January 1, 2006.</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 expressed its gratitude to Mr. Rodrigo for his contribution to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Credicorp Ltd.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Fernando Palao</w:t>
      </w:r>
    </w:p>
    <w:p>
      <w:pPr>
        <w:sectPr>
          <w:pgSz w:w="11900" w:h="16838" w:orient="portrait"/>
          <w:cols w:equalWidth="0" w:num="1">
            <w:col w:w="11160"/>
          </w:cols>
          <w:pgMar w:left="240" w:top="1198"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January 27, 2006</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2019-12-14T06:07:23Z</dcterms:created>
  <dcterms:modified xsi:type="dcterms:W3CDTF">2019-12-14T06:07:23Z</dcterms:modified>
</cp:coreProperties>
</file>