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For the month of April 2016</w:t>
      </w:r>
    </w:p>
    <w:p>
      <w:pPr>
        <w:spacing w:after="0" w:line="229"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19"/>
          </w:cols>
          <w:pgMar w:left="7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Lima, April 22</w:t>
      </w:r>
      <w:r>
        <w:rPr>
          <w:rFonts w:ascii="Arial" w:cs="Arial" w:eastAsia="Arial" w:hAnsi="Arial"/>
          <w:sz w:val="30"/>
          <w:szCs w:val="30"/>
          <w:color w:val="auto"/>
          <w:vertAlign w:val="superscript"/>
        </w:rPr>
        <w:t>nd</w:t>
      </w:r>
      <w:r>
        <w:rPr>
          <w:rFonts w:ascii="Arial" w:cs="Arial" w:eastAsia="Arial" w:hAnsi="Arial"/>
          <w:sz w:val="18"/>
          <w:szCs w:val="18"/>
          <w:color w:val="auto"/>
        </w:rPr>
        <w:t>,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(the “Resolution”), Credicorp Ltd. complies with notifying you as a Material Event that, in</w:t>
      </w:r>
    </w:p>
    <w:p>
      <w:pPr>
        <w:jc w:val="both"/>
        <w:spacing w:after="0" w:line="205" w:lineRule="auto"/>
        <w:rPr>
          <w:sz w:val="20"/>
          <w:szCs w:val="20"/>
          <w:color w:val="auto"/>
        </w:rPr>
      </w:pPr>
      <w:r>
        <w:rPr>
          <w:rFonts w:ascii="Arial" w:cs="Arial" w:eastAsia="Arial" w:hAnsi="Arial"/>
          <w:sz w:val="18"/>
          <w:szCs w:val="18"/>
          <w:color w:val="auto"/>
        </w:rPr>
        <w:t>accordance with the Form 6-K submitted on March 7</w:t>
      </w:r>
      <w:r>
        <w:rPr>
          <w:rFonts w:ascii="Arial" w:cs="Arial" w:eastAsia="Arial" w:hAnsi="Arial"/>
          <w:sz w:val="30"/>
          <w:szCs w:val="30"/>
          <w:color w:val="auto"/>
          <w:vertAlign w:val="superscript"/>
        </w:rPr>
        <w:t>th</w:t>
      </w:r>
      <w:r>
        <w:rPr>
          <w:rFonts w:ascii="Arial" w:cs="Arial" w:eastAsia="Arial" w:hAnsi="Arial"/>
          <w:sz w:val="18"/>
          <w:szCs w:val="18"/>
          <w:color w:val="auto"/>
        </w:rPr>
        <w:t>, 2016, it carried out the sale of 50% of the shares it holds in Banco de Crédito e Inversiones (“BCI”), a Chilean banking company.</w:t>
      </w:r>
    </w:p>
    <w:p>
      <w:pPr>
        <w:spacing w:after="0" w:line="207"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The transaction was executed through a book auction in the Santiago Stock Exchange on April 22</w:t>
      </w:r>
      <w:r>
        <w:rPr>
          <w:rFonts w:ascii="Arial" w:cs="Arial" w:eastAsia="Arial" w:hAnsi="Arial"/>
          <w:sz w:val="30"/>
          <w:szCs w:val="30"/>
          <w:color w:val="auto"/>
          <w:vertAlign w:val="superscript"/>
        </w:rPr>
        <w:t>nd</w:t>
      </w:r>
      <w:r>
        <w:rPr>
          <w:rFonts w:ascii="Arial" w:cs="Arial" w:eastAsia="Arial" w:hAnsi="Arial"/>
          <w:sz w:val="18"/>
          <w:szCs w:val="18"/>
          <w:color w:val="auto"/>
        </w:rPr>
        <w:t>, 2016. A total of 2,248,953 shares was sold at a price of CLP 27,500, which resulted in proceeds of CLP 61,846 million, equivalent to approximately US$93 million.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Miriam Böttger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2019-12-06T08:07:00Z</dcterms:created>
  <dcterms:modified xsi:type="dcterms:W3CDTF">2019-12-06T08:07:00Z</dcterms:modified>
</cp:coreProperties>
</file>