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 xml:space="preserve">Lima 12,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08555" cy="1354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0855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disclosed in the Forms 6-K furnished to the SEC on January 25 and March 1, 2024, the Board of Directors of Credicorp Ltd. (‘Credicorp’) agreed to set the date for the Annual General Meeting of Shareholders for March 27, 2024, at 3:00 p.m. (Peru time) in a virtual meeting.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this sense, we hereby notify you as a Material Event, that since March 1, 2024, Credicorp has started the distribution of the documents that support the proposal that will be addressed in the Annual General Meeting of Shareholders. The documents (letter to shareholders and Notice of Annual General Meeting of Shareholders) are available through the following hyperlink: </w:t>
      </w:r>
      <w:r>
        <w:rPr>
          <w:rFonts w:ascii="Times New Roman" w:cs="Times New Roman" w:eastAsia="Times New Roman" w:hAnsi="Times New Roman"/>
          <w:sz w:val="18"/>
          <w:szCs w:val="18"/>
          <w:u w:val="single" w:color="auto"/>
          <w:color w:val="auto"/>
        </w:rPr>
        <w:t>https://credicorp.gcs-web.com/annualmaterials</w:t>
      </w:r>
      <w:r>
        <w:rPr>
          <w:rFonts w:ascii="Times New Roman" w:cs="Times New Roman" w:eastAsia="Times New Roman" w:hAnsi="Times New Roman"/>
          <w:sz w:val="18"/>
          <w:szCs w:val="18"/>
          <w:color w:val="auto"/>
        </w:rPr>
        <w:t xml:space="preserve"> under the section “Investors” and “Annual Materials and 20-Fs”.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and any information available through the hyperlink above)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March 4, 2024</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25031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2024-03-04T05:15:30Z</dcterms:created>
  <dcterms:modified xsi:type="dcterms:W3CDTF">2024-03-04T05:15:30Z</dcterms:modified>
</cp:coreProperties>
</file>