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 the month of November 2015</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0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-438785</wp:posOffset>
            </wp:positionH>
            <wp:positionV relativeFrom="paragraph">
              <wp:posOffset>321310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19"/>
          </w:cols>
          <w:pgMar w:left="940" w:top="22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Lima, November 12</w:t>
      </w:r>
      <w:r>
        <w:rPr>
          <w:rFonts w:ascii="Arial" w:cs="Arial" w:eastAsia="Arial" w:hAnsi="Arial"/>
          <w:sz w:val="30"/>
          <w:szCs w:val="30"/>
          <w:color w:val="auto"/>
          <w:vertAlign w:val="superscript"/>
        </w:rPr>
        <w:t>th</w:t>
      </w:r>
      <w:r>
        <w:rPr>
          <w:rFonts w:ascii="Arial" w:cs="Arial" w:eastAsia="Arial" w:hAnsi="Arial"/>
          <w:sz w:val="18"/>
          <w:szCs w:val="18"/>
          <w:color w:val="auto"/>
        </w:rPr>
        <w:t>,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the rules of the Regulation for Material Events and Restricted Information approved by SMV Resolution N° 005-2014-SMV/01, Credicorp hereby notifies you that: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Today November 12, 2015, the General Shareholders Meeting of our subsidiary Credicorp Capital Ltd. has agreed to increase its capital stock through the contribution of all the shares issued by Credicorp Capital Holding Perú S.A., owned by Credicorp Ltd. These shares are valued at S/.401,249,008.00 (Four hundred one million two hundred and forty-nine thousand and eight 00/100 Nuevos Soles), which at the exchange rate of S/.3.313 per dollar is equivalent to US$121,113,495.00 (One hundred twenty-one million one hundred thirteen thousand four hundred and ninety-five 00/100 American dollars). As a result, 24,222,699 (Twenty-four million two hundred and twenty-two thousand six hundred and ninety-nine) shares have been issued with a face value of US$5.00 (five American dollars) each.</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this agreement we complete the corporate reorganization process, which was informed by a Material Event dated on August 20, 2014, that aimed to regroup the subsidiaries and equity investments of Credicorp Ltd., related to the Securities Market in Latin America, under its subsidiary Credicorp Capital Ltd., to facilitate their corporate management.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Miriam Böttger Egg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November 12</w:t>
      </w:r>
      <w:r>
        <w:rPr>
          <w:rFonts w:ascii="Arial" w:cs="Arial" w:eastAsia="Arial" w:hAnsi="Arial"/>
          <w:sz w:val="30"/>
          <w:szCs w:val="30"/>
          <w:color w:val="auto"/>
          <w:vertAlign w:val="superscript"/>
        </w:rPr>
        <w:t>th</w:t>
      </w:r>
      <w:r>
        <w:rPr>
          <w:rFonts w:ascii="Arial" w:cs="Arial" w:eastAsia="Arial" w:hAnsi="Arial"/>
          <w:sz w:val="18"/>
          <w:szCs w:val="18"/>
          <w:color w:val="auto"/>
        </w:rPr>
        <w:t>, 2015</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 Egg</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Miriam Böttger 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529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2019-12-06T13:49:05Z</dcterms:created>
  <dcterms:modified xsi:type="dcterms:W3CDTF">2019-12-06T13:49:05Z</dcterms:modified>
</cp:coreProperties>
</file>