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For the month of February 2017</w:t>
      </w:r>
    </w:p>
    <w:p>
      <w:pPr>
        <w:spacing w:after="0" w:line="22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16" w:lineRule="exact"/>
        <w:rPr>
          <w:sz w:val="24"/>
          <w:szCs w:val="24"/>
          <w:color w:val="auto"/>
        </w:rPr>
      </w:pPr>
    </w:p>
    <w:p>
      <w:pPr>
        <w:ind w:left="4180"/>
        <w:spacing w:after="0" w:line="207" w:lineRule="exact"/>
        <w:tabs>
          <w:tab w:leader="none" w:pos="61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334645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4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February 24</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SUPERINTENDENCIA DEL MERCADO DE VALORES – SMV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accordance with article 28 of the Capital Markets Law approved by Law N° 093-2002-EF and SMV Resolution for Material Events and Reserved Information and Other Communications N° 005-2014-SMV-01 (the “Resolution”), Credicorp Ltd. complies with notifying you of the following Material Event.</w:t>
      </w:r>
    </w:p>
    <w:p>
      <w:pPr>
        <w:spacing w:after="0" w:line="18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We hereby inform you as a Material Fact that the Annual Mandatory Shareholders' Meetings of our subsidiaries, El Pacifico-Peruano Suiza Compañia de Seguros y Reaseguros (PSG) and El Pacifico Vida Compañia de Seguros y Reaseguros (PV), in their respective meetings held on February 23</w:t>
      </w:r>
      <w:r>
        <w:rPr>
          <w:rFonts w:ascii="Arial" w:cs="Arial" w:eastAsia="Arial" w:hAnsi="Arial"/>
          <w:sz w:val="30"/>
          <w:szCs w:val="30"/>
          <w:color w:val="auto"/>
          <w:vertAlign w:val="superscript"/>
        </w:rPr>
        <w:t>rd</w:t>
      </w:r>
      <w:r>
        <w:rPr>
          <w:rFonts w:ascii="Arial" w:cs="Arial" w:eastAsia="Arial" w:hAnsi="Arial"/>
          <w:sz w:val="18"/>
          <w:szCs w:val="18"/>
          <w:color w:val="auto"/>
        </w:rPr>
        <w:t>, 2017, have agreed as follows:</w:t>
      </w:r>
    </w:p>
    <w:p>
      <w:pPr>
        <w:spacing w:after="0" w:line="203" w:lineRule="exact"/>
        <w:rPr>
          <w:sz w:val="20"/>
          <w:szCs w:val="20"/>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the merger between PV and PSG, under which PV will assume PSG's equity (including assets, rights, obligations and other legal relationships deriving from or linked to such assets and liabilities), which will be transferred in full to PV, according to the absorption merger modality contemplated in number 2 of article 344 of the General Companies Law (the "Merger").</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Merger will come into effect on the date when the respective Public Deed of Merger is granted, which shall only occur after the Superintendence of Banking, Insurance and AFP issues the corresponding Merger authorization.</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a result of the extinction of PSG, the company's shares will be excluded from the Public Securities Market Registry and unlisted from the Lima Stock Exchange, without the obligation to make a Public Offering by exclusion.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Miriam Böttger</w:t>
      </w:r>
      <w:r>
        <w:rPr>
          <w:rFonts w:ascii="Arial" w:cs="Arial" w:eastAsia="Arial" w:hAnsi="Arial"/>
          <w:sz w:val="18"/>
          <w:szCs w:val="18"/>
          <w:color w:val="auto"/>
        </w:rPr>
        <w:t>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February 24</w:t>
      </w:r>
      <w:r>
        <w:rPr>
          <w:rFonts w:ascii="Arial" w:cs="Arial" w:eastAsia="Arial" w:hAnsi="Arial"/>
          <w:sz w:val="30"/>
          <w:szCs w:val="30"/>
          <w:color w:val="auto"/>
          <w:vertAlign w:val="superscript"/>
        </w:rPr>
        <w:t>th</w:t>
      </w:r>
      <w:r>
        <w:rPr>
          <w:rFonts w:ascii="Arial" w:cs="Arial" w:eastAsia="Arial" w:hAnsi="Arial"/>
          <w:sz w:val="18"/>
          <w:szCs w:val="18"/>
          <w:color w:val="auto"/>
        </w:rPr>
        <w:t>, 2017</w:t>
      </w:r>
    </w:p>
    <w:p>
      <w:pPr>
        <w:spacing w:after="0" w:line="12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Miriam Böttger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169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2019-12-06T03:32:16Z</dcterms:created>
  <dcterms:modified xsi:type="dcterms:W3CDTF">2019-12-06T03:32:16Z</dcterms:modified>
</cp:coreProperties>
</file>