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20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2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8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For the month of February 2017</w:t>
      </w:r>
    </w:p>
    <w:p>
      <w:pPr>
        <w:spacing w:after="0" w:line="20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20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CREDICORP LTD.</w:t>
      </w:r>
    </w:p>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Clarendon House</w:t>
      </w:r>
    </w:p>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Hamilton HM 11 Bermuda</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7" w:lineRule="exact"/>
        <w:rPr>
          <w:sz w:val="24"/>
          <w:szCs w:val="24"/>
          <w:color w:val="auto"/>
        </w:rPr>
      </w:pPr>
    </w:p>
    <w:p>
      <w:pPr>
        <w:ind w:left="482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101(b)(1): ____</w:t>
      </w:r>
    </w:p>
    <w:p>
      <w:pPr>
        <w:spacing w:after="0" w:line="20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400050</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Included in this submission on Form 6-K are English translations of the following documents, filed separately on February 22, 2017 with the Superintendencia del Mercado de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Valores of the Republic of Peru:</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99.1 Hecho de Importancia (Material Fact Report)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99.2 Financial Statements and Notes of Credicorp Ltd. and its subsidiaries as of December 31, 2016, together with the Audit Report thereon</w:t>
      </w:r>
    </w:p>
    <w:p>
      <w:pPr>
        <w:spacing w:after="0" w:line="18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5" w:lineRule="exact"/>
        <w:rPr>
          <w:sz w:val="20"/>
          <w:szCs w:val="20"/>
          <w:color w:val="auto"/>
        </w:rPr>
      </w:pPr>
    </w:p>
    <w:p>
      <w:pPr>
        <w:ind w:right="220" w:firstLine="479"/>
        <w:spacing w:after="0" w:line="28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Date: February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2017</w:t>
      </w:r>
    </w:p>
    <w:p>
      <w:pPr>
        <w:spacing w:after="0" w:line="1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CREDICORP LTD.</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(Registrant)</w:t>
      </w:r>
    </w:p>
    <w:p>
      <w:pPr>
        <w:spacing w:after="0" w:line="380"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Miriam Böttger</w:t>
      </w:r>
    </w:p>
    <w:p>
      <w:pPr>
        <w:spacing w:after="0" w:line="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-116205</wp:posOffset>
            </wp:positionV>
            <wp:extent cx="23945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4585" cy="7620"/>
                    </a:xfrm>
                    <a:prstGeom prst="rect">
                      <a:avLst/>
                    </a:prstGeom>
                    <a:noFill/>
                  </pic:spPr>
                </pic:pic>
              </a:graphicData>
            </a:graphic>
          </wp:anchor>
        </w:drawing>
      </w:r>
    </w:p>
    <w:p>
      <w:pPr>
        <w:spacing w:after="0" w:line="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612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140335</wp:posOffset>
            </wp:positionV>
            <wp:extent cx="1819275"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92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February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2017</w:t>
      </w:r>
    </w:p>
    <w:p>
      <w:pPr>
        <w:spacing w:after="0" w:line="3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Sirs</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SUPERINTENDENCIA DEL MERCADO DE VALORES</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Av. Santa Cruz No. 315</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Miraflores - Lima 18</w:t>
      </w:r>
    </w:p>
    <w:p>
      <w:pPr>
        <w:spacing w:after="0" w:line="18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Re.: MATERIAL EVENT</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Dear Sirs:</w:t>
      </w:r>
    </w:p>
    <w:p>
      <w:pPr>
        <w:spacing w:after="0" w:line="203" w:lineRule="exact"/>
        <w:rPr>
          <w:sz w:val="20"/>
          <w:szCs w:val="20"/>
          <w:color w:val="auto"/>
        </w:rPr>
      </w:pPr>
    </w:p>
    <w:p>
      <w:pPr>
        <w:jc w:val="both"/>
        <w:ind w:left="3" w:right="20"/>
        <w:spacing w:after="0" w:line="278" w:lineRule="auto"/>
        <w:rPr>
          <w:sz w:val="20"/>
          <w:szCs w:val="20"/>
          <w:color w:val="auto"/>
        </w:rPr>
      </w:pPr>
      <w:r>
        <w:rPr>
          <w:rFonts w:ascii="Times New Roman" w:cs="Times New Roman" w:eastAsia="Times New Roman" w:hAnsi="Times New Roman"/>
          <w:sz w:val="16"/>
          <w:szCs w:val="16"/>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 Credicorp’s Board of Directors, in its session held on February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2017, agreed unanimously on the following matters:</w:t>
      </w:r>
    </w:p>
    <w:p>
      <w:pPr>
        <w:spacing w:after="0" w:line="41" w:lineRule="exact"/>
        <w:rPr>
          <w:sz w:val="20"/>
          <w:szCs w:val="20"/>
          <w:color w:val="auto"/>
        </w:rPr>
      </w:pPr>
    </w:p>
    <w:p>
      <w:pPr>
        <w:ind w:left="283" w:right="20" w:hanging="283"/>
        <w:spacing w:after="0" w:line="209" w:lineRule="auto"/>
        <w:tabs>
          <w:tab w:leader="none" w:pos="283"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Approved the Annual Report of the Company for the financial year ended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2016 that the Chairman will present at the Annual General Meeting of Shareholders on March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2017.</w:t>
      </w:r>
    </w:p>
    <w:p>
      <w:pPr>
        <w:spacing w:after="0" w:line="71" w:lineRule="exact"/>
        <w:rPr>
          <w:rFonts w:ascii="Times New Roman" w:cs="Times New Roman" w:eastAsia="Times New Roman" w:hAnsi="Times New Roman"/>
          <w:sz w:val="32"/>
          <w:szCs w:val="32"/>
          <w:color w:val="auto"/>
          <w:vertAlign w:val="superscript"/>
        </w:rPr>
      </w:pPr>
    </w:p>
    <w:p>
      <w:pPr>
        <w:jc w:val="both"/>
        <w:ind w:left="283" w:hanging="283"/>
        <w:spacing w:after="0" w:line="218" w:lineRule="auto"/>
        <w:tabs>
          <w:tab w:leader="none" w:pos="283"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Approved the audited consolidated financial statements of the Company and its subsidiaries, for the financial year ended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2016, including the report of the independent external auditors Gaveglio, Aparicio y Asociados Sociedad de Responsabilidad Limitada, members of PricewaterhouseCoopers in Perú, to be submitted for evaluation and approval of the Annual General Meeting of Shareholders on March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2017.</w:t>
      </w:r>
    </w:p>
    <w:p>
      <w:pPr>
        <w:spacing w:after="0" w:line="69" w:lineRule="exact"/>
        <w:rPr>
          <w:rFonts w:ascii="Times New Roman" w:cs="Times New Roman" w:eastAsia="Times New Roman" w:hAnsi="Times New Roman"/>
          <w:sz w:val="32"/>
          <w:szCs w:val="32"/>
          <w:color w:val="auto"/>
          <w:vertAlign w:val="superscript"/>
        </w:rPr>
      </w:pPr>
    </w:p>
    <w:p>
      <w:pPr>
        <w:ind w:left="283" w:right="20" w:hanging="283"/>
        <w:spacing w:after="0" w:line="285" w:lineRule="auto"/>
        <w:tabs>
          <w:tab w:leader="none" w:pos="28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to present for approval to the Annual General Meeting of Shareholders: (i) the list of proposed candidates that will hold office for the period 2017 – 2020, and (ii) their remuneration. The proposed candidates are:</w:t>
      </w:r>
    </w:p>
    <w:p>
      <w:pPr>
        <w:spacing w:after="0" w:line="143"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Benedicto Cigüeñas Guevara</w:t>
      </w:r>
    </w:p>
    <w:p>
      <w:pPr>
        <w:spacing w:after="0" w:line="25"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Fernando Fort Marie</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Patricia Lizárraga Guthertz</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Raimundo Morales Dasso</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Martín Perez Monteverde</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Luis Enrique Romero Belismelis</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Dionisio Romero Paoletti</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Juan Carlos Verme Giannoni</w:t>
      </w:r>
    </w:p>
    <w:p>
      <w:pPr>
        <w:spacing w:after="0" w:line="186" w:lineRule="exact"/>
        <w:rPr>
          <w:rFonts w:ascii="Times New Roman" w:cs="Times New Roman" w:eastAsia="Times New Roman" w:hAnsi="Times New Roman"/>
          <w:sz w:val="16"/>
          <w:szCs w:val="16"/>
          <w:color w:val="auto"/>
        </w:rPr>
      </w:pPr>
    </w:p>
    <w:p>
      <w:pPr>
        <w:jc w:val="both"/>
        <w:ind w:left="283" w:right="20" w:hanging="283"/>
        <w:spacing w:after="0" w:line="268" w:lineRule="auto"/>
        <w:tabs>
          <w:tab w:leader="none" w:pos="28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Agreed to recommend the reappointment of Gaveglio, Aparicio y Asociados Sociedad de Responsabilidad Limitada, members of PricewaterhouseCoopers in Perú, as the independent external auditors of the Company for the financial year 2017, with the previous authorization of the Audit Committee; and to propose to the Annual General Meeting of Shareholders to assign to the Audit Committee the approval of the independent external auditor’s fees.</w:t>
      </w:r>
    </w:p>
    <w:p>
      <w:pPr>
        <w:spacing w:after="0" w:line="161" w:lineRule="exact"/>
        <w:rPr>
          <w:sz w:val="20"/>
          <w:szCs w:val="20"/>
          <w:color w:val="auto"/>
        </w:rPr>
      </w:pPr>
    </w:p>
    <w:p>
      <w:pPr>
        <w:ind w:left="3" w:right="20"/>
        <w:spacing w:after="0" w:line="216" w:lineRule="auto"/>
        <w:rPr>
          <w:sz w:val="20"/>
          <w:szCs w:val="20"/>
          <w:color w:val="auto"/>
        </w:rPr>
      </w:pPr>
      <w:r>
        <w:rPr>
          <w:rFonts w:ascii="Times New Roman" w:cs="Times New Roman" w:eastAsia="Times New Roman" w:hAnsi="Times New Roman"/>
          <w:sz w:val="16"/>
          <w:szCs w:val="16"/>
          <w:color w:val="auto"/>
        </w:rPr>
        <w:t>The aformentioned agreements will be submitted for consideration and approval at the Company’s Annual General Meeting of Shareholders, which will be held on March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2017, at 3:00p.m.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61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314" w:right="219" w:bottom="1440" w:gutter="0" w:footer="0" w:header="0"/>
        </w:sectPr>
      </w:pPr>
    </w:p>
    <w:bookmarkStart w:id="3" w:name="page4"/>
    <w:bookmarkEnd w:id="3"/>
    <w:p>
      <w:pPr>
        <w:ind w:left="3"/>
        <w:spacing w:after="0"/>
        <w:rPr>
          <w:sz w:val="20"/>
          <w:szCs w:val="20"/>
          <w:color w:val="auto"/>
        </w:rPr>
      </w:pPr>
      <w:r>
        <w:rPr>
          <w:rFonts w:ascii="Times New Roman" w:cs="Times New Roman" w:eastAsia="Times New Roman" w:hAnsi="Times New Roman"/>
          <w:sz w:val="16"/>
          <w:szCs w:val="16"/>
          <w:color w:val="auto"/>
        </w:rPr>
        <w:t>Furthermore the Board of Directors also agreed unanimously the following:</w:t>
      </w:r>
    </w:p>
    <w:p>
      <w:pPr>
        <w:spacing w:after="0" w:line="203" w:lineRule="exact"/>
        <w:rPr>
          <w:sz w:val="20"/>
          <w:szCs w:val="20"/>
          <w:color w:val="auto"/>
        </w:rPr>
      </w:pPr>
    </w:p>
    <w:p>
      <w:pPr>
        <w:jc w:val="both"/>
        <w:ind w:left="283" w:hanging="283"/>
        <w:spacing w:after="0" w:line="220" w:lineRule="auto"/>
        <w:tabs>
          <w:tab w:leader="none" w:pos="28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its shareholders a cash dividend of S/ 1,159,628,337.82 for a total of 94,382,317 outstanding shares, which is equivalent to S/ 12.2865 per share. The cash dividend will be paid out on May 12th, 2017, without withholding tax at source, to shareholders of record on April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2017. The dividend will be paid in US Dollars using the weighted exchange rate registered by the Superintendency of Banks, Insurance and Pension Funds (</w:t>
      </w:r>
      <w:r>
        <w:rPr>
          <w:rFonts w:ascii="Times New Roman" w:cs="Times New Roman" w:eastAsia="Times New Roman" w:hAnsi="Times New Roman"/>
          <w:sz w:val="16"/>
          <w:szCs w:val="16"/>
          <w:i w:val="1"/>
          <w:iCs w:val="1"/>
          <w:color w:val="auto"/>
        </w:rPr>
        <w:t>Superintendencia de Banca, Seguros y AFP</w:t>
      </w:r>
      <w:r>
        <w:rPr>
          <w:rFonts w:ascii="Times New Roman" w:cs="Times New Roman" w:eastAsia="Times New Roman" w:hAnsi="Times New Roman"/>
          <w:sz w:val="16"/>
          <w:szCs w:val="16"/>
          <w:color w:val="auto"/>
        </w:rPr>
        <w:t>) for the transactions at the close of business on May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2017. The US Dollar dividend amount will be rounded up to four decimals. The Board of Directors approved the distribution of dividend according to the Bye-Laws of the Company and considering a total net income attained in the financial year 2016 of S/ 3,514,582,247.63.</w:t>
      </w:r>
    </w:p>
    <w:p>
      <w:pPr>
        <w:spacing w:after="0" w:line="178" w:lineRule="exact"/>
        <w:rPr>
          <w:rFonts w:ascii="Times New Roman" w:cs="Times New Roman" w:eastAsia="Times New Roman" w:hAnsi="Times New Roman"/>
          <w:sz w:val="16"/>
          <w:szCs w:val="16"/>
          <w:color w:val="auto"/>
        </w:rPr>
      </w:pPr>
    </w:p>
    <w:p>
      <w:pPr>
        <w:ind w:left="283" w:hanging="283"/>
        <w:spacing w:after="0" w:line="285" w:lineRule="auto"/>
        <w:tabs>
          <w:tab w:leader="none" w:pos="28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transfer: (i) S/ 500,000,000.00 to restricted especial reserves, and (ii) S/ 1,854,953,909.81 to especial reserves. As a result, restricted especial reserves will amount to S/ 11,070,962,766.47, which cannot be used without the authorization of the Superintendency of Banks, Insurance and Pension Funds.</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transfer S/ 179,639,012.09 to retained earnings.</w:t>
      </w:r>
    </w:p>
    <w:p>
      <w:pPr>
        <w:spacing w:after="0" w:line="203" w:lineRule="exact"/>
        <w:rPr>
          <w:sz w:val="20"/>
          <w:szCs w:val="20"/>
          <w:color w:val="auto"/>
        </w:rPr>
      </w:pPr>
    </w:p>
    <w:p>
      <w:pPr>
        <w:jc w:val="both"/>
        <w:ind w:left="3"/>
        <w:spacing w:after="0" w:line="268" w:lineRule="auto"/>
        <w:rPr>
          <w:sz w:val="20"/>
          <w:szCs w:val="20"/>
          <w:color w:val="auto"/>
        </w:rPr>
      </w:pPr>
      <w:r>
        <w:rPr>
          <w:rFonts w:ascii="Times New Roman" w:cs="Times New Roman" w:eastAsia="Times New Roman" w:hAnsi="Times New Roman"/>
          <w:sz w:val="16"/>
          <w:szCs w:val="16"/>
          <w:color w:val="auto"/>
        </w:rPr>
        <w:t>The minutes and the annexes thereto (Good Corporate Governance and Corporate Sustainability Report), as well as the financial information (Report, Financial Statements and Notes) of Credicorp Ltd. and its subsidiaries as of December 31, 2016 audited by external independent auditors Gaveglio, Aparicio y Asociados Sociedad de Responsabilidad Limitada, members of PricewaterhouseCoopers in Perú, will be published today in the portal MVNet, in compliance with the Resolution.</w:t>
      </w:r>
    </w:p>
    <w:p>
      <w:pPr>
        <w:spacing w:after="0" w:line="35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Sincerely,</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CREDICORP LTD.</w:t>
      </w:r>
    </w:p>
    <w:p>
      <w:pPr>
        <w:spacing w:after="0" w:line="3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 Miriam Böttger</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4585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85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397510</wp:posOffset>
            </wp:positionV>
            <wp:extent cx="7261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61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8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CONSOLIDATED FINANCIAL STATEMENTS AS OF DECEMBER 31, 2016 AND 2015</w:t>
            </w: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CONTENTS</w:t>
            </w:r>
          </w:p>
        </w:tc>
        <w:tc>
          <w:tcPr>
            <w:tcW w:w="3040" w:type="dxa"/>
            <w:vAlign w:val="bottom"/>
            <w:gridSpan w:val="2"/>
          </w:tcPr>
          <w:p>
            <w:pPr>
              <w:ind w:left="2640"/>
              <w:spacing w:after="0"/>
              <w:rPr>
                <w:sz w:val="20"/>
                <w:szCs w:val="20"/>
                <w:color w:val="auto"/>
              </w:rPr>
            </w:pPr>
            <w:r>
              <w:rPr>
                <w:rFonts w:ascii="Times New Roman" w:cs="Times New Roman" w:eastAsia="Times New Roman" w:hAnsi="Times New Roman"/>
                <w:sz w:val="16"/>
                <w:szCs w:val="16"/>
                <w:color w:val="auto"/>
              </w:rPr>
              <w:t>Pages</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Independent auditor’s report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1 - 8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financial statements of financial position</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 of income</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10 - 11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 of comprehensive income</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 of changes in equity</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 of cash flows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14 - 15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to the consolidated financial statements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16 - 150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Peruvian Sol</w:t>
            </w: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United States dollar</w:t>
            </w: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 POSITION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DECEMBER 31,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20" w:type="dxa"/>
            <w:vAlign w:val="bottom"/>
            <w:gridSpan w:val="3"/>
          </w:tcPr>
          <w:p>
            <w:pPr>
              <w:ind w:left="2940"/>
              <w:spacing w:after="0"/>
              <w:rPr>
                <w:sz w:val="20"/>
                <w:szCs w:val="20"/>
                <w:color w:val="auto"/>
              </w:rPr>
            </w:pPr>
            <w:r>
              <w:rPr>
                <w:rFonts w:ascii="Times New Roman" w:cs="Times New Roman" w:eastAsia="Times New Roman" w:hAnsi="Times New Roman"/>
                <w:sz w:val="16"/>
                <w:szCs w:val="16"/>
                <w:b w:val="1"/>
                <w:bCs w:val="1"/>
                <w:color w:val="auto"/>
              </w:rPr>
              <w:t>Note   2016</w:t>
            </w:r>
          </w:p>
        </w:tc>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gridSpan w:val="3"/>
          </w:tcPr>
          <w:p>
            <w:pPr>
              <w:ind w:left="2940"/>
              <w:spacing w:after="0"/>
              <w:rPr>
                <w:sz w:val="20"/>
                <w:szCs w:val="20"/>
                <w:color w:val="auto"/>
              </w:rPr>
            </w:pPr>
            <w:r>
              <w:rPr>
                <w:rFonts w:ascii="Times New Roman" w:cs="Times New Roman" w:eastAsia="Times New Roman" w:hAnsi="Times New Roman"/>
                <w:sz w:val="16"/>
                <w:szCs w:val="16"/>
                <w:b w:val="1"/>
                <w:bCs w:val="1"/>
                <w:color w:val="auto"/>
              </w:rPr>
              <w:t>Note   2016</w:t>
            </w: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 w:type="dxa"/>
            <w:vAlign w:val="bottom"/>
          </w:tcPr>
          <w:p>
            <w:pPr>
              <w:spacing w:after="0"/>
              <w:rPr>
                <w:sz w:val="19"/>
                <w:szCs w:val="19"/>
                <w:color w:val="auto"/>
              </w:rPr>
            </w:pPr>
          </w:p>
        </w:tc>
      </w:tr>
      <w:tr>
        <w:trPr>
          <w:trHeight w:val="186"/>
        </w:trPr>
        <w:tc>
          <w:tcPr>
            <w:tcW w:w="3460" w:type="dxa"/>
            <w:vAlign w:val="bottom"/>
          </w:tcPr>
          <w:p>
            <w:pPr>
              <w:spacing w:after="0"/>
              <w:rPr>
                <w:sz w:val="16"/>
                <w:szCs w:val="16"/>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0" w:type="dxa"/>
            <w:vAlign w:val="bottom"/>
          </w:tcPr>
          <w:p>
            <w:pPr>
              <w:spacing w:after="0"/>
              <w:rPr>
                <w:sz w:val="16"/>
                <w:szCs w:val="16"/>
                <w:color w:val="auto"/>
              </w:rPr>
            </w:pPr>
          </w:p>
        </w:tc>
      </w:tr>
      <w:tr>
        <w:trPr>
          <w:trHeight w:val="19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177" w:lineRule="exact"/>
        <w:rPr>
          <w:sz w:val="20"/>
          <w:szCs w:val="20"/>
          <w:color w:val="auto"/>
        </w:rPr>
      </w:pPr>
    </w:p>
    <w:p>
      <w:pPr>
        <w:sectPr>
          <w:pgSz w:w="11900" w:h="16838" w:orient="portrait"/>
          <w:cols w:equalWidth="0" w:num="1">
            <w:col w:w="11420"/>
          </w:cols>
          <w:pgMar w:left="240" w:top="822" w:right="239" w:bottom="1440" w:gutter="0" w:footer="0" w:header="0"/>
        </w:sectPr>
      </w:pPr>
    </w:p>
    <w:tbl>
      <w:tblPr>
        <w:tblLayout w:type="fixed"/>
        <w:tblInd w:w="0" w:type="dxa"/>
        <w:tblCellMar>
          <w:top w:w="0" w:type="dxa"/>
          <w:left w:w="0" w:type="dxa"/>
          <w:bottom w:w="0" w:type="dxa"/>
          <w:right w:w="0" w:type="dxa"/>
        </w:tblCellMar>
      </w:tblP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Non-interest-bearing</w:t>
            </w:r>
          </w:p>
        </w:tc>
        <w:tc>
          <w:tcPr>
            <w:tcW w:w="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5,568,657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5,013,260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w:t>
            </w: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11,077,112</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17,378,484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collateral, reverse repurchase</w:t>
            </w:r>
          </w:p>
        </w:tc>
        <w:tc>
          <w:tcPr>
            <w:tcW w:w="6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16,645,769</w:t>
            </w:r>
          </w:p>
        </w:tc>
        <w:tc>
          <w:tcPr>
            <w:tcW w:w="100" w:type="dxa"/>
            <w:vAlign w:val="bottom"/>
          </w:tcPr>
          <w:p>
            <w:pPr>
              <w:spacing w:after="0"/>
              <w:rPr>
                <w:sz w:val="17"/>
                <w:szCs w:val="17"/>
                <w:color w:val="auto"/>
              </w:rPr>
            </w:pPr>
          </w:p>
        </w:tc>
        <w:tc>
          <w:tcPr>
            <w:tcW w:w="10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22,391,744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8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agreements and securities borrowings</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5(a)</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10,919,624</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11,026,698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Trading securities</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6(a)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4,015,019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2,323,096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investments</w:t>
            </w:r>
          </w:p>
        </w:tc>
        <w:tc>
          <w:tcPr>
            <w:tcW w:w="6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17,086,774</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17,210,714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investments pledged as</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collateral</w:t>
            </w: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6(a)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1,598,893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1,558,207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18,685,667</w:t>
            </w:r>
          </w:p>
        </w:tc>
        <w:tc>
          <w:tcPr>
            <w:tcW w:w="100" w:type="dxa"/>
            <w:vAlign w:val="bottom"/>
          </w:tcPr>
          <w:p>
            <w:pPr>
              <w:spacing w:after="0"/>
              <w:rPr>
                <w:sz w:val="14"/>
                <w:szCs w:val="14"/>
                <w:color w:val="auto"/>
              </w:rPr>
            </w:pPr>
          </w:p>
        </w:tc>
        <w:tc>
          <w:tcPr>
            <w:tcW w:w="102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18,768,921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w:t>
            </w:r>
          </w:p>
        </w:tc>
        <w:tc>
          <w:tcPr>
            <w:tcW w:w="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2,867,755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1,683,556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pledge as</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collateral</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6(b)</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2,250,665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1,898,573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5,118,420</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3,582,129</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27,819,106</w:t>
            </w: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24,674,146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Loans, net: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net of unearned income</w:t>
            </w:r>
          </w:p>
        </w:tc>
        <w:tc>
          <w:tcPr>
            <w:tcW w:w="6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94,768,901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90,328,499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6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(4,207,133)</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(3,840,337)</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90,561,768</w:t>
            </w:r>
          </w:p>
        </w:tc>
        <w:tc>
          <w:tcPr>
            <w:tcW w:w="1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86,488,162</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Financial assets designated at fair value</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through profit or loss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459,099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Premium and other policies receivable</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9(a)</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643,224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from reinsurers and</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coinsurers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9(b)</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454,187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Property, furniture and equipment, net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1,551,703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1,671,441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Due from customers on acceptances</w:t>
            </w:r>
          </w:p>
        </w:tc>
        <w:tc>
          <w:tcPr>
            <w:tcW w:w="6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491,139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and goodwill, net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1,960,690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1,900,697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4,928,913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5,649,299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156,435,222</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155,480,217</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-4412615</wp:posOffset>
            </wp:positionV>
            <wp:extent cx="3553460" cy="122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-4166870</wp:posOffset>
            </wp:positionV>
            <wp:extent cx="3553460" cy="130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-3905885</wp:posOffset>
            </wp:positionV>
            <wp:extent cx="3553460" cy="245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3460" cy="2457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-3537585</wp:posOffset>
            </wp:positionV>
            <wp:extent cx="355346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-3291840</wp:posOffset>
            </wp:positionV>
            <wp:extent cx="3553460" cy="122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-2915920</wp:posOffset>
            </wp:positionV>
            <wp:extent cx="3553460" cy="130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-2662555</wp:posOffset>
            </wp:positionV>
            <wp:extent cx="3553460" cy="253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3460" cy="2533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-2279015</wp:posOffset>
            </wp:positionV>
            <wp:extent cx="3553460" cy="138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3460" cy="138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-2018030</wp:posOffset>
            </wp:positionV>
            <wp:extent cx="3553460" cy="122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-1772285</wp:posOffset>
            </wp:positionV>
            <wp:extent cx="3553460" cy="130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-1511300</wp:posOffset>
            </wp:positionV>
            <wp:extent cx="3553460" cy="122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-1143000</wp:posOffset>
            </wp:positionV>
            <wp:extent cx="3553460"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-774700</wp:posOffset>
            </wp:positionV>
            <wp:extent cx="3553460" cy="130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-521335</wp:posOffset>
            </wp:positionV>
            <wp:extent cx="3553460" cy="130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-267970</wp:posOffset>
            </wp:positionV>
            <wp:extent cx="3553460" cy="130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3460" cy="130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9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 and obligations: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Non-interest-bearing</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28,084,691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28,049,070</w:t>
            </w:r>
          </w:p>
        </w:tc>
      </w:tr>
      <w:tr>
        <w:trPr>
          <w:trHeight w:val="205"/>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Interest-bearing</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57,831,696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60,557,563</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85,916,387</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88,606,633</w:t>
            </w:r>
          </w:p>
        </w:tc>
        <w:tc>
          <w:tcPr>
            <w:tcW w:w="80" w:type="dxa"/>
            <w:vAlign w:val="bottom"/>
          </w:tcPr>
          <w:p>
            <w:pPr>
              <w:spacing w:after="0"/>
              <w:rPr>
                <w:sz w:val="16"/>
                <w:szCs w:val="16"/>
                <w:color w:val="auto"/>
              </w:rPr>
            </w:pPr>
          </w:p>
        </w:tc>
      </w:tr>
      <w:tr>
        <w:trPr>
          <w:trHeight w:val="193"/>
        </w:trPr>
        <w:tc>
          <w:tcPr>
            <w:tcW w:w="2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7"/>
        </w:trPr>
        <w:tc>
          <w:tcPr>
            <w:tcW w:w="28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Payables from repurchase agreements and</w:t>
            </w: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security lending</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5(b)</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15,127,999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14,599,750</w:t>
            </w:r>
          </w:p>
        </w:tc>
      </w:tr>
      <w:tr>
        <w:trPr>
          <w:trHeight w:val="19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banks and correspondents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7,493,916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7,762,497</w:t>
            </w:r>
          </w:p>
        </w:tc>
      </w:tr>
      <w:tr>
        <w:trPr>
          <w:trHeight w:val="19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Banker’s acceptances outstanding</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491,139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222,496</w:t>
            </w:r>
          </w:p>
        </w:tc>
      </w:tr>
      <w:tr>
        <w:trPr>
          <w:trHeight w:val="19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payables to reinsurers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9(b)</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233,892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241,847</w:t>
            </w:r>
          </w:p>
        </w:tc>
      </w:tr>
      <w:tr>
        <w:trPr>
          <w:trHeight w:val="193"/>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7"/>
        </w:trPr>
        <w:tc>
          <w:tcPr>
            <w:tcW w:w="2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Financial liabilities at fair value through</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or loss</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3(f)(v)</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209,520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47,737</w:t>
            </w:r>
          </w:p>
        </w:tc>
      </w:tr>
      <w:tr>
        <w:trPr>
          <w:trHeight w:val="205"/>
        </w:trPr>
        <w:tc>
          <w:tcPr>
            <w:tcW w:w="2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2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Technical reserves, insurance claims</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reserves and unearned premiums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6,786,189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6,361,627</w:t>
            </w:r>
          </w:p>
        </w:tc>
      </w:tr>
      <w:tr>
        <w:trPr>
          <w:trHeight w:val="19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Bonds and notes issued</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15,939,603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16,287,962</w:t>
            </w:r>
          </w:p>
        </w:tc>
      </w:tr>
      <w:tr>
        <w:trPr>
          <w:trHeight w:val="205"/>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4,120,066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4,622,098</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136,318,711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138,752,647</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7"/>
        </w:trPr>
        <w:tc>
          <w:tcPr>
            <w:tcW w:w="2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Equity attributable to Credicorp´s equity</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holders</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stock</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1,318,993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1,318,993</w:t>
            </w:r>
          </w:p>
        </w:tc>
      </w:tr>
      <w:tr>
        <w:trPr>
          <w:trHeight w:val="193"/>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stock</w:t>
            </w:r>
          </w:p>
        </w:tc>
        <w:tc>
          <w:tcPr>
            <w:tcW w:w="6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(209,322)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(208,978)</w:t>
            </w:r>
          </w:p>
        </w:tc>
      </w:tr>
      <w:tr>
        <w:trPr>
          <w:trHeight w:val="19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surplus</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280,876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284,171</w:t>
            </w:r>
          </w:p>
        </w:tc>
      </w:tr>
      <w:tr>
        <w:trPr>
          <w:trHeight w:val="193"/>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Put options and reserves</w:t>
            </w:r>
          </w:p>
        </w:tc>
        <w:tc>
          <w:tcPr>
            <w:tcW w:w="6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13,539,091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10,881,678</w:t>
            </w:r>
          </w:p>
        </w:tc>
      </w:tr>
      <w:tr>
        <w:trPr>
          <w:trHeight w:val="193"/>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reserves</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1,209,731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762,695</w:t>
            </w:r>
          </w:p>
        </w:tc>
      </w:tr>
      <w:tr>
        <w:trPr>
          <w:trHeight w:val="205"/>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3,516,766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3,089,457</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19,656,135</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16,128,016</w:t>
            </w:r>
          </w:p>
        </w:tc>
        <w:tc>
          <w:tcPr>
            <w:tcW w:w="80" w:type="dxa"/>
            <w:vAlign w:val="bottom"/>
          </w:tcPr>
          <w:p>
            <w:pPr>
              <w:spacing w:after="0"/>
              <w:rPr>
                <w:sz w:val="16"/>
                <w:szCs w:val="16"/>
                <w:color w:val="auto"/>
              </w:rPr>
            </w:pPr>
          </w:p>
        </w:tc>
      </w:tr>
      <w:tr>
        <w:trPr>
          <w:trHeight w:val="205"/>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460,376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599,554</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6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20,116,511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16,727,570</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156,435,222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155,480,217</w:t>
            </w:r>
          </w:p>
        </w:tc>
      </w:tr>
      <w:tr>
        <w:trPr>
          <w:trHeight w:val="20"/>
        </w:trPr>
        <w:tc>
          <w:tcPr>
            <w:tcW w:w="2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16510</wp:posOffset>
            </wp:positionV>
            <wp:extent cx="72612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2">
            <w:col w:w="5580" w:space="0"/>
            <w:col w:w="5840"/>
          </w:cols>
          <w:pgMar w:left="240" w:top="822" w:right="2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STATEMENT OF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2016,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Note</w:t>
            </w:r>
          </w:p>
        </w:tc>
      </w:tr>
      <w:tr>
        <w:trPr>
          <w:trHeight w:val="604"/>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and similar income</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22</w:t>
            </w:r>
          </w:p>
        </w:tc>
      </w:tr>
      <w:tr>
        <w:trPr>
          <w:trHeight w:val="387"/>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and similar expenses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22</w:t>
            </w:r>
          </w:p>
        </w:tc>
      </w:tr>
      <w:tr>
        <w:trPr>
          <w:trHeight w:val="411"/>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interest, similar income and expenses</w:t>
            </w:r>
          </w:p>
        </w:tc>
        <w:tc>
          <w:tcPr>
            <w:tcW w:w="1080" w:type="dxa"/>
            <w:vAlign w:val="bottom"/>
          </w:tcPr>
          <w:p>
            <w:pPr>
              <w:spacing w:after="0"/>
              <w:rPr>
                <w:sz w:val="24"/>
                <w:szCs w:val="24"/>
                <w:color w:val="auto"/>
              </w:rPr>
            </w:pPr>
          </w:p>
        </w:tc>
      </w:tr>
      <w:tr>
        <w:trPr>
          <w:trHeight w:val="387"/>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loan losses, net of recoveries</w:t>
            </w:r>
          </w:p>
        </w:tc>
        <w:tc>
          <w:tcPr>
            <w:tcW w:w="10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7"/>
              </w:rPr>
              <w:t>7(d)</w:t>
            </w:r>
          </w:p>
        </w:tc>
      </w:tr>
      <w:tr>
        <w:trPr>
          <w:trHeight w:val="411"/>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Interest, similar income after provision for loan losses</w:t>
            </w:r>
          </w:p>
        </w:tc>
        <w:tc>
          <w:tcPr>
            <w:tcW w:w="1080" w:type="dxa"/>
            <w:vAlign w:val="bottom"/>
          </w:tcPr>
          <w:p>
            <w:pPr>
              <w:spacing w:after="0"/>
              <w:rPr>
                <w:sz w:val="24"/>
                <w:szCs w:val="24"/>
                <w:color w:val="auto"/>
              </w:rPr>
            </w:pPr>
          </w:p>
        </w:tc>
      </w:tr>
      <w:tr>
        <w:trPr>
          <w:trHeight w:val="395"/>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080" w:type="dxa"/>
            <w:vAlign w:val="bottom"/>
          </w:tcPr>
          <w:p>
            <w:pPr>
              <w:spacing w:after="0"/>
              <w:rPr>
                <w:sz w:val="24"/>
                <w:szCs w:val="24"/>
                <w:color w:val="auto"/>
              </w:rPr>
            </w:pP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23</w:t>
            </w: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gains on foreign exchange transactions</w:t>
            </w:r>
          </w:p>
        </w:tc>
        <w:tc>
          <w:tcPr>
            <w:tcW w:w="1080" w:type="dxa"/>
            <w:vAlign w:val="bottom"/>
          </w:tcPr>
          <w:p>
            <w:pPr>
              <w:spacing w:after="0"/>
              <w:rPr>
                <w:sz w:val="16"/>
                <w:szCs w:val="16"/>
                <w:color w:val="auto"/>
              </w:rPr>
            </w:pP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gains on sales of securities</w:t>
            </w:r>
          </w:p>
        </w:tc>
        <w:tc>
          <w:tcPr>
            <w:tcW w:w="1080" w:type="dxa"/>
            <w:vAlign w:val="bottom"/>
          </w:tcPr>
          <w:p>
            <w:pPr>
              <w:spacing w:after="0"/>
              <w:rPr>
                <w:sz w:val="16"/>
                <w:szCs w:val="16"/>
                <w:color w:val="auto"/>
              </w:rPr>
            </w:pP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gains on financial assets at fair value through profit or loss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8</w:t>
            </w: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28</w:t>
            </w: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income</w:t>
            </w:r>
          </w:p>
        </w:tc>
        <w:tc>
          <w:tcPr>
            <w:tcW w:w="1080" w:type="dxa"/>
            <w:vAlign w:val="bottom"/>
          </w:tcPr>
          <w:p>
            <w:pPr>
              <w:spacing w:after="0"/>
              <w:rPr>
                <w:sz w:val="18"/>
                <w:szCs w:val="18"/>
                <w:color w:val="auto"/>
              </w:rPr>
            </w:pPr>
          </w:p>
        </w:tc>
      </w:tr>
      <w:tr>
        <w:trPr>
          <w:trHeight w:val="395"/>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 premiums and claims</w:t>
            </w:r>
          </w:p>
        </w:tc>
        <w:tc>
          <w:tcPr>
            <w:tcW w:w="1080" w:type="dxa"/>
            <w:vAlign w:val="bottom"/>
          </w:tcPr>
          <w:p>
            <w:pPr>
              <w:spacing w:after="0"/>
              <w:rPr>
                <w:sz w:val="24"/>
                <w:szCs w:val="24"/>
                <w:color w:val="auto"/>
              </w:rPr>
            </w:pP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premiums earned</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claims incurred for life, property, casualty and health insurance contracts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25</w:t>
            </w:r>
          </w:p>
        </w:tc>
      </w:tr>
      <w:tr>
        <w:trPr>
          <w:trHeight w:val="411"/>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Total premiums earned less claims</w:t>
            </w:r>
          </w:p>
        </w:tc>
        <w:tc>
          <w:tcPr>
            <w:tcW w:w="1080" w:type="dxa"/>
            <w:vAlign w:val="bottom"/>
          </w:tcPr>
          <w:p>
            <w:pPr>
              <w:spacing w:after="0"/>
              <w:rPr>
                <w:sz w:val="24"/>
                <w:szCs w:val="24"/>
                <w:color w:val="auto"/>
              </w:rPr>
            </w:pPr>
          </w:p>
        </w:tc>
      </w:tr>
      <w:tr>
        <w:trPr>
          <w:trHeight w:val="371"/>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1080" w:type="dxa"/>
            <w:vAlign w:val="bottom"/>
          </w:tcPr>
          <w:p>
            <w:pPr>
              <w:spacing w:after="0"/>
              <w:rPr>
                <w:sz w:val="24"/>
                <w:szCs w:val="24"/>
                <w:color w:val="auto"/>
              </w:rPr>
            </w:pP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social benefits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26</w:t>
            </w: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 expenses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27</w:t>
            </w: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10(a) y 11(a)</w:t>
            </w: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10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7"/>
              </w:rPr>
              <w:t>11(b)</w:t>
            </w: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impairment loss on available-for-sale investments</w:t>
            </w:r>
          </w:p>
        </w:tc>
        <w:tc>
          <w:tcPr>
            <w:tcW w:w="10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6(a)</w:t>
            </w:r>
          </w:p>
        </w:tc>
      </w:t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loss on financial assets at fair value through profit or loss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8</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0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-4013200</wp:posOffset>
            </wp:positionV>
            <wp:extent cx="7261225"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-3768090</wp:posOffset>
            </wp:positionV>
            <wp:extent cx="7261225" cy="130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-3507105</wp:posOffset>
            </wp:positionV>
            <wp:extent cx="7261225" cy="122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-3261360</wp:posOffset>
            </wp:positionV>
            <wp:extent cx="7261225" cy="130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-3000375</wp:posOffset>
            </wp:positionV>
            <wp:extent cx="7261225" cy="13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-2739390</wp:posOffset>
            </wp:positionV>
            <wp:extent cx="7261225"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-2493645</wp:posOffset>
            </wp:positionV>
            <wp:extent cx="7261225"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-2247900</wp:posOffset>
            </wp:positionV>
            <wp:extent cx="7261225"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-1994535</wp:posOffset>
            </wp:positionV>
            <wp:extent cx="7261225" cy="130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-1733550</wp:posOffset>
            </wp:positionV>
            <wp:extent cx="7261225"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-1488440</wp:posOffset>
            </wp:positionV>
            <wp:extent cx="7261225" cy="130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-1227455</wp:posOffset>
            </wp:positionV>
            <wp:extent cx="7261225" cy="122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-981710</wp:posOffset>
            </wp:positionV>
            <wp:extent cx="7261225" cy="122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-735965</wp:posOffset>
            </wp:positionV>
            <wp:extent cx="7261225"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-490220</wp:posOffset>
            </wp:positionV>
            <wp:extent cx="7261225" cy="122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-244475</wp:posOffset>
            </wp:positionV>
            <wp:extent cx="7261225" cy="122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225" cy="1225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261225" cy="13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225" cy="130175"/>
                    </a:xfrm>
                    <a:prstGeom prst="rect">
                      <a:avLst/>
                    </a:prstGeom>
                    <a:noFill/>
                  </pic:spPr>
                </pic:pic>
              </a:graphicData>
            </a:graphic>
          </wp:anchor>
        </w:drawing>
      </w:r>
    </w:p>
    <w:p>
      <w:pPr>
        <w:spacing w:after="0" w:line="3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8"/>
                <w:szCs w:val="18"/>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 w:type="dxa"/>
            <w:vAlign w:val="bottom"/>
          </w:tcPr>
          <w:p>
            <w:pPr>
              <w:spacing w:after="0"/>
              <w:rPr>
                <w:sz w:val="17"/>
                <w:szCs w:val="17"/>
                <w:color w:val="auto"/>
              </w:rPr>
            </w:pPr>
          </w:p>
        </w:tc>
      </w:tr>
      <w:tr>
        <w:trPr>
          <w:trHeight w:val="368"/>
        </w:trPr>
        <w:tc>
          <w:tcPr>
            <w:tcW w:w="1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10,817,555</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9,992,027</w:t>
            </w:r>
          </w:p>
        </w:tc>
        <w:tc>
          <w:tcPr>
            <w:tcW w:w="2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8,600,866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(2,914,714)</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(2,527,133)</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(2,191,062)</w:t>
            </w:r>
          </w:p>
        </w:tc>
      </w:tr>
      <w:tr>
        <w:trPr>
          <w:trHeight w:val="379"/>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7,902,841</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7,464,894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6,409,804</w:t>
            </w: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(1,785,495)</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(1,880,898)</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(1,715,809)</w:t>
            </w:r>
          </w:p>
        </w:tc>
      </w:tr>
      <w:tr>
        <w:trPr>
          <w:trHeight w:val="391"/>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6,117,346</w:t>
            </w:r>
          </w:p>
        </w:tc>
        <w:tc>
          <w:tcPr>
            <w:tcW w:w="22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5,583,996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4,693,995</w:t>
            </w: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556"/>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2,771,561</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2,644,191</w:t>
            </w:r>
          </w:p>
        </w:tc>
        <w:tc>
          <w:tcPr>
            <w:tcW w:w="2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2,521,829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698,159</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773,798</w:t>
            </w:r>
          </w:p>
        </w:tc>
        <w:tc>
          <w:tcPr>
            <w:tcW w:w="220" w:type="dxa"/>
            <w:vAlign w:val="bottom"/>
          </w:tcPr>
          <w:p>
            <w:pPr>
              <w:spacing w:after="0"/>
              <w:rPr>
                <w:sz w:val="16"/>
                <w:szCs w:val="16"/>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453,405</w:t>
            </w:r>
          </w:p>
        </w:tc>
      </w:tr>
      <w:tr>
        <w:trPr>
          <w:trHeight w:val="193"/>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336,759</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248,723</w:t>
            </w:r>
          </w:p>
        </w:tc>
        <w:tc>
          <w:tcPr>
            <w:tcW w:w="220" w:type="dxa"/>
            <w:vAlign w:val="bottom"/>
          </w:tcPr>
          <w:p>
            <w:pPr>
              <w:spacing w:after="0"/>
              <w:rPr>
                <w:sz w:val="16"/>
                <w:szCs w:val="16"/>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220,737</w:t>
            </w:r>
          </w:p>
        </w:tc>
      </w:tr>
      <w:tr>
        <w:trPr>
          <w:trHeight w:val="205"/>
        </w:trPr>
        <w:tc>
          <w:tcPr>
            <w:tcW w:w="1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51,667</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344,460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325,666</w:t>
            </w:r>
          </w:p>
        </w:tc>
        <w:tc>
          <w:tcPr>
            <w:tcW w:w="22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639,572</w:t>
            </w:r>
          </w:p>
        </w:tc>
      </w:tr>
      <w:tr>
        <w:trPr>
          <w:trHeight w:val="186"/>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4,202,606</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3,992,378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3,835,543</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556"/>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1,799,115</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1,733,978</w:t>
            </w:r>
          </w:p>
        </w:tc>
        <w:tc>
          <w:tcPr>
            <w:tcW w:w="2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2,189,666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(1,098,905)</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(1,031,659)</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(1,426,733)</w:t>
            </w:r>
          </w:p>
        </w:tc>
      </w:tr>
      <w:tr>
        <w:trPr>
          <w:trHeight w:val="379"/>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700,210</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702,319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762,933</w:t>
            </w:r>
          </w:p>
        </w:tc>
        <w:tc>
          <w:tcPr>
            <w:tcW w:w="40" w:type="dxa"/>
            <w:vAlign w:val="bottom"/>
            <w:gridSpan w:val="2"/>
          </w:tcPr>
          <w:p>
            <w:pPr>
              <w:spacing w:after="0"/>
              <w:rPr>
                <w:sz w:val="24"/>
                <w:szCs w:val="24"/>
                <w:color w:val="auto"/>
              </w:rPr>
            </w:pPr>
          </w:p>
        </w:tc>
      </w:tr>
      <w:tr>
        <w:trPr>
          <w:trHeight w:val="564"/>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(2,942,743)</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(2,878,318)</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(2,673,431)</w:t>
            </w:r>
          </w:p>
        </w:tc>
      </w:tr>
      <w:tr>
        <w:trPr>
          <w:trHeight w:val="19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(2,094,678)</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(1,995,802)</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(1,930,483)</w:t>
            </w:r>
          </w:p>
        </w:tc>
      </w:tr>
      <w:tr>
        <w:trPr>
          <w:trHeight w:val="19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(407,061)</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(396,497)</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(433,787)</w:t>
            </w:r>
          </w:p>
        </w:tc>
      </w:tr>
      <w:tr>
        <w:trPr>
          <w:trHeight w:val="19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(82,374)</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(92,583)</w:t>
            </w:r>
          </w:p>
        </w:tc>
      </w:tr>
      <w:tr>
        <w:trPr>
          <w:trHeight w:val="19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(14,459)</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(43,801)</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(7,794)</w:t>
            </w:r>
          </w:p>
        </w:tc>
      </w:tr>
      <w:tr>
        <w:trPr>
          <w:trHeight w:val="193"/>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(33,500)</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(4,098)</w:t>
            </w:r>
          </w:p>
        </w:tc>
      </w:tr>
      <w:tr>
        <w:trPr>
          <w:trHeight w:val="222"/>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(609,075)</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(534,372)</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(932,920)</w:t>
            </w:r>
          </w:p>
        </w:tc>
      </w:tr>
      <w:tr>
        <w:trPr>
          <w:trHeight w:val="186"/>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(6,068,110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(5,964,664</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(6,075,096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bl>
    <w:p>
      <w:pPr>
        <w:sectPr>
          <w:pgSz w:w="11900" w:h="16838" w:orient="portrait"/>
          <w:cols w:equalWidth="0" w:num="2">
            <w:col w:w="6260" w:space="260"/>
            <w:col w:w="4900"/>
          </w:cols>
          <w:pgMar w:left="240" w:top="822"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Note</w:t>
            </w:r>
          </w:p>
        </w:tc>
        <w:tc>
          <w:tcPr>
            <w:tcW w:w="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170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2015</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before exchange difference and income tax</w:t>
            </w:r>
          </w:p>
        </w:tc>
        <w:tc>
          <w:tcPr>
            <w:tcW w:w="1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4,952,052</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4,314,029</w:t>
            </w:r>
          </w:p>
        </w:tc>
        <w:tc>
          <w:tcPr>
            <w:tcW w:w="2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3,217,375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w:t>
            </w: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(60,624)</w:t>
            </w:r>
          </w:p>
        </w:tc>
        <w:tc>
          <w:tcPr>
            <w:tcW w:w="64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46,563</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172,095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w:t>
            </w:r>
          </w:p>
        </w:tc>
        <w:tc>
          <w:tcPr>
            <w:tcW w:w="12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7"/>
              </w:rPr>
              <w:t>19(b)</w:t>
            </w: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(1,281,448)</w:t>
            </w:r>
          </w:p>
        </w:tc>
        <w:tc>
          <w:tcPr>
            <w:tcW w:w="6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(1,197,207)</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(968,224)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122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3,609,980</w:t>
            </w:r>
          </w:p>
        </w:tc>
        <w:tc>
          <w:tcPr>
            <w:tcW w:w="2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3,163,385</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2,421,246</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1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Credicorp’s equity holders</w:t>
            </w: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3,514,582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3,092,303</w:t>
            </w:r>
          </w:p>
        </w:tc>
        <w:tc>
          <w:tcPr>
            <w:tcW w:w="2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2,387,852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95,398</w:t>
            </w:r>
          </w:p>
        </w:tc>
        <w:tc>
          <w:tcPr>
            <w:tcW w:w="6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71,082</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33,394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3,609,980</w:t>
            </w:r>
          </w:p>
        </w:tc>
        <w:tc>
          <w:tcPr>
            <w:tcW w:w="2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3,163,385</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2,421,246</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28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basic and dilutive earnings per share attributable to equity holders of</w:t>
            </w: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Credicorp Ltd. (in Peruvian Soles):</w:t>
            </w: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22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29</w:t>
            </w: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2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Dilutive</w:t>
            </w: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29</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22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29.97</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- 11 -</w:t>
            </w: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THE YEARS ENDED DECEMBER 31, 2016, 2015 AND 2014</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500" w:type="dxa"/>
            <w:vAlign w:val="bottom"/>
          </w:tcPr>
          <w:p>
            <w:pPr>
              <w:ind w:left="56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 for the year</w:t>
            </w: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3,609,980</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3,163,385</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2,421,246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61225" cy="245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225" cy="2457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Other comprehensive income to be reclassified to profit or loss in subsequent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periods:</w:t>
      </w:r>
    </w:p>
    <w:p>
      <w:pPr>
        <w:sectPr>
          <w:pgSz w:w="11900" w:h="16838" w:orient="portrait"/>
          <w:cols w:equalWidth="0" w:num="1">
            <w:col w:w="11440"/>
          </w:cols>
          <w:pgMar w:left="240" w:top="822" w:right="219" w:bottom="1440" w:gutter="0" w:footer="0" w:header="0"/>
        </w:sectPr>
      </w:pP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Net (loss) gain on investments available for sale</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2"/>
              </w:rPr>
              <w:t>18(d)</w:t>
            </w: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Income tax</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2"/>
              </w:rPr>
              <w:t>18(d)</w:t>
            </w:r>
          </w:p>
        </w:tc>
      </w:tr>
      <w:tr>
        <w:trPr>
          <w:trHeight w:val="588"/>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Net movement on cashflow hedges</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2"/>
              </w:rPr>
              <w:t>18(d)</w:t>
            </w: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Income tax</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2"/>
              </w:rPr>
              <w:t>18(d)</w:t>
            </w:r>
          </w:p>
        </w:tc>
      </w:tr>
      <w:tr>
        <w:trPr>
          <w:trHeight w:val="604"/>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 on translation of foreign Operations</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2"/>
              </w:rPr>
              <w:t>18(d)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-1135380</wp:posOffset>
            </wp:positionV>
            <wp:extent cx="7261225" cy="122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-882015</wp:posOffset>
            </wp:positionV>
            <wp:extent cx="7261225" cy="130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-628650</wp:posOffset>
            </wp:positionV>
            <wp:extent cx="7261225"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-375285</wp:posOffset>
            </wp:positionV>
            <wp:extent cx="7261225" cy="130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-121920</wp:posOffset>
            </wp:positionV>
            <wp:extent cx="7261225" cy="130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130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225" cy="13017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920"/>
        <w:spacing w:after="0" w:line="288" w:lineRule="auto"/>
        <w:rPr>
          <w:sz w:val="20"/>
          <w:szCs w:val="20"/>
          <w:color w:val="auto"/>
        </w:rPr>
      </w:pPr>
      <w:r>
        <w:rPr>
          <w:rFonts w:ascii="Times New Roman" w:cs="Times New Roman" w:eastAsia="Times New Roman" w:hAnsi="Times New Roman"/>
          <w:sz w:val="16"/>
          <w:szCs w:val="16"/>
          <w:b w:val="1"/>
          <w:bCs w:val="1"/>
          <w:color w:val="auto"/>
        </w:rPr>
        <w:t>Net other comprehensive (loss) income to be reclassified to profit or loss in subsequent periods,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-267970</wp:posOffset>
            </wp:positionV>
            <wp:extent cx="7261225" cy="253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225" cy="25336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comprehensive income for the year,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261225" cy="122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225" cy="1225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61225" cy="12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225" cy="1225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holders of Credicorp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261225" cy="13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225" cy="130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518,658</w:t>
            </w:r>
          </w:p>
        </w:tc>
        <w:tc>
          <w:tcPr>
            <w:tcW w:w="22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(635,743)</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197,397</w:t>
            </w:r>
          </w:p>
        </w:tc>
        <w:tc>
          <w:tcPr>
            <w:tcW w:w="40" w:type="dxa"/>
            <w:vAlign w:val="bottom"/>
          </w:tcPr>
          <w:p>
            <w:pPr>
              <w:spacing w:after="0"/>
              <w:rPr>
                <w:sz w:val="16"/>
                <w:szCs w:val="16"/>
                <w:color w:val="auto"/>
              </w:rPr>
            </w:pPr>
          </w:p>
        </w:tc>
      </w:tr>
      <w:tr>
        <w:trPr>
          <w:trHeight w:val="222"/>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(22,975)</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18,503</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40" w:type="dxa"/>
            <w:vAlign w:val="bottom"/>
          </w:tcPr>
          <w:p>
            <w:pPr>
              <w:spacing w:after="0"/>
              <w:rPr>
                <w:sz w:val="19"/>
                <w:szCs w:val="19"/>
                <w:color w:val="auto"/>
              </w:rPr>
            </w:pPr>
          </w:p>
        </w:tc>
      </w:tr>
      <w:tr>
        <w:trPr>
          <w:trHeight w:val="202"/>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495,683</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(617,240)</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204,250</w:t>
            </w:r>
          </w:p>
        </w:tc>
        <w:tc>
          <w:tcPr>
            <w:tcW w:w="40" w:type="dxa"/>
            <w:vAlign w:val="bottom"/>
          </w:tcPr>
          <w:p>
            <w:pPr>
              <w:spacing w:after="0"/>
              <w:rPr>
                <w:sz w:val="17"/>
                <w:szCs w:val="17"/>
                <w:color w:val="auto"/>
              </w:rPr>
            </w:pPr>
          </w:p>
        </w:tc>
      </w:tr>
      <w:tr>
        <w:trPr>
          <w:trHeight w:val="354"/>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(22,109)</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41,069</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18,888</w:t>
            </w:r>
          </w:p>
        </w:tc>
        <w:tc>
          <w:tcPr>
            <w:tcW w:w="40" w:type="dxa"/>
            <w:vAlign w:val="bottom"/>
          </w:tcPr>
          <w:p>
            <w:pPr>
              <w:spacing w:after="0"/>
              <w:rPr>
                <w:sz w:val="24"/>
                <w:szCs w:val="24"/>
                <w:color w:val="auto"/>
              </w:rPr>
            </w:pPr>
          </w:p>
        </w:tc>
      </w:tr>
      <w:tr>
        <w:trPr>
          <w:trHeight w:val="222"/>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(1,956)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02"/>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(19,815)</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39,113</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17,872</w:t>
            </w:r>
          </w:p>
        </w:tc>
        <w:tc>
          <w:tcPr>
            <w:tcW w:w="40" w:type="dxa"/>
            <w:vAlign w:val="bottom"/>
          </w:tcPr>
          <w:p>
            <w:pPr>
              <w:spacing w:after="0"/>
              <w:rPr>
                <w:sz w:val="17"/>
                <w:szCs w:val="17"/>
                <w:color w:val="auto"/>
              </w:rPr>
            </w:pPr>
          </w:p>
        </w:tc>
      </w:tr>
      <w:tr>
        <w:trPr>
          <w:trHeight w:val="383"/>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(26,571)</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270,907</w:t>
            </w:r>
          </w:p>
        </w:tc>
        <w:tc>
          <w:tcPr>
            <w:tcW w:w="2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(54,005)</w:t>
            </w:r>
          </w:p>
        </w:tc>
      </w:tr>
      <w:tr>
        <w:trPr>
          <w:trHeight w:val="20"/>
        </w:trPr>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1"/>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(26,571)</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270,907</w:t>
            </w:r>
          </w:p>
        </w:tc>
        <w:tc>
          <w:tcPr>
            <w:tcW w:w="2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(54,005)</w:t>
            </w:r>
          </w:p>
        </w:tc>
      </w:tr>
      <w:tr>
        <w:trPr>
          <w:trHeight w:val="20"/>
        </w:trPr>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4"/>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449,297</w:t>
            </w:r>
          </w:p>
        </w:tc>
        <w:tc>
          <w:tcPr>
            <w:tcW w:w="22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(307,220)</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168,117</w:t>
            </w:r>
          </w:p>
        </w:tc>
        <w:tc>
          <w:tcPr>
            <w:tcW w:w="40" w:type="dxa"/>
            <w:vAlign w:val="bottom"/>
          </w:tcPr>
          <w:p>
            <w:pPr>
              <w:spacing w:after="0"/>
              <w:rPr>
                <w:sz w:val="24"/>
                <w:szCs w:val="24"/>
                <w:color w:val="auto"/>
              </w:rPr>
            </w:pPr>
          </w:p>
        </w:tc>
      </w:tr>
      <w:tr>
        <w:trPr>
          <w:trHeight w:val="379"/>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4,059,277</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2,856,165</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2,589,363</w:t>
            </w:r>
          </w:p>
        </w:tc>
        <w:tc>
          <w:tcPr>
            <w:tcW w:w="40" w:type="dxa"/>
            <w:vAlign w:val="bottom"/>
          </w:tcPr>
          <w:p>
            <w:pPr>
              <w:spacing w:after="0"/>
              <w:rPr>
                <w:sz w:val="24"/>
                <w:szCs w:val="24"/>
                <w:color w:val="auto"/>
              </w:rPr>
            </w:pPr>
          </w:p>
        </w:tc>
      </w:tr>
      <w:tr>
        <w:trPr>
          <w:trHeight w:val="576"/>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3,961,618</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2,831,612</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2,550,093</w:t>
            </w:r>
          </w:p>
        </w:tc>
        <w:tc>
          <w:tcPr>
            <w:tcW w:w="40" w:type="dxa"/>
            <w:vAlign w:val="bottom"/>
          </w:tcPr>
          <w:p>
            <w:pPr>
              <w:spacing w:after="0"/>
              <w:rPr>
                <w:sz w:val="24"/>
                <w:szCs w:val="24"/>
                <w:color w:val="auto"/>
              </w:rPr>
            </w:pPr>
          </w:p>
        </w:tc>
      </w:tr>
      <w:tr>
        <w:trPr>
          <w:trHeight w:val="210"/>
        </w:trPr>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97,659</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24,553</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39,270</w:t>
            </w:r>
          </w:p>
        </w:tc>
        <w:tc>
          <w:tcPr>
            <w:tcW w:w="40" w:type="dxa"/>
            <w:vAlign w:val="bottom"/>
          </w:tcPr>
          <w:p>
            <w:pPr>
              <w:spacing w:after="0"/>
              <w:rPr>
                <w:sz w:val="18"/>
                <w:szCs w:val="18"/>
                <w:color w:val="auto"/>
              </w:rPr>
            </w:pPr>
          </w:p>
        </w:tc>
      </w:tr>
      <w:tr>
        <w:trPr>
          <w:trHeight w:val="186"/>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4,059,277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2,856,165</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2,589,363</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6000" w:space="520"/>
            <w:col w:w="4920"/>
          </w:cols>
          <w:pgMar w:left="240" w:top="822" w:right="21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2" w:right="2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CREDICORP LTD. Y SUBSIDIARIES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STATEMENT OF CHANGES IN EQUITY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2016, 2015 AND 2014</w:t>
      </w:r>
    </w:p>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Attributable to equity holders of Credicorp Ltd.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Other reserves</w:t>
            </w:r>
          </w:p>
        </w:tc>
        <w:tc>
          <w:tcPr>
            <w:tcW w:w="5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Available-</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62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Foreign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Put</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for-sale</w:t>
            </w:r>
          </w:p>
        </w:tc>
        <w:tc>
          <w:tcPr>
            <w:tcW w:w="760" w:type="dxa"/>
            <w:vAlign w:val="bottom"/>
            <w:gridSpan w:val="2"/>
            <w:vMerge w:val="continue"/>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issued notes</w:t>
            </w:r>
          </w:p>
        </w:tc>
        <w:tc>
          <w:tcPr>
            <w:tcW w:w="7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Reserves</w:t>
            </w:r>
          </w:p>
        </w:tc>
        <w:tc>
          <w:tcPr>
            <w:tcW w:w="180" w:type="dxa"/>
            <w:vAlign w:val="bottom"/>
            <w:vMerge w:val="restart"/>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7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hedge</w:t>
            </w:r>
          </w:p>
        </w:tc>
        <w:tc>
          <w:tcPr>
            <w:tcW w:w="7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860" w:type="dxa"/>
            <w:vAlign w:val="bottom"/>
            <w:gridSpan w:val="3"/>
            <w:vMerge w:val="continue"/>
          </w:tcPr>
          <w:p>
            <w:pPr>
              <w:spacing w:after="0"/>
              <w:rPr>
                <w:sz w:val="11"/>
                <w:szCs w:val="11"/>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18 (a) and 29</w:t>
            </w:r>
          </w:p>
        </w:tc>
        <w:tc>
          <w:tcPr>
            <w:tcW w:w="1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20" w:type="dxa"/>
            <w:vAlign w:val="bottom"/>
          </w:tcPr>
          <w:p>
            <w:pPr>
              <w:spacing w:after="0"/>
              <w:rPr>
                <w:sz w:val="13"/>
                <w:szCs w:val="13"/>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40" w:type="dxa"/>
            <w:vAlign w:val="bottom"/>
            <w:gridSpan w:val="3"/>
            <w:vMerge w:val="continue"/>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vMerge w:val="continue"/>
          </w:tcPr>
          <w:p>
            <w:pPr>
              <w:spacing w:after="0"/>
              <w:rPr>
                <w:sz w:val="8"/>
                <w:szCs w:val="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vMerge w:val="restart"/>
          </w:tcPr>
          <w:p>
            <w:pPr>
              <w:spacing w:after="0"/>
              <w:rPr>
                <w:sz w:val="8"/>
                <w:szCs w:val="8"/>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vMerge w:val="restart"/>
          </w:tcPr>
          <w:p>
            <w:pPr>
              <w:spacing w:after="0"/>
              <w:rPr>
                <w:sz w:val="8"/>
                <w:szCs w:val="8"/>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vMerge w:val="restart"/>
          </w:tcPr>
          <w:p>
            <w:pPr>
              <w:spacing w:after="0"/>
              <w:rPr>
                <w:sz w:val="8"/>
                <w:szCs w:val="8"/>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vMerge w:val="restart"/>
          </w:tcPr>
          <w:p>
            <w:pPr>
              <w:spacing w:after="0"/>
              <w:rPr>
                <w:sz w:val="8"/>
                <w:szCs w:val="8"/>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vMerge w:val="restart"/>
          </w:tcPr>
          <w:p>
            <w:pPr>
              <w:spacing w:after="0"/>
              <w:rPr>
                <w:sz w:val="8"/>
                <w:szCs w:val="8"/>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vMerge w:val="restart"/>
          </w:tcPr>
          <w:p>
            <w:pPr>
              <w:spacing w:after="0"/>
              <w:rPr>
                <w:sz w:val="8"/>
                <w:szCs w:val="8"/>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vMerge w:val="restart"/>
          </w:tcPr>
          <w:p>
            <w:pPr>
              <w:spacing w:after="0"/>
              <w:rPr>
                <w:sz w:val="8"/>
                <w:szCs w:val="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vMerge w:val="restart"/>
          </w:tcPr>
          <w:p>
            <w:pPr>
              <w:spacing w:after="0"/>
              <w:rPr>
                <w:sz w:val="8"/>
                <w:szCs w:val="8"/>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S/(000)</w:t>
            </w: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S/(000)</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of units)</w:t>
            </w:r>
          </w:p>
        </w:tc>
        <w:tc>
          <w:tcPr>
            <w:tcW w:w="6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020" w:type="dxa"/>
            <w:vAlign w:val="bottom"/>
            <w:tcBorders>
              <w:right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Balances at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94,382</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1,318,994</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(208,127)</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275,570</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8,268,894</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(340,353)</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1,027,763</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(11,935)</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(154,683)</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1,655,388</w:t>
            </w:r>
          </w:p>
        </w:tc>
        <w:tc>
          <w:tcPr>
            <w:tcW w:w="120" w:type="dxa"/>
            <w:vAlign w:val="bottom"/>
            <w:shd w:val="clear" w:color="auto" w:fill="CCEEFF"/>
          </w:tcPr>
          <w:p>
            <w:pPr>
              <w:spacing w:after="0"/>
              <w:rPr>
                <w:sz w:val="9"/>
                <w:szCs w:val="9"/>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11,831,511</w:t>
            </w:r>
          </w:p>
        </w:tc>
        <w:tc>
          <w:tcPr>
            <w:tcW w:w="8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511,594</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12,343,105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January 01, 2014</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Changes in equity</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 2014</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Net profit for the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2,387,852</w:t>
            </w:r>
          </w:p>
        </w:tc>
        <w:tc>
          <w:tcPr>
            <w:tcW w:w="120" w:type="dxa"/>
            <w:vAlign w:val="bottom"/>
            <w:shd w:val="clear" w:color="auto" w:fill="CCEEFF"/>
          </w:tcPr>
          <w:p>
            <w:pPr>
              <w:spacing w:after="0"/>
              <w:rPr>
                <w:sz w:val="9"/>
                <w:szCs w:val="9"/>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2,387,852</w:t>
            </w:r>
          </w:p>
        </w:tc>
        <w:tc>
          <w:tcPr>
            <w:tcW w:w="8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33,394</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2,421,246</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year</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Other</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195,852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17,872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(51,483)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162,241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5,876</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20" w:type="dxa"/>
            <w:vAlign w:val="bottom"/>
            <w:tcBorders>
              <w:top w:val="single" w:sz="8" w:color="CCEEFF"/>
              <w:right w:val="single" w:sz="8" w:color="CCEEFF"/>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Total</w:t>
            </w: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195,852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17,872</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(51,483)</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2,387,852</w:t>
            </w: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2,550,093</w:t>
            </w:r>
          </w:p>
        </w:tc>
        <w:tc>
          <w:tcPr>
            <w:tcW w:w="8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39,270</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2,589,363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Transfers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retained earnings</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to reserves, note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1,200,853</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(1,200,853)</w:t>
            </w: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18(c)</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Dividend</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distribution, note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(429,413)</w:t>
            </w: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(429,413)</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(429,413)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18(e)</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Purchase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treasury stock,</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(1,772)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(43,850)</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(45,622)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(45,622)</w:t>
            </w: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 18(b)</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Share-based</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payments and</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1,715</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71,221</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153</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73,089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Dividends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subsidiaries and</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(203)</w:t>
            </w: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(203)</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(8,715)</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(8,918)</w:t>
            </w: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Acquisition of</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subsidiary -</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Mibanco, note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268,042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268,042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2(d)(i)</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Acquisition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non-controlling</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 Mibanco</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(163,621)</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(163,621)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Borders>
              <w:top w:val="single" w:sz="8" w:color="CCEEFF"/>
              <w:right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Balances at</w:t>
            </w:r>
          </w:p>
        </w:tc>
        <w:tc>
          <w:tcPr>
            <w:tcW w:w="7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2014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94,382</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1,318,994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(208,184)</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302,941</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9,469,900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(340,353)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1,223,615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5,937</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(206,166)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2,412,771</w:t>
            </w:r>
          </w:p>
        </w:tc>
        <w:tc>
          <w:tcPr>
            <w:tcW w:w="1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13,979,455</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646,570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14,626,025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vMerge w:val="restart"/>
          </w:tcPr>
          <w:p>
            <w:pPr>
              <w:spacing w:after="0" w:line="113" w:lineRule="exact"/>
              <w:rPr>
                <w:sz w:val="20"/>
                <w:szCs w:val="20"/>
                <w:color w:val="auto"/>
              </w:rPr>
            </w:pPr>
            <w:r>
              <w:rPr>
                <w:rFonts w:ascii="Times New Roman" w:cs="Times New Roman" w:eastAsia="Times New Roman" w:hAnsi="Times New Roman"/>
                <w:sz w:val="13"/>
                <w:szCs w:val="13"/>
                <w:color w:val="auto"/>
              </w:rPr>
              <w:t>Changes in equity</w:t>
            </w: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8"/>
                <w:szCs w:val="8"/>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8"/>
                <w:szCs w:val="8"/>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 2015</w:t>
            </w:r>
          </w:p>
        </w:tc>
        <w:tc>
          <w:tcPr>
            <w:tcW w:w="7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Net profit for the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3,092,303</w:t>
            </w:r>
          </w:p>
        </w:tc>
        <w:tc>
          <w:tcPr>
            <w:tcW w:w="120" w:type="dxa"/>
            <w:vAlign w:val="bottom"/>
            <w:shd w:val="clear" w:color="auto" w:fill="CCEEFF"/>
          </w:tcPr>
          <w:p>
            <w:pPr>
              <w:spacing w:after="0"/>
              <w:rPr>
                <w:sz w:val="9"/>
                <w:szCs w:val="9"/>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3,092,303</w:t>
            </w:r>
          </w:p>
        </w:tc>
        <w:tc>
          <w:tcPr>
            <w:tcW w:w="8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71,082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3,163,385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year</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Other</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(570,711)</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39,113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270,907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(260,691)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(46,529)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(307,220)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20" w:type="dxa"/>
            <w:vAlign w:val="bottom"/>
            <w:tcBorders>
              <w:top w:val="single" w:sz="8" w:color="CCEEFF"/>
              <w:right w:val="single" w:sz="8" w:color="CCEEFF"/>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Total</w:t>
            </w: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right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(570,711)</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39,113</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270,907</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3,092,303</w:t>
            </w: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2,831,612</w:t>
            </w:r>
          </w:p>
        </w:tc>
        <w:tc>
          <w:tcPr>
            <w:tcW w:w="8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24,553</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2,856,165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Transfer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retained earnings</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to reserves, note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1,820,483</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(1,820,483)</w:t>
            </w: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18(c)</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Dividend</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distribution, note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(539,985)</w:t>
            </w: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(539,985)</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(539,985)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18(e)</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Dividends of</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(11,173)</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(11,173)</w:t>
            </w: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subsidiaries</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Purchase of</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treasury stock,</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(2,452)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(70,516)</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(72,968)</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(72,968)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 18(b)</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Share-based</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payment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1,658</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51,746</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9,481</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62,885</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62,885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transactions</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2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Others</w:t>
            </w:r>
          </w:p>
        </w:tc>
        <w:tc>
          <w:tcPr>
            <w:tcW w:w="9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w:t>
            </w:r>
          </w:p>
        </w:tc>
        <w:tc>
          <w:tcPr>
            <w:tcW w:w="7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(77,833)</w:t>
            </w: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(55,149)</w:t>
            </w:r>
          </w:p>
        </w:tc>
        <w:tc>
          <w:tcPr>
            <w:tcW w:w="9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(132,983)</w:t>
            </w:r>
          </w:p>
        </w:tc>
        <w:tc>
          <w:tcPr>
            <w:tcW w:w="82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(60,396)</w:t>
            </w:r>
          </w:p>
        </w:tc>
        <w:tc>
          <w:tcPr>
            <w:tcW w:w="7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(193,379)</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Balances at</w:t>
            </w:r>
          </w:p>
        </w:tc>
        <w:tc>
          <w:tcPr>
            <w:tcW w:w="7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2015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94,382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1,318,993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(208,978)</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284,171</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11,222,031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(340,353)</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652,904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45,050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64,741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3,089,457</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16,128,016</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599,554</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16,727,570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right w:val="single" w:sz="8" w:color="CCEEFF"/>
            </w:tcBorders>
            <w:vMerge w:val="restart"/>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Changes in equity</w:t>
            </w: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020" w:type="dxa"/>
            <w:vAlign w:val="bottom"/>
            <w:tcBorders>
              <w:right w:val="single" w:sz="8" w:color="CCEEFF"/>
            </w:tcBorders>
            <w:vMerge w:val="continue"/>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8"/>
                <w:szCs w:val="8"/>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8"/>
                <w:szCs w:val="8"/>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 2016 -</w:t>
            </w:r>
          </w:p>
        </w:tc>
        <w:tc>
          <w:tcPr>
            <w:tcW w:w="76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Net profit for the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3,514,582</w:t>
            </w:r>
          </w:p>
        </w:tc>
        <w:tc>
          <w:tcPr>
            <w:tcW w:w="120" w:type="dxa"/>
            <w:vAlign w:val="bottom"/>
          </w:tcPr>
          <w:p>
            <w:pPr>
              <w:spacing w:after="0"/>
              <w:rPr>
                <w:sz w:val="9"/>
                <w:szCs w:val="9"/>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3,514,582</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95,398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3,609,980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year</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Other</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493,884</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(20,400)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(26,448)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447,036</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449,297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20" w:type="dxa"/>
            <w:vAlign w:val="bottom"/>
          </w:tcPr>
          <w:p>
            <w:pPr>
              <w:spacing w:after="0" w:line="93" w:lineRule="exact"/>
              <w:rPr>
                <w:sz w:val="20"/>
                <w:szCs w:val="20"/>
                <w:color w:val="auto"/>
              </w:rPr>
            </w:pPr>
            <w:r>
              <w:rPr>
                <w:rFonts w:ascii="Times New Roman" w:cs="Times New Roman" w:eastAsia="Times New Roman" w:hAnsi="Times New Roman"/>
                <w:sz w:val="10"/>
                <w:szCs w:val="10"/>
                <w:color w:val="auto"/>
              </w:rPr>
              <w:t>Total</w:t>
            </w: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493,884</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(20,400)</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(26,448)</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3,514,582</w:t>
            </w:r>
          </w:p>
        </w:tc>
        <w:tc>
          <w:tcPr>
            <w:tcW w:w="120" w:type="dxa"/>
            <w:vAlign w:val="bottom"/>
          </w:tcPr>
          <w:p>
            <w:pPr>
              <w:spacing w:after="0"/>
              <w:rPr>
                <w:sz w:val="11"/>
                <w:szCs w:val="11"/>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3,961,618</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97,659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4,059,277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Transfer of</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retained earnings</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to reserves, note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2,316,370</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(2,316,370)</w:t>
            </w: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18(c)</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Dividend</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distribution, note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(653,326)</w:t>
            </w: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(653,326)</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(653,326)</w:t>
            </w: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18(e)</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Dividends of</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(34,514)</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(34,514)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subsidiaries</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Purchase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treasury stock,</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(2,604)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(63,924)</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(66,528)</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(66,528)</w:t>
            </w: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 18(b)</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Borders>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Share-based</w:t>
            </w: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Borders>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payment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2,260</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60,629</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690</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63,579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63,579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transactions</w:t>
            </w: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Acquisition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non-controlling</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340,353</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(123,980)</w:t>
            </w: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216,373</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(216,373)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note 2(a)</w:t>
            </w:r>
          </w:p>
        </w:tc>
        <w:tc>
          <w:tcPr>
            <w:tcW w:w="9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2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Others</w:t>
            </w:r>
          </w:p>
        </w:tc>
        <w:tc>
          <w:tcPr>
            <w:tcW w:w="9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6,403</w:t>
            </w:r>
          </w:p>
        </w:tc>
        <w:tc>
          <w:tcPr>
            <w:tcW w:w="940" w:type="dxa"/>
            <w:vAlign w:val="bottom"/>
            <w:gridSpan w:val="3"/>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6,403</w:t>
            </w:r>
          </w:p>
        </w:tc>
        <w:tc>
          <w:tcPr>
            <w:tcW w:w="820" w:type="dxa"/>
            <w:vAlign w:val="bottom"/>
            <w:tcBorders>
              <w:right w:val="single" w:sz="8" w:color="CCEEFF"/>
            </w:tcBorders>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14,050</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20,453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Balances at</w:t>
            </w:r>
          </w:p>
        </w:tc>
        <w:tc>
          <w:tcPr>
            <w:tcW w:w="7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2016</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94,382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1,318,993</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(209,322)</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280,876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13,539,091</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1,146,788</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24,650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38,293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3,516,766</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19,656,135</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460,376</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20,116,511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822" w:right="219" w:bottom="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wp:posOffset>
            </wp:positionV>
            <wp:extent cx="726122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2"/>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THE YEARS ENDED DECEMBER 31, 2016, 2015 AND 2014</w:t>
            </w: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Note</w:t>
            </w:r>
          </w:p>
        </w:tc>
        <w:tc>
          <w:tcPr>
            <w:tcW w:w="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1600" w:type="dxa"/>
            <w:vAlign w:val="bottom"/>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0" w:type="dxa"/>
            <w:vAlign w:val="bottom"/>
            <w:vMerge w:val="restart"/>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4,891,428</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4,360,592</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3,389,470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(1,281,448)</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(1,197,207)</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(968,224)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Net profit</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3,609,980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3,163,385</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2,421,246</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Adjustment to reconcile net profit with net cash arising from operating</w:t>
            </w: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7(d)</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2,063,209</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2,052,177</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1,914,142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10(a) and 11(c)</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407,061</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396,497</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433,787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19(b)</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28,228</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(117,195)</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(252,710)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Adjustment of technical reserves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370,964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408,808</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445,997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available for-sale investments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6(a)</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14,459</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43,801</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Net loss (gain) on sales of securities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(336,759)</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(248,723)</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(220,737)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11(b)</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82,374</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92,583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various risks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12(d)</w:t>
            </w:r>
          </w:p>
        </w:tc>
        <w:tc>
          <w:tcPr>
            <w:tcW w:w="5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28,093</w:t>
            </w: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38,248</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70,094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(gain) on financial assets designated at fair value through profit and loss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(51,667)</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33,500</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Fluctuation of derivative financial instruments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(44,500)</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(207,938)</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(22,202)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sales of property, furniture and equipment</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45,076</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17,159</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Net profit from sale of seized and recovered assets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(1,377)</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(4,195)</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on shared-based compensation plan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94,871</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73,150</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60,624</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(46,563)</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(172,095)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changes in assets and liabilities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assets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(6,636,536)</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(7,754,794)</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(16,143,237)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Trading securities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(1,694,949)</w:t>
            </w: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232,293</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(1,025,924)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 for sale</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562,679</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(3,163,304)</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2,096,582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1,395,946</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(745,622)</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(4,238,686)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liabilities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Deposits and obligations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(1,981,653)</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6,105,203</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9,514,322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Banks and correspondents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(188,720)</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(2,164,131)</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2,822,467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Payables from repurchase agreements and security lending</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551,130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6,014,423</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4,788,153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Cash collaterals, receivable from reverse repurchase agreements and securities</w:t>
            </w:r>
          </w:p>
        </w:tc>
        <w:tc>
          <w:tcPr>
            <w:tcW w:w="1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(61,231)</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(4,585,838)</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(4,449,777)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Bonds and notes issued</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274,766</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(1,270,797)</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(1,342,704)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1,141,323</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1,211,378</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5,130,788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paid</w:t>
            </w: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(1,108,641)</w:t>
            </w:r>
          </w:p>
        </w:tc>
        <w:tc>
          <w:tcPr>
            <w:tcW w:w="52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(945,178)</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(1,028,466)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 from operating activities</w:t>
            </w:r>
          </w:p>
        </w:tc>
        <w:tc>
          <w:tcPr>
            <w:tcW w:w="13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(1,457,530</w:t>
            </w:r>
          </w:p>
        </w:tc>
        <w:tc>
          <w:tcPr>
            <w:tcW w:w="22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(1,381,882</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- 14 -</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Note</w:t>
            </w:r>
          </w:p>
        </w:tc>
        <w:tc>
          <w:tcPr>
            <w:tcW w:w="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160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FLOWS FROM INVESTING ACTIVITIES</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subsidiary, net of cash acquired</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731,813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for sale of property, furniture and equipment</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47,044</w:t>
            </w:r>
          </w:p>
        </w:tc>
        <w:tc>
          <w:tcPr>
            <w:tcW w:w="5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44,524</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Additions of property, furniture and equipment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(110,151)</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(148,426)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(301,734)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of intangible assets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(275,606)</w:t>
            </w:r>
          </w:p>
        </w:tc>
        <w:tc>
          <w:tcPr>
            <w:tcW w:w="5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(276,564)</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investments</w:t>
            </w: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(1,550,332)</w:t>
            </w:r>
          </w:p>
        </w:tc>
        <w:tc>
          <w:tcPr>
            <w:tcW w:w="50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(1,135,744)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(1,990,686)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flows from investing activities</w:t>
            </w:r>
          </w:p>
        </w:tc>
        <w:tc>
          <w:tcPr>
            <w:tcW w:w="13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(1,889,045</w:t>
            </w:r>
          </w:p>
        </w:tc>
        <w:tc>
          <w:tcPr>
            <w:tcW w:w="22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(1,516,210</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(1,787,690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FLOWS FROM FINANCING ACTIVITIES</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18(e)</w:t>
            </w: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(653,326)</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(539,985)</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(429,413)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bonds and notes issued</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(401,257)</w:t>
            </w:r>
          </w:p>
        </w:tc>
        <w:tc>
          <w:tcPr>
            <w:tcW w:w="5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666,805</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978,217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Credicorp 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18(b)</w:t>
            </w: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(66,528)</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(72,968)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(45,622)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2(a) and 2(d)</w:t>
            </w: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(489,866)</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flows from financing activities</w:t>
            </w:r>
          </w:p>
        </w:tc>
        <w:tc>
          <w:tcPr>
            <w:tcW w:w="138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(1,610,977</w:t>
            </w:r>
          </w:p>
        </w:tc>
        <w:tc>
          <w:tcPr>
            <w:tcW w:w="2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53,852</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339,561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Net increase (decrease) of cash and cash equivalents before effect of changes</w:t>
            </w:r>
          </w:p>
        </w:tc>
        <w:tc>
          <w:tcPr>
            <w:tcW w:w="1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 exchange rate</w:t>
            </w: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(4,957,552)</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(2,844,240)</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Effect of changes in Exchange rate of cash and cash equivalents</w:t>
            </w:r>
          </w:p>
        </w:tc>
        <w:tc>
          <w:tcPr>
            <w:tcW w:w="13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(454,120)</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3,199,642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beginning of the year</w:t>
            </w: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22,044,868</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21,689,466</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21,762,929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year</w:t>
            </w:r>
          </w:p>
        </w:tc>
        <w:tc>
          <w:tcPr>
            <w:tcW w:w="138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16,633,196</w:t>
            </w:r>
          </w:p>
        </w:tc>
        <w:tc>
          <w:tcPr>
            <w:tcW w:w="22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22,044,868</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21,689,466</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Additional information from cash flows</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10,670,591</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9,987,677</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8,406,602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(2,871,851)</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(2,510,247)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(2,124,733)</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flows transactions</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Incorporation of Mibanco net assets, Note 2(a)(i)</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(595,770)</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- 15 -</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14" w:name="page15"/>
    <w:bookmarkEnd w:id="14"/>
    <w:p>
      <w:pPr>
        <w:ind w:left="3"/>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NOTES TO THE CONSOLIDATED FINANCIAL STATEMENTS</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AS OF DECEMBER 31, 2016 AND 2015</w:t>
      </w:r>
    </w:p>
    <w:p>
      <w:pPr>
        <w:spacing w:after="0" w:line="185" w:lineRule="exact"/>
        <w:rPr>
          <w:sz w:val="20"/>
          <w:szCs w:val="20"/>
          <w:color w:val="auto"/>
        </w:rPr>
      </w:pPr>
    </w:p>
    <w:p>
      <w:pPr>
        <w:ind w:left="583" w:hanging="583"/>
        <w:spacing w:after="0"/>
        <w:tabs>
          <w:tab w:leader="none" w:pos="583"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OPERATIONS</w:t>
      </w:r>
    </w:p>
    <w:p>
      <w:pPr>
        <w:spacing w:after="0" w:line="205" w:lineRule="exact"/>
        <w:rPr>
          <w:sz w:val="20"/>
          <w:szCs w:val="20"/>
          <w:color w:val="auto"/>
        </w:rPr>
      </w:pPr>
    </w:p>
    <w:p>
      <w:pPr>
        <w:ind w:left="3" w:right="420"/>
        <w:spacing w:after="0" w:line="285" w:lineRule="auto"/>
        <w:rPr>
          <w:sz w:val="20"/>
          <w:szCs w:val="20"/>
          <w:color w:val="auto"/>
        </w:rPr>
      </w:pPr>
      <w:r>
        <w:rPr>
          <w:rFonts w:ascii="Times New Roman" w:cs="Times New Roman" w:eastAsia="Times New Roman" w:hAnsi="Times New Roman"/>
          <w:sz w:val="16"/>
          <w:szCs w:val="16"/>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43" w:lineRule="exact"/>
        <w:rPr>
          <w:sz w:val="20"/>
          <w:szCs w:val="20"/>
          <w:color w:val="auto"/>
        </w:rPr>
      </w:pPr>
    </w:p>
    <w:p>
      <w:pPr>
        <w:ind w:left="3"/>
        <w:spacing w:after="0" w:line="263" w:lineRule="auto"/>
        <w:rPr>
          <w:sz w:val="20"/>
          <w:szCs w:val="20"/>
          <w:color w:val="auto"/>
        </w:rPr>
      </w:pPr>
      <w:r>
        <w:rPr>
          <w:rFonts w:ascii="Times New Roman" w:cs="Times New Roman" w:eastAsia="Times New Roman" w:hAnsi="Times New Roman"/>
          <w:sz w:val="16"/>
          <w:szCs w:val="16"/>
          <w:color w:val="auto"/>
        </w:rPr>
        <w:t>Credicorp Ltd., through its banking and non-banking subsidiaries and its associate Entidad Prestadora de Salud, provides a wide range of financial, insurance and health services and products mainly throughout Peru and in certain other countries (see note 3(b)). Its major subsidiary is Banco de Crédito del Perú (hereinafter “BCP” or the “Bank”), a Peruvian universal bank. Credicorp’s address is Claredon House 2 Church Street Hamilton, Bermuda; likewise, administration offices of its representative in Peru are located in Calle Centenario Nº156, La Molina, Lima, Peru.</w:t>
      </w:r>
    </w:p>
    <w:p>
      <w:pPr>
        <w:spacing w:after="0" w:line="1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Credicorp is listed on the Lima and New York stock exchanges.</w:t>
      </w:r>
    </w:p>
    <w:p>
      <w:pPr>
        <w:spacing w:after="0" w:line="203" w:lineRule="exact"/>
        <w:rPr>
          <w:sz w:val="20"/>
          <w:szCs w:val="20"/>
          <w:color w:val="auto"/>
        </w:rPr>
      </w:pPr>
    </w:p>
    <w:p>
      <w:pPr>
        <w:ind w:left="3" w:right="160"/>
        <w:spacing w:after="0" w:line="263" w:lineRule="auto"/>
        <w:rPr>
          <w:sz w:val="20"/>
          <w:szCs w:val="20"/>
          <w:color w:val="auto"/>
        </w:rPr>
      </w:pPr>
      <w:r>
        <w:rPr>
          <w:rFonts w:ascii="Times New Roman" w:cs="Times New Roman" w:eastAsia="Times New Roman" w:hAnsi="Times New Roman"/>
          <w:sz w:val="16"/>
          <w:szCs w:val="16"/>
          <w:color w:val="auto"/>
        </w:rPr>
        <w:t>The consolidated financial statements as of and for the year ended December 31, 2015 were approved in the General Shareholders’ Meeting held on March 31, 2016. The consolidated financial statements as of and for the year ended December 31, 2016, were approved and authorized to be issued by the Audit Committee and Management on February 21, 2017 and will be submitted for their final approval by the Board of Directors and the General Shareholders’ Meeting that will occur within the period established by law; in Management’s opinion, they will be approved without modifications.</w:t>
      </w:r>
    </w:p>
    <w:p>
      <w:pPr>
        <w:spacing w:after="0" w:line="159" w:lineRule="exact"/>
        <w:rPr>
          <w:sz w:val="20"/>
          <w:szCs w:val="20"/>
          <w:color w:val="auto"/>
        </w:rPr>
      </w:pPr>
    </w:p>
    <w:p>
      <w:pPr>
        <w:ind w:left="583" w:hanging="583"/>
        <w:spacing w:after="0"/>
        <w:tabs>
          <w:tab w:leader="none" w:pos="58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TRANSFERS AND MERGER</w:t>
      </w:r>
    </w:p>
    <w:p>
      <w:pPr>
        <w:spacing w:after="0" w:line="205" w:lineRule="exact"/>
        <w:rPr>
          <w:sz w:val="20"/>
          <w:szCs w:val="20"/>
          <w:color w:val="auto"/>
        </w:rPr>
      </w:pPr>
    </w:p>
    <w:p>
      <w:pPr>
        <w:ind w:left="283" w:hanging="283"/>
        <w:spacing w:after="0"/>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the non-controlling interest of Credicorp Capital Colombia (formerly Correval) and IM Trust S.A. (hereinafter IM Trust) -</w:t>
      </w:r>
    </w:p>
    <w:p>
      <w:pPr>
        <w:spacing w:after="0" w:line="202" w:lineRule="exact"/>
        <w:rPr>
          <w:rFonts w:ascii="Times New Roman" w:cs="Times New Roman" w:eastAsia="Times New Roman" w:hAnsi="Times New Roman"/>
          <w:sz w:val="16"/>
          <w:szCs w:val="16"/>
          <w:color w:val="auto"/>
        </w:rPr>
      </w:pPr>
    </w:p>
    <w:p>
      <w:pPr>
        <w:ind w:left="283" w:right="10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Board Meetings of Credicorp held on February 24, and July 20 of 2016, capital contributions were approved in favor of Credicorp Capital Ltd. for an amount of US$15.4 million and US$106.3 million, respectively, for the purpose of acquiring all of the shares held by the minority shareholders of Credicorp Capital Colombia (49.0 percent) and IM Trust (39.4 percent) at said date, exercising the sale option agreed with them amounting, at that time, to S/489.9 million (S/340.4 million at the time of the signing of the contract and S/149.5 million related to the appreciation of that option recorded in the period from 2013 until its execution date).</w:t>
      </w:r>
    </w:p>
    <w:p>
      <w:pPr>
        <w:spacing w:after="0" w:line="160" w:lineRule="exact"/>
        <w:rPr>
          <w:rFonts w:ascii="Times New Roman" w:cs="Times New Roman" w:eastAsia="Times New Roman" w:hAnsi="Times New Roman"/>
          <w:sz w:val="16"/>
          <w:szCs w:val="16"/>
          <w:color w:val="auto"/>
        </w:rPr>
      </w:pPr>
    </w:p>
    <w:p>
      <w:pPr>
        <w:ind w:left="283" w:right="2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Subsequently, Credicorp Capital Ltd. made capital contributions in favor of Credicorp Capital Holding Chile and Credicorp Capital Holding Colombia for approximately US$49.2 million and US$44.2 million, respectively, to enable said entities to execute directly the purchase and sale options (PUT) with the minority shareholders.</w:t>
      </w:r>
    </w:p>
    <w:p>
      <w:pPr>
        <w:spacing w:after="0" w:line="143" w:lineRule="exact"/>
        <w:rPr>
          <w:rFonts w:ascii="Times New Roman" w:cs="Times New Roman" w:eastAsia="Times New Roman" w:hAnsi="Times New Roman"/>
          <w:sz w:val="16"/>
          <w:szCs w:val="16"/>
          <w:color w:val="auto"/>
        </w:rPr>
      </w:pPr>
    </w:p>
    <w:p>
      <w:pPr>
        <w:ind w:left="283" w:right="1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Accordingly, on May 20 and August 1 of 2016, Credicorp Capital Holding Chile executed the purchase option of IM Trust S.A. purchasing the 39.4 percent share held by the minority shareholders, for approximately US$71.2 million (equivalent to S/241.4 million), with which, Credicorp Capital Holding Chile became the owner of 100 percent of the share capital of IM Trust.</w:t>
      </w:r>
    </w:p>
    <w:p>
      <w:pPr>
        <w:spacing w:after="0" w:line="157" w:lineRule="exact"/>
        <w:rPr>
          <w:rFonts w:ascii="Times New Roman" w:cs="Times New Roman" w:eastAsia="Times New Roman" w:hAnsi="Times New Roman"/>
          <w:sz w:val="16"/>
          <w:szCs w:val="16"/>
          <w:color w:val="auto"/>
        </w:rPr>
      </w:pPr>
    </w:p>
    <w:p>
      <w:pPr>
        <w:ind w:left="283"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paid by Credicorp Capital Holding Chile was made up of US$49.2 million originating from the capital contribution of Credicorp Capital Ltd. and own funding of approximately US$22.0 million.</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2" w:right="259" w:bottom="1440" w:gutter="0" w:footer="0" w:header="0"/>
        </w:sectPr>
      </w:pPr>
    </w:p>
    <w:bookmarkStart w:id="15" w:name="page16"/>
    <w:bookmarkEnd w:id="15"/>
    <w:p>
      <w:pPr>
        <w:jc w:val="both"/>
        <w:ind w:left="283"/>
        <w:spacing w:after="0" w:line="268" w:lineRule="auto"/>
        <w:rPr>
          <w:sz w:val="20"/>
          <w:szCs w:val="20"/>
          <w:color w:val="auto"/>
        </w:rPr>
      </w:pPr>
      <w:r>
        <w:rPr>
          <w:rFonts w:ascii="Times New Roman" w:cs="Times New Roman" w:eastAsia="Times New Roman" w:hAnsi="Times New Roman"/>
          <w:sz w:val="16"/>
          <w:szCs w:val="16"/>
          <w:color w:val="auto"/>
        </w:rPr>
        <w:t>Furthermore, on May 20, June 1 and August 1, of 2016, Credicorp Capital Holding Colombia executed the purchase option of Credicorp Capital Colombia, purchasing the 30.32 percent share held by the minority shareholders for approximately US$45.0 million (equivalent to S/152.4 million), with which, Credicorp Capital Holding Colombia became the owner of 81.32 percent of the share capital of Credicorp Capital Colombia.</w:t>
      </w:r>
    </w:p>
    <w:p>
      <w:pPr>
        <w:spacing w:after="0" w:line="157" w:lineRule="exact"/>
        <w:rPr>
          <w:sz w:val="20"/>
          <w:szCs w:val="20"/>
          <w:color w:val="auto"/>
        </w:rPr>
      </w:pPr>
    </w:p>
    <w:p>
      <w:pPr>
        <w:jc w:val="both"/>
        <w:ind w:left="283"/>
        <w:spacing w:after="0" w:line="285" w:lineRule="auto"/>
        <w:rPr>
          <w:sz w:val="20"/>
          <w:szCs w:val="20"/>
          <w:color w:val="auto"/>
        </w:rPr>
      </w:pPr>
      <w:r>
        <w:rPr>
          <w:rFonts w:ascii="Times New Roman" w:cs="Times New Roman" w:eastAsia="Times New Roman" w:hAnsi="Times New Roman"/>
          <w:sz w:val="16"/>
          <w:szCs w:val="16"/>
          <w:color w:val="auto"/>
        </w:rPr>
        <w:t>The amount paid by Credicorp Capital Holding Colombia is made up of US$44.2 million originating from the capital contribution of Credicorp Capital Ltd. and the entity’s own funds for approximately US$0.8 million.</w:t>
      </w:r>
    </w:p>
    <w:p>
      <w:pPr>
        <w:spacing w:after="0" w:line="143" w:lineRule="exact"/>
        <w:rPr>
          <w:sz w:val="20"/>
          <w:szCs w:val="20"/>
          <w:color w:val="auto"/>
        </w:rPr>
      </w:pPr>
    </w:p>
    <w:p>
      <w:pPr>
        <w:ind w:left="283" w:right="20"/>
        <w:spacing w:after="0" w:line="263" w:lineRule="auto"/>
        <w:rPr>
          <w:sz w:val="20"/>
          <w:szCs w:val="20"/>
          <w:color w:val="auto"/>
        </w:rPr>
      </w:pPr>
      <w:r>
        <w:rPr>
          <w:rFonts w:ascii="Times New Roman" w:cs="Times New Roman" w:eastAsia="Times New Roman" w:hAnsi="Times New Roman"/>
          <w:sz w:val="16"/>
          <w:szCs w:val="16"/>
          <w:color w:val="auto"/>
        </w:rPr>
        <w:t>Finally, on September 30, 2016, Credicorp Capital Ltd. executed the remaining purchase option of Credicorp Capital Colombia, purchasing the 18.68 percent share held by the minority shareholders, by means of the purchase of the entities Coby Business Inc. and Artigas Global Corp, both Panamanian companies whose only asset are their shares of Credicorp Capital Colombia S.A. The total amount of the purchase was US$28.3 million (equivalent to S/96.1 millon), of which Credicorp Capital Ltd. paid US$26.7 million in cash (which originated from Credicorp´s capital contribution), leaving a balance payable of US$1.6 million at December 31, 2016.</w:t>
      </w:r>
    </w:p>
    <w:p>
      <w:pPr>
        <w:spacing w:after="0" w:line="161" w:lineRule="exact"/>
        <w:rPr>
          <w:sz w:val="20"/>
          <w:szCs w:val="20"/>
          <w:color w:val="auto"/>
        </w:rPr>
      </w:pPr>
    </w:p>
    <w:p>
      <w:pPr>
        <w:ind w:left="283" w:right="40"/>
        <w:spacing w:after="0" w:line="263" w:lineRule="auto"/>
        <w:rPr>
          <w:sz w:val="20"/>
          <w:szCs w:val="20"/>
          <w:color w:val="auto"/>
        </w:rPr>
      </w:pPr>
      <w:r>
        <w:rPr>
          <w:rFonts w:ascii="Times New Roman" w:cs="Times New Roman" w:eastAsia="Times New Roman" w:hAnsi="Times New Roman"/>
          <w:sz w:val="16"/>
          <w:szCs w:val="16"/>
          <w:color w:val="auto"/>
        </w:rPr>
        <w:t>The total contribution of Credicorp Ltd. in Credicorp Capital Ltd. Group was US$120.1 million and with the financing taken by Credicorp Capital Holding Chile, all of the purchase options were exercised, resulting in the achievement of a 100 percent share in IM Trust and in Credicorp Capital Colombia S.A. In the same way, the process was concluded of establishing a regional investment bank which operates in the Integrated Latin American Market (MILA from Spanish acronym), involving the stock exchanges of Peru, Colombia and Chile.</w:t>
      </w:r>
    </w:p>
    <w:p>
      <w:pPr>
        <w:spacing w:after="0" w:line="161"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impacts of the operation on the financial statements of the Group are summarized below:</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Companies acquired</w:t>
            </w: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Coby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4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Credicorp</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Business Inc.</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 Artigas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496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IMT S.A.</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Colombia S.A.</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Global Corp.</w:t>
            </w: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6"/>
        </w:trPr>
        <w:tc>
          <w:tcPr>
            <w:tcW w:w="4960" w:type="dxa"/>
            <w:vAlign w:val="bottom"/>
          </w:tcPr>
          <w:p>
            <w:pPr>
              <w:spacing w:after="0"/>
              <w:rPr>
                <w:sz w:val="16"/>
                <w:szCs w:val="16"/>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0" w:type="dxa"/>
            <w:vAlign w:val="bottom"/>
          </w:tcPr>
          <w:p>
            <w:pPr>
              <w:spacing w:after="0"/>
              <w:rPr>
                <w:sz w:val="16"/>
                <w:szCs w:val="16"/>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6"/>
                <w:szCs w:val="16"/>
                <w:color w:val="auto"/>
              </w:rPr>
            </w:pPr>
          </w:p>
        </w:tc>
      </w:tr>
      <w:tr>
        <w:trPr>
          <w:trHeight w:val="19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and liabilities acquired / Non controlling interest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103,630</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69,482</w:t>
            </w:r>
          </w:p>
        </w:tc>
        <w:tc>
          <w:tcPr>
            <w:tcW w:w="1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43,261</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216,373</w:t>
            </w:r>
          </w:p>
        </w:tc>
      </w:tr>
      <w:tr>
        <w:trPr>
          <w:trHeight w:val="19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Payment made / execution of sale option</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(241,420)</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(152,379)</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(96,067)</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(489,866)</w:t>
            </w:r>
          </w:p>
        </w:tc>
      </w:tr>
      <w:tr>
        <w:trPr>
          <w:trHeight w:val="19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on Retained Earnings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(137,790)</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(82,897)</w:t>
            </w:r>
          </w:p>
        </w:tc>
        <w:tc>
          <w:tcPr>
            <w:tcW w:w="1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(52,806)</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(273,493)</w:t>
            </w:r>
          </w:p>
        </w:tc>
      </w:tr>
    </w:tbl>
    <w:p>
      <w:pPr>
        <w:spacing w:after="0" w:line="177" w:lineRule="exact"/>
        <w:rPr>
          <w:sz w:val="20"/>
          <w:szCs w:val="20"/>
          <w:color w:val="auto"/>
        </w:rPr>
      </w:pPr>
    </w:p>
    <w:p>
      <w:pPr>
        <w:ind w:left="283" w:hanging="283"/>
        <w:spacing w:after="0"/>
        <w:tabs>
          <w:tab w:leader="none" w:pos="2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reorganization of Inversiones Credicorp Bolivia in the Credicorp Group -</w:t>
      </w:r>
    </w:p>
    <w:p>
      <w:pPr>
        <w:spacing w:after="0" w:line="202" w:lineRule="exact"/>
        <w:rPr>
          <w:rFonts w:ascii="Times New Roman" w:cs="Times New Roman" w:eastAsia="Times New Roman" w:hAnsi="Times New Roman"/>
          <w:sz w:val="16"/>
          <w:szCs w:val="16"/>
          <w:color w:val="auto"/>
        </w:rPr>
      </w:pPr>
    </w:p>
    <w:p>
      <w:pPr>
        <w:ind w:left="2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part of the corporate reorganization of Grupo Credicorp, in a General Shareholders’ Meeting of Inversiones Credicorp Bolivia S.A. (hereinafter “ICBSA”), held on December 31, 2015, an increase in the share capital was approved in the form of a voluntary contribution of Grupo Crédito S.A. (hereinafter “Grupo Crédito”), a subsidiary of Credicorp S.A.) amounting to Bs. 1,134.5 million, equivalent to S/383.5 million, issuing in its favor 11,344,800 shares.</w:t>
      </w:r>
    </w:p>
    <w:p>
      <w:pPr>
        <w:spacing w:after="0" w:line="157" w:lineRule="exact"/>
        <w:rPr>
          <w:rFonts w:ascii="Times New Roman" w:cs="Times New Roman" w:eastAsia="Times New Roman" w:hAnsi="Times New Roman"/>
          <w:sz w:val="16"/>
          <w:szCs w:val="16"/>
          <w:color w:val="auto"/>
        </w:rPr>
      </w:pPr>
    </w:p>
    <w:p>
      <w:pPr>
        <w:ind w:left="283" w:right="2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contribution was made by Grupo Crédito on March 30, 2016, as a result of which BCP lost control of ICBSA, and Grupo Crédito is the new entity that has assumed control.</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of shares of Banco de Crédito de Bolivia -</w:t>
      </w:r>
    </w:p>
    <w:p>
      <w:pPr>
        <w:spacing w:after="0" w:line="202" w:lineRule="exact"/>
        <w:rPr>
          <w:rFonts w:ascii="Times New Roman" w:cs="Times New Roman" w:eastAsia="Times New Roman" w:hAnsi="Times New Roman"/>
          <w:sz w:val="16"/>
          <w:szCs w:val="16"/>
          <w:color w:val="auto"/>
        </w:rPr>
      </w:pPr>
    </w:p>
    <w:p>
      <w:pPr>
        <w:ind w:left="283"/>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Committee of the Board of Directors of BCP, in its meeting held on December 30, 2015, approved the sale of all of the shares (14,121 units) which it held of Banco de Crédito de Bolivia (hereinafter “BCB”) to ICBSA. Both companies form part of Grupo Credicorp.</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4" w:right="299" w:bottom="1440" w:gutter="0" w:footer="0" w:header="0"/>
        </w:sectPr>
      </w:pPr>
    </w:p>
    <w:bookmarkStart w:id="16" w:name="page17"/>
    <w:bookmarkEnd w:id="16"/>
    <w:p>
      <w:pPr>
        <w:ind w:left="283" w:right="540"/>
        <w:spacing w:after="0" w:line="285" w:lineRule="auto"/>
        <w:rPr>
          <w:sz w:val="20"/>
          <w:szCs w:val="20"/>
          <w:color w:val="auto"/>
        </w:rPr>
      </w:pPr>
      <w:r>
        <w:rPr>
          <w:rFonts w:ascii="Times New Roman" w:cs="Times New Roman" w:eastAsia="Times New Roman" w:hAnsi="Times New Roman"/>
          <w:sz w:val="16"/>
          <w:szCs w:val="16"/>
          <w:color w:val="auto"/>
        </w:rPr>
        <w:t>It is worth mentioning that at December 31, 2015, said transaction was not recognized as an “asset classified as held-for-sale”, since it did not comply with all of the requirements of IFRS 5 “Non-current assets held for sale and discontinued operations” and it did not have the regulator’s approval.</w:t>
      </w:r>
    </w:p>
    <w:p>
      <w:pPr>
        <w:spacing w:after="0" w:line="143" w:lineRule="exact"/>
        <w:rPr>
          <w:sz w:val="20"/>
          <w:szCs w:val="20"/>
          <w:color w:val="auto"/>
        </w:rPr>
      </w:pPr>
    </w:p>
    <w:p>
      <w:pPr>
        <w:ind w:left="283" w:right="20"/>
        <w:spacing w:after="0" w:line="268" w:lineRule="auto"/>
        <w:rPr>
          <w:sz w:val="20"/>
          <w:szCs w:val="20"/>
          <w:color w:val="auto"/>
        </w:rPr>
      </w:pPr>
      <w:r>
        <w:rPr>
          <w:rFonts w:ascii="Times New Roman" w:cs="Times New Roman" w:eastAsia="Times New Roman" w:hAnsi="Times New Roman"/>
          <w:sz w:val="16"/>
          <w:szCs w:val="16"/>
          <w:color w:val="auto"/>
        </w:rPr>
        <w:t>Furthermore, in a General Shareholders’ Meeting of BCB held on March 10, 2016, the capitalization of reserves was approved for an amount of Bs. 607.5 million, equivalent to S/307.4 million, increasing proportionally the shareholding of all of the shareholders. As a result of the capitalization, BCP received 29,116 shares, obtaining a total holding of 43,237 shares.</w:t>
      </w:r>
    </w:p>
    <w:p>
      <w:pPr>
        <w:spacing w:after="0" w:line="157" w:lineRule="exact"/>
        <w:rPr>
          <w:sz w:val="20"/>
          <w:szCs w:val="20"/>
          <w:color w:val="auto"/>
        </w:rPr>
      </w:pPr>
    </w:p>
    <w:p>
      <w:pPr>
        <w:jc w:val="both"/>
        <w:ind w:left="283" w:right="40"/>
        <w:spacing w:after="0" w:line="268" w:lineRule="auto"/>
        <w:rPr>
          <w:sz w:val="20"/>
          <w:szCs w:val="20"/>
          <w:color w:val="auto"/>
        </w:rPr>
      </w:pPr>
      <w:r>
        <w:rPr>
          <w:rFonts w:ascii="Times New Roman" w:cs="Times New Roman" w:eastAsia="Times New Roman" w:hAnsi="Times New Roman"/>
          <w:sz w:val="16"/>
          <w:szCs w:val="16"/>
          <w:color w:val="auto"/>
        </w:rPr>
        <w:t>The share sale operation by BCP was authorized by the Supervisory Authority of the Financial System (ASFI from the Spanish acronym) of Bolivia on May 12, 2016, after which, BCP carried out the sale of all of its shares at that date (43,237 shares) in favor of ICBSA, through the Bolivian Stock Exchange, at a price of Bs. 25,811.0 per share, representing a total amount of Bs.1,116.0 million, equivalent to S/541.1 million.</w:t>
      </w:r>
    </w:p>
    <w:p>
      <w:pPr>
        <w:spacing w:after="0" w:line="15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As a result of the sale of shares, ICBSA became the new entity which assumed control over BCB.</w:t>
      </w:r>
    </w:p>
    <w:p>
      <w:pPr>
        <w:spacing w:after="0" w:line="203" w:lineRule="exact"/>
        <w:rPr>
          <w:sz w:val="20"/>
          <w:szCs w:val="20"/>
          <w:color w:val="auto"/>
        </w:rPr>
      </w:pPr>
    </w:p>
    <w:p>
      <w:pPr>
        <w:ind w:left="283" w:hanging="283"/>
        <w:spacing w:after="0"/>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Mibanco and subsequent merger by absorption with Financiera Edyficar -</w:t>
      </w:r>
    </w:p>
    <w:p>
      <w:pPr>
        <w:spacing w:after="0" w:line="202" w:lineRule="exact"/>
        <w:rPr>
          <w:rFonts w:ascii="Times New Roman" w:cs="Times New Roman" w:eastAsia="Times New Roman" w:hAnsi="Times New Roman"/>
          <w:sz w:val="16"/>
          <w:szCs w:val="16"/>
          <w:color w:val="auto"/>
        </w:rPr>
      </w:pPr>
    </w:p>
    <w:p>
      <w:pPr>
        <w:ind w:left="583" w:right="120" w:hanging="293"/>
        <w:spacing w:after="0" w:line="263" w:lineRule="auto"/>
        <w:tabs>
          <w:tab w:leader="none" w:pos="583"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8, 2014, Credicorp through its subsidiary Empresa Financiera Edyficar S.A. (hereinafter “Edyficar”) signed an agreement with Grupo ACP Corp. S.A.A. to acquire the 60.68 percent of the share capital of Mibanco, Banco de la Microempresa S.A. (hereinafter “Mibanco”), a banking entity in Peru oriented towards the sector of micro and small companies, for a total amount of US$179.5 million (approximately equivalent to S/504.8 million) paid in cash. This transaction was completed after obtaining all of the authorizations and approvals on March 20, 2014, the effective date of the purchase and payment.</w:t>
      </w:r>
    </w:p>
    <w:p>
      <w:pPr>
        <w:spacing w:after="0" w:line="160" w:lineRule="exact"/>
        <w:rPr>
          <w:rFonts w:ascii="Times New Roman" w:cs="Times New Roman" w:eastAsia="Times New Roman" w:hAnsi="Times New Roman"/>
          <w:sz w:val="16"/>
          <w:szCs w:val="16"/>
          <w:color w:val="auto"/>
        </w:rPr>
      </w:pPr>
    </w:p>
    <w:p>
      <w:pPr>
        <w:ind w:left="58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as part of the initial acquisition, on April 8, 2014, Credicorp through its subsidiaries Grupo Crédito S.A. and Edyficar acquired 5.00 percent and 1.50 percent of the share capital of Mibanco, for approximately S/41.6 million and S/12.5 million, respectively, from International Finance Corporation (hereinafter “IFC”), a minority shareholder of Mibanco, at the same terms and conditions of the initial transaction as a result of a tag along right executed by IFC included in a shareholders’ agreement with Grupo ACP.</w:t>
      </w:r>
    </w:p>
    <w:p>
      <w:pPr>
        <w:spacing w:after="0" w:line="160" w:lineRule="exact"/>
        <w:rPr>
          <w:rFonts w:ascii="Times New Roman" w:cs="Times New Roman" w:eastAsia="Times New Roman" w:hAnsi="Times New Roman"/>
          <w:sz w:val="16"/>
          <w:szCs w:val="16"/>
          <w:color w:val="auto"/>
        </w:rPr>
      </w:pPr>
    </w:p>
    <w:p>
      <w:pPr>
        <w:ind w:left="5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Mibanco was recorded using the purchase method, in accordance with IFRS 3, “Business Combinations”, applicable at the date of the transaction. Assets and liabilities were recorded at their estimated fair values at the acquisition dates, including the identified intangible assets unrecorded in Mibanco’s statement of financial position.</w:t>
      </w:r>
    </w:p>
    <w:p>
      <w:pPr>
        <w:spacing w:after="0" w:line="157"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costs incurred for approximately S/1.0 million were recorded in “Administrative expenses” of the consolidated statement of income.</w:t>
      </w:r>
    </w:p>
    <w:p>
      <w:pPr>
        <w:spacing w:after="0" w:line="202" w:lineRule="exact"/>
        <w:rPr>
          <w:rFonts w:ascii="Times New Roman" w:cs="Times New Roman" w:eastAsia="Times New Roman" w:hAnsi="Times New Roman"/>
          <w:sz w:val="16"/>
          <w:szCs w:val="16"/>
          <w:color w:val="auto"/>
        </w:rPr>
      </w:pPr>
    </w:p>
    <w:p>
      <w:pPr>
        <w:ind w:left="583" w:right="3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has elected to measure the non-controlling interest in Mibanco at fair value; which has been estimated by applying an international valuation technique (discounted cash flows).</w:t>
      </w:r>
    </w:p>
    <w:p>
      <w:pPr>
        <w:spacing w:after="0" w:line="143" w:lineRule="exact"/>
        <w:rPr>
          <w:rFonts w:ascii="Times New Roman" w:cs="Times New Roman" w:eastAsia="Times New Roman" w:hAnsi="Times New Roman"/>
          <w:sz w:val="16"/>
          <w:szCs w:val="16"/>
          <w:color w:val="auto"/>
        </w:rPr>
      </w:pPr>
    </w:p>
    <w:p>
      <w:pPr>
        <w:ind w:left="583" w:right="2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in accordance with the acquisition strategy and in compliance with the legal requirements established in the Peruvian stock market, Credicorp, through Edyficar, carried out the following additional purchases of the share capital of Mibanco, paid in cash:</w:t>
      </w:r>
    </w:p>
    <w:p>
      <w:pPr>
        <w:spacing w:after="0" w:line="143"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of 2014, it acquired 18.56 percent for approximately S/153.6 million</w:t>
      </w:r>
    </w:p>
    <w:p>
      <w:pPr>
        <w:spacing w:after="0" w:line="25"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of 2014, it acquired 1.19 percent for approximately S/10 million</w:t>
      </w:r>
    </w:p>
    <w:p>
      <w:pPr>
        <w:spacing w:after="0" w:line="187" w:lineRule="exact"/>
        <w:rPr>
          <w:sz w:val="20"/>
          <w:szCs w:val="20"/>
          <w:color w:val="auto"/>
        </w:rPr>
      </w:pPr>
    </w:p>
    <w:p>
      <w:pPr>
        <w:ind w:left="583" w:right="120"/>
        <w:spacing w:after="0" w:line="285" w:lineRule="auto"/>
        <w:rPr>
          <w:sz w:val="20"/>
          <w:szCs w:val="20"/>
          <w:color w:val="auto"/>
        </w:rPr>
      </w:pPr>
      <w:r>
        <w:rPr>
          <w:rFonts w:ascii="Times New Roman" w:cs="Times New Roman" w:eastAsia="Times New Roman" w:hAnsi="Times New Roman"/>
          <w:sz w:val="16"/>
          <w:szCs w:val="16"/>
          <w:color w:val="auto"/>
        </w:rPr>
        <w:t>These acquisitions of non-controlling interest carried out in July and September of 2014 were recorded as an equity transaction. Taking into account said purchases, at December 31, 2014, Credicorp held 86.93 percent of the share capital of Mibanco, paying approximately S/722.5 million.</w:t>
      </w:r>
    </w:p>
    <w:p>
      <w:pPr>
        <w:spacing w:after="0" w:line="33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17" w:name="page18"/>
    <w:bookmarkEnd w:id="17"/>
    <w:p>
      <w:pPr>
        <w:jc w:val="both"/>
        <w:ind w:left="583"/>
        <w:spacing w:after="0" w:line="268" w:lineRule="auto"/>
        <w:rPr>
          <w:sz w:val="20"/>
          <w:szCs w:val="20"/>
          <w:color w:val="auto"/>
        </w:rPr>
      </w:pPr>
      <w:r>
        <w:rPr>
          <w:rFonts w:ascii="Times New Roman" w:cs="Times New Roman" w:eastAsia="Times New Roman" w:hAnsi="Times New Roman"/>
          <w:sz w:val="16"/>
          <w:szCs w:val="16"/>
          <w:color w:val="auto"/>
        </w:rPr>
        <w:t>From the effective acquisition date (March 20, 2014) until December 31, 2014, the contribution of Mibanco in interest and similar yields totaled approximately S/675.7 million. If the combination had taken place at the start of the year, the interest and similar yields of the Group would have risen to approximately S/8,868.1 million (an increase of S/289.4 million).</w:t>
      </w:r>
    </w:p>
    <w:p>
      <w:pPr>
        <w:spacing w:after="0" w:line="157"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For the year 2014, the pre-tax profit of Mibanco is insignificant for the Group’s consolidated financial statements.</w:t>
      </w:r>
    </w:p>
    <w:p>
      <w:pPr>
        <w:spacing w:after="0" w:line="203" w:lineRule="exact"/>
        <w:rPr>
          <w:sz w:val="20"/>
          <w:szCs w:val="20"/>
          <w:color w:val="auto"/>
        </w:rPr>
      </w:pPr>
    </w:p>
    <w:p>
      <w:pPr>
        <w:ind w:left="583" w:right="360" w:hanging="293"/>
        <w:spacing w:after="0" w:line="285" w:lineRule="auto"/>
        <w:tabs>
          <w:tab w:leader="none" w:pos="583"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 2015 the merger between Mibanco as acquiring entity and Edyficar as acquired entity was made effective. This merger incorporated at the carrying amount, all the assets and liabilities of Edyficar except for operating licenses, mortgages loans of Mivivienda and cash, which continued to be owned by Edyficar.</w:t>
      </w:r>
    </w:p>
    <w:p>
      <w:pPr>
        <w:spacing w:after="0" w:line="143" w:lineRule="exact"/>
        <w:rPr>
          <w:rFonts w:ascii="Times New Roman" w:cs="Times New Roman" w:eastAsia="Times New Roman" w:hAnsi="Times New Roman"/>
          <w:sz w:val="16"/>
          <w:szCs w:val="16"/>
          <w:color w:val="auto"/>
        </w:rPr>
      </w:pPr>
    </w:p>
    <w:p>
      <w:pPr>
        <w:ind w:left="583" w:right="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Subsequently in April of 2015, the credit portfolio of Mivivienda was sold to BCP. In the same way, the license has been retired, without generating any impact on the Financial Statements.</w:t>
      </w:r>
    </w:p>
    <w:p>
      <w:pPr>
        <w:spacing w:after="0" w:line="143" w:lineRule="exact"/>
        <w:rPr>
          <w:rFonts w:ascii="Times New Roman" w:cs="Times New Roman" w:eastAsia="Times New Roman" w:hAnsi="Times New Roman"/>
          <w:sz w:val="16"/>
          <w:szCs w:val="16"/>
          <w:color w:val="auto"/>
        </w:rPr>
      </w:pPr>
    </w:p>
    <w:p>
      <w:pPr>
        <w:ind w:left="583" w:right="3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this merger, and as a result of the exchange of shares at fair value, BCP holds a direct interest of 93.598 percent in the new merged entity and Grupo Crédito holds 1.757 percent.</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 between El Pacífico Peruano Suiza and Banmédica -</w:t>
      </w:r>
    </w:p>
    <w:p>
      <w:pPr>
        <w:spacing w:after="0" w:line="202" w:lineRule="exact"/>
        <w:rPr>
          <w:rFonts w:ascii="Times New Roman" w:cs="Times New Roman" w:eastAsia="Times New Roman" w:hAnsi="Times New Roman"/>
          <w:sz w:val="16"/>
          <w:szCs w:val="16"/>
          <w:color w:val="auto"/>
        </w:rPr>
      </w:pPr>
    </w:p>
    <w:p>
      <w:pPr>
        <w:ind w:left="283" w:right="10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2014, Credicorp, through its subsidiary El Pacífico Peruano Suiza Compañía de Seguros y Reaseguros (hereinafter “PPS”) signed an agreement with Banmédica S.A. (hereinafter “Banmédica”) to jointly develop a health care business in Peru, including: medical insurance services, health insurance and health care plans. Based on this agreement, Credicorp lost control of its subsidiary Pacífico EPS, which became an associate. This agreement came into effect on January 1, 2015. See Note 13.</w:t>
      </w:r>
    </w:p>
    <w:p>
      <w:pPr>
        <w:spacing w:after="0" w:line="160"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transfer resulted, during the year 2015, in a profit of S/99.0 million which is recognized in “Net gain on sale of securities” in the consolidated statement of income.</w:t>
      </w:r>
    </w:p>
    <w:p>
      <w:pPr>
        <w:spacing w:after="0" w:line="201" w:lineRule="exact"/>
        <w:rPr>
          <w:sz w:val="20"/>
          <w:szCs w:val="20"/>
          <w:color w:val="auto"/>
        </w:rPr>
      </w:pPr>
    </w:p>
    <w:p>
      <w:pPr>
        <w:ind w:left="583" w:hanging="583"/>
        <w:spacing w:after="0"/>
        <w:tabs>
          <w:tab w:leader="none" w:pos="583"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significant accounting principles applied in the preparation of Credicorp’s consolidated financial statements are set out below:</w:t>
      </w:r>
    </w:p>
    <w:p>
      <w:pPr>
        <w:spacing w:after="0" w:line="203" w:lineRule="exact"/>
        <w:rPr>
          <w:sz w:val="20"/>
          <w:szCs w:val="20"/>
          <w:color w:val="auto"/>
        </w:rPr>
      </w:pPr>
    </w:p>
    <w:p>
      <w:pPr>
        <w:ind w:left="283" w:hanging="283"/>
        <w:spacing w:after="0"/>
        <w:tabs>
          <w:tab w:leader="none" w:pos="28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presentation and use of estimates -</w:t>
      </w:r>
    </w:p>
    <w:p>
      <w:pPr>
        <w:spacing w:after="0" w:line="202" w:lineRule="exact"/>
        <w:rPr>
          <w:rFonts w:ascii="Times New Roman" w:cs="Times New Roman" w:eastAsia="Times New Roman" w:hAnsi="Times New Roman"/>
          <w:sz w:val="16"/>
          <w:szCs w:val="16"/>
          <w:color w:val="auto"/>
        </w:rPr>
      </w:pPr>
    </w:p>
    <w:p>
      <w:pPr>
        <w:ind w:left="283" w:right="7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consolidated financial statements have been prepared in accordance with International Financial Reporting Standards (IFRS) as issued by the International Accounting Standards Board (IASB).</w:t>
      </w:r>
    </w:p>
    <w:p>
      <w:pPr>
        <w:spacing w:after="0" w:line="143" w:lineRule="exact"/>
        <w:rPr>
          <w:rFonts w:ascii="Times New Roman" w:cs="Times New Roman" w:eastAsia="Times New Roman" w:hAnsi="Times New Roman"/>
          <w:sz w:val="16"/>
          <w:szCs w:val="16"/>
          <w:color w:val="auto"/>
        </w:rPr>
      </w:pPr>
    </w:p>
    <w:p>
      <w:pPr>
        <w:ind w:left="283"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consolidated financial statements have been prepared on a historical cost basis, except for trading securities, available-for-sale investments, derivative financial instruments, share-based payments, bonds and notes associated with fair value hedges, sale options over non-controlling interests, financial assets and liabilities at fair value through profit or loss that have been measured at fair value.</w:t>
      </w:r>
    </w:p>
    <w:p>
      <w:pPr>
        <w:spacing w:after="0" w:line="157" w:lineRule="exact"/>
        <w:rPr>
          <w:rFonts w:ascii="Times New Roman" w:cs="Times New Roman" w:eastAsia="Times New Roman" w:hAnsi="Times New Roman"/>
          <w:sz w:val="16"/>
          <w:szCs w:val="16"/>
          <w:color w:val="auto"/>
        </w:rPr>
      </w:pPr>
    </w:p>
    <w:p>
      <w:pPr>
        <w:ind w:left="283" w:right="5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are presented in Peruvian Soles (S/), see paragraph (c) below, and values are rounded to the nearest S/thousands, except when otherwise indicated.</w:t>
      </w:r>
    </w:p>
    <w:p>
      <w:pPr>
        <w:spacing w:after="0" w:line="143" w:lineRule="exact"/>
        <w:rPr>
          <w:rFonts w:ascii="Times New Roman" w:cs="Times New Roman" w:eastAsia="Times New Roman" w:hAnsi="Times New Roman"/>
          <w:sz w:val="16"/>
          <w:szCs w:val="16"/>
          <w:color w:val="auto"/>
        </w:rPr>
      </w:pPr>
    </w:p>
    <w:p>
      <w:pPr>
        <w:ind w:left="283"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 because actual results may differ from those determined in accordance with said estimates and assumptions.</w:t>
      </w:r>
    </w:p>
    <w:p>
      <w:pPr>
        <w:spacing w:after="0" w:line="350"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4" w:right="279" w:bottom="1440" w:gutter="0" w:footer="0" w:header="0"/>
        </w:sectPr>
      </w:pPr>
    </w:p>
    <w:bookmarkStart w:id="18" w:name="page19"/>
    <w:bookmarkEnd w:id="18"/>
    <w:p>
      <w:pPr>
        <w:ind w:right="200"/>
        <w:spacing w:after="0" w:line="268" w:lineRule="auto"/>
        <w:rPr>
          <w:sz w:val="20"/>
          <w:szCs w:val="20"/>
          <w:color w:val="auto"/>
        </w:rPr>
      </w:pPr>
      <w:r>
        <w:rPr>
          <w:rFonts w:ascii="Times New Roman" w:cs="Times New Roman" w:eastAsia="Times New Roman" w:hAnsi="Times New Roman"/>
          <w:sz w:val="16"/>
          <w:szCs w:val="16"/>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management expects that the variations, if any, will not have a material impact on the consolidated financial statements.</w:t>
      </w:r>
    </w:p>
    <w:p>
      <w:pPr>
        <w:spacing w:after="0" w:line="157"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The most significant estimates included in the accompanying consolidated financial statements are related to allowance for loan losses, the valuation of investments, the technical reserves for claims and premiums, goodwill impairment, the measurement of the share-based payment transactions and the valuation of derivative financial instruments. Furthermore, other estimates exist, such as the liabilities for put options held by non-controlling interest in subsidiaries, estimated useful life of intangible assets, property, furniture and equipment and the deferred tax assets and liabilities. The accounting criteria used for said estimates are described below.</w:t>
      </w:r>
    </w:p>
    <w:p>
      <w:pPr>
        <w:spacing w:after="0" w:line="161"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6"/>
          <w:szCs w:val="16"/>
          <w:color w:val="auto"/>
        </w:rPr>
        <w:t>The accounting policies adopted are consistent with those of the previous years, except that the Group has adopted the new revised IFRS and IAS which are mandatory for the periods beginning on or after January 1, 2016, as described below:</w:t>
      </w:r>
    </w:p>
    <w:p>
      <w:pPr>
        <w:spacing w:after="0" w:line="14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IAS 1 “Presentation of financial statements” Disclosure initiatives -</w:t>
      </w:r>
    </w:p>
    <w:p>
      <w:pPr>
        <w:spacing w:after="0" w:line="203" w:lineRule="exact"/>
        <w:rPr>
          <w:sz w:val="20"/>
          <w:szCs w:val="20"/>
          <w:color w:val="auto"/>
        </w:rPr>
      </w:pPr>
    </w:p>
    <w:p>
      <w:pPr>
        <w:ind w:left="300" w:right="20"/>
        <w:spacing w:after="0" w:line="260" w:lineRule="auto"/>
        <w:rPr>
          <w:sz w:val="20"/>
          <w:szCs w:val="20"/>
          <w:color w:val="auto"/>
        </w:rPr>
      </w:pPr>
      <w:r>
        <w:rPr>
          <w:rFonts w:ascii="Times New Roman" w:cs="Times New Roman" w:eastAsia="Times New Roman" w:hAnsi="Times New Roman"/>
          <w:sz w:val="16"/>
          <w:szCs w:val="16"/>
          <w:color w:val="auto"/>
        </w:rPr>
        <w:t>The amendments clarify the materiality requirements of IAS 1 indicating the following (i) certain items of the consolidated statement of income, the consolidated statement of comprehensive income and the consolidated statement of financial position may be broken down (ii) entities have flexibility to choose the order of presentation of the notes to their consolidated financial statements, and (iii) the participation of the associates and joint ventures recorded in the consolidated statement of comprehensive income by the equity participation method must be presented in only two lines grouping together the items which are recycled and not recycled in the consolidated statement of comprehensive income.</w:t>
      </w:r>
    </w:p>
    <w:p>
      <w:pPr>
        <w:spacing w:after="0" w:line="164" w:lineRule="exact"/>
        <w:rPr>
          <w:sz w:val="20"/>
          <w:szCs w:val="20"/>
          <w:color w:val="auto"/>
        </w:rPr>
      </w:pPr>
    </w:p>
    <w:p>
      <w:pPr>
        <w:ind w:left="300" w:hanging="293"/>
        <w:spacing w:after="0"/>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IAS 16 “Property, plant and equipment” and IAS 38 “Intangible Assets”. Clarification of the acceptable methods of depreciation and amortization.</w:t>
      </w:r>
    </w:p>
    <w:p>
      <w:pPr>
        <w:spacing w:after="0" w:line="202" w:lineRule="exact"/>
        <w:rPr>
          <w:rFonts w:ascii="Times New Roman" w:cs="Times New Roman" w:eastAsia="Times New Roman" w:hAnsi="Times New Roman"/>
          <w:sz w:val="16"/>
          <w:szCs w:val="16"/>
          <w:color w:val="auto"/>
        </w:rPr>
      </w:pPr>
    </w:p>
    <w:p>
      <w:pPr>
        <w:ind w:left="300" w:right="3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amendments clarify that an income-based method of depreciation or amortization is generally inappropriate. The IASB has amended IAS 16 to clarify that the income-based method should not be used to calculate the depreciation of items of property, plant and equipment.</w:t>
      </w:r>
    </w:p>
    <w:p>
      <w:pPr>
        <w:spacing w:after="0" w:line="143" w:lineRule="exact"/>
        <w:rPr>
          <w:rFonts w:ascii="Times New Roman" w:cs="Times New Roman" w:eastAsia="Times New Roman" w:hAnsi="Times New Roman"/>
          <w:sz w:val="16"/>
          <w:szCs w:val="16"/>
          <w:color w:val="auto"/>
        </w:rPr>
      </w:pPr>
    </w:p>
    <w:p>
      <w:pPr>
        <w:ind w:left="3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IAS 38 now includes the assumption that income-based amortization of intangible assets is inappropriate. This assumption can be refuted if (i) the intangible asset has been expressed as income (i.e. if the measurement of income is the limiting factor on the value that may be derived from the asset or (ii) it can be shown that the income and the use of the economic benefits generated by the asset are totally related.</w:t>
      </w:r>
    </w:p>
    <w:p>
      <w:pPr>
        <w:spacing w:after="0" w:line="157" w:lineRule="exact"/>
        <w:rPr>
          <w:rFonts w:ascii="Times New Roman" w:cs="Times New Roman" w:eastAsia="Times New Roman" w:hAnsi="Times New Roman"/>
          <w:sz w:val="16"/>
          <w:szCs w:val="16"/>
          <w:color w:val="auto"/>
        </w:rPr>
      </w:pPr>
    </w:p>
    <w:p>
      <w:pPr>
        <w:ind w:left="300" w:right="280" w:hanging="293"/>
        <w:spacing w:after="0" w:line="285" w:lineRule="auto"/>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Modifications to IFRS 10 “Consolidated financial statements”, IFRS 12 “Disclosure of Interests in Other Entities” and IAS 28 “Investments in Associates and Joint Ventures” Investment entities. Application of the exception of consolidation.</w:t>
      </w:r>
    </w:p>
    <w:p>
      <w:pPr>
        <w:spacing w:after="0" w:line="143" w:lineRule="exact"/>
        <w:rPr>
          <w:rFonts w:ascii="Times New Roman" w:cs="Times New Roman" w:eastAsia="Times New Roman" w:hAnsi="Times New Roman"/>
          <w:sz w:val="16"/>
          <w:szCs w:val="16"/>
          <w:color w:val="auto"/>
        </w:rPr>
      </w:pPr>
    </w:p>
    <w:p>
      <w:pPr>
        <w:ind w:left="300" w:right="8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amendments made clarify the following issues: (i) the exception to the preparation of consolidated financial statements is also available to intermediate parent entities which are subsidiaries of investment entities, (ii) an investment entity must consolidate a subsidiary that is not an investment entity and of which the main purpose and activity is to provide support services for the activities of the investment entity, and (iii) the entities which are not investment entities but which have a participation in an associate or a joint venture which is an investment entity will apply the equity participation accounting method. The fair value measurement applied by the associated investment entity or joint venture may be retained or consolidation may be made at the level of the associate or joint venture, which would subsequently adjust the fair value measurement.</w:t>
      </w:r>
    </w:p>
    <w:p>
      <w:pPr>
        <w:spacing w:after="0" w:line="360" w:lineRule="exact"/>
        <w:rPr>
          <w:rFonts w:ascii="Times New Roman" w:cs="Times New Roman" w:eastAsia="Times New Roman" w:hAnsi="Times New Roman"/>
          <w:sz w:val="16"/>
          <w:szCs w:val="16"/>
          <w:color w:val="auto"/>
        </w:rPr>
      </w:pPr>
    </w:p>
    <w:p>
      <w:pPr>
        <w:ind w:left="5360" w:hanging="94"/>
        <w:spacing w:after="0"/>
        <w:tabs>
          <w:tab w:leader="none" w:pos="53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4" w:right="239" w:bottom="1440" w:gutter="0" w:footer="0" w:header="0"/>
        </w:sectPr>
      </w:pPr>
    </w:p>
    <w:bookmarkStart w:id="19" w:name="page20"/>
    <w:bookmarkEnd w:id="19"/>
    <w:p>
      <w:pPr>
        <w:ind w:left="583" w:hanging="293"/>
        <w:spacing w:after="0"/>
        <w:tabs>
          <w:tab w:leader="none" w:pos="58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IFRS 11 “Joint Arrangements” Accounting treatment of the acquisition of participation in joint operations.</w:t>
      </w:r>
    </w:p>
    <w:p>
      <w:pPr>
        <w:spacing w:after="0" w:line="202" w:lineRule="exact"/>
        <w:rPr>
          <w:rFonts w:ascii="Times New Roman" w:cs="Times New Roman" w:eastAsia="Times New Roman" w:hAnsi="Times New Roman"/>
          <w:sz w:val="16"/>
          <w:szCs w:val="16"/>
          <w:color w:val="auto"/>
        </w:rPr>
      </w:pPr>
    </w:p>
    <w:p>
      <w:pPr>
        <w:ind w:left="583" w:right="6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amendments clarify the accounting treatment for the acquisition of a participation in a joint operation. These amendments require an investor to apply the accounting practice of business combinations.</w:t>
      </w:r>
    </w:p>
    <w:p>
      <w:pPr>
        <w:spacing w:after="0" w:line="143"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includes:</w:t>
      </w:r>
    </w:p>
    <w:p>
      <w:pPr>
        <w:spacing w:after="0" w:line="202"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of identifiable assets and liabilities at fair value</w:t>
      </w:r>
    </w:p>
    <w:p>
      <w:pPr>
        <w:spacing w:after="0" w:line="25"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as expense of the costs related to the acquisition</w:t>
      </w:r>
    </w:p>
    <w:p>
      <w:pPr>
        <w:spacing w:after="0" w:line="9"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deferred taxes and</w:t>
      </w:r>
    </w:p>
    <w:p>
      <w:pPr>
        <w:spacing w:after="0" w:line="9"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the residual costs as goodwill and the annual evaluation of its possible impairment.</w:t>
      </w:r>
    </w:p>
    <w:p>
      <w:pPr>
        <w:spacing w:after="0" w:line="187"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The existing participation in the joint operation is not re-measured at the time of acquisition of an additional participation, as long as joint control is maintained.</w:t>
      </w:r>
    </w:p>
    <w:p>
      <w:pPr>
        <w:spacing w:after="0" w:line="203"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The amendments also apply when a joint venture is formed and an existing business is contributed.</w:t>
      </w:r>
    </w:p>
    <w:p>
      <w:pPr>
        <w:spacing w:after="0" w:line="203" w:lineRule="exact"/>
        <w:rPr>
          <w:sz w:val="20"/>
          <w:szCs w:val="20"/>
          <w:color w:val="auto"/>
        </w:rPr>
      </w:pPr>
    </w:p>
    <w:p>
      <w:pPr>
        <w:ind w:left="583" w:hanging="293"/>
        <w:spacing w:after="0"/>
        <w:tabs>
          <w:tab w:leader="none" w:pos="58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improvements to IFRS (cycle 2012-2014).</w:t>
      </w:r>
    </w:p>
    <w:p>
      <w:pPr>
        <w:spacing w:after="0" w:line="202" w:lineRule="exact"/>
        <w:rPr>
          <w:rFonts w:ascii="Times New Roman" w:cs="Times New Roman" w:eastAsia="Times New Roman" w:hAnsi="Times New Roman"/>
          <w:sz w:val="16"/>
          <w:szCs w:val="16"/>
          <w:color w:val="auto"/>
        </w:rPr>
      </w:pPr>
    </w:p>
    <w:p>
      <w:pPr>
        <w:ind w:left="583" w:right="3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IASB issued improvements to IFRS 5 “Non-current Assets Held for Sale and Discontinued Operations”, IFRS 7 “Financial Instruments: Disclosures”, IAS 19 “Employee Benefits” and IAS 34 “Interim Financial Reporting”</w:t>
      </w:r>
    </w:p>
    <w:p>
      <w:pPr>
        <w:spacing w:after="0" w:line="143" w:lineRule="exact"/>
        <w:rPr>
          <w:rFonts w:ascii="Times New Roman" w:cs="Times New Roman" w:eastAsia="Times New Roman" w:hAnsi="Times New Roman"/>
          <w:sz w:val="16"/>
          <w:szCs w:val="16"/>
          <w:color w:val="auto"/>
        </w:rPr>
      </w:pPr>
    </w:p>
    <w:p>
      <w:pPr>
        <w:ind w:left="583" w:right="2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Group’s structure and operations, the adoption of the new and revised accounting standards did not have a significant impact on its consolidated financial position and results; therefore, it has not been necessary to modify the Group’s comparative consolidated financial statements.</w:t>
      </w:r>
    </w:p>
    <w:p>
      <w:pPr>
        <w:spacing w:after="0" w:line="143" w:lineRule="exact"/>
        <w:rPr>
          <w:rFonts w:ascii="Times New Roman" w:cs="Times New Roman" w:eastAsia="Times New Roman" w:hAnsi="Times New Roman"/>
          <w:sz w:val="16"/>
          <w:szCs w:val="16"/>
          <w:color w:val="auto"/>
        </w:rPr>
      </w:pPr>
    </w:p>
    <w:p>
      <w:pPr>
        <w:ind w:left="283" w:right="9320" w:hanging="283"/>
        <w:spacing w:after="0" w:line="504" w:lineRule="auto"/>
        <w:tabs>
          <w:tab w:leader="none" w:pos="2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 - Investment in subsidiaries -</w:t>
      </w: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comprise the financial statements of Credicorp and its Subsidiaries for all the years presented.</w:t>
      </w:r>
    </w:p>
    <w:p>
      <w:pPr>
        <w:spacing w:after="0" w:line="202" w:lineRule="exact"/>
        <w:rPr>
          <w:rFonts w:ascii="Times New Roman" w:cs="Times New Roman" w:eastAsia="Times New Roman" w:hAnsi="Times New Roman"/>
          <w:sz w:val="16"/>
          <w:szCs w:val="16"/>
          <w:color w:val="auto"/>
        </w:rPr>
      </w:pPr>
    </w:p>
    <w:p>
      <w:pPr>
        <w:ind w:left="283" w:right="2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IFRS 10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57"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 over the investee (i.e. existing rights that give it the current ability to direct the relevant activities of the investee),</w:t>
      </w:r>
    </w:p>
    <w:p>
      <w:pPr>
        <w:spacing w:after="0" w:line="25"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or rights, to variable returns from its involvement with the investee, and</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use its power over the investee to affect its returns.</w:t>
      </w:r>
    </w:p>
    <w:p>
      <w:pPr>
        <w:spacing w:after="0" w:line="187" w:lineRule="exact"/>
        <w:rPr>
          <w:sz w:val="20"/>
          <w:szCs w:val="20"/>
          <w:color w:val="auto"/>
        </w:rPr>
      </w:pPr>
    </w:p>
    <w:p>
      <w:pPr>
        <w:ind w:left="283"/>
        <w:spacing w:after="0" w:line="285" w:lineRule="auto"/>
        <w:rPr>
          <w:sz w:val="20"/>
          <w:szCs w:val="20"/>
          <w:color w:val="auto"/>
        </w:rPr>
      </w:pPr>
      <w:r>
        <w:rPr>
          <w:rFonts w:ascii="Times New Roman" w:cs="Times New Roman" w:eastAsia="Times New Roman" w:hAnsi="Times New Roman"/>
          <w:sz w:val="16"/>
          <w:szCs w:val="16"/>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43" w:lineRule="exact"/>
        <w:rPr>
          <w:sz w:val="20"/>
          <w:szCs w:val="20"/>
          <w:color w:val="auto"/>
        </w:rPr>
      </w:pPr>
    </w:p>
    <w:p>
      <w:pPr>
        <w:ind w:left="583" w:hanging="293"/>
        <w:spacing w:after="0"/>
        <w:tabs>
          <w:tab w:leader="none" w:pos="58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arrangement with the other vote holders of the investee,</w:t>
      </w:r>
    </w:p>
    <w:p>
      <w:pPr>
        <w:spacing w:after="0" w:line="25"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Rights arising from other contractual arrangements.</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voting rights and potential voting rights.</w:t>
      </w:r>
    </w:p>
    <w:p>
      <w:pPr>
        <w:spacing w:after="0" w:line="380"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4" w:right="279" w:bottom="1440" w:gutter="0" w:footer="0" w:header="0"/>
        </w:sectPr>
      </w:pPr>
    </w:p>
    <w:bookmarkStart w:id="20" w:name="page21"/>
    <w:bookmarkEnd w:id="20"/>
    <w:p>
      <w:pPr>
        <w:ind w:right="480"/>
        <w:spacing w:after="0" w:line="268" w:lineRule="auto"/>
        <w:rPr>
          <w:sz w:val="20"/>
          <w:szCs w:val="20"/>
          <w:color w:val="auto"/>
        </w:rPr>
      </w:pPr>
      <w:r>
        <w:rPr>
          <w:rFonts w:ascii="Times New Roman" w:cs="Times New Roman" w:eastAsia="Times New Roman" w:hAnsi="Times New Roman"/>
          <w:sz w:val="16"/>
          <w:szCs w:val="16"/>
          <w:color w:val="auto"/>
        </w:rPr>
        <w:t>The Group assesses whether or not it controls an investee if facts and circumstances indicate that there are changes to one or more of the three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57"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Profit or loss and each component of other comprehensive income (OCI) are attributed to the equity holders of the parent of the Group and to the non-controlling interest, even if this results in the non-controlling interest with a deficit balance. When necessary, adjustments are made to the financial statements of subsidiaries to bring their accounting policies into line with the Group’s accounting policies. All intra-group assets and liabilities, equity, income, expenses and cash flows relating to transactions between members of the Group are eliminated in full on consolidation.</w:t>
      </w:r>
    </w:p>
    <w:p>
      <w:pPr>
        <w:spacing w:after="0" w:line="161"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Assets in custody or managed by the Group, such as investment funds and private pension funds (AFP funds), are not part of the Group’s consolidated financial statements, note 3(ac).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Transactions with non-controlling interest -</w:t>
      </w:r>
    </w:p>
    <w:p>
      <w:pPr>
        <w:spacing w:after="0" w:line="20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A change in the ownership interest of a subsidiary, without a loss of control, is accounted for as an equity transaction and any resulting difference between the price paid and the amount corresponding to non-controlling shareholders is recognized directly in the consolidated statement of changes in net equity.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of control -</w:t>
      </w:r>
    </w:p>
    <w:p>
      <w:pPr>
        <w:spacing w:after="0" w:line="203"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6"/>
          <w:szCs w:val="16"/>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in associates -</w:t>
      </w:r>
    </w:p>
    <w:p>
      <w:pPr>
        <w:spacing w:after="0" w:line="203"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6"/>
          <w:szCs w:val="16"/>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considerations taken into account to determine significant influence are similar to those necessary to determine control over subsidiaries.</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 Group’s investments in its associates are recognized initially at cost and are subsequently accounted for using the equity method. They are included in “Other assets” in the consolidated statement of financial position; gains resulting from the use of the equity method of accounting are included in “Other income” of the consolidated statement of income.</w:t>
      </w:r>
    </w:p>
    <w:p>
      <w:pPr>
        <w:spacing w:after="0" w:line="35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At December 31, 2016 and 2015, the following entities comprise the Group (the individual or consolidated figures of their financial statements are presented in accordance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IFRS and before eliminations for consolidation purposes, except for the elimination of Credicorp’s treasury shares and its related dividends):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Activity and country of</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1460" w:type="dxa"/>
            <w:vAlign w:val="bottom"/>
            <w:gridSpan w:val="3"/>
            <w:vMerge w:val="continue"/>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interest (direct</w:t>
            </w:r>
          </w:p>
        </w:tc>
        <w:tc>
          <w:tcPr>
            <w:tcW w:w="640" w:type="dxa"/>
            <w:vAlign w:val="bottom"/>
          </w:tcPr>
          <w:p>
            <w:pPr>
              <w:spacing w:after="0"/>
              <w:rPr>
                <w:sz w:val="11"/>
                <w:szCs w:val="11"/>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indirect)</w:t>
            </w:r>
          </w:p>
        </w:tc>
        <w:tc>
          <w:tcPr>
            <w:tcW w:w="6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2016</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2016</w:t>
            </w:r>
          </w:p>
        </w:tc>
        <w:tc>
          <w:tcPr>
            <w:tcW w:w="940" w:type="dxa"/>
            <w:vAlign w:val="bottom"/>
            <w:tcBorders>
              <w:top w:val="single" w:sz="8" w:color="auto"/>
            </w:tcBorders>
            <w:gridSpan w:val="2"/>
          </w:tcPr>
          <w:p>
            <w:pPr>
              <w:ind w:left="200"/>
              <w:spacing w:after="0" w:line="138"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2016</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2016</w:t>
            </w:r>
          </w:p>
        </w:tc>
        <w:tc>
          <w:tcPr>
            <w:tcW w:w="880" w:type="dxa"/>
            <w:vAlign w:val="bottom"/>
            <w:tcBorders>
              <w:top w:val="single" w:sz="8" w:color="auto"/>
            </w:tcBorders>
            <w:gridSpan w:val="2"/>
          </w:tcPr>
          <w:p>
            <w:pPr>
              <w:ind w:left="200"/>
              <w:spacing w:after="0" w:line="138"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1"/>
                <w:szCs w:val="11"/>
                <w:color w:val="auto"/>
              </w:rPr>
            </w:pPr>
          </w:p>
        </w:tc>
        <w:tc>
          <w:tcPr>
            <w:tcW w:w="66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2015</w:t>
            </w: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1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Banco de Crédito del</w:t>
            </w: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Perú and Subsidiaries</w:t>
            </w:r>
          </w:p>
        </w:tc>
        <w:tc>
          <w:tcPr>
            <w:tcW w:w="1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Banking, Peru</w:t>
            </w: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97.68</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97.68</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127,513,766</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128,885,245</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113,568,832</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117,229,264</w:t>
            </w:r>
          </w:p>
        </w:tc>
        <w:tc>
          <w:tcPr>
            <w:tcW w:w="9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13,944,934</w:t>
            </w:r>
          </w:p>
        </w:tc>
        <w:tc>
          <w:tcPr>
            <w:tcW w:w="9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11,655,981</w:t>
            </w:r>
          </w:p>
        </w:tc>
        <w:tc>
          <w:tcPr>
            <w:tcW w:w="8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2,954,668</w:t>
            </w:r>
          </w:p>
        </w:tc>
        <w:tc>
          <w:tcPr>
            <w:tcW w:w="8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2,783,428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w:t>
            </w:r>
          </w:p>
        </w:tc>
        <w:tc>
          <w:tcPr>
            <w:tcW w:w="148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El Pacífico Peruano-</w:t>
            </w:r>
          </w:p>
        </w:tc>
        <w:tc>
          <w:tcPr>
            <w:tcW w:w="14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Suiza Compañía de</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Seguros y</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Reaseguros and</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Subsidiaries (PPS)</w:t>
            </w:r>
          </w:p>
        </w:tc>
        <w:tc>
          <w:tcPr>
            <w:tcW w:w="1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Insurance, Peru</w:t>
            </w: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98.45</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98.45</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10,156,361</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9,325,892</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7,786,257</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7,418,532</w:t>
            </w:r>
          </w:p>
        </w:tc>
        <w:tc>
          <w:tcPr>
            <w:tcW w:w="9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2,370,104</w:t>
            </w:r>
          </w:p>
        </w:tc>
        <w:tc>
          <w:tcPr>
            <w:tcW w:w="9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1,907,360</w:t>
            </w:r>
          </w:p>
        </w:tc>
        <w:tc>
          <w:tcPr>
            <w:tcW w:w="8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303,264</w:t>
            </w:r>
          </w:p>
        </w:tc>
        <w:tc>
          <w:tcPr>
            <w:tcW w:w="8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349,503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(ii)</w:t>
            </w:r>
          </w:p>
        </w:tc>
        <w:tc>
          <w:tcPr>
            <w:tcW w:w="148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Inversiones</w:t>
            </w:r>
          </w:p>
        </w:tc>
        <w:tc>
          <w:tcPr>
            <w:tcW w:w="14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Credicorp Bolivia</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S.A. and Subsidiaries</w:t>
            </w:r>
          </w:p>
        </w:tc>
        <w:tc>
          <w:tcPr>
            <w:tcW w:w="1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Holding, Bolivia</w:t>
            </w: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99.95</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97.78</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8,017,925</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7,290,278</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7,337,562</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6,667,864</w:t>
            </w:r>
          </w:p>
        </w:tc>
        <w:tc>
          <w:tcPr>
            <w:tcW w:w="9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680,363</w:t>
            </w:r>
          </w:p>
        </w:tc>
        <w:tc>
          <w:tcPr>
            <w:tcW w:w="9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622,414</w:t>
            </w:r>
          </w:p>
        </w:tc>
        <w:tc>
          <w:tcPr>
            <w:tcW w:w="8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71,910</w:t>
            </w:r>
          </w:p>
        </w:tc>
        <w:tc>
          <w:tcPr>
            <w:tcW w:w="8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70,965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(iii)</w:t>
            </w:r>
          </w:p>
        </w:tc>
        <w:tc>
          <w:tcPr>
            <w:tcW w:w="148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Atlantic Security</w:t>
            </w:r>
          </w:p>
        </w:tc>
        <w:tc>
          <w:tcPr>
            <w:tcW w:w="1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Capital Markets,</w:t>
            </w:r>
          </w:p>
        </w:tc>
        <w:tc>
          <w:tcPr>
            <w:tcW w:w="8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Holding Corporation</w:t>
            </w:r>
          </w:p>
        </w:tc>
        <w:tc>
          <w:tcPr>
            <w:tcW w:w="1480" w:type="dxa"/>
            <w:vAlign w:val="bottom"/>
            <w:vMerge w:val="continue"/>
            <w:shd w:val="clear" w:color="auto" w:fill="CCEEFF"/>
          </w:tcPr>
          <w:p>
            <w:pPr>
              <w:spacing w:after="0"/>
              <w:rPr>
                <w:sz w:val="11"/>
                <w:szCs w:val="11"/>
                <w:color w:val="auto"/>
              </w:rPr>
            </w:pP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100.00</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100.00</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7,056,980</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6,979,153</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5,961,796</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6,112,699</w:t>
            </w:r>
          </w:p>
        </w:tc>
        <w:tc>
          <w:tcPr>
            <w:tcW w:w="9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1,095,184</w:t>
            </w:r>
          </w:p>
        </w:tc>
        <w:tc>
          <w:tcPr>
            <w:tcW w:w="9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866,454</w:t>
            </w:r>
          </w:p>
        </w:tc>
        <w:tc>
          <w:tcPr>
            <w:tcW w:w="8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143,238</w:t>
            </w:r>
          </w:p>
        </w:tc>
        <w:tc>
          <w:tcPr>
            <w:tcW w:w="8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132,654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Subsidiaries (iv)</w:t>
            </w: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Cayman</w:t>
            </w: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Credicorp Capital</w:t>
            </w:r>
          </w:p>
        </w:tc>
        <w:tc>
          <w:tcPr>
            <w:tcW w:w="1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Capital Markets,</w:t>
            </w:r>
          </w:p>
        </w:tc>
        <w:tc>
          <w:tcPr>
            <w:tcW w:w="8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Ltd. and Subsidiaries</w:t>
            </w:r>
          </w:p>
        </w:tc>
        <w:tc>
          <w:tcPr>
            <w:tcW w:w="1480" w:type="dxa"/>
            <w:vAlign w:val="bottom"/>
            <w:vMerge w:val="continue"/>
            <w:shd w:val="clear" w:color="auto" w:fill="CCEEFF"/>
          </w:tcPr>
          <w:p>
            <w:pPr>
              <w:spacing w:after="0"/>
              <w:rPr>
                <w:sz w:val="11"/>
                <w:szCs w:val="11"/>
                <w:color w:val="auto"/>
              </w:rPr>
            </w:pP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100.00</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100.00</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3,230,080</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2,836,708</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2,440,496</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2,076,788</w:t>
            </w:r>
          </w:p>
        </w:tc>
        <w:tc>
          <w:tcPr>
            <w:tcW w:w="9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789,584</w:t>
            </w:r>
          </w:p>
        </w:tc>
        <w:tc>
          <w:tcPr>
            <w:tcW w:w="9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759,920</w:t>
            </w:r>
          </w:p>
        </w:tc>
        <w:tc>
          <w:tcPr>
            <w:tcW w:w="8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89,654</w:t>
            </w:r>
          </w:p>
        </w:tc>
        <w:tc>
          <w:tcPr>
            <w:tcW w:w="8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(6,584)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w:t>
            </w: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Bermuda</w:t>
            </w: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CCR Inc. (vi)</w:t>
            </w:r>
          </w:p>
        </w:tc>
        <w:tc>
          <w:tcPr>
            <w:tcW w:w="1480" w:type="dxa"/>
            <w:vAlign w:val="bottom"/>
            <w:shd w:val="clear" w:color="auto" w:fill="CCEEFF"/>
          </w:tcPr>
          <w:p>
            <w:pPr>
              <w:ind w:left="40"/>
              <w:spacing w:after="0" w:line="113" w:lineRule="exact"/>
              <w:rPr>
                <w:sz w:val="20"/>
                <w:szCs w:val="20"/>
                <w:color w:val="auto"/>
              </w:rPr>
            </w:pPr>
            <w:r>
              <w:rPr>
                <w:rFonts w:ascii="Times New Roman" w:cs="Times New Roman" w:eastAsia="Times New Roman" w:hAnsi="Times New Roman"/>
                <w:sz w:val="13"/>
                <w:szCs w:val="13"/>
                <w:color w:val="auto"/>
              </w:rPr>
              <w:t>Special purpose Entity,</w:t>
            </w: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99.99</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99.99</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1,103,787</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1,677,107</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1,123,045</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1,711,226</w:t>
            </w:r>
          </w:p>
        </w:tc>
        <w:tc>
          <w:tcPr>
            <w:tcW w:w="90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(19,258)</w:t>
            </w:r>
          </w:p>
        </w:tc>
        <w:tc>
          <w:tcPr>
            <w:tcW w:w="9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(34,119)</w:t>
            </w:r>
          </w:p>
        </w:tc>
        <w:tc>
          <w:tcPr>
            <w:tcW w:w="8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w:t>
            </w:r>
          </w:p>
        </w:tc>
        <w:tc>
          <w:tcPr>
            <w:tcW w:w="8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(8,799)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Bahamas</w:t>
            </w: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Prima AFP S.A. (vii)</w:t>
            </w:r>
          </w:p>
        </w:tc>
        <w:tc>
          <w:tcPr>
            <w:tcW w:w="1480" w:type="dxa"/>
            <w:vAlign w:val="bottom"/>
            <w:shd w:val="clear" w:color="auto" w:fill="CCEEFF"/>
          </w:tcPr>
          <w:p>
            <w:pPr>
              <w:ind w:left="40"/>
              <w:spacing w:after="0" w:line="113" w:lineRule="exact"/>
              <w:rPr>
                <w:sz w:val="20"/>
                <w:szCs w:val="20"/>
                <w:color w:val="auto"/>
              </w:rPr>
            </w:pPr>
            <w:r>
              <w:rPr>
                <w:rFonts w:ascii="Times New Roman" w:cs="Times New Roman" w:eastAsia="Times New Roman" w:hAnsi="Times New Roman"/>
                <w:sz w:val="13"/>
                <w:szCs w:val="13"/>
                <w:color w:val="auto"/>
              </w:rPr>
              <w:t>Private pension fund</w:t>
            </w: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99.98</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99.98</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883,893</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880,844</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277,899</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296,040</w:t>
            </w:r>
          </w:p>
        </w:tc>
        <w:tc>
          <w:tcPr>
            <w:tcW w:w="9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605,994</w:t>
            </w:r>
          </w:p>
        </w:tc>
        <w:tc>
          <w:tcPr>
            <w:tcW w:w="9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584,804</w:t>
            </w:r>
          </w:p>
        </w:tc>
        <w:tc>
          <w:tcPr>
            <w:tcW w:w="8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155,813</w:t>
            </w:r>
          </w:p>
        </w:tc>
        <w:tc>
          <w:tcPr>
            <w:tcW w:w="8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162,083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administrator, Peru</w:t>
            </w: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Grupo Crédito S.A</w:t>
            </w:r>
          </w:p>
        </w:tc>
        <w:tc>
          <w:tcPr>
            <w:tcW w:w="1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Capital Markets, Peru</w:t>
            </w:r>
          </w:p>
        </w:tc>
        <w:tc>
          <w:tcPr>
            <w:tcW w:w="8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99.99</w:t>
            </w:r>
          </w:p>
        </w:tc>
        <w:tc>
          <w:tcPr>
            <w:tcW w:w="7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99.99</w:t>
            </w:r>
          </w:p>
        </w:tc>
        <w:tc>
          <w:tcPr>
            <w:tcW w:w="9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167,397</w:t>
            </w:r>
          </w:p>
        </w:tc>
        <w:tc>
          <w:tcPr>
            <w:tcW w:w="9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171,269</w:t>
            </w:r>
          </w:p>
        </w:tc>
        <w:tc>
          <w:tcPr>
            <w:tcW w:w="9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534,552</w:t>
            </w:r>
          </w:p>
        </w:tc>
        <w:tc>
          <w:tcPr>
            <w:tcW w:w="9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225,229</w:t>
            </w:r>
          </w:p>
        </w:tc>
        <w:tc>
          <w:tcPr>
            <w:tcW w:w="90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(367,155)</w:t>
            </w:r>
          </w:p>
        </w:tc>
        <w:tc>
          <w:tcPr>
            <w:tcW w:w="9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(53,960)</w:t>
            </w:r>
          </w:p>
        </w:tc>
        <w:tc>
          <w:tcPr>
            <w:tcW w:w="8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(15,575)</w:t>
            </w:r>
          </w:p>
        </w:tc>
        <w:tc>
          <w:tcPr>
            <w:tcW w:w="8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24,610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(viii)</w:t>
            </w:r>
          </w:p>
        </w:tc>
        <w:tc>
          <w:tcPr>
            <w:tcW w:w="148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2" w:name="page23"/>
    <w:bookmarkEnd w:id="22"/>
    <w:p>
      <w:pPr>
        <w:ind w:left="393" w:right="380" w:hanging="393"/>
        <w:spacing w:after="0" w:line="285" w:lineRule="auto"/>
        <w:tabs>
          <w:tab w:leader="none" w:pos="39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BCP was incorporated in 1889 and its activities are regulated by the Superintendence of Banking, Insurance and AFP (the Peruvian banking, insurance and AFP regulator, hereinafter “the SBS” for its Spanish acronym).</w:t>
      </w:r>
    </w:p>
    <w:p>
      <w:pPr>
        <w:spacing w:after="0" w:line="143" w:lineRule="exact"/>
        <w:rPr>
          <w:rFonts w:ascii="Times New Roman" w:cs="Times New Roman" w:eastAsia="Times New Roman" w:hAnsi="Times New Roman"/>
          <w:sz w:val="16"/>
          <w:szCs w:val="16"/>
          <w:color w:val="auto"/>
        </w:rPr>
      </w:pPr>
    </w:p>
    <w:p>
      <w:pPr>
        <w:ind w:left="393" w:right="1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BCP holds a direct interest in Mibanco as a result of the merger between Mibanco and Edyficar on March 2, 2015. At December 31, 2014 Mibanco was a subsidiary of Financiera Edyficar (note 2(d). At December 31, 2016, the assets, liabilities, equity and net income of Mibanco amounted to approximately S/11,234.9 million, S/9,658.3 million, S/1,576.6 million and S/336.0 million, respectively. (S/11,054,8 million, S/9,707.5 million, S/1,347.3 million, and S/222.0 million, respectively at December 31, 2015.</w:t>
      </w:r>
    </w:p>
    <w:p>
      <w:pPr>
        <w:spacing w:after="0" w:line="160" w:lineRule="exact"/>
        <w:rPr>
          <w:rFonts w:ascii="Times New Roman" w:cs="Times New Roman" w:eastAsia="Times New Roman" w:hAnsi="Times New Roman"/>
          <w:sz w:val="16"/>
          <w:szCs w:val="16"/>
          <w:color w:val="auto"/>
        </w:rPr>
      </w:pPr>
    </w:p>
    <w:p>
      <w:pPr>
        <w:ind w:left="393" w:right="600" w:hanging="393"/>
        <w:spacing w:after="0" w:line="285" w:lineRule="auto"/>
        <w:tabs>
          <w:tab w:leader="none" w:pos="39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PPS provides general life, health and personal insurance, its activities are regulated by the SBS. On December 30, 2014, the Group signed an agreement with Banmédica to transfer control of its subsidiary Pacífico EPS, as explained in more detail in Note 13.</w:t>
      </w:r>
    </w:p>
    <w:p>
      <w:pPr>
        <w:spacing w:after="0" w:line="143" w:lineRule="exact"/>
        <w:rPr>
          <w:rFonts w:ascii="Times New Roman" w:cs="Times New Roman" w:eastAsia="Times New Roman" w:hAnsi="Times New Roman"/>
          <w:sz w:val="16"/>
          <w:szCs w:val="16"/>
          <w:color w:val="auto"/>
        </w:rPr>
      </w:pPr>
    </w:p>
    <w:p>
      <w:pPr>
        <w:ind w:left="393" w:right="140" w:hanging="393"/>
        <w:spacing w:after="0" w:line="263" w:lineRule="auto"/>
        <w:tabs>
          <w:tab w:leader="none" w:pos="39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Inversiones Credicorp Bolivia was established in February 2013 and its objective is to make capital investments for its own account or for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60" w:lineRule="exact"/>
        <w:rPr>
          <w:rFonts w:ascii="Times New Roman" w:cs="Times New Roman" w:eastAsia="Times New Roman" w:hAnsi="Times New Roman"/>
          <w:sz w:val="16"/>
          <w:szCs w:val="16"/>
          <w:color w:val="auto"/>
        </w:rPr>
      </w:pPr>
    </w:p>
    <w:p>
      <w:pPr>
        <w:ind w:left="393"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its principal subsidiary is BCB, a commercial bank which operates in Bolivia. At said date, the assets, liabilities, equity and net profit of BCB were approximately S/7,949.2 million, S/7,328.5 million, S/620.7 million and S/80.7 million, respectively.</w:t>
      </w:r>
    </w:p>
    <w:p>
      <w:pPr>
        <w:spacing w:after="0" w:line="143" w:lineRule="exact"/>
        <w:rPr>
          <w:rFonts w:ascii="Times New Roman" w:cs="Times New Roman" w:eastAsia="Times New Roman" w:hAnsi="Times New Roman"/>
          <w:sz w:val="16"/>
          <w:szCs w:val="16"/>
          <w:color w:val="auto"/>
        </w:rPr>
      </w:pPr>
    </w:p>
    <w:p>
      <w:pPr>
        <w:ind w:left="393" w:right="3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BCB was a subsidiary of BCP, and its assets, liabilities, equity and net profit totaled approximately S/7,245.6 million, S/6,665.0 millon, S/580.6 million and S/57.4 million, respectively. During the year 2016, BCP sold its shares of BCB to ICBSA, losing control of the latter, see note 2 (c).</w:t>
      </w:r>
    </w:p>
    <w:p>
      <w:pPr>
        <w:spacing w:after="0" w:line="143" w:lineRule="exact"/>
        <w:rPr>
          <w:rFonts w:ascii="Times New Roman" w:cs="Times New Roman" w:eastAsia="Times New Roman" w:hAnsi="Times New Roman"/>
          <w:sz w:val="16"/>
          <w:szCs w:val="16"/>
          <w:color w:val="auto"/>
        </w:rPr>
      </w:pPr>
    </w:p>
    <w:p>
      <w:pPr>
        <w:ind w:left="3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shown as comparative have been restructured as if BCB had always been a subsidiary of ICBSA</w:t>
      </w:r>
    </w:p>
    <w:p>
      <w:pPr>
        <w:spacing w:after="0" w:line="202" w:lineRule="exact"/>
        <w:rPr>
          <w:rFonts w:ascii="Times New Roman" w:cs="Times New Roman" w:eastAsia="Times New Roman" w:hAnsi="Times New Roman"/>
          <w:sz w:val="16"/>
          <w:szCs w:val="16"/>
          <w:color w:val="auto"/>
        </w:rPr>
      </w:pPr>
    </w:p>
    <w:p>
      <w:pPr>
        <w:ind w:left="393" w:hanging="393"/>
        <w:spacing w:after="0" w:line="285" w:lineRule="auto"/>
        <w:tabs>
          <w:tab w:leader="none" w:pos="39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most significant subsidiary is Atlantic Security Bank (ASB), which is incorporated in the Cayman Islands and operates through branches and offices in Grand Cayman and the Republic of Panama; its main activities are private and institutional banking services and trustee administration mostly for BCP’s Peruvian customers</w:t>
      </w:r>
    </w:p>
    <w:p>
      <w:pPr>
        <w:spacing w:after="0" w:line="143" w:lineRule="exact"/>
        <w:rPr>
          <w:rFonts w:ascii="Times New Roman" w:cs="Times New Roman" w:eastAsia="Times New Roman" w:hAnsi="Times New Roman"/>
          <w:sz w:val="16"/>
          <w:szCs w:val="16"/>
          <w:color w:val="auto"/>
        </w:rPr>
      </w:pPr>
    </w:p>
    <w:p>
      <w:pPr>
        <w:ind w:left="393" w:right="80" w:hanging="393"/>
        <w:spacing w:after="0" w:line="268" w:lineRule="auto"/>
        <w:tabs>
          <w:tab w:leader="none" w:pos="39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Credicorp Capital Ltd. was formed in 2012, and its main subsidiaries are Credicorp Capital Holding Chile (owner of Inversiones IMT), Credicorp Capital Holding Colombia (owner of Credicorp Capital Colombia, formerly Correval), and Credicorp Capital Holding Peru (owner of Credicorp Capital Peru S.A.A.), which develop their activities in Chile, Colombia and Peru, respectively.</w:t>
      </w:r>
    </w:p>
    <w:p>
      <w:pPr>
        <w:spacing w:after="0" w:line="157" w:lineRule="exact"/>
        <w:rPr>
          <w:rFonts w:ascii="Times New Roman" w:cs="Times New Roman" w:eastAsia="Times New Roman" w:hAnsi="Times New Roman"/>
          <w:sz w:val="16"/>
          <w:szCs w:val="16"/>
          <w:color w:val="auto"/>
        </w:rPr>
      </w:pPr>
    </w:p>
    <w:p>
      <w:pPr>
        <w:ind w:left="393" w:right="30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subsidiary of Credicorp Capital Holding Peru is Credicorp Capital Peru, the principal function of which is that of a holding company of shares, participations, and securities in general, provision of financial and corporate advisory services, and property investment. At December 31, 2016 and 2015, respectively, Credicorp Capital Peru holds as subsidiaries, Credicorp Capital Sociedad Agente de Bolsa S.A., Credicorp Capital S.A. Sociedad Administradora de Fondos, Credicorp Capital Servicios Financieros S.A. and Credicorp Capital Sociedad Titulizadora S.A., member companies of the Investment Banking Group in Peru.</w:t>
      </w:r>
    </w:p>
    <w:p>
      <w:pPr>
        <w:spacing w:after="0" w:line="357"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13"/>
          </w:cols>
          <w:pgMar w:left="527" w:top="824" w:right="259" w:bottom="1440" w:gutter="0" w:footer="0" w:header="0"/>
        </w:sectPr>
      </w:pPr>
    </w:p>
    <w:bookmarkStart w:id="23" w:name="page24"/>
    <w:bookmarkEnd w:id="23"/>
    <w:p>
      <w:pPr>
        <w:ind w:left="683" w:right="40"/>
        <w:spacing w:after="0" w:line="268" w:lineRule="auto"/>
        <w:rPr>
          <w:sz w:val="20"/>
          <w:szCs w:val="20"/>
          <w:color w:val="auto"/>
        </w:rPr>
      </w:pPr>
      <w:r>
        <w:rPr>
          <w:rFonts w:ascii="Times New Roman" w:cs="Times New Roman" w:eastAsia="Times New Roman" w:hAnsi="Times New Roman"/>
          <w:sz w:val="16"/>
          <w:szCs w:val="16"/>
          <w:color w:val="auto"/>
        </w:rPr>
        <w:t>During the year 2015, Grupo Crédito split the shares it held in Credicorp Capital Holding Peru, after which Credicorp Ltd. contributed this investment to Credicorp Capital Ltd. Said transfers were made at their carrying amounts and, therefore, had no effect on the Group’s consolidated financial statements: no gains or losses were recorded for these transactions.</w:t>
      </w:r>
    </w:p>
    <w:p>
      <w:pPr>
        <w:spacing w:after="0" w:line="157" w:lineRule="exact"/>
        <w:rPr>
          <w:sz w:val="20"/>
          <w:szCs w:val="20"/>
          <w:color w:val="auto"/>
        </w:rPr>
      </w:pPr>
    </w:p>
    <w:p>
      <w:pPr>
        <w:jc w:val="both"/>
        <w:ind w:left="683" w:right="360"/>
        <w:spacing w:after="0" w:line="268" w:lineRule="auto"/>
        <w:rPr>
          <w:sz w:val="20"/>
          <w:szCs w:val="20"/>
          <w:color w:val="auto"/>
        </w:rPr>
      </w:pPr>
      <w:r>
        <w:rPr>
          <w:rFonts w:ascii="Times New Roman" w:cs="Times New Roman" w:eastAsia="Times New Roman" w:hAnsi="Times New Roman"/>
          <w:sz w:val="16"/>
          <w:szCs w:val="16"/>
          <w:color w:val="auto"/>
        </w:rPr>
        <w:t>At December 31, 2016 and 2015, Credicorp Capital Ltd. directly holds 100.0 percent of the share capital of Credicorp Capital Holding Peru. As of December 31, 2016, the assets, liabilities, equity and net profit of of Credicorp Capital Holding Peru and Subsidiaries amount to approximately S/236.0 million, S/56.5 million, S/179.5 million and S/19.3 million, respectively (S/239.9 million, S/43.8 million, S/196.1 million and S/12.6 million, respectively at December 31, 2015).</w:t>
      </w:r>
    </w:p>
    <w:p>
      <w:pPr>
        <w:spacing w:after="0" w:line="157" w:lineRule="exact"/>
        <w:rPr>
          <w:sz w:val="20"/>
          <w:szCs w:val="20"/>
          <w:color w:val="auto"/>
        </w:rPr>
      </w:pPr>
    </w:p>
    <w:p>
      <w:pPr>
        <w:ind w:left="683"/>
        <w:spacing w:after="0" w:line="258" w:lineRule="auto"/>
        <w:rPr>
          <w:sz w:val="20"/>
          <w:szCs w:val="20"/>
          <w:color w:val="auto"/>
        </w:rPr>
      </w:pPr>
      <w:r>
        <w:rPr>
          <w:rFonts w:ascii="Times New Roman" w:cs="Times New Roman" w:eastAsia="Times New Roman" w:hAnsi="Times New Roman"/>
          <w:sz w:val="16"/>
          <w:szCs w:val="16"/>
          <w:color w:val="auto"/>
        </w:rPr>
        <w:t>At December 31, 2016, Credicorp Capital Ltd directly or indirectly holds 100.00 percent of the share capital of IM Trust and Credicorp Capital Colombia (60.60 percent of IM Trust and 51.0 percent of Credicorp Capital Colombia at December 31, 2015), see increase in the holding in note 2(a). At December 31, 2016, the assets, liabilities, equity and net profit of IM Trust amount to approximately S/987.5 million, S/840.4 million, S/147.1 million and S/23.7 million, respectively (S/563.8 million, S/440.1 million, S/123.7 million and S/21.3 million, respectively, at December 31, 2015); and those of Credicorp Capital Colombia amount to approximately S/1,496.5 million, S/1,346.2 million, S/150.3 million, and S/24.2 million, respectively (S/1,572.6 million, S/1,446.8 million, S/125.8 million and S/25.6 million, respectively at December 31, 2015</w:t>
      </w:r>
    </w:p>
    <w:p>
      <w:pPr>
        <w:spacing w:after="0" w:line="167" w:lineRule="exact"/>
        <w:rPr>
          <w:sz w:val="20"/>
          <w:szCs w:val="20"/>
          <w:color w:val="auto"/>
        </w:rPr>
      </w:pPr>
    </w:p>
    <w:p>
      <w:pPr>
        <w:ind w:left="683" w:right="120" w:hanging="393"/>
        <w:spacing w:after="0" w:line="268" w:lineRule="auto"/>
        <w:tabs>
          <w:tab w:leader="none" w:pos="683"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CCR Inc. was incorporated in 2000, its main activity is to manage certain loans granted to BCP by foreign financial entities, see note 17(a)(iii). These loans are collateralized by transactions performed by BCP. At December 31, 2016 and 2015, the negative equity balance resulted from unrealized losses from cash flow hedge derivatives.</w:t>
      </w:r>
    </w:p>
    <w:p>
      <w:pPr>
        <w:spacing w:after="0" w:line="157" w:lineRule="exact"/>
        <w:rPr>
          <w:rFonts w:ascii="Times New Roman" w:cs="Times New Roman" w:eastAsia="Times New Roman" w:hAnsi="Times New Roman"/>
          <w:sz w:val="16"/>
          <w:szCs w:val="16"/>
          <w:color w:val="auto"/>
        </w:rPr>
      </w:pPr>
    </w:p>
    <w:p>
      <w:pPr>
        <w:ind w:left="683" w:hanging="393"/>
        <w:spacing w:after="0"/>
        <w:tabs>
          <w:tab w:leader="none" w:pos="683"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 AFP is a private pension fund and its activities are regulated by the SBS.</w:t>
      </w:r>
    </w:p>
    <w:p>
      <w:pPr>
        <w:spacing w:after="0" w:line="202" w:lineRule="exact"/>
        <w:rPr>
          <w:rFonts w:ascii="Times New Roman" w:cs="Times New Roman" w:eastAsia="Times New Roman" w:hAnsi="Times New Roman"/>
          <w:sz w:val="16"/>
          <w:szCs w:val="16"/>
          <w:color w:val="auto"/>
        </w:rPr>
      </w:pPr>
    </w:p>
    <w:p>
      <w:pPr>
        <w:ind w:left="683" w:right="160" w:hanging="393"/>
        <w:spacing w:after="0" w:line="285" w:lineRule="auto"/>
        <w:tabs>
          <w:tab w:leader="none" w:pos="683"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Grupo Crédito is a company mainly engaged in shares listed in Peru and unlisted shares of Peruvian companies. It also holds the Group’s shares in BCP, Prima AFP, PPS and Inversiones Credicorp Bolivia. Grupo Crédito’s balances are presented net of its investments in said entities.</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w:t>
      </w:r>
    </w:p>
    <w:p>
      <w:pPr>
        <w:spacing w:after="0" w:line="202" w:lineRule="exact"/>
        <w:rPr>
          <w:rFonts w:ascii="Times New Roman" w:cs="Times New Roman" w:eastAsia="Times New Roman" w:hAnsi="Times New Roman"/>
          <w:sz w:val="16"/>
          <w:szCs w:val="16"/>
          <w:color w:val="auto"/>
        </w:rPr>
      </w:pPr>
    </w:p>
    <w:p>
      <w:pPr>
        <w:ind w:left="683" w:hanging="393"/>
        <w:spacing w:after="0"/>
        <w:tabs>
          <w:tab w:leader="none" w:pos="68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Functional and presentation currency -</w:t>
      </w:r>
    </w:p>
    <w:p>
      <w:pPr>
        <w:spacing w:after="0" w:line="202" w:lineRule="exact"/>
        <w:rPr>
          <w:rFonts w:ascii="Times New Roman" w:cs="Times New Roman" w:eastAsia="Times New Roman" w:hAnsi="Times New Roman"/>
          <w:sz w:val="16"/>
          <w:szCs w:val="16"/>
          <w:color w:val="auto"/>
        </w:rPr>
      </w:pPr>
    </w:p>
    <w:p>
      <w:pPr>
        <w:ind w:left="683"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Credicorp and its Subsidiaries which operate in Peru consider the Peruvian sol as their functional and presentation currency since it reflects the nature of the economic events and relevant circumstances given the fact their major transactions and/operations, such as: lending, borrowing, financial income, financial expenses and a significant percentage of their purchases are agreed in Peruvian soles.</w:t>
      </w:r>
    </w:p>
    <w:p>
      <w:pPr>
        <w:spacing w:after="0" w:line="157" w:lineRule="exact"/>
        <w:rPr>
          <w:rFonts w:ascii="Times New Roman" w:cs="Times New Roman" w:eastAsia="Times New Roman" w:hAnsi="Times New Roman"/>
          <w:sz w:val="16"/>
          <w:szCs w:val="16"/>
          <w:color w:val="auto"/>
        </w:rPr>
      </w:pPr>
    </w:p>
    <w:p>
      <w:pPr>
        <w:ind w:left="683" w:hanging="393"/>
        <w:spacing w:after="0"/>
        <w:tabs>
          <w:tab w:leader="none" w:pos="68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and balances in foreign currency -</w:t>
      </w:r>
    </w:p>
    <w:p>
      <w:pPr>
        <w:spacing w:after="0" w:line="202" w:lineRule="exact"/>
        <w:rPr>
          <w:rFonts w:ascii="Times New Roman" w:cs="Times New Roman" w:eastAsia="Times New Roman" w:hAnsi="Times New Roman"/>
          <w:sz w:val="16"/>
          <w:szCs w:val="16"/>
          <w:color w:val="auto"/>
        </w:rPr>
      </w:pPr>
    </w:p>
    <w:p>
      <w:pPr>
        <w:ind w:left="683" w:right="6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transactions are those entered into in currencies other than the functional currency. These transactions are initially stated by Group entities at the exchange rates of their functional currencies at the transaction dates. Monetary assets and liabilities denominated in foreign currency are adjusted at the exchange rate of the functional currency prevailing at the date of the statement of financial position. The differences arising from the exchange rate prevailing at the date of each consolidated statement of financial position presented and the exchange rate initially used in recording transactions are recognized in the consolidated statement of income in the period in which they occur, in “Exchange differences”. Non-monetary assets and liabilities acquired in foreign currency are stated at the exchange rate prevailing at the initial transaction date and are not subsequently adjusted.</w:t>
      </w:r>
    </w:p>
    <w:p>
      <w:pPr>
        <w:spacing w:after="0" w:line="360"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24" w:name="page25"/>
    <w:bookmarkEnd w:id="24"/>
    <w:p>
      <w:pPr>
        <w:ind w:left="683" w:hanging="393"/>
        <w:spacing w:after="0"/>
        <w:tabs>
          <w:tab w:leader="none" w:pos="68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Group entities with functional currency other than the presentation currency</w:t>
      </w:r>
    </w:p>
    <w:p>
      <w:pPr>
        <w:spacing w:after="0" w:line="202" w:lineRule="exact"/>
        <w:rPr>
          <w:rFonts w:ascii="Times New Roman" w:cs="Times New Roman" w:eastAsia="Times New Roman" w:hAnsi="Times New Roman"/>
          <w:sz w:val="16"/>
          <w:szCs w:val="16"/>
          <w:color w:val="auto"/>
        </w:rPr>
      </w:pPr>
    </w:p>
    <w:p>
      <w:pPr>
        <w:ind w:left="683" w:right="1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Given that the Group’s entities in Colombia, Chile, Cayman, Panama and Bolivia have a functional currency different from Peruvian Soles, they were translated into Soles for consolidation purposes in accordance with IAS 21, “The Effects of Changes in Foreign Exchange Rates” as follows:</w:t>
      </w:r>
    </w:p>
    <w:p>
      <w:pPr>
        <w:spacing w:after="0" w:line="143"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and liabilities, at the closing rate prevailing at the date of each consolidated statement of financial position.</w:t>
      </w:r>
    </w:p>
    <w:p>
      <w:pPr>
        <w:spacing w:after="0" w:line="25"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and expense, at the average exchange rate for each month of the year.</w:t>
      </w:r>
    </w:p>
    <w:p>
      <w:pPr>
        <w:spacing w:after="0" w:line="187" w:lineRule="exact"/>
        <w:rPr>
          <w:sz w:val="20"/>
          <w:szCs w:val="20"/>
          <w:color w:val="auto"/>
        </w:rPr>
      </w:pPr>
    </w:p>
    <w:p>
      <w:pPr>
        <w:ind w:left="683"/>
        <w:spacing w:after="0"/>
        <w:rPr>
          <w:sz w:val="20"/>
          <w:szCs w:val="20"/>
          <w:color w:val="auto"/>
        </w:rPr>
      </w:pPr>
      <w:r>
        <w:rPr>
          <w:rFonts w:ascii="Times New Roman" w:cs="Times New Roman" w:eastAsia="Times New Roman" w:hAnsi="Times New Roman"/>
          <w:sz w:val="16"/>
          <w:szCs w:val="16"/>
          <w:color w:val="auto"/>
        </w:rPr>
        <w:t>All resulting exchange differences were recognized within “Exchange differences” in the consolidated statement of comprehensive income.</w:t>
      </w:r>
    </w:p>
    <w:p>
      <w:pPr>
        <w:spacing w:after="0" w:line="203" w:lineRule="exact"/>
        <w:rPr>
          <w:sz w:val="20"/>
          <w:szCs w:val="20"/>
          <w:color w:val="auto"/>
        </w:rPr>
      </w:pPr>
    </w:p>
    <w:p>
      <w:pPr>
        <w:ind w:left="283" w:hanging="283"/>
        <w:spacing w:after="0"/>
        <w:tabs>
          <w:tab w:leader="none" w:pos="28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income and expenses from banking activities -</w:t>
      </w:r>
    </w:p>
    <w:p>
      <w:pPr>
        <w:spacing w:after="0" w:line="202" w:lineRule="exact"/>
        <w:rPr>
          <w:rFonts w:ascii="Times New Roman" w:cs="Times New Roman" w:eastAsia="Times New Roman" w:hAnsi="Times New Roman"/>
          <w:sz w:val="16"/>
          <w:szCs w:val="16"/>
          <w:color w:val="auto"/>
        </w:rPr>
      </w:pPr>
    </w:p>
    <w:p>
      <w:pPr>
        <w:ind w:left="283" w:right="10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income and expense for all interest-bearing financial instruments, including those related to financial instruments classified as held for trading or designated at fair value through profit or loss, are recognized within “Interest and similar income” and “Interest and similar expenses” in the consolidated statement of income using the effective interest rate method, which is the rate that discounts estimated future cash payments or receipts during the expected life of the financial instrument or a shorter period, where appropriate, to the net carrying amount of the financial asset or financial liability.</w:t>
      </w:r>
    </w:p>
    <w:p>
      <w:pPr>
        <w:spacing w:after="0" w:line="160" w:lineRule="exact"/>
        <w:rPr>
          <w:rFonts w:ascii="Times New Roman" w:cs="Times New Roman" w:eastAsia="Times New Roman" w:hAnsi="Times New Roman"/>
          <w:sz w:val="16"/>
          <w:szCs w:val="16"/>
          <w:color w:val="auto"/>
        </w:rPr>
      </w:pPr>
    </w:p>
    <w:p>
      <w:pPr>
        <w:ind w:left="283" w:right="6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income includes coupons earned on fixed income investment and trading securities and the discount and premium on financial instruments. Dividends are recognized as income when they are declared.</w:t>
      </w:r>
    </w:p>
    <w:p>
      <w:pPr>
        <w:spacing w:after="0" w:line="143" w:lineRule="exact"/>
        <w:rPr>
          <w:rFonts w:ascii="Times New Roman" w:cs="Times New Roman" w:eastAsia="Times New Roman" w:hAnsi="Times New Roman"/>
          <w:sz w:val="16"/>
          <w:szCs w:val="16"/>
          <w:color w:val="auto"/>
        </w:rPr>
      </w:pPr>
    </w:p>
    <w:p>
      <w:pPr>
        <w:ind w:left="283" w:right="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commission income are recognized on an accrual basis. Contingent credit fees for loans that are likely to be drawn down and other credit related fees are deferred (together with any direct incremental costs) and recognized as an adjustment to the effective interest rate on the loan.</w:t>
      </w:r>
    </w:p>
    <w:p>
      <w:pPr>
        <w:spacing w:after="0" w:line="143"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revenues and expenses are recognized on an accrual basis.</w:t>
      </w:r>
    </w:p>
    <w:p>
      <w:pPr>
        <w:spacing w:after="0" w:line="202" w:lineRule="exact"/>
        <w:rPr>
          <w:rFonts w:ascii="Times New Roman" w:cs="Times New Roman" w:eastAsia="Times New Roman" w:hAnsi="Times New Roman"/>
          <w:sz w:val="16"/>
          <w:szCs w:val="16"/>
          <w:color w:val="auto"/>
        </w:rPr>
      </w:pPr>
    </w:p>
    <w:p>
      <w:pPr>
        <w:ind w:left="283" w:right="9680" w:hanging="283"/>
        <w:spacing w:after="0" w:line="504" w:lineRule="auto"/>
        <w:tabs>
          <w:tab w:leader="none" w:pos="28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activities - Product classification:</w:t>
      </w:r>
    </w:p>
    <w:p>
      <w:pPr>
        <w:ind w:left="283" w:right="8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w:t>
      </w:r>
    </w:p>
    <w:p>
      <w:pPr>
        <w:spacing w:after="0" w:line="160" w:lineRule="exact"/>
        <w:rPr>
          <w:rFonts w:ascii="Times New Roman" w:cs="Times New Roman" w:eastAsia="Times New Roman" w:hAnsi="Times New Roman"/>
          <w:sz w:val="16"/>
          <w:szCs w:val="16"/>
          <w:color w:val="auto"/>
        </w:rPr>
      </w:pPr>
    </w:p>
    <w:p>
      <w:pPr>
        <w:ind w:left="283"/>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43" w:lineRule="exact"/>
        <w:rPr>
          <w:rFonts w:ascii="Times New Roman" w:cs="Times New Roman" w:eastAsia="Times New Roman" w:hAnsi="Times New Roman"/>
          <w:sz w:val="16"/>
          <w:szCs w:val="16"/>
          <w:color w:val="auto"/>
        </w:rPr>
      </w:pPr>
    </w:p>
    <w:p>
      <w:pPr>
        <w:ind w:left="283" w:right="5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 contracts offered by the Group include retirement, disability and survival insurance, annuities and individual life which includes unit linked insurance contracts. The non-life insurance contracts issued by the Group mainly include automobile, fire and allied and technical lines and healthcare.</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Reinsurance: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cedes insurance risk in the normal course of the operations for most of its businesses. Reinsurance assets represent balances due from reinsurance companies.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Reinsurance ceded is placed on both a proportional and non-proportional basis.</w:t>
      </w:r>
    </w:p>
    <w:p>
      <w:pPr>
        <w:spacing w:after="0" w:line="187"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Amounts recoverable from reinsurers are estimated in a manner consistent with the outstanding claims provision or settled claims and ceded premiums associated with the ceded policies and are in accordance with the related reinsurance contracts.</w:t>
      </w:r>
    </w:p>
    <w:p>
      <w:pPr>
        <w:spacing w:after="0" w:line="143" w:lineRule="exact"/>
        <w:rPr>
          <w:sz w:val="20"/>
          <w:szCs w:val="20"/>
          <w:color w:val="auto"/>
        </w:rPr>
      </w:pPr>
    </w:p>
    <w:p>
      <w:pPr>
        <w:jc w:val="both"/>
        <w:ind w:right="540"/>
        <w:spacing w:after="0" w:line="263" w:lineRule="auto"/>
        <w:rPr>
          <w:sz w:val="20"/>
          <w:szCs w:val="20"/>
          <w:color w:val="auto"/>
        </w:rPr>
      </w:pPr>
      <w:r>
        <w:rPr>
          <w:rFonts w:ascii="Times New Roman" w:cs="Times New Roman" w:eastAsia="Times New Roman" w:hAnsi="Times New Roman"/>
          <w:sz w:val="16"/>
          <w:szCs w:val="16"/>
          <w:color w:val="auto"/>
        </w:rPr>
        <w:t>Reinsurance assets are reviewed for impairment at each reporting date of the consolidated statement of financial position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statement of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Ceded reinsurance arrangements do not relieve the Group from its obligations to policyholders.</w:t>
      </w:r>
    </w:p>
    <w:p>
      <w:pPr>
        <w:spacing w:after="0" w:line="20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6"/>
          <w:szCs w:val="16"/>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classification of the reinsured insurance contract.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Reinsurance liabilities represent balances due to reinsurance companies. Amounts payable are estimated in a manner consistent with the related reinsurance contract.</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Premiums and claims are presented on a gross basis for both ceded and assumed reinsurance, see notes 24 and 25. Reinsurance assets or liabilities are derecognized when the contractual rights are extinguished or expire or when the contract is transferred to another party. Reinsurance contracts that do not transfer significant insurance risk are not material to the insurance segment.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Insurance receivables -</w:t>
      </w:r>
    </w:p>
    <w:p>
      <w:pPr>
        <w:spacing w:after="0" w:line="20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Insurance receivables are recognized when due and measured on initial recognition at the fair value of the consideration received or receivable. Subsequent to initial recognition, insurance receivables are measured at amortized cost. As of December 31, 2016 and 2015 the carrying amount of the insurance receivables is similar to their fair value due to their short term. The carrying value of insurance receivables is reviewed for impairment whenever events or circumstances indicate that the carrying amount may not be recoverable. The impairment loss is recorded in the consolidated statement of income. Insurance receivables are derecognized when the de-recognition criteria for financial assets, as described in Note 3(g), have been met.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Linked” assets -</w:t>
      </w:r>
    </w:p>
    <w:p>
      <w:pPr>
        <w:spacing w:after="0" w:line="2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“Unit- Linked” assets represent financial instruments held for purposes of funding a group of life insurance contracts and for which investment gains and losses accrue directly to the policyholders who bear the investment risk. Each account has specific objectives and the assets are carried at fair value. The balance of each account is legally segregated and is not subject to claims that arise out of any other business of the Group. The liabilities linked to these accounts are equal to the account assets, net of the commissions that the Group charges for the management of these contracts.</w:t>
      </w:r>
    </w:p>
    <w:p>
      <w:pPr>
        <w:spacing w:after="0" w:line="35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4"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Deferred acquisition costs (DAC) -</w:t>
      </w:r>
    </w:p>
    <w:p>
      <w:pPr>
        <w:spacing w:after="0" w:line="203"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6"/>
          <w:szCs w:val="16"/>
          <w:color w:val="auto"/>
        </w:rPr>
        <w:t>These comprise the direct costs that originate with and are related to traditional life and unit-linked insurance contracts which are deferred; all other acquisition costs are recognized as an expense when incurred. The direct acquisition costs comprise primarily agent commissions corresponding to the underwriting and policy issuance costs.</w:t>
      </w:r>
    </w:p>
    <w:p>
      <w:pPr>
        <w:spacing w:after="0" w:line="143"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Subsequent to initial recognition, these costs are amortized on a straight line basis based on the average expiration period of the related insurance contracts. Amortization is recorded in the consolidated statement of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DAC for general insurance and health products are amortized over the period in which the related revenues are earned.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DAC are derecognized when the related contracts are either settled or disposed of.</w:t>
      </w:r>
    </w:p>
    <w:p>
      <w:pPr>
        <w:spacing w:after="0" w:line="20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6"/>
          <w:szCs w:val="16"/>
          <w:color w:val="auto"/>
        </w:rPr>
        <w:t>An impairment review is performed at the date of the consolidated statement of financial position or more frequently when an indication of impairment arises. When the recoverable amounts is less than the carrying value an impairment loss is recognized in the consolidated statement of income. DAC is also considered in the liability adequacy test for each reporting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Reinsurance commissions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Commissions on reinsurance contracts for ceded premiums are amortized on a straight line basis over the term of the coverage of the related insurance contract.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Insurance contract liabilities -</w:t>
      </w:r>
    </w:p>
    <w:p>
      <w:pPr>
        <w:spacing w:after="0" w:line="203" w:lineRule="exact"/>
        <w:rPr>
          <w:sz w:val="20"/>
          <w:szCs w:val="20"/>
          <w:color w:val="auto"/>
        </w:rPr>
      </w:pPr>
    </w:p>
    <w:p>
      <w:pPr>
        <w:ind w:left="300" w:hanging="293"/>
        <w:spacing w:after="0"/>
        <w:tabs>
          <w:tab w:leader="none" w:pos="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 contract liabilities -</w:t>
      </w:r>
    </w:p>
    <w:p>
      <w:pPr>
        <w:spacing w:after="0" w:line="202"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 liabilities are recognized when contracts are entered into.</w:t>
      </w:r>
    </w:p>
    <w:p>
      <w:pPr>
        <w:spacing w:after="0" w:line="202" w:lineRule="exact"/>
        <w:rPr>
          <w:rFonts w:ascii="Times New Roman" w:cs="Times New Roman" w:eastAsia="Times New Roman" w:hAnsi="Times New Roman"/>
          <w:sz w:val="16"/>
          <w:szCs w:val="16"/>
          <w:color w:val="auto"/>
        </w:rPr>
      </w:pPr>
    </w:p>
    <w:p>
      <w:pPr>
        <w:ind w:left="300" w:right="1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technical reserves of retirement, disability and survivor’s pension include the reserves of all of the business lines, comprising both the mathematical reserves and those of ongoing risk, as well as the reserves for outstanding claims, settled claims, claim settlement costs, claims incurred but not reported (IBNR), as applicable to each line.</w:t>
      </w:r>
    </w:p>
    <w:p>
      <w:pPr>
        <w:spacing w:after="0" w:line="157" w:lineRule="exact"/>
        <w:rPr>
          <w:rFonts w:ascii="Times New Roman" w:cs="Times New Roman" w:eastAsia="Times New Roman" w:hAnsi="Times New Roman"/>
          <w:sz w:val="16"/>
          <w:szCs w:val="16"/>
          <w:color w:val="auto"/>
        </w:rPr>
      </w:pPr>
    </w:p>
    <w:p>
      <w:pPr>
        <w:ind w:left="30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nature of the business, the mathematical reserves of the pension lines represent the main part of the company’s reserves, with the line of Life Annuities as the major source of reserves due to the important volume of premiums and as a result of having only single premiums. In order to determine the reserves of this business, the discounted present value of the expected future pensions, to be paid in a guaranteed and non-guaranteed period is taken into account, calculated on the basis of mortality tables and interest rates. Those are based on the asset portfolio which supports the liabilities. Additionally, the constituted reserves including the amount required to cover the maintenance expenses related to the individual life insurance contracts (including Unit Linked insurance policies) are determined by the sum of the discounted value of the expected future benefits, occurrence of claims, administration expenses, options, guarantees and profit on investment, less the current value of the exected theoretical premiums which would be required to comply with the payment obligations of future pensions.</w:t>
      </w:r>
    </w:p>
    <w:p>
      <w:pPr>
        <w:spacing w:after="0" w:line="361" w:lineRule="exact"/>
        <w:rPr>
          <w:rFonts w:ascii="Times New Roman" w:cs="Times New Roman" w:eastAsia="Times New Roman" w:hAnsi="Times New Roman"/>
          <w:sz w:val="16"/>
          <w:szCs w:val="16"/>
          <w:color w:val="auto"/>
        </w:rPr>
      </w:pPr>
    </w:p>
    <w:p>
      <w:pPr>
        <w:ind w:left="5360" w:hanging="94"/>
        <w:spacing w:after="0"/>
        <w:tabs>
          <w:tab w:leader="none" w:pos="53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4" w:right="239" w:bottom="1440" w:gutter="0" w:footer="0" w:header="0"/>
        </w:sectPr>
      </w:pPr>
    </w:p>
    <w:bookmarkStart w:id="27" w:name="page28"/>
    <w:bookmarkEnd w:id="27"/>
    <w:p>
      <w:pPr>
        <w:ind w:left="293" w:right="40"/>
        <w:spacing w:after="0" w:line="258" w:lineRule="auto"/>
        <w:rPr>
          <w:sz w:val="20"/>
          <w:szCs w:val="20"/>
          <w:color w:val="auto"/>
        </w:rPr>
      </w:pPr>
      <w:r>
        <w:rPr>
          <w:rFonts w:ascii="Times New Roman" w:cs="Times New Roman" w:eastAsia="Times New Roman" w:hAnsi="Times New Roman"/>
          <w:sz w:val="16"/>
          <w:szCs w:val="16"/>
          <w:color w:val="auto"/>
        </w:rPr>
        <w:t>On the other hand, in the Life Annuities business the company offers some products which are only risk related and others of risk and savings, the latter being those which comprise the highest percentage of reserves of the line. Life insurance contracts comprise the provision for unearned premiums and ongoing risks. Risk and savings products can be differentiated between those with a guaranteed interest rate and others without guaranteed interest, the reserve for the first group being equal to the balance of the policy accounts plus the unaccredited surplus interest, and for the second group it is equal to the balance of the policy accounts. Said accounts are established with the premiums collected, tax deductions, expenses and costs of insurance and the accreditation of interest based on the yield of the portfolio which supports said reserves.</w:t>
      </w:r>
    </w:p>
    <w:p>
      <w:pPr>
        <w:spacing w:after="0" w:line="167" w:lineRule="exact"/>
        <w:rPr>
          <w:sz w:val="20"/>
          <w:szCs w:val="20"/>
          <w:color w:val="auto"/>
        </w:rPr>
      </w:pPr>
    </w:p>
    <w:p>
      <w:pPr>
        <w:ind w:left="293" w:right="100"/>
        <w:spacing w:after="0" w:line="260" w:lineRule="auto"/>
        <w:rPr>
          <w:sz w:val="20"/>
          <w:szCs w:val="20"/>
          <w:color w:val="auto"/>
        </w:rPr>
      </w:pPr>
      <w:r>
        <w:rPr>
          <w:rFonts w:ascii="Times New Roman" w:cs="Times New Roman" w:eastAsia="Times New Roman" w:hAnsi="Times New Roman"/>
          <w:sz w:val="16"/>
          <w:szCs w:val="16"/>
          <w:color w:val="auto"/>
        </w:rPr>
        <w:t>Life insurance claims reserves include reserves for reported claims and the estimates of the incurred claims that have not been reported to the Group (hereinafter “IBNR”). IBNR reserves are determined on the basis of the Chain Ladder methodology (a generally accepted actuarial method), whereby the weighted average of past claim development is projected into the future; this projection is based on the ratios of occurrence of accumulated past claims. Adjustments to the liabilities at each reporting date of the consolidated statement of financial position are recorded in the consolidated statement of income. The liability is derecognized when the contract expires, is discharged or is cancelled.</w:t>
      </w:r>
    </w:p>
    <w:p>
      <w:pPr>
        <w:spacing w:after="0" w:line="164" w:lineRule="exact"/>
        <w:rPr>
          <w:sz w:val="20"/>
          <w:szCs w:val="20"/>
          <w:color w:val="auto"/>
        </w:rPr>
      </w:pPr>
    </w:p>
    <w:p>
      <w:pPr>
        <w:ind w:left="293" w:right="60"/>
        <w:spacing w:after="0" w:line="268" w:lineRule="auto"/>
        <w:rPr>
          <w:sz w:val="20"/>
          <w:szCs w:val="20"/>
          <w:color w:val="auto"/>
        </w:rPr>
      </w:pPr>
      <w:r>
        <w:rPr>
          <w:rFonts w:ascii="Times New Roman" w:cs="Times New Roman" w:eastAsia="Times New Roman" w:hAnsi="Times New Roman"/>
          <w:sz w:val="16"/>
          <w:szCs w:val="16"/>
          <w:color w:val="auto"/>
        </w:rPr>
        <w:t>At each reporting date, an evaluation is carried out as to whether the life insurance liabilities are adequate, net of the related DAC, by means of a liability adequacy test as established by IFRS 4. At December 31, of 2016 and 2015, the Group’s Management concluded that the liabilities are sufficient and, therefore, they have not recognized any additional liability for life insurance contracts.</w:t>
      </w:r>
    </w:p>
    <w:p>
      <w:pPr>
        <w:spacing w:after="0" w:line="157" w:lineRule="exact"/>
        <w:rPr>
          <w:sz w:val="20"/>
          <w:szCs w:val="20"/>
          <w:color w:val="auto"/>
        </w:rPr>
      </w:pPr>
    </w:p>
    <w:p>
      <w:pPr>
        <w:ind w:left="293" w:right="5020" w:hanging="293"/>
        <w:spacing w:after="0" w:line="504" w:lineRule="auto"/>
        <w:tabs>
          <w:tab w:leader="none" w:pos="29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Non-life insurance contract liabilities (which comprise general and healthcare insurance) - Non-life insurance contract liabilities are recognized when contracts are entered into.</w:t>
      </w:r>
    </w:p>
    <w:p>
      <w:pPr>
        <w:ind w:left="293"/>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reserves are based on the last estimated cost of all claims incurred but not settled at the date of the consolidated statement of financial position, whether reported or not, together with related claim handling costs and the expected reduction in value of salvage and other recoveries. Delays can be experienced in the notification and settlement of certain types of claims, therefore their ultimate cost cannot be known with certainty at the date of the consolidated statement of financial position. IBNR are estimated and included in the provision (liabilities). IBNR reserves are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the historical data. No provision for equalization or catastrophe reserves is recognized. The liabilities are derecognized when the contract expires, is discharged or is cancelled.</w:t>
      </w:r>
    </w:p>
    <w:p>
      <w:pPr>
        <w:spacing w:after="0" w:line="168" w:lineRule="exact"/>
        <w:rPr>
          <w:rFonts w:ascii="Times New Roman" w:cs="Times New Roman" w:eastAsia="Times New Roman" w:hAnsi="Times New Roman"/>
          <w:sz w:val="16"/>
          <w:szCs w:val="16"/>
          <w:color w:val="auto"/>
        </w:rPr>
      </w:pPr>
    </w:p>
    <w:p>
      <w:pPr>
        <w:ind w:left="293" w:right="4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reserves for non-life insurance contracts comprise the provision for unearned premiums which represents premiums received for risks that have not yet expired. Generally, the reserve is term of the contract and is recognized as premium income.</w:t>
      </w:r>
    </w:p>
    <w:p>
      <w:pPr>
        <w:spacing w:after="0" w:line="143" w:lineRule="exact"/>
        <w:rPr>
          <w:rFonts w:ascii="Times New Roman" w:cs="Times New Roman" w:eastAsia="Times New Roman" w:hAnsi="Times New Roman"/>
          <w:sz w:val="16"/>
          <w:szCs w:val="16"/>
          <w:color w:val="auto"/>
        </w:rPr>
      </w:pPr>
    </w:p>
    <w:p>
      <w:pPr>
        <w:ind w:left="293" w:right="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each reporting date the Group reviews the risk from outstanding claims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statement of income by setting up a provision for liability adequacy. As of December 31, 2016 and 2015, Management determined that the liabilities were adequate; therefore, it has not recorded any additional liabilities for non-life insurance contracts.</w:t>
      </w:r>
    </w:p>
    <w:p>
      <w:pPr>
        <w:spacing w:after="0" w:line="353"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4" w:right="239" w:bottom="1440" w:gutter="0" w:footer="0" w:header="0"/>
        </w:sectPr>
      </w:pPr>
    </w:p>
    <w:bookmarkStart w:id="28" w:name="page29"/>
    <w:bookmarkEnd w:id="28"/>
    <w:p>
      <w:pPr>
        <w:ind w:left="66"/>
        <w:spacing w:after="0"/>
        <w:rPr>
          <w:sz w:val="20"/>
          <w:szCs w:val="20"/>
          <w:color w:val="auto"/>
        </w:rPr>
      </w:pPr>
      <w:r>
        <w:rPr>
          <w:rFonts w:ascii="Times New Roman" w:cs="Times New Roman" w:eastAsia="Times New Roman" w:hAnsi="Times New Roman"/>
          <w:sz w:val="16"/>
          <w:szCs w:val="16"/>
          <w:color w:val="auto"/>
        </w:rPr>
        <w:t>Income recognition:</w:t>
      </w:r>
    </w:p>
    <w:p>
      <w:pPr>
        <w:spacing w:after="0" w:line="203" w:lineRule="exact"/>
        <w:rPr>
          <w:sz w:val="20"/>
          <w:szCs w:val="20"/>
          <w:color w:val="auto"/>
        </w:rPr>
      </w:pPr>
    </w:p>
    <w:p>
      <w:pPr>
        <w:ind w:left="366" w:hanging="293"/>
        <w:spacing w:after="0"/>
        <w:tabs>
          <w:tab w:leader="none" w:pos="36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premiums -</w:t>
      </w:r>
    </w:p>
    <w:p>
      <w:pPr>
        <w:spacing w:after="0" w:line="202" w:lineRule="exact"/>
        <w:rPr>
          <w:rFonts w:ascii="Times New Roman" w:cs="Times New Roman" w:eastAsia="Times New Roman" w:hAnsi="Times New Roman"/>
          <w:sz w:val="16"/>
          <w:szCs w:val="16"/>
          <w:color w:val="auto"/>
        </w:rPr>
      </w:pPr>
    </w:p>
    <w:p>
      <w:pPr>
        <w:ind w:left="36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 contracts -</w:t>
      </w:r>
    </w:p>
    <w:p>
      <w:pPr>
        <w:spacing w:after="0" w:line="202" w:lineRule="exact"/>
        <w:rPr>
          <w:rFonts w:ascii="Times New Roman" w:cs="Times New Roman" w:eastAsia="Times New Roman" w:hAnsi="Times New Roman"/>
          <w:sz w:val="16"/>
          <w:szCs w:val="16"/>
          <w:color w:val="auto"/>
        </w:rPr>
      </w:pPr>
    </w:p>
    <w:p>
      <w:pPr>
        <w:ind w:left="366" w:right="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premiums on life contracts are recognized as revenue when due from the policyholder. For single premium business, revenue is recognized on the date on which the policy is effective.</w:t>
      </w:r>
    </w:p>
    <w:p>
      <w:pPr>
        <w:spacing w:after="0" w:line="143" w:lineRule="exact"/>
        <w:rPr>
          <w:rFonts w:ascii="Times New Roman" w:cs="Times New Roman" w:eastAsia="Times New Roman" w:hAnsi="Times New Roman"/>
          <w:sz w:val="16"/>
          <w:szCs w:val="16"/>
          <w:color w:val="auto"/>
        </w:rPr>
      </w:pPr>
    </w:p>
    <w:p>
      <w:pPr>
        <w:ind w:left="36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Non-life insurance contracts -</w:t>
      </w:r>
    </w:p>
    <w:p>
      <w:pPr>
        <w:spacing w:after="0" w:line="202" w:lineRule="exact"/>
        <w:rPr>
          <w:rFonts w:ascii="Times New Roman" w:cs="Times New Roman" w:eastAsia="Times New Roman" w:hAnsi="Times New Roman"/>
          <w:sz w:val="16"/>
          <w:szCs w:val="16"/>
          <w:color w:val="auto"/>
        </w:rPr>
      </w:pPr>
    </w:p>
    <w:p>
      <w:pPr>
        <w:ind w:left="366"/>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non-life insurance direct and assumed premiums comprise the total premiums written and are recognized on the date of issue of the policy as a receivable. At the same time, a reserve is recorded for unearned premiums which represents premiums for risks that have not yet expired. Unearned premiums are recognized as income over the contract period which is also the coverage and risk period.</w:t>
      </w:r>
    </w:p>
    <w:p>
      <w:pPr>
        <w:spacing w:after="0" w:line="157" w:lineRule="exact"/>
        <w:rPr>
          <w:rFonts w:ascii="Times New Roman" w:cs="Times New Roman" w:eastAsia="Times New Roman" w:hAnsi="Times New Roman"/>
          <w:sz w:val="16"/>
          <w:szCs w:val="16"/>
          <w:color w:val="auto"/>
        </w:rPr>
      </w:pPr>
    </w:p>
    <w:p>
      <w:pPr>
        <w:ind w:left="366" w:hanging="293"/>
        <w:spacing w:after="0"/>
        <w:tabs>
          <w:tab w:leader="none" w:pos="36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commission income -</w:t>
      </w:r>
    </w:p>
    <w:p>
      <w:pPr>
        <w:spacing w:after="0" w:line="202" w:lineRule="exact"/>
        <w:rPr>
          <w:rFonts w:ascii="Times New Roman" w:cs="Times New Roman" w:eastAsia="Times New Roman" w:hAnsi="Times New Roman"/>
          <w:sz w:val="16"/>
          <w:szCs w:val="16"/>
          <w:color w:val="auto"/>
        </w:rPr>
      </w:pPr>
    </w:p>
    <w:p>
      <w:pPr>
        <w:ind w:left="366"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Unit-linked insurance contract policyholders remunerate the Group for policy administration services, investment management services, surrenders and other contract fees. These fees are recognized as revenue in the consolidated statement of income in the period in which the services are provided.</w:t>
      </w:r>
    </w:p>
    <w:p>
      <w:pPr>
        <w:spacing w:after="0" w:line="143" w:lineRule="exact"/>
        <w:rPr>
          <w:rFonts w:ascii="Times New Roman" w:cs="Times New Roman" w:eastAsia="Times New Roman" w:hAnsi="Times New Roman"/>
          <w:sz w:val="16"/>
          <w:szCs w:val="16"/>
          <w:color w:val="auto"/>
        </w:rPr>
      </w:pPr>
    </w:p>
    <w:p>
      <w:pPr>
        <w:ind w:left="366" w:right="4240" w:hanging="293"/>
        <w:spacing w:after="0" w:line="504" w:lineRule="auto"/>
        <w:tabs>
          <w:tab w:leader="none" w:pos="36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from medical services and sale of medicines (those not categorized as healthcare insurance) - Income from medical services is recognized on the date the service is provided.</w:t>
      </w:r>
    </w:p>
    <w:p>
      <w:pPr>
        <w:spacing w:after="0" w:line="1" w:lineRule="exact"/>
        <w:rPr>
          <w:sz w:val="20"/>
          <w:szCs w:val="20"/>
          <w:color w:val="auto"/>
        </w:rPr>
      </w:pPr>
    </w:p>
    <w:p>
      <w:pPr>
        <w:ind w:left="366" w:right="40"/>
        <w:spacing w:after="0" w:line="285" w:lineRule="auto"/>
        <w:rPr>
          <w:sz w:val="20"/>
          <w:szCs w:val="20"/>
          <w:color w:val="auto"/>
        </w:rPr>
      </w:pPr>
      <w:r>
        <w:rPr>
          <w:rFonts w:ascii="Times New Roman" w:cs="Times New Roman" w:eastAsia="Times New Roman" w:hAnsi="Times New Roman"/>
          <w:sz w:val="16"/>
          <w:szCs w:val="16"/>
          <w:color w:val="auto"/>
        </w:rPr>
        <w:t>Income from the sale of medicines is recognized when the significant risks and rewards inherent to ownership of the medicines have passed to the buyer, usually upon delivery of the medicines.</w:t>
      </w:r>
    </w:p>
    <w:p>
      <w:pPr>
        <w:spacing w:after="0" w:line="143"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16"/>
          <w:szCs w:val="16"/>
          <w:color w:val="auto"/>
        </w:rPr>
        <w:t>Income from medical services and sale of medicines is recorded in “Other income” of the consolidated statement of income.</w:t>
      </w:r>
    </w:p>
    <w:p>
      <w:pPr>
        <w:spacing w:after="0" w:line="203" w:lineRule="exact"/>
        <w:rPr>
          <w:sz w:val="20"/>
          <w:szCs w:val="20"/>
          <w:color w:val="auto"/>
        </w:rPr>
      </w:pPr>
    </w:p>
    <w:p>
      <w:pPr>
        <w:ind w:left="66"/>
        <w:spacing w:after="0"/>
        <w:rPr>
          <w:sz w:val="20"/>
          <w:szCs w:val="20"/>
          <w:color w:val="auto"/>
        </w:rPr>
      </w:pPr>
      <w:r>
        <w:rPr>
          <w:rFonts w:ascii="Times New Roman" w:cs="Times New Roman" w:eastAsia="Times New Roman" w:hAnsi="Times New Roman"/>
          <w:sz w:val="16"/>
          <w:szCs w:val="16"/>
          <w:color w:val="auto"/>
        </w:rPr>
        <w:t>Recognition of benefits, claims and expenses:</w:t>
      </w:r>
    </w:p>
    <w:p>
      <w:pPr>
        <w:spacing w:after="0" w:line="203" w:lineRule="exact"/>
        <w:rPr>
          <w:sz w:val="20"/>
          <w:szCs w:val="20"/>
          <w:color w:val="auto"/>
        </w:rPr>
      </w:pPr>
    </w:p>
    <w:p>
      <w:pPr>
        <w:ind w:left="346" w:hanging="273"/>
        <w:spacing w:after="0"/>
        <w:tabs>
          <w:tab w:leader="none" w:pos="346"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and claims -</w:t>
      </w:r>
    </w:p>
    <w:p>
      <w:pPr>
        <w:spacing w:after="0" w:line="202" w:lineRule="exact"/>
        <w:rPr>
          <w:rFonts w:ascii="Times New Roman" w:cs="Times New Roman" w:eastAsia="Times New Roman" w:hAnsi="Times New Roman"/>
          <w:sz w:val="16"/>
          <w:szCs w:val="16"/>
          <w:color w:val="auto"/>
        </w:rPr>
      </w:pPr>
    </w:p>
    <w:p>
      <w:pPr>
        <w:ind w:left="366" w:right="1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benefits and claims for life insurance contracts include the cost of all claims arising during the year including internal and external claim handling costs that are directly related to the processing and settlement of claims. Death, survival and disability claims are recorded on the basis of notifications received. Pension payments are recorded when they accrue.</w:t>
      </w:r>
    </w:p>
    <w:p>
      <w:pPr>
        <w:spacing w:after="0" w:line="157" w:lineRule="exact"/>
        <w:rPr>
          <w:rFonts w:ascii="Times New Roman" w:cs="Times New Roman" w:eastAsia="Times New Roman" w:hAnsi="Times New Roman"/>
          <w:sz w:val="16"/>
          <w:szCs w:val="16"/>
          <w:color w:val="auto"/>
        </w:rPr>
      </w:pPr>
    </w:p>
    <w:p>
      <w:pPr>
        <w:jc w:val="both"/>
        <w:ind w:left="366" w:right="1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health insurance claims include all claims occurring during the year, whether reported or not, internal and external claim handling costs that are directly related to the processing and settlement of claims, a reduction for the value of salvage and other recoveries, and any adjustment to claims outstanding from previous years.</w:t>
      </w:r>
    </w:p>
    <w:p>
      <w:pPr>
        <w:spacing w:after="0" w:line="157" w:lineRule="exact"/>
        <w:rPr>
          <w:rFonts w:ascii="Times New Roman" w:cs="Times New Roman" w:eastAsia="Times New Roman" w:hAnsi="Times New Roman"/>
          <w:sz w:val="16"/>
          <w:szCs w:val="16"/>
          <w:color w:val="auto"/>
        </w:rPr>
      </w:pPr>
    </w:p>
    <w:p>
      <w:pPr>
        <w:ind w:left="346" w:hanging="346"/>
        <w:spacing w:after="0"/>
        <w:tabs>
          <w:tab w:leader="none" w:pos="34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Reinsurance premiums -</w:t>
      </w:r>
    </w:p>
    <w:p>
      <w:pPr>
        <w:spacing w:after="0" w:line="203" w:lineRule="exact"/>
        <w:rPr>
          <w:sz w:val="20"/>
          <w:szCs w:val="20"/>
          <w:color w:val="auto"/>
        </w:rPr>
      </w:pPr>
    </w:p>
    <w:p>
      <w:pPr>
        <w:ind w:left="366" w:right="640"/>
        <w:spacing w:after="0" w:line="285" w:lineRule="auto"/>
        <w:rPr>
          <w:sz w:val="20"/>
          <w:szCs w:val="20"/>
          <w:color w:val="auto"/>
        </w:rPr>
      </w:pPr>
      <w:r>
        <w:rPr>
          <w:rFonts w:ascii="Times New Roman" w:cs="Times New Roman" w:eastAsia="Times New Roman" w:hAnsi="Times New Roman"/>
          <w:sz w:val="16"/>
          <w:szCs w:val="16"/>
          <w:color w:val="auto"/>
        </w:rPr>
        <w:t>Comprise the total premiums payable for the coverage of the insurance contracts and are recognized on the date on which the validity of the insurance policy commences. Unearned ceded premiums are deferred over the term of the underlying insurance contract.</w:t>
      </w:r>
    </w:p>
    <w:p>
      <w:pPr>
        <w:spacing w:after="0" w:line="337"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16510</wp:posOffset>
            </wp:positionV>
            <wp:extent cx="726122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26"/>
          </w:cols>
          <w:pgMar w:left="454" w:top="824" w:right="319" w:bottom="1440" w:gutter="0" w:footer="0" w:header="0"/>
        </w:sectPr>
      </w:pPr>
    </w:p>
    <w:bookmarkStart w:id="29" w:name="page30"/>
    <w:bookmarkEnd w:id="29"/>
    <w:p>
      <w:pPr>
        <w:ind w:left="223"/>
        <w:spacing w:after="0"/>
        <w:rPr>
          <w:sz w:val="20"/>
          <w:szCs w:val="20"/>
          <w:color w:val="auto"/>
        </w:rPr>
      </w:pPr>
      <w:r>
        <w:rPr>
          <w:rFonts w:ascii="Times New Roman" w:cs="Times New Roman" w:eastAsia="Times New Roman" w:hAnsi="Times New Roman"/>
          <w:sz w:val="16"/>
          <w:szCs w:val="16"/>
          <w:color w:val="auto"/>
        </w:rPr>
        <w:t>(iii) Reinsurance claims -</w:t>
      </w:r>
    </w:p>
    <w:p>
      <w:pPr>
        <w:spacing w:after="0" w:line="203"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Reinsurance claims are recognized when the related gross insurance claim is recognized according to the terms of the relevant contract.</w:t>
      </w:r>
    </w:p>
    <w:p>
      <w:pPr>
        <w:spacing w:after="0" w:line="20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6"/>
          <w:szCs w:val="16"/>
          <w:color w:val="auto"/>
        </w:rPr>
        <w:t>(iv)  Cost of medical services and sale of medicines (those not categorized as healthcare insurance) -</w:t>
      </w:r>
    </w:p>
    <w:p>
      <w:pPr>
        <w:spacing w:after="0" w:line="203"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Cost of medical services is recorded when incurred.</w:t>
      </w:r>
    </w:p>
    <w:p>
      <w:pPr>
        <w:spacing w:after="0" w:line="203" w:lineRule="exact"/>
        <w:rPr>
          <w:sz w:val="20"/>
          <w:szCs w:val="20"/>
          <w:color w:val="auto"/>
        </w:rPr>
      </w:pPr>
    </w:p>
    <w:p>
      <w:pPr>
        <w:ind w:left="583" w:right="200"/>
        <w:spacing w:after="0" w:line="285" w:lineRule="auto"/>
        <w:rPr>
          <w:sz w:val="20"/>
          <w:szCs w:val="20"/>
          <w:color w:val="auto"/>
        </w:rPr>
      </w:pPr>
      <w:r>
        <w:rPr>
          <w:rFonts w:ascii="Times New Roman" w:cs="Times New Roman" w:eastAsia="Times New Roman" w:hAnsi="Times New Roman"/>
          <w:sz w:val="16"/>
          <w:szCs w:val="16"/>
          <w:color w:val="auto"/>
        </w:rPr>
        <w:t>Cost of sale of medicines, which is the cost of acquisition of the medicines, is recorded when medicines are delivered, simultaneously with the recognition of income for the corresponding sale.</w:t>
      </w:r>
    </w:p>
    <w:p>
      <w:pPr>
        <w:spacing w:after="0" w:line="143"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Cost of medical services and sale of medicines are recorded in “Other expense” of the consolidated statement of income.</w:t>
      </w:r>
    </w:p>
    <w:p>
      <w:pPr>
        <w:spacing w:after="0" w:line="203" w:lineRule="exact"/>
        <w:rPr>
          <w:sz w:val="20"/>
          <w:szCs w:val="20"/>
          <w:color w:val="auto"/>
        </w:rPr>
      </w:pPr>
    </w:p>
    <w:p>
      <w:pPr>
        <w:ind w:left="283" w:hanging="283"/>
        <w:spacing w:after="0"/>
        <w:tabs>
          <w:tab w:leader="none" w:pos="28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Instruments: Initial recognition and subsequent measurement -</w:t>
      </w:r>
    </w:p>
    <w:p>
      <w:pPr>
        <w:spacing w:after="0" w:line="202"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financial instrument is any contract that gives rise to a financial asset of one entity and a financial liability or equity instrument or another entity.</w:t>
      </w:r>
    </w:p>
    <w:p>
      <w:pPr>
        <w:spacing w:after="0" w:line="202" w:lineRule="exact"/>
        <w:rPr>
          <w:rFonts w:ascii="Times New Roman" w:cs="Times New Roman" w:eastAsia="Times New Roman" w:hAnsi="Times New Roman"/>
          <w:sz w:val="16"/>
          <w:szCs w:val="16"/>
          <w:color w:val="auto"/>
        </w:rPr>
      </w:pPr>
    </w:p>
    <w:p>
      <w:pPr>
        <w:ind w:left="283" w:right="4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classifies its financial instruments in one of the categories defined by IAS 39: financial assets and financial liabilities at fair value through profit or loss; loans and receivables; available-for-sale financial investments; held-to-maturity financial investments and other financial liabilities. The Group determines the classification of its financial instruments at initial recognition.</w:t>
      </w:r>
    </w:p>
    <w:p>
      <w:pPr>
        <w:ind w:left="283"/>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the incremental costs related to the transaction which are directly attributable to the acquisition or issue of the instrument, except in the case of financial assets and financial liabilities recorded at fair value through profit or loss.</w:t>
      </w:r>
    </w:p>
    <w:p>
      <w:pPr>
        <w:spacing w:after="0" w:line="164" w:lineRule="exact"/>
        <w:rPr>
          <w:rFonts w:ascii="Times New Roman" w:cs="Times New Roman" w:eastAsia="Times New Roman" w:hAnsi="Times New Roman"/>
          <w:sz w:val="16"/>
          <w:szCs w:val="16"/>
          <w:color w:val="auto"/>
        </w:rPr>
      </w:pPr>
    </w:p>
    <w:p>
      <w:pPr>
        <w:ind w:left="283" w:right="1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or sales of financial assets that require delivery of assets within a time frame established according to market regulations or conventions (regular market trades) are recognized on the trade date, that is, the date on which the Group commits to purchase or sell the asset. Derivatives are recognized on a trade date basis.</w:t>
      </w:r>
    </w:p>
    <w:p>
      <w:pPr>
        <w:spacing w:after="0" w:line="143" w:lineRule="exact"/>
        <w:rPr>
          <w:rFonts w:ascii="Times New Roman" w:cs="Times New Roman" w:eastAsia="Times New Roman" w:hAnsi="Times New Roman"/>
          <w:sz w:val="16"/>
          <w:szCs w:val="16"/>
          <w:color w:val="auto"/>
        </w:rPr>
      </w:pPr>
    </w:p>
    <w:p>
      <w:pPr>
        <w:ind w:left="683" w:hanging="393"/>
        <w:spacing w:after="0"/>
        <w:tabs>
          <w:tab w:leader="none" w:pos="68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and liabilities at fair value through profit or loss -</w:t>
      </w:r>
    </w:p>
    <w:p>
      <w:pPr>
        <w:spacing w:after="0" w:line="202" w:lineRule="exact"/>
        <w:rPr>
          <w:rFonts w:ascii="Times New Roman" w:cs="Times New Roman" w:eastAsia="Times New Roman" w:hAnsi="Times New Roman"/>
          <w:sz w:val="16"/>
          <w:szCs w:val="16"/>
          <w:color w:val="auto"/>
        </w:rPr>
      </w:pPr>
    </w:p>
    <w:p>
      <w:pPr>
        <w:ind w:left="683" w:right="2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and liabilities at fair value through profit or loss include financial assets held for trading and financial assets and liabilities designated at fair value through profit or loss, the designation of which is upon initial recognition and on an instrument by instrument basis. Derivative financial instruments are also categorized as held for trading unless they are designated as hedging instruments.</w:t>
      </w:r>
    </w:p>
    <w:p>
      <w:pPr>
        <w:spacing w:after="0" w:line="157" w:lineRule="exact"/>
        <w:rPr>
          <w:rFonts w:ascii="Times New Roman" w:cs="Times New Roman" w:eastAsia="Times New Roman" w:hAnsi="Times New Roman"/>
          <w:sz w:val="16"/>
          <w:szCs w:val="16"/>
          <w:color w:val="auto"/>
        </w:rPr>
      </w:pPr>
    </w:p>
    <w:p>
      <w:pPr>
        <w:ind w:left="683" w:right="1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financial asset or liability is classified as held for trading if it is acquired for the purpose of selling or repurchasing it in the short term, and is presented in “Trading securities” or “Financial liabilities at fair value through profit or loss” in the consolidated statement of financial position.</w:t>
      </w:r>
    </w:p>
    <w:p>
      <w:pPr>
        <w:spacing w:after="0" w:line="143" w:lineRule="exact"/>
        <w:rPr>
          <w:rFonts w:ascii="Times New Roman" w:cs="Times New Roman" w:eastAsia="Times New Roman" w:hAnsi="Times New Roman"/>
          <w:sz w:val="16"/>
          <w:szCs w:val="16"/>
          <w:color w:val="auto"/>
        </w:rPr>
      </w:pPr>
    </w:p>
    <w:p>
      <w:pPr>
        <w:ind w:left="6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may only designate an instrument at fair value through profit or loss upon initial recognition when the following criteria are met:</w:t>
      </w:r>
    </w:p>
    <w:p>
      <w:pPr>
        <w:spacing w:after="0" w:line="202" w:lineRule="exact"/>
        <w:rPr>
          <w:rFonts w:ascii="Times New Roman" w:cs="Times New Roman" w:eastAsia="Times New Roman" w:hAnsi="Times New Roman"/>
          <w:sz w:val="16"/>
          <w:szCs w:val="16"/>
          <w:color w:val="auto"/>
        </w:rPr>
      </w:pPr>
    </w:p>
    <w:p>
      <w:pPr>
        <w:ind w:left="963" w:right="80" w:hanging="286"/>
        <w:spacing w:after="0" w:line="285" w:lineRule="auto"/>
        <w:tabs>
          <w:tab w:leader="none" w:pos="963" w:val="left"/>
        </w:tabs>
        <w:numPr>
          <w:ilvl w:val="2"/>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eliminates or significantly reduces the inconsistent treatment that would otherwise arise from measuring assets or liabilities or recognizing gains or losses generated by them on a different basis; or</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3"/>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30" w:name="page31"/>
    <w:bookmarkEnd w:id="30"/>
    <w:p>
      <w:pPr>
        <w:ind w:left="673" w:hanging="286"/>
        <w:spacing w:after="0" w:line="262" w:lineRule="auto"/>
        <w:tabs>
          <w:tab w:leader="none" w:pos="67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assets and liabilities are part of a group of financial assets, financial liabilities or both which are managed and evaluated based on the yield on their fair value, in accordance with a documented risk management or investment strategy; or</w:t>
      </w:r>
    </w:p>
    <w:p>
      <w:pPr>
        <w:spacing w:after="0" w:line="1"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instruments contain one or more embedded derivatives, which significantly modify the cash flows that otherwise would be required by the contract.</w:t>
      </w:r>
    </w:p>
    <w:p>
      <w:pPr>
        <w:spacing w:after="0" w:line="187" w:lineRule="exact"/>
        <w:rPr>
          <w:sz w:val="20"/>
          <w:szCs w:val="20"/>
          <w:color w:val="auto"/>
        </w:rPr>
      </w:pPr>
    </w:p>
    <w:p>
      <w:pPr>
        <w:ind w:left="393" w:right="100"/>
        <w:spacing w:after="0" w:line="268" w:lineRule="auto"/>
        <w:rPr>
          <w:sz w:val="20"/>
          <w:szCs w:val="20"/>
          <w:color w:val="auto"/>
        </w:rPr>
      </w:pPr>
      <w:r>
        <w:rPr>
          <w:rFonts w:ascii="Times New Roman" w:cs="Times New Roman" w:eastAsia="Times New Roman" w:hAnsi="Times New Roman"/>
          <w:sz w:val="16"/>
          <w:szCs w:val="16"/>
          <w:color w:val="auto"/>
        </w:rPr>
        <w:t>Changes in fair value of a designated financial asset and liability through profit or loss are recorded in “Net gain (loss) on financial assets designated at fair value through profit or loss” of the consolidated statement of income. Interest earned or incurred is accrued in the consolidated statement of income in “Interest and similar income” or “interest and similar expenses”, according to the terms of the contract. Dividend income is recorded when the right to payment has been established.</w:t>
      </w:r>
    </w:p>
    <w:p>
      <w:pPr>
        <w:spacing w:after="0" w:line="157" w:lineRule="exact"/>
        <w:rPr>
          <w:sz w:val="20"/>
          <w:szCs w:val="20"/>
          <w:color w:val="auto"/>
        </w:rPr>
      </w:pPr>
    </w:p>
    <w:p>
      <w:pPr>
        <w:ind w:left="393" w:hanging="393"/>
        <w:spacing w:after="0"/>
        <w:tabs>
          <w:tab w:leader="none" w:pos="39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and receivables -</w:t>
      </w:r>
    </w:p>
    <w:p>
      <w:pPr>
        <w:spacing w:after="0" w:line="202" w:lineRule="exact"/>
        <w:rPr>
          <w:rFonts w:ascii="Times New Roman" w:cs="Times New Roman" w:eastAsia="Times New Roman" w:hAnsi="Times New Roman"/>
          <w:sz w:val="16"/>
          <w:szCs w:val="16"/>
          <w:color w:val="auto"/>
        </w:rPr>
      </w:pPr>
    </w:p>
    <w:p>
      <w:pPr>
        <w:ind w:left="3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and receivables are non-derivative financial assets with fixed or determinable payments that are not quoted in an active market.</w:t>
      </w:r>
    </w:p>
    <w:p>
      <w:pPr>
        <w:spacing w:after="0" w:line="202" w:lineRule="exact"/>
        <w:rPr>
          <w:rFonts w:ascii="Times New Roman" w:cs="Times New Roman" w:eastAsia="Times New Roman" w:hAnsi="Times New Roman"/>
          <w:sz w:val="16"/>
          <w:szCs w:val="16"/>
          <w:color w:val="auto"/>
        </w:rPr>
      </w:pPr>
    </w:p>
    <w:p>
      <w:pPr>
        <w:ind w:left="393" w:right="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initial measurement, loans and receivables are measured at amortized cost using the effective interest rate method, less any provision for impairment. Amortized cost is calculated by taking into account any discount or premium on acquisition and fees or costs that are an integral part of the effective interest rate. The effective interest rate amortization is recognized in the consolidated statement of income in “Interest and similar income”. Losses from impairment are recognized in the consolidated statement of income in “Provision for loan losses, net of recoveries”.</w:t>
      </w:r>
    </w:p>
    <w:p>
      <w:pPr>
        <w:spacing w:after="0" w:line="160" w:lineRule="exact"/>
        <w:rPr>
          <w:rFonts w:ascii="Times New Roman" w:cs="Times New Roman" w:eastAsia="Times New Roman" w:hAnsi="Times New Roman"/>
          <w:sz w:val="16"/>
          <w:szCs w:val="16"/>
          <w:color w:val="auto"/>
        </w:rPr>
      </w:pPr>
    </w:p>
    <w:p>
      <w:pPr>
        <w:ind w:left="393" w:right="3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57" w:lineRule="exact"/>
        <w:rPr>
          <w:rFonts w:ascii="Times New Roman" w:cs="Times New Roman" w:eastAsia="Times New Roman" w:hAnsi="Times New Roman"/>
          <w:sz w:val="16"/>
          <w:szCs w:val="16"/>
          <w:color w:val="auto"/>
        </w:rPr>
      </w:pPr>
    </w:p>
    <w:p>
      <w:pPr>
        <w:jc w:val="both"/>
        <w:ind w:left="393" w:right="14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for loan losses is established if there is objective evidence that the Group will not be able to collect all amounts due according to the original contractual terms of the loans. The provision for loan losses is established based on an internal risk classification and considering any guarantees and collaterals received, Note3</w:t>
      </w:r>
    </w:p>
    <w:p>
      <w:pPr>
        <w:spacing w:after="0" w:line="1" w:lineRule="exact"/>
        <w:rPr>
          <w:rFonts w:ascii="Times New Roman" w:cs="Times New Roman" w:eastAsia="Times New Roman" w:hAnsi="Times New Roman"/>
          <w:sz w:val="16"/>
          <w:szCs w:val="16"/>
          <w:color w:val="auto"/>
        </w:rPr>
      </w:pPr>
    </w:p>
    <w:p>
      <w:pPr>
        <w:ind w:left="573" w:hanging="186"/>
        <w:spacing w:after="0"/>
        <w:tabs>
          <w:tab w:leader="none" w:pos="57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34.1.</w:t>
      </w:r>
    </w:p>
    <w:p>
      <w:pPr>
        <w:spacing w:after="0" w:line="186" w:lineRule="exact"/>
        <w:rPr>
          <w:rFonts w:ascii="Times New Roman" w:cs="Times New Roman" w:eastAsia="Times New Roman" w:hAnsi="Times New Roman"/>
          <w:sz w:val="16"/>
          <w:szCs w:val="16"/>
          <w:color w:val="auto"/>
        </w:rPr>
      </w:pPr>
    </w:p>
    <w:p>
      <w:pPr>
        <w:ind w:left="393" w:hanging="393"/>
        <w:spacing w:after="0"/>
        <w:tabs>
          <w:tab w:leader="none" w:pos="39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Available-for-sale financial investments -</w:t>
      </w:r>
    </w:p>
    <w:p>
      <w:pPr>
        <w:spacing w:after="0" w:line="202" w:lineRule="exact"/>
        <w:rPr>
          <w:rFonts w:ascii="Times New Roman" w:cs="Times New Roman" w:eastAsia="Times New Roman" w:hAnsi="Times New Roman"/>
          <w:sz w:val="16"/>
          <w:szCs w:val="16"/>
          <w:color w:val="auto"/>
        </w:rPr>
      </w:pPr>
    </w:p>
    <w:p>
      <w:pPr>
        <w:ind w:left="393"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Available-for-sale financial investments include equity investments and debt securities. Equity investments classified as available-for-sale are those that are neither classified as held for trading nor designated at fair value through profit or loss. Debt instruments in this category are those that are intended to be held for an indefinite period of time and that may be sold in response to needs for liquidity or in response to changes in market conditions.</w:t>
      </w:r>
    </w:p>
    <w:p>
      <w:pPr>
        <w:spacing w:after="0" w:line="157" w:lineRule="exact"/>
        <w:rPr>
          <w:rFonts w:ascii="Times New Roman" w:cs="Times New Roman" w:eastAsia="Times New Roman" w:hAnsi="Times New Roman"/>
          <w:sz w:val="16"/>
          <w:szCs w:val="16"/>
          <w:color w:val="auto"/>
        </w:rPr>
      </w:pPr>
    </w:p>
    <w:p>
      <w:pPr>
        <w:ind w:left="393" w:right="6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initial recognition, available-for-sale financial investments are subsequently measured at fair value with unrealized gains or losses recognized as other comprehensive income in the available-for-sale reserve, net of the corresponding deferred tax and non-controlling interest, until the investment is derecognized, at which time the cumulative gain or loss is recognized in the consolidated statement of income in “Net gain on the sale of securities”, or determined to be impaired, at which time the impaired amount is recognized in the consolidated statement of income in “Impairment loss on available–for–sale investments” and removed from the available-for-sale reserve.</w:t>
      </w:r>
    </w:p>
    <w:p>
      <w:pPr>
        <w:spacing w:after="0" w:line="163" w:lineRule="exact"/>
        <w:rPr>
          <w:rFonts w:ascii="Times New Roman" w:cs="Times New Roman" w:eastAsia="Times New Roman" w:hAnsi="Times New Roman"/>
          <w:sz w:val="16"/>
          <w:szCs w:val="16"/>
          <w:color w:val="auto"/>
        </w:rPr>
      </w:pPr>
    </w:p>
    <w:p>
      <w:pPr>
        <w:ind w:left="393" w:right="3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similar income earned are recognized in the consolidated statement of income in “Interest and similar income”. Interest earned is reported as interest income using the effective interest rate method and dividends earned are recognized when collection rights are established.</w:t>
      </w:r>
    </w:p>
    <w:p>
      <w:pPr>
        <w:spacing w:after="0" w:line="336"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2"/>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4" w:right="239" w:bottom="1440" w:gutter="0" w:footer="0" w:header="0"/>
        </w:sectPr>
      </w:pPr>
    </w:p>
    <w:bookmarkStart w:id="31" w:name="page32"/>
    <w:bookmarkEnd w:id="31"/>
    <w:p>
      <w:pPr>
        <w:ind w:left="393" w:right="780"/>
        <w:spacing w:after="0" w:line="285" w:lineRule="auto"/>
        <w:rPr>
          <w:sz w:val="20"/>
          <w:szCs w:val="20"/>
          <w:color w:val="auto"/>
        </w:rPr>
      </w:pPr>
      <w:r>
        <w:rPr>
          <w:rFonts w:ascii="Times New Roman" w:cs="Times New Roman" w:eastAsia="Times New Roman" w:hAnsi="Times New Roman"/>
          <w:sz w:val="16"/>
          <w:szCs w:val="16"/>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43" w:lineRule="exact"/>
        <w:rPr>
          <w:sz w:val="20"/>
          <w:szCs w:val="20"/>
          <w:color w:val="auto"/>
        </w:rPr>
      </w:pPr>
    </w:p>
    <w:p>
      <w:pPr>
        <w:ind w:left="393" w:right="20"/>
        <w:spacing w:after="0" w:line="268" w:lineRule="auto"/>
        <w:rPr>
          <w:sz w:val="20"/>
          <w:szCs w:val="20"/>
          <w:color w:val="auto"/>
        </w:rPr>
      </w:pPr>
      <w:r>
        <w:rPr>
          <w:rFonts w:ascii="Times New Roman" w:cs="Times New Roman" w:eastAsia="Times New Roman" w:hAnsi="Times New Roman"/>
          <w:sz w:val="16"/>
          <w:szCs w:val="16"/>
          <w:color w:val="auto"/>
        </w:rPr>
        <w:t>The Group evaluates whether its ability and intention to sell its available-for-sale financial assets in the near term is still appropriate. When, in rare circumstances, the Group is unable to trade these financial assets due to inactive markets, the Group may elect to reclassify these financial assets if Management has the ability and intention to hold such assets for the foreseeable future or until maturity.</w:t>
      </w:r>
    </w:p>
    <w:p>
      <w:pPr>
        <w:spacing w:after="0" w:line="157" w:lineRule="exact"/>
        <w:rPr>
          <w:sz w:val="20"/>
          <w:szCs w:val="20"/>
          <w:color w:val="auto"/>
        </w:rPr>
      </w:pPr>
    </w:p>
    <w:p>
      <w:pPr>
        <w:ind w:left="393" w:right="20"/>
        <w:spacing w:after="0" w:line="268" w:lineRule="auto"/>
        <w:rPr>
          <w:sz w:val="20"/>
          <w:szCs w:val="20"/>
          <w:color w:val="auto"/>
        </w:rPr>
      </w:pPr>
      <w:r>
        <w:rPr>
          <w:rFonts w:ascii="Times New Roman" w:cs="Times New Roman" w:eastAsia="Times New Roman" w:hAnsi="Times New Roman"/>
          <w:sz w:val="16"/>
          <w:szCs w:val="16"/>
          <w:color w:val="auto"/>
        </w:rPr>
        <w:t>For a financial asset reclassified from the available-for-sale category, the fair value carrying amount at the date of reclassification becomes its new amortized cost and any previous gain or loss on the asset that has been recognized in equity is amortized to profit or loss over the remaining life of the investment using the effective interest rate.</w:t>
      </w:r>
    </w:p>
    <w:p>
      <w:pPr>
        <w:spacing w:after="0" w:line="157" w:lineRule="exact"/>
        <w:rPr>
          <w:sz w:val="20"/>
          <w:szCs w:val="20"/>
          <w:color w:val="auto"/>
        </w:rPr>
      </w:pPr>
    </w:p>
    <w:p>
      <w:pPr>
        <w:ind w:left="393" w:hanging="393"/>
        <w:spacing w:after="0"/>
        <w:tabs>
          <w:tab w:leader="none" w:pos="39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Held-to-maturity financial investments -</w:t>
      </w:r>
    </w:p>
    <w:p>
      <w:pPr>
        <w:spacing w:after="0" w:line="202" w:lineRule="exact"/>
        <w:rPr>
          <w:rFonts w:ascii="Times New Roman" w:cs="Times New Roman" w:eastAsia="Times New Roman" w:hAnsi="Times New Roman"/>
          <w:sz w:val="16"/>
          <w:szCs w:val="16"/>
          <w:color w:val="auto"/>
        </w:rPr>
      </w:pPr>
    </w:p>
    <w:p>
      <w:pPr>
        <w:ind w:left="393" w:right="2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Held-to-maturity financial investments are non–derivative financial assets with fixed or determinable payments and fixed maturities, which Credicorp has the intention and ability to hold to maturity. After initial measurement, held-to-maturity financial investments are subsequently measured at amortized cost using the effective interest rate less impairment. Amortized cost is calculated by taking into account any discount or premium on acquisition and fees that are an integral part of the effective interest rate. The amortization is included in “Interest and similar income” of the consolidated statement of income. The losses arising from impairment of these investments are recognized in the consolidated statement of income.</w:t>
      </w:r>
    </w:p>
    <w:p>
      <w:pPr>
        <w:spacing w:after="0" w:line="163" w:lineRule="exact"/>
        <w:rPr>
          <w:rFonts w:ascii="Times New Roman" w:cs="Times New Roman" w:eastAsia="Times New Roman" w:hAnsi="Times New Roman"/>
          <w:sz w:val="16"/>
          <w:szCs w:val="16"/>
          <w:color w:val="auto"/>
        </w:rPr>
      </w:pPr>
    </w:p>
    <w:p>
      <w:pPr>
        <w:ind w:left="393" w:right="3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the Group has not recognized any impairment loss on held-to-maturity investments, see policy of impairment of financial assets carried at amortized cost in note 3(i)(i).</w:t>
      </w:r>
    </w:p>
    <w:p>
      <w:pPr>
        <w:spacing w:after="0" w:line="143" w:lineRule="exact"/>
        <w:rPr>
          <w:rFonts w:ascii="Times New Roman" w:cs="Times New Roman" w:eastAsia="Times New Roman" w:hAnsi="Times New Roman"/>
          <w:sz w:val="16"/>
          <w:szCs w:val="16"/>
          <w:color w:val="auto"/>
        </w:rPr>
      </w:pPr>
    </w:p>
    <w:p>
      <w:pPr>
        <w:ind w:left="393" w:right="5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Group were to sell or reclassify a more than an insignificant amount of held-to-maturity investments before maturity (other than in certain specific circumstances), the entire category would be tainted and would have to be reclassified as available-for-sale. Furthermore, the Group would be prohibited from classifying any financial asset as held-to-maturity during the following two (02) years.</w:t>
      </w:r>
    </w:p>
    <w:p>
      <w:pPr>
        <w:spacing w:after="0" w:line="157" w:lineRule="exact"/>
        <w:rPr>
          <w:rFonts w:ascii="Times New Roman" w:cs="Times New Roman" w:eastAsia="Times New Roman" w:hAnsi="Times New Roman"/>
          <w:sz w:val="16"/>
          <w:szCs w:val="16"/>
          <w:color w:val="auto"/>
        </w:rPr>
      </w:pPr>
    </w:p>
    <w:p>
      <w:pPr>
        <w:ind w:left="3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the Group did not sell or reclassify any of its held-to-maturity investments.</w:t>
      </w:r>
    </w:p>
    <w:p>
      <w:pPr>
        <w:spacing w:after="0" w:line="202" w:lineRule="exact"/>
        <w:rPr>
          <w:rFonts w:ascii="Times New Roman" w:cs="Times New Roman" w:eastAsia="Times New Roman" w:hAnsi="Times New Roman"/>
          <w:sz w:val="16"/>
          <w:szCs w:val="16"/>
          <w:color w:val="auto"/>
        </w:rPr>
      </w:pPr>
    </w:p>
    <w:p>
      <w:pPr>
        <w:ind w:left="393" w:hanging="393"/>
        <w:spacing w:after="0"/>
        <w:tabs>
          <w:tab w:leader="none" w:pos="39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and reverse repurchase agreements and security lending and borrowing transactions -</w:t>
      </w:r>
    </w:p>
    <w:p>
      <w:pPr>
        <w:spacing w:after="0" w:line="202" w:lineRule="exact"/>
        <w:rPr>
          <w:rFonts w:ascii="Times New Roman" w:cs="Times New Roman" w:eastAsia="Times New Roman" w:hAnsi="Times New Roman"/>
          <w:sz w:val="16"/>
          <w:szCs w:val="16"/>
          <w:color w:val="auto"/>
        </w:rPr>
      </w:pPr>
    </w:p>
    <w:p>
      <w:pPr>
        <w:ind w:left="393"/>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sold under agreements to repurchase at a specified future date are not derecognized from the consolidated statement of financial position as the Group retains substantially all of the risks and rewards of ownership. The cash received is recognized as an asset with a corresponding obligation to return it, including accrued interest, as a liability in “Payables from repurchase agreements and security lendings”, reflecting the transaction’s economic substance as a loan to the Group. The difference between the sale and repurchase price is treated as interest expense and is accrued over the life of the agreement using the effective interest rate and is recognized in “Interest and similar expenses” of the consolidated statement of income.</w:t>
      </w:r>
    </w:p>
    <w:p>
      <w:pPr>
        <w:spacing w:after="0" w:line="357"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093"/>
          </w:cols>
          <w:pgMar w:left="527" w:top="824" w:right="279" w:bottom="1440" w:gutter="0" w:footer="0" w:header="0"/>
        </w:sectPr>
      </w:pPr>
    </w:p>
    <w:bookmarkStart w:id="32" w:name="page33"/>
    <w:bookmarkEnd w:id="32"/>
    <w:p>
      <w:pPr>
        <w:ind w:left="393" w:right="100"/>
        <w:spacing w:after="0" w:line="260" w:lineRule="auto"/>
        <w:rPr>
          <w:sz w:val="20"/>
          <w:szCs w:val="20"/>
          <w:color w:val="auto"/>
        </w:rPr>
      </w:pPr>
      <w:r>
        <w:rPr>
          <w:rFonts w:ascii="Times New Roman" w:cs="Times New Roman" w:eastAsia="Times New Roman" w:hAnsi="Times New Roman"/>
          <w:sz w:val="16"/>
          <w:szCs w:val="16"/>
          <w:color w:val="auto"/>
        </w:rPr>
        <w:t>As part of this transaction the Group grants assets as collateral. When the counterparty receives securities and has the right to sell or re-pledge, the Group reclassifies those securities in “Available-for-sale investments pledged as collateral” or “Held-to-maturity investments pledged as collateral”, as appropriate, of the consolidated statement of financial position. Also, when the counterparty receives cash as collateral that will be restricted until the maturity of the contract, the Group reclassifies the cash in Cash collateral, reverse repurchase agreements and security borrowings" in the consolidated statement of financial position, which includes accrued interest that is calculated according to the method of the effective interest rate.</w:t>
      </w:r>
    </w:p>
    <w:p>
      <w:pPr>
        <w:spacing w:after="0" w:line="164" w:lineRule="exact"/>
        <w:rPr>
          <w:sz w:val="20"/>
          <w:szCs w:val="20"/>
          <w:color w:val="auto"/>
        </w:rPr>
      </w:pPr>
    </w:p>
    <w:p>
      <w:pPr>
        <w:ind w:left="393"/>
        <w:spacing w:after="0" w:line="263" w:lineRule="auto"/>
        <w:rPr>
          <w:sz w:val="20"/>
          <w:szCs w:val="20"/>
          <w:color w:val="auto"/>
        </w:rPr>
      </w:pPr>
      <w:r>
        <w:rPr>
          <w:rFonts w:ascii="Times New Roman" w:cs="Times New Roman" w:eastAsia="Times New Roman" w:hAnsi="Times New Roman"/>
          <w:sz w:val="16"/>
          <w:szCs w:val="16"/>
          <w:color w:val="auto"/>
        </w:rPr>
        <w:t>Conversely, securities purchased under agreements to resell at a specified future date are not recognized in the consolidated statement of financial position. The consideration paid, including accrued interest, is recorded in “Receivables from reverse repurchase agreements and security borrowings” of the consolidated statement of financial position, reflecting the transaction’s economic substance as a loan by the Group. The difference between the purchase and resale price is recorded in “Interest and similar income” of the consolidated statement of income and is accrued over the life of the agreement using the effective interest rate.</w:t>
      </w:r>
    </w:p>
    <w:p>
      <w:pPr>
        <w:spacing w:after="0" w:line="161" w:lineRule="exact"/>
        <w:rPr>
          <w:sz w:val="20"/>
          <w:szCs w:val="20"/>
          <w:color w:val="auto"/>
        </w:rPr>
      </w:pPr>
    </w:p>
    <w:p>
      <w:pPr>
        <w:ind w:left="393" w:right="380"/>
        <w:spacing w:after="0" w:line="268" w:lineRule="auto"/>
        <w:rPr>
          <w:sz w:val="20"/>
          <w:szCs w:val="20"/>
          <w:color w:val="auto"/>
        </w:rPr>
      </w:pPr>
      <w:r>
        <w:rPr>
          <w:rFonts w:ascii="Times New Roman" w:cs="Times New Roman" w:eastAsia="Times New Roman" w:hAnsi="Times New Roman"/>
          <w:sz w:val="16"/>
          <w:szCs w:val="16"/>
          <w:color w:val="auto"/>
        </w:rPr>
        <w:t>If securities purchased under agreement to resell are subsequently sold to third parties, the obligation to return the securities is recorded as a short sale in the consolidated statement of financial position heading “Financial liabilities at fair value through profit or loss” and measured at fair value, with any gains or losses included in the consolidated statement of income caption “Net gain on sale of securities”.</w:t>
      </w:r>
    </w:p>
    <w:p>
      <w:pPr>
        <w:spacing w:after="0" w:line="157" w:lineRule="exact"/>
        <w:rPr>
          <w:sz w:val="20"/>
          <w:szCs w:val="20"/>
          <w:color w:val="auto"/>
        </w:rPr>
      </w:pPr>
    </w:p>
    <w:p>
      <w:pPr>
        <w:ind w:left="393" w:right="260"/>
        <w:spacing w:after="0" w:line="285" w:lineRule="auto"/>
        <w:rPr>
          <w:sz w:val="20"/>
          <w:szCs w:val="20"/>
          <w:color w:val="auto"/>
        </w:rPr>
      </w:pPr>
      <w:r>
        <w:rPr>
          <w:rFonts w:ascii="Times New Roman" w:cs="Times New Roman" w:eastAsia="Times New Roman" w:hAnsi="Times New Roman"/>
          <w:sz w:val="16"/>
          <w:szCs w:val="16"/>
          <w:color w:val="auto"/>
        </w:rPr>
        <w:t>Security lending and borrowing transactions are usually collateralized by securities and cash. The transfer of the securities to counterparties is only reflected in the consolidated statement of financial position if the risks and rewards of ownership are also transferred.</w:t>
      </w:r>
    </w:p>
    <w:p>
      <w:pPr>
        <w:spacing w:after="0" w:line="143" w:lineRule="exact"/>
        <w:rPr>
          <w:sz w:val="20"/>
          <w:szCs w:val="20"/>
          <w:color w:val="auto"/>
        </w:rPr>
      </w:pPr>
    </w:p>
    <w:p>
      <w:pPr>
        <w:ind w:left="393" w:hanging="393"/>
        <w:spacing w:after="0"/>
        <w:tabs>
          <w:tab w:leader="none" w:pos="39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Put and call options over non-controlling interest -</w:t>
      </w:r>
    </w:p>
    <w:p>
      <w:pPr>
        <w:spacing w:after="0" w:line="202" w:lineRule="exact"/>
        <w:rPr>
          <w:rFonts w:ascii="Times New Roman" w:cs="Times New Roman" w:eastAsia="Times New Roman" w:hAnsi="Times New Roman"/>
          <w:sz w:val="16"/>
          <w:szCs w:val="16"/>
          <w:color w:val="auto"/>
        </w:rPr>
      </w:pPr>
    </w:p>
    <w:p>
      <w:pPr>
        <w:ind w:left="393" w:right="2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Put options granted to non-controlling interests give rise to a financial liability for the present value of the redemption amount. When the financial liability is recognized initially, the present value of the amount payable upon exercise of the option is recorded in equity. All subsequent changes in the carrying amount of the liability, due to a re-measurement of the present value of the amount payable on exercise, are recognized in the consolidated statements of income.</w:t>
      </w:r>
    </w:p>
    <w:p>
      <w:pPr>
        <w:spacing w:after="0" w:line="157" w:lineRule="exact"/>
        <w:rPr>
          <w:rFonts w:ascii="Times New Roman" w:cs="Times New Roman" w:eastAsia="Times New Roman" w:hAnsi="Times New Roman"/>
          <w:sz w:val="16"/>
          <w:szCs w:val="16"/>
          <w:color w:val="auto"/>
        </w:rPr>
      </w:pPr>
    </w:p>
    <w:p>
      <w:pPr>
        <w:ind w:left="393" w:right="3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Call options are initially recognized as a financial asset at their fair value, with any subsequent changes in their fair value recognized in profit or loss. If the call options are exercised, the fair value of the option at that date is included as part of the cost of the acquisition of the non-controllin interest. If the call options lapse unexercised, any carrying amount for the call option is expensed in profit or loss.</w:t>
      </w:r>
    </w:p>
    <w:p>
      <w:pPr>
        <w:spacing w:after="0" w:line="157" w:lineRule="exact"/>
        <w:rPr>
          <w:rFonts w:ascii="Times New Roman" w:cs="Times New Roman" w:eastAsia="Times New Roman" w:hAnsi="Times New Roman"/>
          <w:sz w:val="16"/>
          <w:szCs w:val="16"/>
          <w:color w:val="auto"/>
        </w:rPr>
      </w:pPr>
    </w:p>
    <w:p>
      <w:pPr>
        <w:ind w:left="3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Put and call options do not give the Group present access to the benefits associated with the ownership interest.</w:t>
      </w:r>
    </w:p>
    <w:p>
      <w:pPr>
        <w:spacing w:after="0" w:line="202" w:lineRule="exact"/>
        <w:rPr>
          <w:rFonts w:ascii="Times New Roman" w:cs="Times New Roman" w:eastAsia="Times New Roman" w:hAnsi="Times New Roman"/>
          <w:sz w:val="16"/>
          <w:szCs w:val="16"/>
          <w:color w:val="auto"/>
        </w:rPr>
      </w:pPr>
    </w:p>
    <w:p>
      <w:pPr>
        <w:ind w:left="393" w:hanging="393"/>
        <w:spacing w:after="0"/>
        <w:tabs>
          <w:tab w:leader="none" w:pos="39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financial liabilities -</w:t>
      </w:r>
    </w:p>
    <w:p>
      <w:pPr>
        <w:spacing w:after="0" w:line="202" w:lineRule="exact"/>
        <w:rPr>
          <w:rFonts w:ascii="Times New Roman" w:cs="Times New Roman" w:eastAsia="Times New Roman" w:hAnsi="Times New Roman"/>
          <w:sz w:val="16"/>
          <w:szCs w:val="16"/>
          <w:color w:val="auto"/>
        </w:rPr>
      </w:pPr>
    </w:p>
    <w:p>
      <w:pPr>
        <w:ind w:left="393" w:right="1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336"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4" w:right="239" w:bottom="1440" w:gutter="0" w:footer="0" w:header="0"/>
        </w:sectPr>
      </w:pPr>
    </w:p>
    <w:bookmarkStart w:id="33" w:name="page34"/>
    <w:bookmarkEnd w:id="33"/>
    <w:p>
      <w:pPr>
        <w:ind w:left="283" w:right="7900" w:hanging="283"/>
        <w:spacing w:after="0" w:line="504" w:lineRule="auto"/>
        <w:tabs>
          <w:tab w:leader="none" w:pos="2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De-recognition of financial assets and liabilities - Financial assets -</w:t>
      </w:r>
    </w:p>
    <w:p>
      <w:pPr>
        <w:ind w:left="283" w:right="1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60" w:lineRule="exact"/>
        <w:rPr>
          <w:rFonts w:ascii="Times New Roman" w:cs="Times New Roman" w:eastAsia="Times New Roman" w:hAnsi="Times New Roman"/>
          <w:sz w:val="16"/>
          <w:szCs w:val="16"/>
          <w:color w:val="auto"/>
        </w:rPr>
      </w:pPr>
    </w:p>
    <w:p>
      <w:pPr>
        <w:ind w:left="28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Group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the Group’s continuing involvement. In that case, the Group also recognizes an associated liability. The transferred asset and the associated liability are measured on a basis that reflects the rights and obligations that the Group has retained.</w:t>
      </w:r>
    </w:p>
    <w:p>
      <w:pPr>
        <w:spacing w:after="0" w:line="160" w:lineRule="exact"/>
        <w:rPr>
          <w:rFonts w:ascii="Times New Roman" w:cs="Times New Roman" w:eastAsia="Times New Roman" w:hAnsi="Times New Roman"/>
          <w:sz w:val="16"/>
          <w:szCs w:val="16"/>
          <w:color w:val="auto"/>
        </w:rPr>
      </w:pPr>
    </w:p>
    <w:p>
      <w:pPr>
        <w:ind w:left="283" w:right="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143"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liabilities -</w:t>
      </w:r>
    </w:p>
    <w:p>
      <w:pPr>
        <w:spacing w:after="0" w:line="202" w:lineRule="exact"/>
        <w:rPr>
          <w:rFonts w:ascii="Times New Roman" w:cs="Times New Roman" w:eastAsia="Times New Roman" w:hAnsi="Times New Roman"/>
          <w:sz w:val="16"/>
          <w:szCs w:val="16"/>
          <w:color w:val="auto"/>
        </w:rPr>
      </w:pPr>
    </w:p>
    <w:p>
      <w:pPr>
        <w:ind w:left="283" w:right="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de-recognition of the original liability and the recognition of a new liability; the difference between the carrying amount of the original financial liability and the consideration paid is recognized in the consolidated statement of income.</w:t>
      </w:r>
    </w:p>
    <w:p>
      <w:pPr>
        <w:spacing w:after="0" w:line="160"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Offsetting financial instruments -</w:t>
      </w:r>
    </w:p>
    <w:p>
      <w:pPr>
        <w:spacing w:after="0" w:line="202" w:lineRule="exact"/>
        <w:rPr>
          <w:rFonts w:ascii="Times New Roman" w:cs="Times New Roman" w:eastAsia="Times New Roman" w:hAnsi="Times New Roman"/>
          <w:sz w:val="16"/>
          <w:szCs w:val="16"/>
          <w:color w:val="auto"/>
        </w:rPr>
      </w:pPr>
    </w:p>
    <w:p>
      <w:pPr>
        <w:ind w:left="283"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and liabilities are offset and the net amount is reported in the consolidated statement of financial position when there is a legally enforceable right to offset the recognized amounts and Management has the intention to settle on a net basis, or realize the assets and settle the liability simultaneously.</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financial assets -</w:t>
      </w:r>
    </w:p>
    <w:p>
      <w:pPr>
        <w:spacing w:after="0" w:line="202" w:lineRule="exact"/>
        <w:rPr>
          <w:rFonts w:ascii="Times New Roman" w:cs="Times New Roman" w:eastAsia="Times New Roman" w:hAnsi="Times New Roman"/>
          <w:sz w:val="16"/>
          <w:szCs w:val="16"/>
          <w:color w:val="auto"/>
        </w:rPr>
      </w:pPr>
    </w:p>
    <w:p>
      <w:pPr>
        <w:ind w:left="283" w:right="18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assesses at the date of each consolidated statement of financial position whether there is any objective evidence that a financial asset or a group of financial assets is impaired. An impairment exists if one or more events that has occurred since the initial recognition of the asset (an incurred “loss event”),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w:t>
      </w:r>
    </w:p>
    <w:p>
      <w:pPr>
        <w:spacing w:after="0" w:line="360"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The criterion used for each category of financial assets is as follows:</w:t>
      </w:r>
    </w:p>
    <w:p>
      <w:pPr>
        <w:spacing w:after="0" w:line="203" w:lineRule="exact"/>
        <w:rPr>
          <w:sz w:val="20"/>
          <w:szCs w:val="20"/>
          <w:color w:val="auto"/>
        </w:rPr>
      </w:pPr>
    </w:p>
    <w:p>
      <w:pPr>
        <w:ind w:left="300" w:hanging="293"/>
        <w:spacing w:after="0"/>
        <w:tabs>
          <w:tab w:leader="none" w:pos="3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carried at amortized cost -</w:t>
      </w:r>
    </w:p>
    <w:p>
      <w:pPr>
        <w:spacing w:after="0" w:line="202" w:lineRule="exact"/>
        <w:rPr>
          <w:rFonts w:ascii="Times New Roman" w:cs="Times New Roman" w:eastAsia="Times New Roman" w:hAnsi="Times New Roman"/>
          <w:sz w:val="16"/>
          <w:szCs w:val="16"/>
          <w:color w:val="auto"/>
        </w:rPr>
      </w:pPr>
    </w:p>
    <w:p>
      <w:pPr>
        <w:ind w:left="300" w:right="10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loans, receivables and held-to-maturity investments that are carried at amortized cost, the Group first assesses whether impairment exists individually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163" w:lineRule="exact"/>
        <w:rPr>
          <w:rFonts w:ascii="Times New Roman" w:cs="Times New Roman" w:eastAsia="Times New Roman" w:hAnsi="Times New Roman"/>
          <w:sz w:val="16"/>
          <w:szCs w:val="16"/>
          <w:color w:val="auto"/>
        </w:rPr>
      </w:pPr>
    </w:p>
    <w:p>
      <w:pPr>
        <w:ind w:left="300" w:right="2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any impairment loss identified is measured as the difference between the asset’s carrying amount and the present value of estimated future cash flows (excluding future expected credit losses that have not yet been incurred).</w:t>
      </w:r>
    </w:p>
    <w:p>
      <w:pPr>
        <w:spacing w:after="0" w:line="143" w:lineRule="exact"/>
        <w:rPr>
          <w:rFonts w:ascii="Times New Roman" w:cs="Times New Roman" w:eastAsia="Times New Roman" w:hAnsi="Times New Roman"/>
          <w:sz w:val="16"/>
          <w:szCs w:val="16"/>
          <w:color w:val="auto"/>
        </w:rPr>
      </w:pPr>
    </w:p>
    <w:p>
      <w:pPr>
        <w:ind w:left="300" w:right="10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of the asset is reduced through the use of a provision account and the amount of the loss is recognized in the consolidated statement of income. A loan together with the respective associated provision is written off when classified as a loss and is fully provisioned and there is real and verifiable evidence that the loan is irrecoverable and collection efforts concluded without success, the impossibility of foreclosures or all collateral has been realized or has been transferred to the Group.</w:t>
      </w:r>
    </w:p>
    <w:p>
      <w:pPr>
        <w:spacing w:after="0" w:line="160" w:lineRule="exact"/>
        <w:rPr>
          <w:rFonts w:ascii="Times New Roman" w:cs="Times New Roman" w:eastAsia="Times New Roman" w:hAnsi="Times New Roman"/>
          <w:sz w:val="16"/>
          <w:szCs w:val="16"/>
          <w:color w:val="auto"/>
        </w:rPr>
      </w:pPr>
    </w:p>
    <w:p>
      <w:pPr>
        <w:jc w:val="both"/>
        <w:ind w:left="300" w:right="1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any subsequent year, the amount of the estimated impairment loss increases or decreases because of an event occurring after the impairment was recognized, the previously recognized impairment loss is increased or reduced by adjusting the provision account. If in the future a written-off loan is later recovered, the recovery is recognized in the consolidated statement of income, as a credit to “Provision for loan losses, net of recoveries”.</w:t>
      </w:r>
    </w:p>
    <w:p>
      <w:pPr>
        <w:spacing w:after="0" w:line="157" w:lineRule="exact"/>
        <w:rPr>
          <w:rFonts w:ascii="Times New Roman" w:cs="Times New Roman" w:eastAsia="Times New Roman" w:hAnsi="Times New Roman"/>
          <w:sz w:val="16"/>
          <w:szCs w:val="16"/>
          <w:color w:val="auto"/>
        </w:rPr>
      </w:pPr>
    </w:p>
    <w:p>
      <w:pPr>
        <w:ind w:left="3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57" w:lineRule="exact"/>
        <w:rPr>
          <w:rFonts w:ascii="Times New Roman" w:cs="Times New Roman" w:eastAsia="Times New Roman" w:hAnsi="Times New Roman"/>
          <w:sz w:val="16"/>
          <w:szCs w:val="16"/>
          <w:color w:val="auto"/>
        </w:rPr>
      </w:pPr>
    </w:p>
    <w:p>
      <w:pPr>
        <w:ind w:left="3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collective assessment of impairment, financial assets are grouped considering the Group’s internal credit grading system, which considers credit risk characteristics; for example: asset type, industry, geographical location, collateral type and past-due status and other relevant factors.</w:t>
      </w:r>
    </w:p>
    <w:p>
      <w:pPr>
        <w:spacing w:after="0" w:line="143" w:lineRule="exact"/>
        <w:rPr>
          <w:rFonts w:ascii="Times New Roman" w:cs="Times New Roman" w:eastAsia="Times New Roman" w:hAnsi="Times New Roman"/>
          <w:sz w:val="16"/>
          <w:szCs w:val="16"/>
          <w:color w:val="auto"/>
        </w:rPr>
      </w:pPr>
    </w:p>
    <w:p>
      <w:pPr>
        <w:ind w:left="300" w:right="1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60" w:lineRule="exact"/>
        <w:rPr>
          <w:rFonts w:ascii="Times New Roman" w:cs="Times New Roman" w:eastAsia="Times New Roman" w:hAnsi="Times New Roman"/>
          <w:sz w:val="16"/>
          <w:szCs w:val="16"/>
          <w:color w:val="auto"/>
        </w:rPr>
      </w:pPr>
    </w:p>
    <w:p>
      <w:pPr>
        <w:ind w:left="300" w:hanging="293"/>
        <w:spacing w:after="0"/>
        <w:tabs>
          <w:tab w:leader="none" w:pos="3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Available-for-sale financial investments -</w:t>
      </w:r>
    </w:p>
    <w:p>
      <w:pPr>
        <w:spacing w:after="0" w:line="202" w:lineRule="exact"/>
        <w:rPr>
          <w:rFonts w:ascii="Times New Roman" w:cs="Times New Roman" w:eastAsia="Times New Roman" w:hAnsi="Times New Roman"/>
          <w:sz w:val="16"/>
          <w:szCs w:val="16"/>
          <w:color w:val="auto"/>
        </w:rPr>
      </w:pPr>
    </w:p>
    <w:p>
      <w:pPr>
        <w:ind w:left="300" w:right="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available-for-sale financial investments, the Group assesses at each date of the consolidated statement of financial position whether there is objective evidence that an investment or a group of investments is impaired.</w:t>
      </w:r>
    </w:p>
    <w:p>
      <w:pPr>
        <w:spacing w:after="0" w:line="336" w:lineRule="exact"/>
        <w:rPr>
          <w:rFonts w:ascii="Times New Roman" w:cs="Times New Roman" w:eastAsia="Times New Roman" w:hAnsi="Times New Roman"/>
          <w:sz w:val="16"/>
          <w:szCs w:val="16"/>
          <w:color w:val="auto"/>
        </w:rPr>
      </w:pPr>
    </w:p>
    <w:p>
      <w:pPr>
        <w:ind w:left="5360" w:hanging="94"/>
        <w:spacing w:after="0"/>
        <w:tabs>
          <w:tab w:leader="none" w:pos="53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4" w:right="239" w:bottom="1440" w:gutter="0" w:footer="0" w:header="0"/>
        </w:sectPr>
      </w:pPr>
    </w:p>
    <w:bookmarkStart w:id="35" w:name="page36"/>
    <w:bookmarkEnd w:id="35"/>
    <w:p>
      <w:pPr>
        <w:ind w:left="583" w:right="20"/>
        <w:spacing w:after="0" w:line="263" w:lineRule="auto"/>
        <w:rPr>
          <w:sz w:val="20"/>
          <w:szCs w:val="20"/>
          <w:color w:val="auto"/>
        </w:rPr>
      </w:pPr>
      <w:r>
        <w:rPr>
          <w:rFonts w:ascii="Times New Roman" w:cs="Times New Roman" w:eastAsia="Times New Roman" w:hAnsi="Times New Roman"/>
          <w:sz w:val="16"/>
          <w:szCs w:val="16"/>
          <w:color w:val="auto"/>
        </w:rPr>
        <w:t>In the case of equity investments, objective evidence would include a significant or prolonged decline in their fair value below cost. “Significant” is to be evaluated against the original cost of the investment and “prolonged” against the period in which the fair value has been below its original cost. The determination of what is “significant” or “prolonged” requires judgment. In making this judgment, the Group evaluates, among other factors, the duration or extent to which the fair value of an investment is less than its cost.</w:t>
      </w:r>
    </w:p>
    <w:p>
      <w:pPr>
        <w:spacing w:after="0" w:line="161" w:lineRule="exact"/>
        <w:rPr>
          <w:sz w:val="20"/>
          <w:szCs w:val="20"/>
          <w:color w:val="auto"/>
        </w:rPr>
      </w:pPr>
    </w:p>
    <w:p>
      <w:pPr>
        <w:ind w:left="583" w:right="40"/>
        <w:spacing w:after="0" w:line="263" w:lineRule="auto"/>
        <w:rPr>
          <w:sz w:val="20"/>
          <w:szCs w:val="20"/>
          <w:color w:val="auto"/>
        </w:rPr>
      </w:pPr>
      <w:r>
        <w:rPr>
          <w:rFonts w:ascii="Times New Roman" w:cs="Times New Roman" w:eastAsia="Times New Roman" w:hAnsi="Times New Roman"/>
          <w:sz w:val="16"/>
          <w:szCs w:val="16"/>
          <w:color w:val="auto"/>
        </w:rPr>
        <w:t>When there is evidence of impairment, the cumulative loss (measured as the difference between the acquisition cost and the current fair value, less any previously recognized impairment loss) is removed from available-for-sale investments reserve of the consolidated statement of changes in equity and recognized in the consolidated statement of income. Impairment losses on equity investments are not reversed through the consolidated statement of income; increases in their fair value after impairment are recognized directly in the consolidated statement of comprehensive income.</w:t>
      </w:r>
    </w:p>
    <w:p>
      <w:pPr>
        <w:spacing w:after="0" w:line="161" w:lineRule="exact"/>
        <w:rPr>
          <w:sz w:val="20"/>
          <w:szCs w:val="20"/>
          <w:color w:val="auto"/>
        </w:rPr>
      </w:pPr>
    </w:p>
    <w:p>
      <w:pPr>
        <w:ind w:left="583" w:right="20"/>
        <w:spacing w:after="0" w:line="258" w:lineRule="auto"/>
        <w:rPr>
          <w:sz w:val="20"/>
          <w:szCs w:val="20"/>
          <w:color w:val="auto"/>
        </w:rPr>
      </w:pPr>
      <w:r>
        <w:rPr>
          <w:rFonts w:ascii="Times New Roman" w:cs="Times New Roman" w:eastAsia="Times New Roman" w:hAnsi="Times New Roman"/>
          <w:sz w:val="16"/>
          <w:szCs w:val="16"/>
          <w:color w:val="auto"/>
        </w:rPr>
        <w:t>In the case of debt instruments, impairment is assessed based on the same criteria as financial assets carried at amortized cost. However, the amount recorded for impairment is the cumulative loss measured as the difference between the amortized cost and the current fair value, less any impairment loss on that investment previously recognized in the consolidated statement of income. Future interest income is based on the reduced carrying amount and is accrued using the interest rate used to discount the future cash flows for the purpose of measuring the impairment loss. Interest income is recorded as part of “Interest and similar income” of the consolidated statement of income. If in a subsequent year, the fair value of a debt instrument increases and the increase can be objectively related to an event occurring after the impairment loss was recognized in the consolidated statements of income, the impairment loss is reversed through the consolidated statement of income.</w:t>
      </w:r>
    </w:p>
    <w:p>
      <w:pPr>
        <w:spacing w:after="0" w:line="167" w:lineRule="exact"/>
        <w:rPr>
          <w:sz w:val="20"/>
          <w:szCs w:val="20"/>
          <w:color w:val="auto"/>
        </w:rPr>
      </w:pPr>
    </w:p>
    <w:p>
      <w:pPr>
        <w:ind w:left="583" w:hanging="293"/>
        <w:spacing w:after="0"/>
        <w:tabs>
          <w:tab w:leader="none" w:pos="583"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Renegotiated loans -</w:t>
      </w:r>
    </w:p>
    <w:p>
      <w:pPr>
        <w:spacing w:after="0" w:line="202" w:lineRule="exact"/>
        <w:rPr>
          <w:rFonts w:ascii="Times New Roman" w:cs="Times New Roman" w:eastAsia="Times New Roman" w:hAnsi="Times New Roman"/>
          <w:sz w:val="16"/>
          <w:szCs w:val="16"/>
          <w:color w:val="auto"/>
        </w:rPr>
      </w:pPr>
    </w:p>
    <w:p>
      <w:pPr>
        <w:ind w:left="583" w:right="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is considered as impaired and past due.</w:t>
      </w:r>
    </w:p>
    <w:p>
      <w:pPr>
        <w:spacing w:after="0" w:line="157"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Leases -</w:t>
      </w:r>
    </w:p>
    <w:p>
      <w:pPr>
        <w:spacing w:after="0" w:line="202" w:lineRule="exact"/>
        <w:rPr>
          <w:rFonts w:ascii="Times New Roman" w:cs="Times New Roman" w:eastAsia="Times New Roman" w:hAnsi="Times New Roman"/>
          <w:sz w:val="16"/>
          <w:szCs w:val="16"/>
          <w:color w:val="auto"/>
        </w:rPr>
      </w:pPr>
    </w:p>
    <w:p>
      <w:pPr>
        <w:ind w:left="283"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determination of whether an arrangement is, or contains, a lease is based in the substance of the arrangement at the inception date: whether fulfillment of the arrangement is dependent on the use of a specific asset or assets and on whether the arrangement conveys a right to use the asset even if that right is not explicitly specified in an arrangement.</w:t>
      </w:r>
    </w:p>
    <w:p>
      <w:pPr>
        <w:spacing w:after="0" w:line="157"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leases -</w:t>
      </w:r>
    </w:p>
    <w:p>
      <w:pPr>
        <w:spacing w:after="0" w:line="202" w:lineRule="exact"/>
        <w:rPr>
          <w:rFonts w:ascii="Times New Roman" w:cs="Times New Roman" w:eastAsia="Times New Roman" w:hAnsi="Times New Roman"/>
          <w:sz w:val="16"/>
          <w:szCs w:val="16"/>
          <w:color w:val="auto"/>
        </w:rPr>
      </w:pPr>
    </w:p>
    <w:p>
      <w:pPr>
        <w:ind w:left="283" w:right="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Leases in which a significant portion of the risks and benefits of the asset are held by the lessor are classified as operating leases. Under this concept the Group has mainly leased premises used as offices and agencies of the Group’s subsidiaries.</w:t>
      </w:r>
    </w:p>
    <w:p>
      <w:pPr>
        <w:spacing w:after="0" w:line="143" w:lineRule="exact"/>
        <w:rPr>
          <w:rFonts w:ascii="Times New Roman" w:cs="Times New Roman" w:eastAsia="Times New Roman" w:hAnsi="Times New Roman"/>
          <w:sz w:val="16"/>
          <w:szCs w:val="16"/>
          <w:color w:val="auto"/>
        </w:rPr>
      </w:pPr>
    </w:p>
    <w:p>
      <w:pPr>
        <w:ind w:left="283" w:right="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an operating lease is terminated before the lease period has expired, any penalty payment to the lessor is recognized as an expense in the period in which termination takes place.</w:t>
      </w:r>
    </w:p>
    <w:p>
      <w:pPr>
        <w:spacing w:after="0" w:line="143"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Finance leases -</w:t>
      </w:r>
    </w:p>
    <w:p>
      <w:pPr>
        <w:spacing w:after="0" w:line="202" w:lineRule="exact"/>
        <w:rPr>
          <w:rFonts w:ascii="Times New Roman" w:cs="Times New Roman" w:eastAsia="Times New Roman" w:hAnsi="Times New Roman"/>
          <w:sz w:val="16"/>
          <w:szCs w:val="16"/>
          <w:color w:val="auto"/>
        </w:rPr>
      </w:pPr>
    </w:p>
    <w:p>
      <w:pPr>
        <w:ind w:left="2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Finance leases are recognized as granted loans at the present value of the future lease collections. The difference between the gross receivable amount and the present value of the loan is recognized as unearned interest. Lease income is recognized over the term of the lease agreement using the effective interest rate method, which reflects a constant periodic rate of return.</w:t>
      </w:r>
    </w:p>
    <w:p>
      <w:pPr>
        <w:spacing w:after="0" w:line="350"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4" w:right="299" w:bottom="1440" w:gutter="0" w:footer="0" w:header="0"/>
        </w:sectPr>
      </w:pPr>
    </w:p>
    <w:bookmarkStart w:id="36" w:name="page37"/>
    <w:bookmarkEnd w:id="36"/>
    <w:p>
      <w:pPr>
        <w:ind w:left="283" w:hanging="283"/>
        <w:spacing w:after="0"/>
        <w:tabs>
          <w:tab w:leader="none" w:pos="28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furniture and equipment -</w:t>
      </w:r>
    </w:p>
    <w:p>
      <w:pPr>
        <w:spacing w:after="0" w:line="202" w:lineRule="exact"/>
        <w:rPr>
          <w:rFonts w:ascii="Times New Roman" w:cs="Times New Roman" w:eastAsia="Times New Roman" w:hAnsi="Times New Roman"/>
          <w:sz w:val="16"/>
          <w:szCs w:val="16"/>
          <w:color w:val="auto"/>
        </w:rPr>
      </w:pPr>
    </w:p>
    <w:p>
      <w:pPr>
        <w:ind w:left="28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furniture and equipment are stated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 of income; significant renewals and improvements are capitalized when it is probable that future economic benefits, in excess of the originally assessed standard of performance, will flow from the use of the acquired property, furniture or equipment.</w:t>
      </w:r>
    </w:p>
    <w:p>
      <w:pPr>
        <w:spacing w:after="0" w:line="160"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 is not depreciated. Depreciation is calculated using the straight-line method over the estimated useful lives, which are as follows:</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1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w w:val="89"/>
              </w:rPr>
              <w:t>Years</w:t>
            </w:r>
          </w:p>
        </w:tc>
      </w:tr>
      <w:tr>
        <w:trPr>
          <w:trHeight w:val="186"/>
        </w:trPr>
        <w:tc>
          <w:tcPr>
            <w:tcW w:w="5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other construction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shd w:val="clear" w:color="auto" w:fill="CCEEFF"/>
          </w:tcPr>
          <w:p>
            <w:pPr>
              <w:spacing w:after="0"/>
              <w:rPr>
                <w:sz w:val="16"/>
                <w:szCs w:val="16"/>
                <w:color w:val="auto"/>
              </w:rPr>
            </w:pPr>
          </w:p>
        </w:tc>
      </w:tr>
      <w:tr>
        <w:trPr>
          <w:trHeight w:val="19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Installations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6"/>
                <w:szCs w:val="16"/>
                <w:color w:val="auto"/>
              </w:rPr>
            </w:pPr>
          </w:p>
        </w:tc>
      </w:tr>
      <w:tr>
        <w:trPr>
          <w:trHeight w:val="19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CEEFF"/>
          </w:tcPr>
          <w:p>
            <w:pPr>
              <w:spacing w:after="0"/>
              <w:rPr>
                <w:sz w:val="16"/>
                <w:szCs w:val="16"/>
                <w:color w:val="auto"/>
              </w:rPr>
            </w:pPr>
          </w:p>
        </w:tc>
      </w:tr>
      <w:tr>
        <w:trPr>
          <w:trHeight w:val="19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Vehicles and equipment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19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bl>
    <w:p>
      <w:pPr>
        <w:spacing w:after="0" w:line="177" w:lineRule="exact"/>
        <w:rPr>
          <w:sz w:val="20"/>
          <w:szCs w:val="20"/>
          <w:color w:val="auto"/>
        </w:rPr>
      </w:pPr>
    </w:p>
    <w:p>
      <w:pPr>
        <w:jc w:val="both"/>
        <w:ind w:left="283" w:right="120"/>
        <w:spacing w:after="0" w:line="268" w:lineRule="auto"/>
        <w:rPr>
          <w:sz w:val="20"/>
          <w:szCs w:val="20"/>
          <w:color w:val="auto"/>
        </w:rPr>
      </w:pPr>
      <w:r>
        <w:rPr>
          <w:rFonts w:ascii="Times New Roman" w:cs="Times New Roman" w:eastAsia="Times New Roman" w:hAnsi="Times New Roman"/>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income.</w:t>
      </w:r>
    </w:p>
    <w:p>
      <w:pPr>
        <w:spacing w:after="0" w:line="15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Assets’ residual value, and the selected useful life are periodically reviewed to ensure that they are consistent with current economic benefits and life expectancy.</w:t>
      </w:r>
    </w:p>
    <w:p>
      <w:pPr>
        <w:spacing w:after="0" w:line="203" w:lineRule="exact"/>
        <w:rPr>
          <w:sz w:val="20"/>
          <w:szCs w:val="20"/>
          <w:color w:val="auto"/>
        </w:rPr>
      </w:pPr>
    </w:p>
    <w:p>
      <w:pPr>
        <w:ind w:left="283" w:hanging="283"/>
        <w:spacing w:after="0"/>
        <w:tabs>
          <w:tab w:leader="none" w:pos="28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properties -</w:t>
      </w:r>
    </w:p>
    <w:p>
      <w:pPr>
        <w:spacing w:after="0" w:line="202" w:lineRule="exact"/>
        <w:rPr>
          <w:rFonts w:ascii="Times New Roman" w:cs="Times New Roman" w:eastAsia="Times New Roman" w:hAnsi="Times New Roman"/>
          <w:sz w:val="16"/>
          <w:szCs w:val="16"/>
          <w:color w:val="auto"/>
        </w:rPr>
      </w:pPr>
    </w:p>
    <w:p>
      <w:pPr>
        <w:ind w:left="283" w:right="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properties are held to earn rentals or for capital appreciation or both rather than for: (a) use in the production or supply or goods or services or for administrative purposes; or (b) sale in the ordinary course of business. Property that is being constructed or developed for future use as investment property is recognized at cost before completion.</w:t>
      </w:r>
    </w:p>
    <w:p>
      <w:pPr>
        <w:spacing w:after="0" w:line="157" w:lineRule="exact"/>
        <w:rPr>
          <w:rFonts w:ascii="Times New Roman" w:cs="Times New Roman" w:eastAsia="Times New Roman" w:hAnsi="Times New Roman"/>
          <w:sz w:val="16"/>
          <w:szCs w:val="16"/>
          <w:color w:val="auto"/>
        </w:rPr>
      </w:pPr>
    </w:p>
    <w:p>
      <w:pPr>
        <w:ind w:left="283" w:right="3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properties are initially measured at fair value which is the purchase transaction price, unless otherwise indicated. Transaction costs are included in the initial measurement, which includes the purchase price and any other cost directly attributable to the transaction.</w:t>
      </w:r>
    </w:p>
    <w:p>
      <w:pPr>
        <w:spacing w:after="0" w:line="143" w:lineRule="exact"/>
        <w:rPr>
          <w:rFonts w:ascii="Times New Roman" w:cs="Times New Roman" w:eastAsia="Times New Roman" w:hAnsi="Times New Roman"/>
          <w:sz w:val="16"/>
          <w:szCs w:val="16"/>
          <w:color w:val="auto"/>
        </w:rPr>
      </w:pPr>
    </w:p>
    <w:p>
      <w:pPr>
        <w:ind w:left="283" w:right="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subsequent recognition, an entity shall choose as its accounting policy either the fair value model or the cost model and shall apply that policy to all its investment property. At the date of the consolidated financial statements, the Group has opted for keeping the cost model. Accordingly, investment properties are accounted for at their acquisition cost less accumulated depreciation and the accumulated impairment losses, if any.</w:t>
      </w:r>
    </w:p>
    <w:p>
      <w:pPr>
        <w:spacing w:after="0" w:line="157" w:lineRule="exact"/>
        <w:rPr>
          <w:rFonts w:ascii="Times New Roman" w:cs="Times New Roman" w:eastAsia="Times New Roman" w:hAnsi="Times New Roman"/>
          <w:sz w:val="16"/>
          <w:szCs w:val="16"/>
          <w:color w:val="auto"/>
        </w:rPr>
      </w:pPr>
    </w:p>
    <w:p>
      <w:pPr>
        <w:ind w:left="283" w:right="2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entity can opt for recognizing and depreciating separately the components of an investment property or as a single unit for recording and depreciation purposes. The Group recognizes as a single unit each of its investment properties and has estimated a useful life of 33 years for purposes of determining depreciation under the straight-line method.</w:t>
      </w:r>
    </w:p>
    <w:p>
      <w:pPr>
        <w:spacing w:after="0" w:line="157" w:lineRule="exact"/>
        <w:rPr>
          <w:rFonts w:ascii="Times New Roman" w:cs="Times New Roman" w:eastAsia="Times New Roman" w:hAnsi="Times New Roman"/>
          <w:sz w:val="16"/>
          <w:szCs w:val="16"/>
          <w:color w:val="auto"/>
        </w:rPr>
      </w:pPr>
    </w:p>
    <w:p>
      <w:pPr>
        <w:ind w:left="283"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income is recognized as rents that are accrued under the related rental agreement; depreciation expenses as well as maintenance expenses and other related expenses are accounted for as maintenance of the rented assets, net within “Other income” in the consolidated statement of income.</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37" w:name="page38"/>
    <w:bookmarkEnd w:id="37"/>
    <w:p>
      <w:pPr>
        <w:ind w:left="283" w:hanging="283"/>
        <w:spacing w:after="0"/>
        <w:tabs>
          <w:tab w:leader="none" w:pos="28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Seized assets -</w:t>
      </w:r>
    </w:p>
    <w:p>
      <w:pPr>
        <w:spacing w:after="0" w:line="202" w:lineRule="exact"/>
        <w:rPr>
          <w:rFonts w:ascii="Times New Roman" w:cs="Times New Roman" w:eastAsia="Times New Roman" w:hAnsi="Times New Roman"/>
          <w:sz w:val="16"/>
          <w:szCs w:val="16"/>
          <w:color w:val="auto"/>
        </w:rPr>
      </w:pPr>
    </w:p>
    <w:p>
      <w:pPr>
        <w:ind w:left="283"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Seized assets are recorded at the lower of cost or estimated market value, which is obtained from valuations made by independent appraisers. Reductions in book values are recorded in the consolidated statement of income.</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w:t>
      </w:r>
    </w:p>
    <w:p>
      <w:pPr>
        <w:spacing w:after="0" w:line="202" w:lineRule="exact"/>
        <w:rPr>
          <w:rFonts w:ascii="Times New Roman" w:cs="Times New Roman" w:eastAsia="Times New Roman" w:hAnsi="Times New Roman"/>
          <w:sz w:val="16"/>
          <w:szCs w:val="16"/>
          <w:color w:val="auto"/>
        </w:rPr>
      </w:pPr>
    </w:p>
    <w:p>
      <w:pPr>
        <w:ind w:left="283" w:right="48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combinations made are accounted for using the acquisition method in accordance with IFRS 3 Business Combination, regardless of whether they are equity instruments or other acquired assets.</w:t>
      </w:r>
    </w:p>
    <w:p>
      <w:pPr>
        <w:spacing w:after="0" w:line="1" w:lineRule="exact"/>
        <w:rPr>
          <w:rFonts w:ascii="Times New Roman" w:cs="Times New Roman" w:eastAsia="Times New Roman" w:hAnsi="Times New Roman"/>
          <w:sz w:val="16"/>
          <w:szCs w:val="16"/>
          <w:color w:val="auto"/>
        </w:rPr>
      </w:pPr>
    </w:p>
    <w:p>
      <w:pPr>
        <w:ind w:left="283"/>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cost is the sum of the consideration paid for the acquisition measured at fair value at the acquisition date and the amount of the share in the non-controlling interest acquired. For each business combination the Group decides whether to measure the non-controlling interest in the acquire at fair value or at the proportional share in the identifiable net assets of the acquire.</w:t>
      </w:r>
    </w:p>
    <w:p>
      <w:pPr>
        <w:spacing w:after="0" w:line="164" w:lineRule="exact"/>
        <w:rPr>
          <w:rFonts w:ascii="Times New Roman" w:cs="Times New Roman" w:eastAsia="Times New Roman" w:hAnsi="Times New Roman"/>
          <w:sz w:val="16"/>
          <w:szCs w:val="16"/>
          <w:color w:val="auto"/>
        </w:rPr>
      </w:pPr>
    </w:p>
    <w:p>
      <w:pPr>
        <w:ind w:left="283" w:right="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costs are recognized as expense and are included within “Administrative expenses” in the consolidated statement of income. When the Group acquires a business, it assesses the financial assets and liabilities assumed for its own classification and denomination under the contractual terms, economic circumstances and prevailing conditions at the date of acquisition. This includes the separation of embedded derivative contracts signed by the acquiree.</w:t>
      </w:r>
    </w:p>
    <w:p>
      <w:pPr>
        <w:spacing w:after="0" w:line="157" w:lineRule="exact"/>
        <w:rPr>
          <w:rFonts w:ascii="Times New Roman" w:cs="Times New Roman" w:eastAsia="Times New Roman" w:hAnsi="Times New Roman"/>
          <w:sz w:val="16"/>
          <w:szCs w:val="16"/>
          <w:color w:val="auto"/>
        </w:rPr>
      </w:pPr>
    </w:p>
    <w:p>
      <w:pPr>
        <w:jc w:val="both"/>
        <w:ind w:left="283"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contingency transferred by the acquirer is recognized at fair value at the acquisition date. The contingency classified as an asset or liability that is a financial instrument and is within the scope of IAS 39 “Financial instruments: Recognition and measurement” is measured at fair value with changes recognized in the consolidated statement of income or consolidated statement of comprehensive income.</w:t>
      </w:r>
    </w:p>
    <w:p>
      <w:pPr>
        <w:spacing w:after="0" w:line="157" w:lineRule="exact"/>
        <w:rPr>
          <w:rFonts w:ascii="Times New Roman" w:cs="Times New Roman" w:eastAsia="Times New Roman" w:hAnsi="Times New Roman"/>
          <w:sz w:val="16"/>
          <w:szCs w:val="16"/>
          <w:color w:val="auto"/>
        </w:rPr>
      </w:pPr>
    </w:p>
    <w:p>
      <w:pPr>
        <w:ind w:left="283" w:right="6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contingency is not within the scope of IAS 39, it is measured in accordance with the applicable IFRS. A contingency that is classified as equity should not be measured again and its subsequent settlement is accounted for within equity.</w:t>
      </w:r>
    </w:p>
    <w:p>
      <w:pPr>
        <w:spacing w:after="0" w:line="143" w:lineRule="exact"/>
        <w:rPr>
          <w:rFonts w:ascii="Times New Roman" w:cs="Times New Roman" w:eastAsia="Times New Roman" w:hAnsi="Times New Roman"/>
          <w:sz w:val="16"/>
          <w:szCs w:val="16"/>
          <w:color w:val="auto"/>
        </w:rPr>
      </w:pPr>
    </w:p>
    <w:p>
      <w:pPr>
        <w:ind w:left="283" w:right="1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non-controlling interest is recorded directly in net equity, any difference between the amount paid and the fair value of the identifiable net assets is recorded as an equity transaction. Accordingly, the Group recognized no additional goodwill after the acquisition of the non-controlling interest, nor does it recognize any profit or loss from the disposal of the non-controlling interest.</w:t>
      </w:r>
    </w:p>
    <w:p>
      <w:pPr>
        <w:spacing w:after="0" w:line="157" w:lineRule="exact"/>
        <w:rPr>
          <w:rFonts w:ascii="Times New Roman" w:cs="Times New Roman" w:eastAsia="Times New Roman" w:hAnsi="Times New Roman"/>
          <w:sz w:val="16"/>
          <w:szCs w:val="16"/>
          <w:color w:val="auto"/>
        </w:rPr>
      </w:pPr>
    </w:p>
    <w:p>
      <w:pPr>
        <w:ind w:left="283" w:right="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attributable to the non-controlling interest is shown separately in the consolidated statement of financial position. Profit attributable to the non-controlling interest is shown separately in the consolidated statement of income and consolidated statement of comprehensive income.</w:t>
      </w:r>
    </w:p>
    <w:p>
      <w:pPr>
        <w:spacing w:after="0" w:line="143" w:lineRule="exact"/>
        <w:rPr>
          <w:rFonts w:ascii="Times New Roman" w:cs="Times New Roman" w:eastAsia="Times New Roman" w:hAnsi="Times New Roman"/>
          <w:sz w:val="16"/>
          <w:szCs w:val="16"/>
          <w:color w:val="auto"/>
        </w:rPr>
      </w:pPr>
    </w:p>
    <w:p>
      <w:pPr>
        <w:ind w:left="283" w:right="5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 business combination achieved in stages, the acquirer shall re-measure its ´previously held equity interest in the acquire at fair value at the acquisition-date. The resulting gain or loss is recognized in profit or loss.</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t>
      </w:r>
    </w:p>
    <w:p>
      <w:pPr>
        <w:spacing w:after="0" w:line="202" w:lineRule="exact"/>
        <w:rPr>
          <w:rFonts w:ascii="Times New Roman" w:cs="Times New Roman" w:eastAsia="Times New Roman" w:hAnsi="Times New Roman"/>
          <w:sz w:val="16"/>
          <w:szCs w:val="16"/>
          <w:color w:val="auto"/>
        </w:rPr>
      </w:pPr>
    </w:p>
    <w:p>
      <w:pPr>
        <w:ind w:left="283" w:right="1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Comprise internally developed and acquired software licenses used by the Group. Acquired software licenses are measured on initial recognition at cost and are amortized using the straight-line method over their estimated useful life (between 3 and 5 years).</w:t>
      </w:r>
    </w:p>
    <w:p>
      <w:pPr>
        <w:spacing w:after="0" w:line="143" w:lineRule="exact"/>
        <w:rPr>
          <w:rFonts w:ascii="Times New Roman" w:cs="Times New Roman" w:eastAsia="Times New Roman" w:hAnsi="Times New Roman"/>
          <w:sz w:val="16"/>
          <w:szCs w:val="16"/>
          <w:color w:val="auto"/>
        </w:rPr>
      </w:pPr>
    </w:p>
    <w:p>
      <w:pPr>
        <w:ind w:left="283" w:right="6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identified as a consequence of the acquisition of subsidiaries are recognized in the consolidated statement of financial position at their fair values determined on the acquisition date and are amortized using the straight line method over their estimated useful life as follows:</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38" w:name="page39"/>
    <w:bookmarkEnd w:id="38"/>
    <w:tbl>
      <w:tblPr>
        <w:tblLayout w:type="fixed"/>
        <w:tblInd w:w="283"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Estimated useful</w:t>
            </w:r>
          </w:p>
        </w:tc>
      </w:tr>
      <w:tr>
        <w:trPr>
          <w:trHeight w:val="212"/>
        </w:trPr>
        <w:tc>
          <w:tcPr>
            <w:tcW w:w="88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lives in years</w:t>
            </w:r>
          </w:p>
        </w:tc>
      </w:tr>
      <w:tr>
        <w:trPr>
          <w:trHeight w:val="186"/>
        </w:trPr>
        <w:tc>
          <w:tcPr>
            <w:tcW w:w="884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Client relationship - Prima AFP (AFP Unión Vida)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6"/>
                <w:szCs w:val="16"/>
                <w:color w:val="auto"/>
              </w:rPr>
            </w:pPr>
          </w:p>
        </w:tc>
      </w:tr>
      <w:tr>
        <w:trPr>
          <w:trHeight w:val="193"/>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Client relationship - Inversiones IMT S.A.</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Client relationship cash, fixed and variable income - Credicorp Capital Colombia</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r>
      <w:tr>
        <w:trPr>
          <w:trHeight w:val="193"/>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Client relationship APT - Credicorp Capital Colombia</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Client relationship - Edyficar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6"/>
                <w:szCs w:val="16"/>
                <w:color w:val="auto"/>
              </w:rPr>
            </w:pPr>
          </w:p>
        </w:tc>
      </w:tr>
      <w:tr>
        <w:trPr>
          <w:trHeight w:val="193"/>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Brand - Mibanco</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 - Credicorp Capital Colombia</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3"/>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Brand - Inversiones IMT S.A.</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Fund manager contract - Credicorp Capital Colombia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6"/>
                <w:szCs w:val="16"/>
                <w:color w:val="auto"/>
              </w:rPr>
            </w:pPr>
          </w:p>
        </w:tc>
      </w:tr>
      <w:tr>
        <w:trPr>
          <w:trHeight w:val="193"/>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Fund manager contract - Inversiones IMT S.A.</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r>
        <w:trPr>
          <w:trHeight w:val="19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Core deposits - Mibanco</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r>
      <w:tr>
        <w:trPr>
          <w:trHeight w:val="193"/>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 BCP</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bl>
    <w:p>
      <w:pPr>
        <w:spacing w:after="0" w:line="177" w:lineRule="exact"/>
        <w:rPr>
          <w:sz w:val="20"/>
          <w:szCs w:val="20"/>
          <w:color w:val="auto"/>
        </w:rPr>
      </w:pPr>
    </w:p>
    <w:p>
      <w:pPr>
        <w:ind w:left="283" w:right="200"/>
        <w:spacing w:after="0" w:line="263" w:lineRule="auto"/>
        <w:rPr>
          <w:sz w:val="20"/>
          <w:szCs w:val="20"/>
          <w:color w:val="auto"/>
        </w:rPr>
      </w:pPr>
      <w:r>
        <w:rPr>
          <w:rFonts w:ascii="Times New Roman" w:cs="Times New Roman" w:eastAsia="Times New Roman" w:hAnsi="Times New Roman"/>
          <w:sz w:val="16"/>
          <w:szCs w:val="16"/>
          <w:color w:val="auto"/>
        </w:rPr>
        <w:t>The period and the amortization method, for intangible assets are reviewed at the end of each period. If the expected useful life differs from previous estimates, the amortization period will be changed to reflect this change. If there has been a change in the expected pattern of consumption of the future economic benefits embodied in the asset, the amortization method shall be amended to reflect these changes. The effects of these changes in the period and the amortization method are prospectively treated as changes in accounting estimates under IAS 8.</w:t>
      </w:r>
    </w:p>
    <w:p>
      <w:pPr>
        <w:spacing w:after="0" w:line="161" w:lineRule="exact"/>
        <w:rPr>
          <w:sz w:val="20"/>
          <w:szCs w:val="20"/>
          <w:color w:val="auto"/>
        </w:rPr>
      </w:pPr>
    </w:p>
    <w:p>
      <w:pPr>
        <w:ind w:left="283" w:right="40"/>
        <w:spacing w:after="0" w:line="285" w:lineRule="auto"/>
        <w:rPr>
          <w:sz w:val="20"/>
          <w:szCs w:val="20"/>
          <w:color w:val="auto"/>
        </w:rPr>
      </w:pPr>
      <w:r>
        <w:rPr>
          <w:rFonts w:ascii="Times New Roman" w:cs="Times New Roman" w:eastAsia="Times New Roman" w:hAnsi="Times New Roman"/>
          <w:sz w:val="16"/>
          <w:szCs w:val="16"/>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43" w:lineRule="exact"/>
        <w:rPr>
          <w:sz w:val="20"/>
          <w:szCs w:val="20"/>
          <w:color w:val="auto"/>
        </w:rPr>
      </w:pPr>
    </w:p>
    <w:p>
      <w:pPr>
        <w:ind w:left="283" w:hanging="283"/>
        <w:spacing w:after="0"/>
        <w:tabs>
          <w:tab w:leader="none" w:pos="28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w:t>
      </w:r>
    </w:p>
    <w:p>
      <w:pPr>
        <w:spacing w:after="0" w:line="202" w:lineRule="exact"/>
        <w:rPr>
          <w:rFonts w:ascii="Times New Roman" w:cs="Times New Roman" w:eastAsia="Times New Roman" w:hAnsi="Times New Roman"/>
          <w:sz w:val="16"/>
          <w:szCs w:val="16"/>
          <w:color w:val="auto"/>
        </w:rPr>
      </w:pPr>
    </w:p>
    <w:p>
      <w:pPr>
        <w:ind w:left="283" w:right="1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is the excess of the aggregate of the consideration transferred over the fair value recognized for the acquisition of the net value of the identifiable net assets acquired and liabilities assumed. If the fair value of the net assets acquired exceeds the aggregate consideration transferred, then the gain is recognized in the consolidated statement of income.</w:t>
      </w:r>
    </w:p>
    <w:p>
      <w:pPr>
        <w:spacing w:after="0" w:line="157" w:lineRule="exact"/>
        <w:rPr>
          <w:rFonts w:ascii="Times New Roman" w:cs="Times New Roman" w:eastAsia="Times New Roman" w:hAnsi="Times New Roman"/>
          <w:sz w:val="16"/>
          <w:szCs w:val="16"/>
          <w:color w:val="auto"/>
        </w:rPr>
      </w:pPr>
    </w:p>
    <w:p>
      <w:pPr>
        <w:ind w:left="283" w:right="2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initial recognition, goodwill is measured at cost less any accumulated impairment losses. For the purpose of impairment testing, goodwill acquired in a business combination is, from the acquisition date, allocated to each of the Group’s cash-generating units (CGU) that are expected to benefit from the combination, irrespective of whether other assets or liabilities of the acquire are assigned to these units.</w:t>
      </w:r>
    </w:p>
    <w:p>
      <w:pPr>
        <w:spacing w:after="0" w:line="157" w:lineRule="exact"/>
        <w:rPr>
          <w:rFonts w:ascii="Times New Roman" w:cs="Times New Roman" w:eastAsia="Times New Roman" w:hAnsi="Times New Roman"/>
          <w:sz w:val="16"/>
          <w:szCs w:val="16"/>
          <w:color w:val="auto"/>
        </w:rPr>
      </w:pPr>
    </w:p>
    <w:p>
      <w:pPr>
        <w:ind w:left="2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goodwill has been allocated to a CGU and part of the operation within that unit is disposed of, the goodwill associated with the disposed operation is included in the carrying amount of the operation when determining the gain or loss on disposal. Goodwill disposed of in these circumstances is measured based on the relative values of the disposed operation and the portion of the cash-generating unit retained.</w:t>
      </w:r>
    </w:p>
    <w:p>
      <w:pPr>
        <w:spacing w:after="0" w:line="157" w:lineRule="exact"/>
        <w:rPr>
          <w:rFonts w:ascii="Times New Roman" w:cs="Times New Roman" w:eastAsia="Times New Roman" w:hAnsi="Times New Roman"/>
          <w:sz w:val="16"/>
          <w:szCs w:val="16"/>
          <w:color w:val="auto"/>
        </w:rPr>
      </w:pPr>
    </w:p>
    <w:p>
      <w:pPr>
        <w:ind w:left="283" w:right="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2" w:right="259" w:bottom="1440" w:gutter="0" w:footer="0" w:header="0"/>
        </w:sectPr>
      </w:pPr>
    </w:p>
    <w:bookmarkStart w:id="39" w:name="page40"/>
    <w:bookmarkEnd w:id="39"/>
    <w:p>
      <w:pPr>
        <w:ind w:left="283" w:hanging="283"/>
        <w:spacing w:after="0"/>
        <w:tabs>
          <w:tab w:leader="none" w:pos="2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non-financial assets -</w:t>
      </w:r>
    </w:p>
    <w:p>
      <w:pPr>
        <w:spacing w:after="0" w:line="202" w:lineRule="exact"/>
        <w:rPr>
          <w:rFonts w:ascii="Times New Roman" w:cs="Times New Roman" w:eastAsia="Times New Roman" w:hAnsi="Times New Roman"/>
          <w:sz w:val="16"/>
          <w:szCs w:val="16"/>
          <w:color w:val="auto"/>
        </w:rPr>
      </w:pPr>
    </w:p>
    <w:p>
      <w:pPr>
        <w:ind w:left="283" w:right="8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assesses, at each reporting date, whether there is an indicator that an asset may be impaired. If any indication exists, or when annual impairment testing for an asset is required, the Group estimates the asset’s recoverable amount. An asset’s recoverable amount is the higher of the value of the asset or the CGU less costs to sell and its value in use and is determined for each individual asset, unless the asset does not generate cash inflows that are largely independent of those from other assets or groups of assets.</w:t>
      </w:r>
    </w:p>
    <w:p>
      <w:pPr>
        <w:spacing w:after="0" w:line="160" w:lineRule="exact"/>
        <w:rPr>
          <w:rFonts w:ascii="Times New Roman" w:cs="Times New Roman" w:eastAsia="Times New Roman" w:hAnsi="Times New Roman"/>
          <w:sz w:val="16"/>
          <w:szCs w:val="16"/>
          <w:color w:val="auto"/>
        </w:rPr>
      </w:pPr>
    </w:p>
    <w:p>
      <w:pPr>
        <w:ind w:left="28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an appropriate valuation model is used. These calculations are verified against valuation multiples, quoted share prices for publicly traded subsidiaries or other available fair value indicators.</w:t>
      </w:r>
    </w:p>
    <w:p>
      <w:pPr>
        <w:spacing w:after="0" w:line="160" w:lineRule="exact"/>
        <w:rPr>
          <w:rFonts w:ascii="Times New Roman" w:cs="Times New Roman" w:eastAsia="Times New Roman" w:hAnsi="Times New Roman"/>
          <w:sz w:val="16"/>
          <w:szCs w:val="16"/>
          <w:color w:val="auto"/>
        </w:rPr>
      </w:pPr>
    </w:p>
    <w:p>
      <w:pPr>
        <w:jc w:val="both"/>
        <w:ind w:left="283" w:right="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non-financial assets, excluding goodwill, an assessment is made at each reporting date whether there is an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w:t>
      </w:r>
    </w:p>
    <w:p>
      <w:pPr>
        <w:spacing w:after="0" w:line="157" w:lineRule="exact"/>
        <w:rPr>
          <w:rFonts w:ascii="Times New Roman" w:cs="Times New Roman" w:eastAsia="Times New Roman" w:hAnsi="Times New Roman"/>
          <w:sz w:val="16"/>
          <w:szCs w:val="16"/>
          <w:color w:val="auto"/>
        </w:rPr>
      </w:pPr>
    </w:p>
    <w:p>
      <w:pPr>
        <w:ind w:left="283" w:right="1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income.</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assets held for sale -</w:t>
      </w:r>
    </w:p>
    <w:p>
      <w:pPr>
        <w:spacing w:after="0" w:line="202" w:lineRule="exact"/>
        <w:rPr>
          <w:rFonts w:ascii="Times New Roman" w:cs="Times New Roman" w:eastAsia="Times New Roman" w:hAnsi="Times New Roman"/>
          <w:sz w:val="16"/>
          <w:szCs w:val="16"/>
          <w:color w:val="auto"/>
        </w:rPr>
      </w:pPr>
    </w:p>
    <w:p>
      <w:pPr>
        <w:jc w:val="both"/>
        <w:ind w:left="283" w:right="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classifies non-current assets as held for sale if their carrying amounts will be recovered principally through a sale transaction rather than through continuing use. Non-current assets classified as held for sale are measured at the lower of their carrying amount and fair value less costs to sell. The criteria for held for sale classification is regarded as met only when the sale is highly probable and the assets are available for immediate sale in their present condition. Management must be committed to the sale, which should be expected to qualify for recognition as a completed sale within one year from the date of classification.</w:t>
      </w:r>
    </w:p>
    <w:p>
      <w:pPr>
        <w:spacing w:after="0" w:line="160"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furniture and equipment and intangible assets are not depreciated or amortized once classified as held for sale.</w:t>
      </w:r>
    </w:p>
    <w:p>
      <w:pPr>
        <w:spacing w:after="0" w:line="202" w:lineRule="exact"/>
        <w:rPr>
          <w:rFonts w:ascii="Times New Roman" w:cs="Times New Roman" w:eastAsia="Times New Roman" w:hAnsi="Times New Roman"/>
          <w:sz w:val="16"/>
          <w:szCs w:val="16"/>
          <w:color w:val="auto"/>
        </w:rPr>
      </w:pPr>
    </w:p>
    <w:p>
      <w:pPr>
        <w:ind w:left="283" w:right="1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Group is committed to a sale plan involving loss of control of a subsidiary, the Group will classify all the assets and liabilities of that subsidiary as held for sale. This is regardless of whether it will retain a non-controlling interest in the former subsidiary after the sale.</w:t>
      </w:r>
    </w:p>
    <w:p>
      <w:pPr>
        <w:spacing w:after="0" w:line="143" w:lineRule="exact"/>
        <w:rPr>
          <w:rFonts w:ascii="Times New Roman" w:cs="Times New Roman" w:eastAsia="Times New Roman" w:hAnsi="Times New Roman"/>
          <w:sz w:val="16"/>
          <w:szCs w:val="16"/>
          <w:color w:val="auto"/>
        </w:rPr>
      </w:pPr>
    </w:p>
    <w:p>
      <w:pPr>
        <w:ind w:left="283" w:right="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assets classified as held for sale and liabilities classified as held for sale are presented separately from other assets and liabilities, respectively, in the consolidated statement of financial position according to IFRS 5. The Group discloses the major classes of assets and liabilities classified as held for sale separately in Note 13.</w:t>
      </w:r>
    </w:p>
    <w:p>
      <w:pPr>
        <w:spacing w:after="0" w:line="157" w:lineRule="exact"/>
        <w:rPr>
          <w:rFonts w:ascii="Times New Roman" w:cs="Times New Roman" w:eastAsia="Times New Roman" w:hAnsi="Times New Roman"/>
          <w:sz w:val="16"/>
          <w:szCs w:val="16"/>
          <w:color w:val="auto"/>
        </w:rPr>
      </w:pPr>
    </w:p>
    <w:p>
      <w:pPr>
        <w:ind w:left="28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when non-current assets held for sale do not represent a separate major line of business or geographical area of operations and they are not part of a single coordinated plan to dispose of a separate major line of business or geographical area of operations, nor are they a subsidiary acquired exclusively with a view to resale; the non-current assets held for sale are not considered a discontinued operation and they are not excluded from the results of continuing operations and are not presented as a single amount of profit or loss after tax from discontinued operations in the consolidated statement of income.</w:t>
      </w:r>
    </w:p>
    <w:p>
      <w:pPr>
        <w:spacing w:after="0" w:line="353"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40" w:name="page41"/>
    <w:bookmarkEnd w:id="40"/>
    <w:p>
      <w:pPr>
        <w:ind w:left="283" w:hanging="283"/>
        <w:spacing w:after="0"/>
        <w:tabs>
          <w:tab w:leader="none" w:pos="28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from customers on acceptances -</w:t>
      </w:r>
    </w:p>
    <w:p>
      <w:pPr>
        <w:spacing w:after="0" w:line="202" w:lineRule="exact"/>
        <w:rPr>
          <w:rFonts w:ascii="Times New Roman" w:cs="Times New Roman" w:eastAsia="Times New Roman" w:hAnsi="Times New Roman"/>
          <w:sz w:val="16"/>
          <w:szCs w:val="16"/>
          <w:color w:val="auto"/>
        </w:rPr>
      </w:pPr>
    </w:p>
    <w:p>
      <w:pPr>
        <w:ind w:left="283" w:right="2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guarantees -</w:t>
      </w:r>
    </w:p>
    <w:p>
      <w:pPr>
        <w:spacing w:after="0" w:line="202" w:lineRule="exact"/>
        <w:rPr>
          <w:rFonts w:ascii="Times New Roman" w:cs="Times New Roman" w:eastAsia="Times New Roman" w:hAnsi="Times New Roman"/>
          <w:sz w:val="16"/>
          <w:szCs w:val="16"/>
          <w:color w:val="auto"/>
        </w:rPr>
      </w:pPr>
    </w:p>
    <w:p>
      <w:pPr>
        <w:ind w:left="283" w:right="12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ordinary course of business, the Group issues financial guarantees, such as letters of credit, guarantees and acceptances. Financial guarantees are initially recognized at fair value (which is equivalent at that moment to the fee received) in “Other liabilities” of the consolidated statement of financial position. Subsequent to initial recognition, the Group’s liability under each guarantee is measured at the higher of the amount initially recognized less, when appropriate, cumulative amortization recognized in the consolidated statement of income, and the best estimate of expenditure required to settle any financial obligation arising as a result of the financial guarantee.</w:t>
      </w:r>
    </w:p>
    <w:p>
      <w:pPr>
        <w:spacing w:after="0" w:line="163" w:lineRule="exact"/>
        <w:rPr>
          <w:rFonts w:ascii="Times New Roman" w:cs="Times New Roman" w:eastAsia="Times New Roman" w:hAnsi="Times New Roman"/>
          <w:sz w:val="16"/>
          <w:szCs w:val="16"/>
          <w:color w:val="auto"/>
        </w:rPr>
      </w:pPr>
    </w:p>
    <w:p>
      <w:pPr>
        <w:ind w:left="283" w:right="4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increase in the liability relating to a financial guarantee is included in the consolidated statement of income. The fee received is recognized in “Banking services commissions” of the consolidated statement of income on a straight line basis over the life of the granted financial guarantee.</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w:t>
      </w:r>
    </w:p>
    <w:p>
      <w:pPr>
        <w:spacing w:after="0" w:line="202" w:lineRule="exact"/>
        <w:rPr>
          <w:rFonts w:ascii="Times New Roman" w:cs="Times New Roman" w:eastAsia="Times New Roman" w:hAnsi="Times New Roman"/>
          <w:sz w:val="16"/>
          <w:szCs w:val="16"/>
          <w:color w:val="auto"/>
        </w:rPr>
      </w:pPr>
    </w:p>
    <w:p>
      <w:pPr>
        <w:ind w:left="283"/>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16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Contingencies -</w:t>
      </w:r>
    </w:p>
    <w:p>
      <w:pPr>
        <w:spacing w:after="0" w:line="202" w:lineRule="exact"/>
        <w:rPr>
          <w:rFonts w:ascii="Times New Roman" w:cs="Times New Roman" w:eastAsia="Times New Roman" w:hAnsi="Times New Roman"/>
          <w:sz w:val="16"/>
          <w:szCs w:val="16"/>
          <w:color w:val="auto"/>
        </w:rPr>
      </w:pPr>
    </w:p>
    <w:p>
      <w:pPr>
        <w:ind w:left="283" w:right="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liabilities are not recognized in the consolidated financial statements. They are disclosed in the notes, unless the probability of an outflow of resources is remote. Contingent assets are not recorded in the financial statements; they are disclosed if it is probable that an inflow of economic benefits will be realized.</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w:t>
      </w:r>
    </w:p>
    <w:p>
      <w:pPr>
        <w:spacing w:after="0" w:line="202"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is computed based on the individual financial statements of Credicorp and of each of its subsidiaries.</w:t>
      </w:r>
    </w:p>
    <w:p>
      <w:pPr>
        <w:spacing w:after="0" w:line="202" w:lineRule="exact"/>
        <w:rPr>
          <w:rFonts w:ascii="Times New Roman" w:cs="Times New Roman" w:eastAsia="Times New Roman" w:hAnsi="Times New Roman"/>
          <w:sz w:val="16"/>
          <w:szCs w:val="16"/>
          <w:color w:val="auto"/>
        </w:rPr>
      </w:pPr>
    </w:p>
    <w:p>
      <w:pPr>
        <w:ind w:left="283" w:right="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 of financial position, to recover or settle the carrying amount of its assets and liabilities.</w:t>
      </w:r>
    </w:p>
    <w:p>
      <w:pPr>
        <w:spacing w:after="0" w:line="160" w:lineRule="exact"/>
        <w:rPr>
          <w:rFonts w:ascii="Times New Roman" w:cs="Times New Roman" w:eastAsia="Times New Roman" w:hAnsi="Times New Roman"/>
          <w:sz w:val="16"/>
          <w:szCs w:val="16"/>
          <w:color w:val="auto"/>
        </w:rPr>
      </w:pPr>
    </w:p>
    <w:p>
      <w:pPr>
        <w:ind w:left="283" w:right="3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of deferred tax assets and liabilities may change even though there is no change in the amount of the related temporary differences. This can result from a change in tax rates or tax laws. In this case, the resulting deferred tax shall be recognized in profit or loss, except to the extent that it relates to items previously recognized outside profit or loss.</w:t>
      </w:r>
    </w:p>
    <w:p>
      <w:pPr>
        <w:spacing w:after="0" w:line="350"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41" w:name="page42"/>
    <w:bookmarkEnd w:id="41"/>
    <w:p>
      <w:pPr>
        <w:jc w:val="both"/>
        <w:ind w:left="283" w:right="200"/>
        <w:spacing w:after="0" w:line="268" w:lineRule="auto"/>
        <w:rPr>
          <w:sz w:val="20"/>
          <w:szCs w:val="20"/>
          <w:color w:val="auto"/>
        </w:rPr>
      </w:pPr>
      <w:r>
        <w:rPr>
          <w:rFonts w:ascii="Times New Roman" w:cs="Times New Roman" w:eastAsia="Times New Roman" w:hAnsi="Times New Roman"/>
          <w:sz w:val="16"/>
          <w:szCs w:val="16"/>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 of financial position, Credicorp and its Subsidiaries assess unrecognized deferred assets and the carrying amount of recognized deferred assets.</w:t>
      </w:r>
    </w:p>
    <w:p>
      <w:pPr>
        <w:spacing w:after="0" w:line="157" w:lineRule="exact"/>
        <w:rPr>
          <w:sz w:val="20"/>
          <w:szCs w:val="20"/>
          <w:color w:val="auto"/>
        </w:rPr>
      </w:pPr>
    </w:p>
    <w:p>
      <w:pPr>
        <w:ind w:left="283" w:right="700"/>
        <w:spacing w:after="0" w:line="285" w:lineRule="auto"/>
        <w:rPr>
          <w:sz w:val="20"/>
          <w:szCs w:val="20"/>
          <w:color w:val="auto"/>
        </w:rPr>
      </w:pPr>
      <w:r>
        <w:rPr>
          <w:rFonts w:ascii="Times New Roman" w:cs="Times New Roman" w:eastAsia="Times New Roman" w:hAnsi="Times New Roman"/>
          <w:sz w:val="16"/>
          <w:szCs w:val="16"/>
          <w:color w:val="auto"/>
        </w:rPr>
        <w:t>Credicorp and its Subsidiaries determine their deferred income tax considering the tax rate applicable to its undistributed earnings; any additional tax on dividend distribution is recorded on the date a liability is recognized.</w:t>
      </w:r>
    </w:p>
    <w:p>
      <w:pPr>
        <w:spacing w:after="0" w:line="143"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Deferred tax assets and liabilities are offset if there is a legal right of offset and the deferred taxes are related to the same taxpaying entity and the same tax authority.</w:t>
      </w:r>
    </w:p>
    <w:p>
      <w:pPr>
        <w:spacing w:after="0" w:line="203" w:lineRule="exact"/>
        <w:rPr>
          <w:sz w:val="20"/>
          <w:szCs w:val="20"/>
          <w:color w:val="auto"/>
        </w:rPr>
      </w:pPr>
    </w:p>
    <w:p>
      <w:pPr>
        <w:ind w:left="283" w:hanging="283"/>
        <w:spacing w:after="0"/>
        <w:tabs>
          <w:tab w:leader="none" w:pos="28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per share -</w:t>
      </w:r>
    </w:p>
    <w:p>
      <w:pPr>
        <w:spacing w:after="0" w:line="202" w:lineRule="exact"/>
        <w:rPr>
          <w:rFonts w:ascii="Times New Roman" w:cs="Times New Roman" w:eastAsia="Times New Roman" w:hAnsi="Times New Roman"/>
          <w:sz w:val="16"/>
          <w:szCs w:val="16"/>
          <w:color w:val="auto"/>
        </w:rPr>
      </w:pPr>
    </w:p>
    <w:p>
      <w:pPr>
        <w:ind w:left="283" w:right="2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43" w:lineRule="exact"/>
        <w:rPr>
          <w:rFonts w:ascii="Times New Roman" w:cs="Times New Roman" w:eastAsia="Times New Roman" w:hAnsi="Times New Roman"/>
          <w:sz w:val="16"/>
          <w:szCs w:val="16"/>
          <w:color w:val="auto"/>
        </w:rPr>
      </w:pPr>
    </w:p>
    <w:p>
      <w:pPr>
        <w:jc w:val="both"/>
        <w:ind w:left="283" w:right="1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157"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payment transactions -</w:t>
      </w:r>
    </w:p>
    <w:p>
      <w:pPr>
        <w:spacing w:after="0" w:line="202" w:lineRule="exact"/>
        <w:rPr>
          <w:rFonts w:ascii="Times New Roman" w:cs="Times New Roman" w:eastAsia="Times New Roman" w:hAnsi="Times New Roman"/>
          <w:sz w:val="16"/>
          <w:szCs w:val="16"/>
          <w:color w:val="auto"/>
        </w:rPr>
      </w:pPr>
    </w:p>
    <w:p>
      <w:pPr>
        <w:ind w:left="283" w:right="2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w:t>
      </w:r>
    </w:p>
    <w:p>
      <w:pPr>
        <w:spacing w:after="0" w:line="143" w:lineRule="exact"/>
        <w:rPr>
          <w:rFonts w:ascii="Times New Roman" w:cs="Times New Roman" w:eastAsia="Times New Roman" w:hAnsi="Times New Roman"/>
          <w:sz w:val="16"/>
          <w:szCs w:val="16"/>
          <w:color w:val="auto"/>
        </w:rPr>
      </w:pPr>
    </w:p>
    <w:p>
      <w:pPr>
        <w:ind w:left="2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cumulative expense recognized for equity-settled transactions at each reporting date until the vesting date reflects the extent to which the vesting period has expired and the Group’s best estimate of the number of equity instruments that will ultimately vest. The expense is recorded in “Salaries and employee benefits” of the consolidated statement of income.</w:t>
      </w:r>
    </w:p>
    <w:p>
      <w:pPr>
        <w:spacing w:after="0" w:line="157" w:lineRule="exact"/>
        <w:rPr>
          <w:rFonts w:ascii="Times New Roman" w:cs="Times New Roman" w:eastAsia="Times New Roman" w:hAnsi="Times New Roman"/>
          <w:sz w:val="16"/>
          <w:szCs w:val="16"/>
          <w:color w:val="auto"/>
        </w:rPr>
      </w:pPr>
    </w:p>
    <w:p>
      <w:pPr>
        <w:ind w:left="283" w:right="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terms of an equity-settled award are modified, the minimum expense recognized is the expense as if the terms had not been modified. An additional expense is recognized for any modification which increases the total fair value of the share-based payment arrangement, or which is otherwise beneficial to the employee as measured at the date of modification.</w:t>
      </w:r>
    </w:p>
    <w:p>
      <w:pPr>
        <w:spacing w:after="0" w:line="157"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dilutive effect of outstanding stock awards is reflected as a share dilution in the computation of diluted earnings per share, see (x) above.</w:t>
      </w:r>
    </w:p>
    <w:p>
      <w:pPr>
        <w:spacing w:after="0" w:line="202" w:lineRule="exact"/>
        <w:rPr>
          <w:rFonts w:ascii="Times New Roman" w:cs="Times New Roman" w:eastAsia="Times New Roman" w:hAnsi="Times New Roman"/>
          <w:sz w:val="16"/>
          <w:szCs w:val="16"/>
          <w:color w:val="auto"/>
        </w:rPr>
      </w:pPr>
    </w:p>
    <w:p>
      <w:pPr>
        <w:ind w:left="283" w:right="7500" w:hanging="283"/>
        <w:spacing w:after="0" w:line="504" w:lineRule="auto"/>
        <w:tabs>
          <w:tab w:leader="none" w:pos="28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financial instruments and hedge accounting - Trading -</w:t>
      </w:r>
    </w:p>
    <w:p>
      <w:pPr>
        <w:ind w:left="283"/>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negotiates derivative financial instruments in order to meet its clients’ needs. The Group may also take positions with the expectation of profiting from favorable movements in prices, rates or indexes.</w:t>
      </w:r>
    </w:p>
    <w:p>
      <w:pPr>
        <w:spacing w:after="0" w:line="143" w:lineRule="exact"/>
        <w:rPr>
          <w:rFonts w:ascii="Times New Roman" w:cs="Times New Roman" w:eastAsia="Times New Roman" w:hAnsi="Times New Roman"/>
          <w:sz w:val="16"/>
          <w:szCs w:val="16"/>
          <w:color w:val="auto"/>
        </w:rPr>
      </w:pPr>
    </w:p>
    <w:p>
      <w:pPr>
        <w:ind w:left="283" w:right="1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of the transactions with derivatives, while providing effective economic hedges under Group’s risk management positions, do not qualify for hedge accounting under the specific rules of IAS 39 and are, therefore, treated as trading derivatives.</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42" w:name="page43"/>
    <w:bookmarkEnd w:id="42"/>
    <w:p>
      <w:pPr>
        <w:ind w:right="60"/>
        <w:spacing w:after="0" w:line="268" w:lineRule="auto"/>
        <w:rPr>
          <w:sz w:val="20"/>
          <w:szCs w:val="20"/>
          <w:color w:val="auto"/>
        </w:rPr>
      </w:pPr>
      <w:r>
        <w:rPr>
          <w:rFonts w:ascii="Times New Roman" w:cs="Times New Roman" w:eastAsia="Times New Roman" w:hAnsi="Times New Roman"/>
          <w:sz w:val="16"/>
          <w:szCs w:val="16"/>
          <w:color w:val="auto"/>
        </w:rPr>
        <w:t>Derivative financial instruments are initially recognized at fair value in the consolidated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 of income.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Hedging -</w:t>
      </w:r>
    </w:p>
    <w:p>
      <w:pPr>
        <w:spacing w:after="0" w:line="203"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6"/>
          <w:szCs w:val="16"/>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4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43"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6"/>
          <w:szCs w:val="16"/>
          <w:color w:val="auto"/>
        </w:rPr>
        <w:t>Also, at the inception of the hedge relationship, a formal assessment is undertaken to ensure the hedging instrument is expected to be highly effective in offsetting the designated risk in the hedged item. Hedges are formally assessed at each reporting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accounting treatment is established according to the nature of the hedged item and compliance with the hedge criteria,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hedge is considered highly effective if the following conditions are met:</w:t>
      </w:r>
    </w:p>
    <w:p>
      <w:pPr>
        <w:spacing w:after="0" w:line="203" w:lineRule="exact"/>
        <w:rPr>
          <w:sz w:val="20"/>
          <w:szCs w:val="20"/>
          <w:color w:val="auto"/>
        </w:rPr>
      </w:pPr>
    </w:p>
    <w:p>
      <w:pPr>
        <w:ind w:left="300" w:right="440" w:hanging="293"/>
        <w:spacing w:after="0" w:line="262" w:lineRule="auto"/>
        <w:tabs>
          <w:tab w:leader="none" w:pos="3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inception of a hedge and in following years, the hedge is expected to be highly effective to offset changes in the fair value or cash flows attributable to the hedged risk over the designated period of the hedge; and</w:t>
      </w:r>
    </w:p>
    <w:p>
      <w:pPr>
        <w:spacing w:after="0" w:line="1" w:lineRule="exact"/>
        <w:rPr>
          <w:rFonts w:ascii="Times New Roman" w:cs="Times New Roman" w:eastAsia="Times New Roman" w:hAnsi="Times New Roman"/>
          <w:sz w:val="16"/>
          <w:szCs w:val="16"/>
          <w:color w:val="auto"/>
        </w:rPr>
      </w:pPr>
    </w:p>
    <w:p>
      <w:pPr>
        <w:ind w:left="300" w:hanging="293"/>
        <w:spacing w:after="0"/>
        <w:tabs>
          <w:tab w:leader="none" w:pos="3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actual effectiveness of the hedge is within the range of 80-125 percent.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accounting treatment is determined on the basis of the nature of the hedged item and once the hedging qualifying criteria are met.</w:t>
      </w:r>
    </w:p>
    <w:p>
      <w:pPr>
        <w:spacing w:after="0" w:line="203" w:lineRule="exact"/>
        <w:rPr>
          <w:sz w:val="20"/>
          <w:szCs w:val="20"/>
          <w:color w:val="auto"/>
        </w:rPr>
      </w:pPr>
    </w:p>
    <w:p>
      <w:pPr>
        <w:ind w:left="300" w:hanging="293"/>
        <w:spacing w:after="0"/>
        <w:tabs>
          <w:tab w:leader="none" w:pos="3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hedges -</w:t>
      </w:r>
    </w:p>
    <w:p>
      <w:pPr>
        <w:spacing w:after="0" w:line="202" w:lineRule="exact"/>
        <w:rPr>
          <w:rFonts w:ascii="Times New Roman" w:cs="Times New Roman" w:eastAsia="Times New Roman" w:hAnsi="Times New Roman"/>
          <w:sz w:val="16"/>
          <w:szCs w:val="16"/>
          <w:color w:val="auto"/>
        </w:rPr>
      </w:pPr>
    </w:p>
    <w:p>
      <w:pPr>
        <w:ind w:left="300" w:right="1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portion of the gain or loss on the hedging instrument is recognized directly as part of other comprehensive income in “Cash flow hedge reserve”, while any ineffective portion is recognized immediately in the consolidated statement of income.</w:t>
      </w:r>
    </w:p>
    <w:p>
      <w:pPr>
        <w:spacing w:after="0" w:line="143" w:lineRule="exact"/>
        <w:rPr>
          <w:rFonts w:ascii="Times New Roman" w:cs="Times New Roman" w:eastAsia="Times New Roman" w:hAnsi="Times New Roman"/>
          <w:sz w:val="16"/>
          <w:szCs w:val="16"/>
          <w:color w:val="auto"/>
        </w:rPr>
      </w:pPr>
    </w:p>
    <w:p>
      <w:pPr>
        <w:ind w:left="300"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recognized as other comprehensive income are transferred to the consolidated statement of income when the hedged transaction affects profit or loss, such as when the hedged finance income or finance cost is recognized or when an expected sale occurs.</w:t>
      </w:r>
    </w:p>
    <w:p>
      <w:pPr>
        <w:spacing w:after="0" w:line="143" w:lineRule="exact"/>
        <w:rPr>
          <w:rFonts w:ascii="Times New Roman" w:cs="Times New Roman" w:eastAsia="Times New Roman" w:hAnsi="Times New Roman"/>
          <w:sz w:val="16"/>
          <w:szCs w:val="16"/>
          <w:color w:val="auto"/>
        </w:rPr>
      </w:pPr>
    </w:p>
    <w:p>
      <w:pPr>
        <w:ind w:left="300" w:right="2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forecasted transaction or firm commitment is no longer expected to occur, the cumulative gain or loss previously recognized in the cash flow hedge reserve is transferred to the consolidated statement of income. If the hedging instrument expires or is sold, terminated or exercised without replacement or rollover, or if its designation as a hedge is revoked, any cumulative gain or loss previously recognized in the cash flow hedge reserve remains in said reserve until the forecast transaction or firm commitment affects profit or loss. At the same time, the derivative is recorded as a trading derivative.</w:t>
      </w:r>
    </w:p>
    <w:p>
      <w:pPr>
        <w:spacing w:after="0" w:line="353" w:lineRule="exact"/>
        <w:rPr>
          <w:rFonts w:ascii="Times New Roman" w:cs="Times New Roman" w:eastAsia="Times New Roman" w:hAnsi="Times New Roman"/>
          <w:sz w:val="16"/>
          <w:szCs w:val="16"/>
          <w:color w:val="auto"/>
        </w:rPr>
      </w:pPr>
    </w:p>
    <w:p>
      <w:pPr>
        <w:ind w:left="5360" w:hanging="94"/>
        <w:spacing w:after="0"/>
        <w:tabs>
          <w:tab w:leader="none" w:pos="53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4" w:right="279" w:bottom="1440" w:gutter="0" w:footer="0" w:header="0"/>
        </w:sectPr>
      </w:pPr>
    </w:p>
    <w:bookmarkStart w:id="43" w:name="page44"/>
    <w:bookmarkEnd w:id="43"/>
    <w:p>
      <w:pPr>
        <w:ind w:left="583" w:hanging="293"/>
        <w:spacing w:after="0"/>
        <w:tabs>
          <w:tab w:leader="none" w:pos="583"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hedges -</w:t>
      </w:r>
    </w:p>
    <w:p>
      <w:pPr>
        <w:spacing w:after="0" w:line="202" w:lineRule="exact"/>
        <w:rPr>
          <w:rFonts w:ascii="Times New Roman" w:cs="Times New Roman" w:eastAsia="Times New Roman" w:hAnsi="Times New Roman"/>
          <w:sz w:val="16"/>
          <w:szCs w:val="16"/>
          <w:color w:val="auto"/>
        </w:rPr>
      </w:pPr>
    </w:p>
    <w:p>
      <w:pPr>
        <w:ind w:left="5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the fair value of fair value hedges is recognized in “Interest and similar income” or “Interest and similar expenses” of the consolidated statement of income. The change in the fair value of the hedged item attributable to the risk hedged is recorded as a part of the carrying value of the hedged item and is recognized in the consolidated statement of income.</w:t>
      </w:r>
    </w:p>
    <w:p>
      <w:pPr>
        <w:spacing w:after="0" w:line="157" w:lineRule="exact"/>
        <w:rPr>
          <w:rFonts w:ascii="Times New Roman" w:cs="Times New Roman" w:eastAsia="Times New Roman" w:hAnsi="Times New Roman"/>
          <w:sz w:val="16"/>
          <w:szCs w:val="16"/>
          <w:color w:val="auto"/>
        </w:rPr>
      </w:pPr>
    </w:p>
    <w:p>
      <w:pPr>
        <w:jc w:val="both"/>
        <w:ind w:left="583" w:right="1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fair value hedges relating to items carried at amortized cost, any adjustment to the carrying amount of these items, as a result of discontinuation of the hedge, will be amortized through the consolidated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157"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hedged item is derecognized, the unamortized fair value is recognized immediately in the consolidated statement of income.</w:t>
      </w:r>
    </w:p>
    <w:p>
      <w:pPr>
        <w:spacing w:after="0" w:line="202" w:lineRule="exact"/>
        <w:rPr>
          <w:rFonts w:ascii="Times New Roman" w:cs="Times New Roman" w:eastAsia="Times New Roman" w:hAnsi="Times New Roman"/>
          <w:sz w:val="16"/>
          <w:szCs w:val="16"/>
          <w:color w:val="auto"/>
        </w:rPr>
      </w:pPr>
    </w:p>
    <w:p>
      <w:pPr>
        <w:ind w:left="583" w:right="8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hedge relationship is terminated when the hedging instrument expires or is sold, terminated or exercised, or where the hedge no longer meets the criteria for hedge accounting, the hedge relationship is terminated. For hedged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statements of income. At the same time, the derivative is recorded as a trading derivative.</w:t>
      </w:r>
    </w:p>
    <w:p>
      <w:pPr>
        <w:spacing w:after="0" w:line="163"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Embedded derivatives -</w:t>
      </w:r>
    </w:p>
    <w:p>
      <w:pPr>
        <w:spacing w:after="0" w:line="202" w:lineRule="exact"/>
        <w:rPr>
          <w:rFonts w:ascii="Times New Roman" w:cs="Times New Roman" w:eastAsia="Times New Roman" w:hAnsi="Times New Roman"/>
          <w:sz w:val="16"/>
          <w:szCs w:val="16"/>
          <w:color w:val="auto"/>
        </w:rPr>
      </w:pPr>
    </w:p>
    <w:p>
      <w:pPr>
        <w:ind w:left="583" w:right="2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43" w:lineRule="exact"/>
        <w:rPr>
          <w:rFonts w:ascii="Times New Roman" w:cs="Times New Roman" w:eastAsia="Times New Roman" w:hAnsi="Times New Roman"/>
          <w:sz w:val="16"/>
          <w:szCs w:val="16"/>
          <w:color w:val="auto"/>
        </w:rPr>
      </w:pPr>
    </w:p>
    <w:p>
      <w:pPr>
        <w:ind w:left="583" w:right="2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has investments indexed to certain life insurance contracts liabilities, denominated “Unit-Linked”. These instruments have been classified at inception by the Group as “Financial instruments at fair value though profit or loss”, see note 3(f)(i) and note 8.</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measurement -</w:t>
      </w:r>
    </w:p>
    <w:p>
      <w:pPr>
        <w:spacing w:after="0" w:line="202" w:lineRule="exact"/>
        <w:rPr>
          <w:rFonts w:ascii="Times New Roman" w:cs="Times New Roman" w:eastAsia="Times New Roman" w:hAnsi="Times New Roman"/>
          <w:sz w:val="16"/>
          <w:szCs w:val="16"/>
          <w:color w:val="auto"/>
        </w:rPr>
      </w:pPr>
    </w:p>
    <w:p>
      <w:pPr>
        <w:ind w:left="283" w:right="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43"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 the principal market for the asset or liability, or</w:t>
      </w:r>
    </w:p>
    <w:p>
      <w:pPr>
        <w:spacing w:after="0" w:line="25"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 the absence of a principal market, in the most advantageous market for the asset or liability.</w:t>
      </w:r>
    </w:p>
    <w:p>
      <w:pPr>
        <w:spacing w:after="0" w:line="186"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or the most advantageous market must be accessible by the Group. Also, the fair value of a liability reflects its non-performance risk.</w:t>
      </w:r>
    </w:p>
    <w:p>
      <w:pPr>
        <w:spacing w:after="0" w:line="202" w:lineRule="exact"/>
        <w:rPr>
          <w:rFonts w:ascii="Times New Roman" w:cs="Times New Roman" w:eastAsia="Times New Roman" w:hAnsi="Times New Roman"/>
          <w:sz w:val="16"/>
          <w:szCs w:val="16"/>
          <w:color w:val="auto"/>
        </w:rPr>
      </w:pPr>
    </w:p>
    <w:p>
      <w:pPr>
        <w:ind w:left="283" w:right="6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available, the Group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43" w:lineRule="exact"/>
        <w:rPr>
          <w:rFonts w:ascii="Times New Roman" w:cs="Times New Roman" w:eastAsia="Times New Roman" w:hAnsi="Times New Roman"/>
          <w:sz w:val="16"/>
          <w:szCs w:val="16"/>
          <w:color w:val="auto"/>
        </w:rPr>
      </w:pPr>
    </w:p>
    <w:p>
      <w:pPr>
        <w:ind w:left="283" w:right="5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quoted price in an active market, then the Group uses valuation techniques that maximize the use of relevant observable inputs and minimize the use of unobservable inputs.</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44" w:name="page45"/>
    <w:bookmarkEnd w:id="44"/>
    <w:p>
      <w:pPr>
        <w:ind w:left="280"/>
        <w:spacing w:after="0"/>
        <w:rPr>
          <w:sz w:val="20"/>
          <w:szCs w:val="20"/>
          <w:color w:val="auto"/>
        </w:rPr>
      </w:pPr>
      <w:r>
        <w:rPr>
          <w:rFonts w:ascii="Times New Roman" w:cs="Times New Roman" w:eastAsia="Times New Roman" w:hAnsi="Times New Roman"/>
          <w:sz w:val="16"/>
          <w:szCs w:val="16"/>
          <w:color w:val="auto"/>
        </w:rPr>
        <w:t>The chosen valuation technique incorporates all of the factors that market participants would take into account in pricing a transaction.</w:t>
      </w:r>
    </w:p>
    <w:p>
      <w:pPr>
        <w:spacing w:after="0" w:line="203" w:lineRule="exact"/>
        <w:rPr>
          <w:sz w:val="20"/>
          <w:szCs w:val="20"/>
          <w:color w:val="auto"/>
        </w:rPr>
      </w:pPr>
    </w:p>
    <w:p>
      <w:pPr>
        <w:ind w:left="280" w:right="240"/>
        <w:spacing w:after="0" w:line="285" w:lineRule="auto"/>
        <w:rPr>
          <w:sz w:val="20"/>
          <w:szCs w:val="20"/>
          <w:color w:val="auto"/>
        </w:rPr>
      </w:pPr>
      <w:r>
        <w:rPr>
          <w:rFonts w:ascii="Times New Roman" w:cs="Times New Roman" w:eastAsia="Times New Roman" w:hAnsi="Times New Roman"/>
          <w:sz w:val="16"/>
          <w:szCs w:val="16"/>
          <w:color w:val="auto"/>
        </w:rPr>
        <w:t>All assets and liabilities for which fair value is measured or disclosed in the consolidated financial statements are categorized within the fair value hierarchy, described as follows, based on the lowest level of input that is significant to the fair value measurement as a whole:</w:t>
      </w:r>
    </w:p>
    <w:p>
      <w:pPr>
        <w:spacing w:after="0" w:line="143" w:lineRule="exact"/>
        <w:rPr>
          <w:sz w:val="20"/>
          <w:szCs w:val="20"/>
          <w:color w:val="auto"/>
        </w:rPr>
      </w:pPr>
    </w:p>
    <w:p>
      <w:pPr>
        <w:ind w:left="580" w:hanging="293"/>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Quoted (unadjusted) market prices in active markets for identical assets or liabilities.</w:t>
      </w:r>
    </w:p>
    <w:p>
      <w:pPr>
        <w:spacing w:after="0" w:line="25"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Valuation techniques for which the lowest level input that is significant to the fair value measurement is directly or indirectly observable.</w:t>
      </w:r>
    </w:p>
    <w:p>
      <w:pPr>
        <w:spacing w:after="0" w:line="9"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Valuation techniques for which the lowest level input that is significant to the fair value measurement is unobservable.</w:t>
      </w:r>
    </w:p>
    <w:p>
      <w:pPr>
        <w:spacing w:after="0" w:line="187" w:lineRule="exact"/>
        <w:rPr>
          <w:sz w:val="20"/>
          <w:szCs w:val="20"/>
          <w:color w:val="auto"/>
        </w:rPr>
      </w:pPr>
    </w:p>
    <w:p>
      <w:pPr>
        <w:jc w:val="both"/>
        <w:ind w:left="280" w:right="60"/>
        <w:spacing w:after="0" w:line="285" w:lineRule="auto"/>
        <w:rPr>
          <w:sz w:val="20"/>
          <w:szCs w:val="20"/>
          <w:color w:val="auto"/>
        </w:rPr>
      </w:pPr>
      <w:r>
        <w:rPr>
          <w:rFonts w:ascii="Times New Roman" w:cs="Times New Roman" w:eastAsia="Times New Roman" w:hAnsi="Times New Roman"/>
          <w:sz w:val="16"/>
          <w:szCs w:val="16"/>
          <w:color w:val="auto"/>
        </w:rPr>
        <w:t>For assets and liabilities that are recognized at fair value in the consolidated financial statements on a recurring basis, the Group determines whether transfers have occurred between levels in the hierarchy by re-assessing categorization at the end of each reporting period.</w:t>
      </w:r>
    </w:p>
    <w:p>
      <w:pPr>
        <w:spacing w:after="0" w:line="143" w:lineRule="exact"/>
        <w:rPr>
          <w:sz w:val="20"/>
          <w:szCs w:val="20"/>
          <w:color w:val="auto"/>
        </w:rPr>
      </w:pPr>
    </w:p>
    <w:p>
      <w:pPr>
        <w:jc w:val="both"/>
        <w:ind w:left="280" w:right="60"/>
        <w:spacing w:after="0" w:line="285" w:lineRule="auto"/>
        <w:rPr>
          <w:sz w:val="20"/>
          <w:szCs w:val="20"/>
          <w:color w:val="auto"/>
        </w:rPr>
      </w:pPr>
      <w:r>
        <w:rPr>
          <w:rFonts w:ascii="Times New Roman" w:cs="Times New Roman" w:eastAsia="Times New Roman" w:hAnsi="Times New Roman"/>
          <w:sz w:val="16"/>
          <w:szCs w:val="16"/>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Also, fair values of financial instruments measured at amortized cost are disclosed in note 34.7(b).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 Segment reporting -</w:t>
      </w:r>
    </w:p>
    <w:p>
      <w:pPr>
        <w:spacing w:after="0" w:line="203" w:lineRule="exact"/>
        <w:rPr>
          <w:sz w:val="20"/>
          <w:szCs w:val="20"/>
          <w:color w:val="auto"/>
        </w:rPr>
      </w:pPr>
    </w:p>
    <w:p>
      <w:pPr>
        <w:jc w:val="both"/>
        <w:ind w:left="280" w:right="60"/>
        <w:spacing w:after="0" w:line="263" w:lineRule="auto"/>
        <w:rPr>
          <w:sz w:val="20"/>
          <w:szCs w:val="20"/>
          <w:color w:val="auto"/>
        </w:rPr>
      </w:pPr>
      <w:r>
        <w:rPr>
          <w:rFonts w:ascii="Times New Roman" w:cs="Times New Roman" w:eastAsia="Times New Roman" w:hAnsi="Times New Roman"/>
          <w:sz w:val="16"/>
          <w:szCs w:val="16"/>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 performance and deciding how to allocate resources to segments, note 30.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 Fiduciary activities, management of funds and pension funds -</w:t>
      </w:r>
    </w:p>
    <w:p>
      <w:pPr>
        <w:spacing w:after="0" w:line="203" w:lineRule="exact"/>
        <w:rPr>
          <w:sz w:val="20"/>
          <w:szCs w:val="20"/>
          <w:color w:val="auto"/>
        </w:rPr>
      </w:pPr>
    </w:p>
    <w:p>
      <w:pPr>
        <w:ind w:left="280" w:right="420"/>
        <w:spacing w:after="0" w:line="285" w:lineRule="auto"/>
        <w:rPr>
          <w:sz w:val="20"/>
          <w:szCs w:val="20"/>
          <w:color w:val="auto"/>
        </w:rPr>
      </w:pPr>
      <w:r>
        <w:rPr>
          <w:rFonts w:ascii="Times New Roman" w:cs="Times New Roman" w:eastAsia="Times New Roman" w:hAnsi="Times New Roman"/>
          <w:sz w:val="16"/>
          <w:szCs w:val="16"/>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34.8.</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Commissions generated for these activities are included in “Other income” of the consolidated statement of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 Cash and cash equivalents -</w:t>
      </w:r>
    </w:p>
    <w:p>
      <w:pPr>
        <w:spacing w:after="0" w:line="203" w:lineRule="exact"/>
        <w:rPr>
          <w:sz w:val="20"/>
          <w:szCs w:val="20"/>
          <w:color w:val="auto"/>
        </w:rPr>
      </w:pPr>
    </w:p>
    <w:p>
      <w:pPr>
        <w:ind w:left="280" w:right="140"/>
        <w:spacing w:after="0" w:line="285" w:lineRule="auto"/>
        <w:rPr>
          <w:sz w:val="20"/>
          <w:szCs w:val="20"/>
          <w:color w:val="auto"/>
        </w:rPr>
      </w:pPr>
      <w:r>
        <w:rPr>
          <w:rFonts w:ascii="Times New Roman" w:cs="Times New Roman" w:eastAsia="Times New Roman" w:hAnsi="Times New Roman"/>
          <w:sz w:val="16"/>
          <w:szCs w:val="16"/>
          <w:color w:val="auto"/>
        </w:rPr>
        <w:t>For the purpose of the consolidated statement of cash flows, cash and cash equivalents comprise balances of cash and non-restricted balances with central banks, overnight deposits, time deposits and amounts due from banks with maturities of three months or less, excluding restricted balances see note 4.</w:t>
      </w:r>
    </w:p>
    <w:p>
      <w:pPr>
        <w:spacing w:after="0" w:line="143" w:lineRule="exact"/>
        <w:rPr>
          <w:sz w:val="20"/>
          <w:szCs w:val="20"/>
          <w:color w:val="auto"/>
        </w:rPr>
      </w:pPr>
    </w:p>
    <w:p>
      <w:pPr>
        <w:ind w:left="280" w:right="260"/>
        <w:spacing w:after="0" w:line="285" w:lineRule="auto"/>
        <w:rPr>
          <w:sz w:val="20"/>
          <w:szCs w:val="20"/>
          <w:color w:val="auto"/>
        </w:rPr>
      </w:pPr>
      <w:r>
        <w:rPr>
          <w:rFonts w:ascii="Times New Roman" w:cs="Times New Roman" w:eastAsia="Times New Roman" w:hAnsi="Times New Roman"/>
          <w:sz w:val="16"/>
          <w:szCs w:val="16"/>
          <w:color w:val="auto"/>
        </w:rPr>
        <w:t>Cash collateral pledged as a part of a repurchase agreement is presented in “Cash collateral, reverse repurchase agreement and securities borrowings” in the consolidated statement of financial position, see note 5(a).</w:t>
      </w:r>
    </w:p>
    <w:p>
      <w:pPr>
        <w:spacing w:after="0" w:line="143" w:lineRule="exact"/>
        <w:rPr>
          <w:sz w:val="20"/>
          <w:szCs w:val="20"/>
          <w:color w:val="auto"/>
        </w:rPr>
      </w:pPr>
    </w:p>
    <w:p>
      <w:pPr>
        <w:ind w:left="280"/>
        <w:spacing w:after="0" w:line="285" w:lineRule="auto"/>
        <w:rPr>
          <w:sz w:val="20"/>
          <w:szCs w:val="20"/>
          <w:color w:val="auto"/>
        </w:rPr>
      </w:pPr>
      <w:r>
        <w:rPr>
          <w:rFonts w:ascii="Times New Roman" w:cs="Times New Roman" w:eastAsia="Times New Roman" w:hAnsi="Times New Roman"/>
          <w:sz w:val="16"/>
          <w:szCs w:val="16"/>
          <w:color w:val="auto"/>
        </w:rPr>
        <w:t>Cash collateral pledged in the negotiation of derivative financial instrument and others are presented in “Other assets” in the consolidated statement of financial position, see note 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ae) International Financial Reporting Standards issued but not yet effective -</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Group decided not to early adopt the following standards and interpretations that were issued but are not effective as of December 31, 2016:</w:t>
      </w:r>
    </w:p>
    <w:p>
      <w:pPr>
        <w:spacing w:after="0" w:line="203" w:lineRule="exact"/>
        <w:rPr>
          <w:sz w:val="20"/>
          <w:szCs w:val="20"/>
          <w:color w:val="auto"/>
        </w:rPr>
      </w:pPr>
    </w:p>
    <w:p>
      <w:pPr>
        <w:ind w:left="680" w:hanging="393"/>
        <w:spacing w:after="0"/>
        <w:tabs>
          <w:tab w:leader="none" w:pos="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9 “Financial Instruments” -</w:t>
      </w:r>
    </w:p>
    <w:p>
      <w:pPr>
        <w:spacing w:after="0" w:line="202" w:lineRule="exact"/>
        <w:rPr>
          <w:rFonts w:ascii="Times New Roman" w:cs="Times New Roman" w:eastAsia="Times New Roman" w:hAnsi="Times New Roman"/>
          <w:sz w:val="16"/>
          <w:szCs w:val="16"/>
          <w:color w:val="auto"/>
        </w:rPr>
      </w:pPr>
    </w:p>
    <w:p>
      <w:pPr>
        <w:ind w:left="680" w:right="1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9 replaces the models of IAS 39 “Financial instruments: Measurement and Recognition” with a single model which initially has two classification categories: Amortized cost and fair value.</w:t>
      </w:r>
    </w:p>
    <w:p>
      <w:pPr>
        <w:spacing w:after="0" w:line="143" w:lineRule="exact"/>
        <w:rPr>
          <w:rFonts w:ascii="Times New Roman" w:cs="Times New Roman" w:eastAsia="Times New Roman" w:hAnsi="Times New Roman"/>
          <w:sz w:val="16"/>
          <w:szCs w:val="16"/>
          <w:color w:val="auto"/>
        </w:rPr>
      </w:pPr>
    </w:p>
    <w:p>
      <w:pPr>
        <w:ind w:left="6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classification of debt assets will be based on the business model which the entity uses to manage its financial assets and the characteristics of the contractual cash flows of the financial assets. A debt instrument is measured at amortized cost if: a) the objective of the business model is to maintain the financial asset for the collection of contractual cash flows, and b) the contractual cash flows of the instrument only represent payments of debt principal and interest.</w:t>
      </w:r>
    </w:p>
    <w:p>
      <w:pPr>
        <w:spacing w:after="0" w:line="157" w:lineRule="exact"/>
        <w:rPr>
          <w:rFonts w:ascii="Times New Roman" w:cs="Times New Roman" w:eastAsia="Times New Roman" w:hAnsi="Times New Roman"/>
          <w:sz w:val="16"/>
          <w:szCs w:val="16"/>
          <w:color w:val="auto"/>
        </w:rPr>
      </w:pPr>
    </w:p>
    <w:p>
      <w:pPr>
        <w:ind w:left="680" w:right="4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debt and equity instruments, including investments in complex debt and capital instruments, must be recognized at fair value through profit or loss or comprehensive income.</w:t>
      </w:r>
    </w:p>
    <w:p>
      <w:pPr>
        <w:spacing w:after="0" w:line="143"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hedge accounting rules align hedge accounting with common risk management practices. As a general rule, it will be easier to apply hedge accounting.</w:t>
      </w:r>
    </w:p>
    <w:p>
      <w:pPr>
        <w:spacing w:after="0" w:line="202" w:lineRule="exact"/>
        <w:rPr>
          <w:rFonts w:ascii="Times New Roman" w:cs="Times New Roman" w:eastAsia="Times New Roman" w:hAnsi="Times New Roman"/>
          <w:sz w:val="16"/>
          <w:szCs w:val="16"/>
          <w:color w:val="auto"/>
        </w:rPr>
      </w:pPr>
    </w:p>
    <w:p>
      <w:pPr>
        <w:jc w:val="both"/>
        <w:ind w:left="680" w:right="3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Moreover, it modifies the criteria for the recognition of losses for impairment of financial assets, proposing a focus based on a model which seeks to estimate the ‘expected loss’ of the credit portfolio and othe debt instruments, which will replace the current model of IAS 39, which estimates the provision for impairment of financial assets on the basis of the concept of ‘incurred losses’.</w:t>
      </w:r>
    </w:p>
    <w:p>
      <w:pPr>
        <w:spacing w:after="0" w:line="157"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9 is effective for accounting periods beginning on or after 1 January 2018. Early adoption is permitted.</w:t>
      </w:r>
    </w:p>
    <w:p>
      <w:pPr>
        <w:spacing w:after="0" w:line="202" w:lineRule="exact"/>
        <w:rPr>
          <w:rFonts w:ascii="Times New Roman" w:cs="Times New Roman" w:eastAsia="Times New Roman" w:hAnsi="Times New Roman"/>
          <w:sz w:val="16"/>
          <w:szCs w:val="16"/>
          <w:color w:val="auto"/>
        </w:rPr>
      </w:pPr>
    </w:p>
    <w:p>
      <w:pPr>
        <w:ind w:left="680" w:right="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Management has carried out a diagnosis regarding the new requirements of IFRS 9, concluding that: (i) the changes presented by IFRS 9 will not have a material impact on the criteria of classification and measurement of financial assets and liabilities currently applied, nor on hedge accounting, and (ii) the new model of recognition of impairment losses could result in early recognition of losses in the credit portfolio.</w:t>
      </w:r>
    </w:p>
    <w:p>
      <w:pPr>
        <w:spacing w:after="0" w:line="157" w:lineRule="exact"/>
        <w:rPr>
          <w:rFonts w:ascii="Times New Roman" w:cs="Times New Roman" w:eastAsia="Times New Roman" w:hAnsi="Times New Roman"/>
          <w:sz w:val="16"/>
          <w:szCs w:val="16"/>
          <w:color w:val="auto"/>
        </w:rPr>
      </w:pPr>
    </w:p>
    <w:p>
      <w:pPr>
        <w:ind w:left="680" w:right="7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diagnosis performed, the Group established a work plan for each of the subjects of the new rule, and at the date of this report, it is in the implementation stage of: (i) the business models, (ii) the models for the calculation of impairment, and (iii) the processes required for hedge accounting.</w:t>
      </w:r>
    </w:p>
    <w:p>
      <w:pPr>
        <w:spacing w:after="0" w:line="143" w:lineRule="exact"/>
        <w:rPr>
          <w:rFonts w:ascii="Times New Roman" w:cs="Times New Roman" w:eastAsia="Times New Roman" w:hAnsi="Times New Roman"/>
          <w:sz w:val="16"/>
          <w:szCs w:val="16"/>
          <w:color w:val="auto"/>
        </w:rPr>
      </w:pPr>
    </w:p>
    <w:p>
      <w:pPr>
        <w:ind w:left="680" w:right="1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diagnosis carried out, the Group established a work plan for each of the aspects of the norm, and at the date of this report, it was in the implementation stage of: (i) the process models for the classification of business portfolios, (ii) the models for the calculation of impairment, and (iii) the processes required for hedge accounting (iv) the governance and adaptation to SOX standards of the processes linked to the norm and (v) the required technical support.</w:t>
      </w:r>
    </w:p>
    <w:p>
      <w:pPr>
        <w:spacing w:after="0" w:line="157" w:lineRule="exact"/>
        <w:rPr>
          <w:rFonts w:ascii="Times New Roman" w:cs="Times New Roman" w:eastAsia="Times New Roman" w:hAnsi="Times New Roman"/>
          <w:sz w:val="16"/>
          <w:szCs w:val="16"/>
          <w:color w:val="auto"/>
        </w:rPr>
      </w:pPr>
    </w:p>
    <w:p>
      <w:pPr>
        <w:ind w:left="680" w:right="4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of the work plan has included staff from different units of Credicorp (mainly Accounting, Risks and Information Technology) and also expert consultants who are advising us on the development of matters relevant to the norm. The plan prioritizes the most relevant expposures in order to achieve an approximate estimate of the impairment loss in adance of the completion of the Project, which will help us to plan better the impact on capital.</w:t>
      </w:r>
    </w:p>
    <w:p>
      <w:pPr>
        <w:spacing w:after="0" w:line="350" w:lineRule="exact"/>
        <w:rPr>
          <w:rFonts w:ascii="Times New Roman" w:cs="Times New Roman" w:eastAsia="Times New Roman" w:hAnsi="Times New Roman"/>
          <w:sz w:val="16"/>
          <w:szCs w:val="16"/>
          <w:color w:val="auto"/>
        </w:rPr>
      </w:pPr>
    </w:p>
    <w:p>
      <w:pPr>
        <w:ind w:left="5640" w:hanging="94"/>
        <w:spacing w:after="0"/>
        <w:tabs>
          <w:tab w:leader="none" w:pos="564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46" w:name="page47"/>
    <w:bookmarkEnd w:id="46"/>
    <w:p>
      <w:pPr>
        <w:ind w:left="393" w:right="20"/>
        <w:spacing w:after="0" w:line="263" w:lineRule="auto"/>
        <w:rPr>
          <w:sz w:val="20"/>
          <w:szCs w:val="20"/>
          <w:color w:val="auto"/>
        </w:rPr>
      </w:pPr>
      <w:r>
        <w:rPr>
          <w:rFonts w:ascii="Times New Roman" w:cs="Times New Roman" w:eastAsia="Times New Roman" w:hAnsi="Times New Roman"/>
          <w:sz w:val="16"/>
          <w:szCs w:val="16"/>
          <w:color w:val="auto"/>
        </w:rPr>
        <w:t>Specifically, on the impairment front, for the estimation of the loss parameters (PD, LGD and EAD) we have taken as a base the models of admission and behavior used in credit risk management of wholesale and retail banking, as well as the standard methodologies of the industry. For the classification of the exposures which will form part of stage 2, objective criteria have been developed to determine whether there is a significant increase in risk through the calculation of PD for the whole life of the credit in origination and the reference date. However, other management criteria are also considered, such as days in arrears or belonging to watchlists.</w:t>
      </w:r>
    </w:p>
    <w:p>
      <w:pPr>
        <w:spacing w:after="0" w:line="161" w:lineRule="exact"/>
        <w:rPr>
          <w:sz w:val="20"/>
          <w:szCs w:val="20"/>
          <w:color w:val="auto"/>
        </w:rPr>
      </w:pPr>
    </w:p>
    <w:p>
      <w:pPr>
        <w:ind w:left="393" w:hanging="393"/>
        <w:spacing w:after="0"/>
        <w:tabs>
          <w:tab w:leader="none" w:pos="39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15 “Revenue from contracts with customer” -</w:t>
      </w:r>
    </w:p>
    <w:p>
      <w:pPr>
        <w:spacing w:after="0" w:line="202" w:lineRule="exact"/>
        <w:rPr>
          <w:rFonts w:ascii="Times New Roman" w:cs="Times New Roman" w:eastAsia="Times New Roman" w:hAnsi="Times New Roman"/>
          <w:sz w:val="16"/>
          <w:szCs w:val="16"/>
          <w:color w:val="auto"/>
        </w:rPr>
      </w:pPr>
    </w:p>
    <w:p>
      <w:pPr>
        <w:ind w:left="393" w:right="1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standard will replace IAS 18 “Revenue”, and IAS 11 “Construction Contracts”. The new standard is based on the principle that revenue is recognized when the control of a good or service is transferred to a client, so that the notion of control replaces the existing notion of risks and benefits.</w:t>
      </w:r>
    </w:p>
    <w:p>
      <w:pPr>
        <w:spacing w:after="0" w:line="143" w:lineRule="exact"/>
        <w:rPr>
          <w:rFonts w:ascii="Times New Roman" w:cs="Times New Roman" w:eastAsia="Times New Roman" w:hAnsi="Times New Roman"/>
          <w:sz w:val="16"/>
          <w:szCs w:val="16"/>
          <w:color w:val="auto"/>
        </w:rPr>
      </w:pPr>
    </w:p>
    <w:p>
      <w:pPr>
        <w:ind w:left="3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five-step process must be applied before revenue can be recognized:</w:t>
      </w:r>
    </w:p>
    <w:p>
      <w:pPr>
        <w:spacing w:after="0" w:line="202"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contracts with clients.</w:t>
      </w:r>
    </w:p>
    <w:p>
      <w:pPr>
        <w:spacing w:after="0" w:line="25"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separate performance obligation.</w:t>
      </w:r>
    </w:p>
    <w:p>
      <w:pPr>
        <w:spacing w:after="0" w:line="9"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price of the contractual transaction.</w:t>
      </w:r>
    </w:p>
    <w:p>
      <w:pPr>
        <w:spacing w:after="0" w:line="9"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 the price of the transaction to each of the separate performance obligations, and</w:t>
      </w:r>
    </w:p>
    <w:p>
      <w:pPr>
        <w:spacing w:after="0" w:line="9"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the revenue as each performance obligation is complied with.</w:t>
      </w:r>
    </w:p>
    <w:p>
      <w:pPr>
        <w:spacing w:after="0" w:line="187" w:lineRule="exact"/>
        <w:rPr>
          <w:sz w:val="20"/>
          <w:szCs w:val="20"/>
          <w:color w:val="auto"/>
        </w:rPr>
      </w:pPr>
    </w:p>
    <w:p>
      <w:pPr>
        <w:ind w:left="393" w:right="340"/>
        <w:spacing w:after="0" w:line="285" w:lineRule="auto"/>
        <w:rPr>
          <w:sz w:val="20"/>
          <w:szCs w:val="20"/>
          <w:color w:val="auto"/>
        </w:rPr>
      </w:pPr>
      <w:r>
        <w:rPr>
          <w:rFonts w:ascii="Times New Roman" w:cs="Times New Roman" w:eastAsia="Times New Roman" w:hAnsi="Times New Roman"/>
          <w:sz w:val="16"/>
          <w:szCs w:val="16"/>
          <w:color w:val="auto"/>
        </w:rPr>
        <w:t>At the date of the financial statements, the Company is not in a position to estimate the effect that IFRS 15 could have on its financial statements. The Group will carry out a more detailed evaluation of these impacts in the course of the next twelve months.</w:t>
      </w:r>
    </w:p>
    <w:p>
      <w:pPr>
        <w:spacing w:after="0" w:line="143" w:lineRule="exact"/>
        <w:rPr>
          <w:sz w:val="20"/>
          <w:szCs w:val="20"/>
          <w:color w:val="auto"/>
        </w:rPr>
      </w:pPr>
    </w:p>
    <w:p>
      <w:pPr>
        <w:ind w:left="393"/>
        <w:spacing w:after="0"/>
        <w:rPr>
          <w:sz w:val="20"/>
          <w:szCs w:val="20"/>
          <w:color w:val="auto"/>
        </w:rPr>
      </w:pPr>
      <w:r>
        <w:rPr>
          <w:rFonts w:ascii="Times New Roman" w:cs="Times New Roman" w:eastAsia="Times New Roman" w:hAnsi="Times New Roman"/>
          <w:sz w:val="16"/>
          <w:szCs w:val="16"/>
          <w:color w:val="auto"/>
        </w:rPr>
        <w:t>IFRS 15 is effective for annual periods beginning on or after January 1, 2018, with early adoption permitted.</w:t>
      </w:r>
    </w:p>
    <w:p>
      <w:pPr>
        <w:spacing w:after="0" w:line="203" w:lineRule="exact"/>
        <w:rPr>
          <w:sz w:val="20"/>
          <w:szCs w:val="20"/>
          <w:color w:val="auto"/>
        </w:rPr>
      </w:pPr>
    </w:p>
    <w:p>
      <w:pPr>
        <w:ind w:left="393" w:hanging="393"/>
        <w:spacing w:after="0"/>
        <w:tabs>
          <w:tab w:leader="none" w:pos="39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16, “Leases” -</w:t>
      </w:r>
    </w:p>
    <w:p>
      <w:pPr>
        <w:spacing w:after="0" w:line="202" w:lineRule="exact"/>
        <w:rPr>
          <w:rFonts w:ascii="Times New Roman" w:cs="Times New Roman" w:eastAsia="Times New Roman" w:hAnsi="Times New Roman"/>
          <w:sz w:val="16"/>
          <w:szCs w:val="16"/>
          <w:color w:val="auto"/>
        </w:rPr>
      </w:pPr>
    </w:p>
    <w:p>
      <w:pPr>
        <w:ind w:left="393"/>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IFRS 16, ‘Leases’ replaces the current standards related to the treatment of leases (IAS 17, ‘Leases’ and IFRIC 4, ‘Determining whether an arrangement contains a lease” and other related interpretations). IFRS 16 will mainly affect the accounting treatment for lessees, and will result in the recognition of almost all leases in the statement of financial position. The standard eliminates the current distinction between finance and operating leases, and requires the recognition of an asset (right to use the leased asset) and a financial liability to make the lease payments of practically all of the lease contracts. There is an optional exception for low value, short term leases. As a result of the new model, an entity will recognize in its balance sheet at the inception of the lease, an asset for the right of use of the leased asset and a liability for the obligations to make future contractual payments. At initial recognition, the asset and liability will be measured at the present value of the minimum lease payments under contract.</w:t>
      </w:r>
    </w:p>
    <w:p>
      <w:pPr>
        <w:spacing w:after="0" w:line="168" w:lineRule="exact"/>
        <w:rPr>
          <w:rFonts w:ascii="Times New Roman" w:cs="Times New Roman" w:eastAsia="Times New Roman" w:hAnsi="Times New Roman"/>
          <w:sz w:val="16"/>
          <w:szCs w:val="16"/>
          <w:color w:val="auto"/>
        </w:rPr>
      </w:pPr>
    </w:p>
    <w:p>
      <w:pPr>
        <w:ind w:left="393" w:right="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date of the financial Statements, the Group has made an initial diagnosis and concludes that the application of this standard will have no material effects on the financial statements.</w:t>
      </w:r>
    </w:p>
    <w:p>
      <w:pPr>
        <w:spacing w:after="0" w:line="143" w:lineRule="exact"/>
        <w:rPr>
          <w:rFonts w:ascii="Times New Roman" w:cs="Times New Roman" w:eastAsia="Times New Roman" w:hAnsi="Times New Roman"/>
          <w:sz w:val="16"/>
          <w:szCs w:val="16"/>
          <w:color w:val="auto"/>
        </w:rPr>
      </w:pPr>
    </w:p>
    <w:p>
      <w:pPr>
        <w:ind w:left="393" w:right="2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16 applies to annual periods beginning on or after January 1, 2019, with earlier application permitted if IFRS 15, Revenue from Contracts with Customers, is also early applied.</w:t>
      </w:r>
    </w:p>
    <w:p>
      <w:pPr>
        <w:spacing w:after="0" w:line="336"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4" w:right="239" w:bottom="1440" w:gutter="0" w:footer="0" w:header="0"/>
        </w:sectPr>
      </w:pPr>
    </w:p>
    <w:bookmarkStart w:id="47" w:name="page48"/>
    <w:bookmarkEnd w:id="47"/>
    <w:p>
      <w:pPr>
        <w:ind w:left="393" w:hanging="393"/>
        <w:spacing w:after="0"/>
        <w:tabs>
          <w:tab w:leader="none" w:pos="39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IAS 12 “Income Taxes”: Recognition of the deferred income tax asset for unrealized losses.</w:t>
      </w:r>
    </w:p>
    <w:p>
      <w:pPr>
        <w:spacing w:after="0" w:line="202" w:lineRule="exact"/>
        <w:rPr>
          <w:rFonts w:ascii="Times New Roman" w:cs="Times New Roman" w:eastAsia="Times New Roman" w:hAnsi="Times New Roman"/>
          <w:sz w:val="16"/>
          <w:szCs w:val="16"/>
          <w:color w:val="auto"/>
        </w:rPr>
      </w:pPr>
    </w:p>
    <w:p>
      <w:pPr>
        <w:ind w:left="393" w:right="3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amendments clarify the accounting treatment of deferred taxes when an asset is measured at fair value and when said fair value is less than the tax base of the asset. The amendments specifically confirm that:</w:t>
      </w:r>
    </w:p>
    <w:p>
      <w:pPr>
        <w:spacing w:after="0" w:line="143"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temporary difference exists when the carrying amount of an asset is less than its tax base at the end of the information presentation period.</w:t>
      </w:r>
    </w:p>
    <w:p>
      <w:pPr>
        <w:spacing w:after="0" w:line="25" w:lineRule="exact"/>
        <w:rPr>
          <w:rFonts w:ascii="Times New Roman" w:cs="Times New Roman" w:eastAsia="Times New Roman" w:hAnsi="Times New Roman"/>
          <w:sz w:val="16"/>
          <w:szCs w:val="16"/>
          <w:color w:val="auto"/>
        </w:rPr>
      </w:pPr>
    </w:p>
    <w:p>
      <w:pPr>
        <w:ind w:left="673" w:hanging="286"/>
        <w:spacing w:after="0"/>
        <w:tabs>
          <w:tab w:leader="none" w:pos="67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entity may assume that it will recover an amount greater than the carrying amount of an asset when estimating the future taxable profit that it will obtain.</w:t>
      </w:r>
    </w:p>
    <w:p>
      <w:pPr>
        <w:spacing w:after="0" w:line="9" w:lineRule="exact"/>
        <w:rPr>
          <w:rFonts w:ascii="Times New Roman" w:cs="Times New Roman" w:eastAsia="Times New Roman" w:hAnsi="Times New Roman"/>
          <w:sz w:val="16"/>
          <w:szCs w:val="16"/>
          <w:color w:val="auto"/>
        </w:rPr>
      </w:pPr>
    </w:p>
    <w:p>
      <w:pPr>
        <w:ind w:left="673" w:right="180" w:hanging="286"/>
        <w:spacing w:after="0" w:line="252" w:lineRule="auto"/>
        <w:tabs>
          <w:tab w:leader="none" w:pos="67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tax law restricts the source of taxable profits against which the particular types of deferred tax assets may be recovered, the recoverability of the deferred tax assets can only be evaluated together with other deferred tax assets of the same type.</w:t>
      </w:r>
    </w:p>
    <w:p>
      <w:pPr>
        <w:ind w:left="673" w:right="220" w:hanging="286"/>
        <w:spacing w:after="0" w:line="264" w:lineRule="auto"/>
        <w:tabs>
          <w:tab w:leader="none" w:pos="67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deductions resulting from the reversal of deferred tax assets are excluded from the estimated future taxable profit used to evaluate the recoverability of said assets.</w:t>
      </w:r>
    </w:p>
    <w:p>
      <w:pPr>
        <w:spacing w:after="0" w:line="159" w:lineRule="exact"/>
        <w:rPr>
          <w:sz w:val="20"/>
          <w:szCs w:val="20"/>
          <w:color w:val="auto"/>
        </w:rPr>
      </w:pPr>
    </w:p>
    <w:p>
      <w:pPr>
        <w:ind w:left="393"/>
        <w:spacing w:after="0"/>
        <w:rPr>
          <w:sz w:val="20"/>
          <w:szCs w:val="20"/>
          <w:color w:val="auto"/>
        </w:rPr>
      </w:pPr>
      <w:r>
        <w:rPr>
          <w:rFonts w:ascii="Times New Roman" w:cs="Times New Roman" w:eastAsia="Times New Roman" w:hAnsi="Times New Roman"/>
          <w:sz w:val="16"/>
          <w:szCs w:val="16"/>
          <w:color w:val="auto"/>
        </w:rPr>
        <w:t>The amendment to IAS 12 applies to annual periods beginning on or after January 1, 2017.</w:t>
      </w:r>
    </w:p>
    <w:p>
      <w:pPr>
        <w:spacing w:after="0" w:line="203" w:lineRule="exact"/>
        <w:rPr>
          <w:sz w:val="20"/>
          <w:szCs w:val="20"/>
          <w:color w:val="auto"/>
        </w:rPr>
      </w:pPr>
    </w:p>
    <w:p>
      <w:pPr>
        <w:ind w:left="393" w:hanging="393"/>
        <w:spacing w:after="0"/>
        <w:tabs>
          <w:tab w:leader="none" w:pos="39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IAS 7 “Statement of Cash Flows”: Disclosure initiatives.</w:t>
      </w:r>
    </w:p>
    <w:p>
      <w:pPr>
        <w:spacing w:after="0" w:line="202" w:lineRule="exact"/>
        <w:rPr>
          <w:rFonts w:ascii="Times New Roman" w:cs="Times New Roman" w:eastAsia="Times New Roman" w:hAnsi="Times New Roman"/>
          <w:sz w:val="16"/>
          <w:szCs w:val="16"/>
          <w:color w:val="auto"/>
        </w:rPr>
      </w:pPr>
    </w:p>
    <w:p>
      <w:pPr>
        <w:ind w:left="393"/>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future, it will be necessary for entities to explain the changes in their liabilities arising from financial assets. This includes changes which arise from cash flows (that is, detractions and payments of borrowings) and non-monetary changes, like acquisitions, disposals, increase in interest and unrealized exchange rate differences.</w:t>
      </w:r>
    </w:p>
    <w:p>
      <w:pPr>
        <w:spacing w:after="0" w:line="143" w:lineRule="exact"/>
        <w:rPr>
          <w:rFonts w:ascii="Times New Roman" w:cs="Times New Roman" w:eastAsia="Times New Roman" w:hAnsi="Times New Roman"/>
          <w:sz w:val="16"/>
          <w:szCs w:val="16"/>
          <w:color w:val="auto"/>
        </w:rPr>
      </w:pPr>
    </w:p>
    <w:p>
      <w:pPr>
        <w:ind w:left="393"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assets must be included in this disclosure if they were included, or will be included in the cash flows of the financial activities. For example, this would be the case of assets which cover liabilities arising from financial liabilities.</w:t>
      </w:r>
    </w:p>
    <w:p>
      <w:pPr>
        <w:spacing w:after="0" w:line="143" w:lineRule="exact"/>
        <w:rPr>
          <w:rFonts w:ascii="Times New Roman" w:cs="Times New Roman" w:eastAsia="Times New Roman" w:hAnsi="Times New Roman"/>
          <w:sz w:val="16"/>
          <w:szCs w:val="16"/>
          <w:color w:val="auto"/>
        </w:rPr>
      </w:pPr>
    </w:p>
    <w:p>
      <w:pPr>
        <w:ind w:left="393" w:right="5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may possibly include changes in other items as part of this disclosure; for example: providing a reconciliation of “net debt”. However, in this case, the changes in the other items must be disclosed separately from the changes in liabilities arising from financial activities.</w:t>
      </w:r>
    </w:p>
    <w:p>
      <w:pPr>
        <w:spacing w:after="0" w:line="143" w:lineRule="exact"/>
        <w:rPr>
          <w:rFonts w:ascii="Times New Roman" w:cs="Times New Roman" w:eastAsia="Times New Roman" w:hAnsi="Times New Roman"/>
          <w:sz w:val="16"/>
          <w:szCs w:val="16"/>
          <w:color w:val="auto"/>
        </w:rPr>
      </w:pPr>
    </w:p>
    <w:p>
      <w:pPr>
        <w:ind w:left="393" w:right="780"/>
        <w:spacing w:after="0" w:line="5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may be disclosed in a tabular format as a reconciliation of the opening and closing balances, but no specific obligatory format is required. The amendment to IAS 7 applies to annual periods beginning on or after January 1, 2017.</w:t>
      </w:r>
    </w:p>
    <w:p>
      <w:pPr>
        <w:ind w:left="393" w:right="200" w:hanging="393"/>
        <w:spacing w:after="0" w:line="285" w:lineRule="auto"/>
        <w:tabs>
          <w:tab w:leader="none" w:pos="39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IFRS 10 “Consolidated financial statements” and IAS 28 “Investments in Associates and Joint Ventures”: Sale or contribution of assets between an investor and his associate or joint venture.</w:t>
      </w:r>
    </w:p>
    <w:p>
      <w:pPr>
        <w:spacing w:after="0" w:line="143" w:lineRule="exact"/>
        <w:rPr>
          <w:rFonts w:ascii="Times New Roman" w:cs="Times New Roman" w:eastAsia="Times New Roman" w:hAnsi="Times New Roman"/>
          <w:sz w:val="16"/>
          <w:szCs w:val="16"/>
          <w:color w:val="auto"/>
        </w:rPr>
      </w:pPr>
    </w:p>
    <w:p>
      <w:pPr>
        <w:ind w:left="393" w:right="3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amendments clarify the accounting treatment of the sales or contribution of assets between an investor and his associates or joint venture. These amendments confirm that the accounting treatment depends on whether the non-monetary assets sold or contributed to an associate or joint venture constitute “a business” (as defined in IFRS 3 “Business combinations”).</w:t>
      </w:r>
    </w:p>
    <w:p>
      <w:pPr>
        <w:spacing w:after="0" w:line="157" w:lineRule="exact"/>
        <w:rPr>
          <w:rFonts w:ascii="Times New Roman" w:cs="Times New Roman" w:eastAsia="Times New Roman" w:hAnsi="Times New Roman"/>
          <w:sz w:val="16"/>
          <w:szCs w:val="16"/>
          <w:color w:val="auto"/>
        </w:rPr>
      </w:pPr>
    </w:p>
    <w:p>
      <w:pPr>
        <w:ind w:left="393" w:right="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non-monetary assets constitute a business, the investor will recognize the total gain or loss on the sale or contribution of assets. If the assets do not comply with the definition of “business”, the investor will recognize the gain or loss only in proportion to the investor’s investment in the associate or joint venture. The amendments will apply prospectively.</w:t>
      </w:r>
    </w:p>
    <w:p>
      <w:pPr>
        <w:spacing w:after="0" w:line="350"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4" w:right="239" w:bottom="1440" w:gutter="0" w:footer="0" w:header="0"/>
        </w:sectPr>
      </w:pPr>
    </w:p>
    <w:bookmarkStart w:id="48" w:name="page49"/>
    <w:bookmarkEnd w:id="48"/>
    <w:p>
      <w:pPr>
        <w:ind w:left="683"/>
        <w:spacing w:after="0"/>
        <w:rPr>
          <w:sz w:val="20"/>
          <w:szCs w:val="20"/>
          <w:color w:val="auto"/>
        </w:rPr>
      </w:pPr>
      <w:r>
        <w:rPr>
          <w:rFonts w:ascii="Times New Roman" w:cs="Times New Roman" w:eastAsia="Times New Roman" w:hAnsi="Times New Roman"/>
          <w:sz w:val="16"/>
          <w:szCs w:val="16"/>
          <w:color w:val="auto"/>
        </w:rPr>
        <w:t>In December of 2016, the IASB decided to defer the application date of this amendment until it has completed its research project on the equity method.</w:t>
      </w:r>
    </w:p>
    <w:p>
      <w:pPr>
        <w:spacing w:after="0" w:line="203" w:lineRule="exact"/>
        <w:rPr>
          <w:sz w:val="20"/>
          <w:szCs w:val="20"/>
          <w:color w:val="auto"/>
        </w:rPr>
      </w:pPr>
    </w:p>
    <w:p>
      <w:pPr>
        <w:ind w:left="683" w:right="40"/>
        <w:spacing w:after="0" w:line="285" w:lineRule="auto"/>
        <w:rPr>
          <w:sz w:val="20"/>
          <w:szCs w:val="20"/>
          <w:color w:val="auto"/>
        </w:rPr>
      </w:pPr>
      <w:r>
        <w:rPr>
          <w:rFonts w:ascii="Times New Roman" w:cs="Times New Roman" w:eastAsia="Times New Roman" w:hAnsi="Times New Roman"/>
          <w:sz w:val="16"/>
          <w:szCs w:val="16"/>
          <w:color w:val="auto"/>
        </w:rPr>
        <w:t>There are no other standards or amendments to standards which have not yet become effective and are expected to have a significant impact on the Company, either in the current or future periods, as well as on expected future transactions.</w:t>
      </w:r>
    </w:p>
    <w:p>
      <w:pPr>
        <w:spacing w:after="0" w:line="141" w:lineRule="exact"/>
        <w:rPr>
          <w:sz w:val="20"/>
          <w:szCs w:val="20"/>
          <w:color w:val="auto"/>
        </w:rPr>
      </w:pPr>
    </w:p>
    <w:p>
      <w:pPr>
        <w:ind w:left="583" w:hanging="583"/>
        <w:spacing w:after="0"/>
        <w:tabs>
          <w:tab w:leader="none" w:pos="583"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205" w:lineRule="exact"/>
        <w:rPr>
          <w:sz w:val="20"/>
          <w:szCs w:val="20"/>
          <w:color w:val="auto"/>
        </w:rPr>
      </w:pPr>
    </w:p>
    <w:p>
      <w:pPr>
        <w:ind w:left="3" w:right="40"/>
        <w:spacing w:after="0" w:line="285" w:lineRule="auto"/>
        <w:rPr>
          <w:sz w:val="20"/>
          <w:szCs w:val="20"/>
          <w:color w:val="auto"/>
        </w:rPr>
      </w:pPr>
      <w:r>
        <w:rPr>
          <w:rFonts w:ascii="Times New Roman" w:cs="Times New Roman" w:eastAsia="Times New Roman" w:hAnsi="Times New Roman"/>
          <w:sz w:val="16"/>
          <w:szCs w:val="16"/>
          <w:color w:val="auto"/>
        </w:rPr>
        <w:t>Cash and cash equivalents shown in the consolidated statement of cash flows consist of "cash and deposits with banks" from the consolidated statement of financial position, which includes cash in hand, funds in the Peruvian Central Reserve Bank (hereinafter “BCRP”), time deposits with maturities of three months or less, excluding restricted funds.</w:t>
      </w:r>
    </w:p>
    <w:p>
      <w:pPr>
        <w:spacing w:after="0" w:line="15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9100" w:type="dxa"/>
            <w:vAlign w:val="bottom"/>
            <w:gridSpan w:val="3"/>
          </w:tcPr>
          <w:p>
            <w:pPr>
              <w:ind w:left="86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S/(000)</w:t>
            </w: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clearing (a)</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4,061,766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3,821,619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Deposits with Central Reserve Bank of Peru (a)</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8,642,656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13,953,839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 with local and foreign banks (b)</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3,778,238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4,085,960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Interbank funds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147,713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180,031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5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16,633,196</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22,044,868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funds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346,876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5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16,645,769</w:t>
            </w:r>
          </w:p>
        </w:tc>
        <w:tc>
          <w:tcPr>
            <w:tcW w:w="2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22,391,744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3" w:hanging="283"/>
        <w:spacing w:after="0"/>
        <w:tabs>
          <w:tab w:leader="none" w:pos="28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clearing and deposits with Peruvian Central Reserve Bank -</w:t>
      </w:r>
    </w:p>
    <w:p>
      <w:pPr>
        <w:spacing w:after="0" w:line="202" w:lineRule="exact"/>
        <w:rPr>
          <w:rFonts w:ascii="Times New Roman" w:cs="Times New Roman" w:eastAsia="Times New Roman" w:hAnsi="Times New Roman"/>
          <w:sz w:val="16"/>
          <w:szCs w:val="16"/>
          <w:color w:val="auto"/>
        </w:rPr>
      </w:pPr>
    </w:p>
    <w:p>
      <w:pPr>
        <w:ind w:left="283" w:right="1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accounts mainly include the mandatory reserve that Credicorp and Subsidiaries must keep to be able to honor their obligations with the public, which are within the limits established by current legislation. These reserves consist of the following:</w:t>
      </w:r>
    </w:p>
    <w:p>
      <w:pPr>
        <w:sectPr>
          <w:pgSz w:w="11900" w:h="16838" w:orient="portrait"/>
          <w:cols w:equalWidth="0" w:num="1">
            <w:col w:w="11443"/>
          </w:cols>
          <w:pgMar w:left="237" w:top="82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color w:val="auto"/>
        </w:rPr>
        <w:t>Mandatory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-104140</wp:posOffset>
            </wp:positionV>
            <wp:extent cx="6969125" cy="122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69125" cy="122555"/>
                    </a:xfrm>
                    <a:prstGeom prst="rect">
                      <a:avLst/>
                    </a:prstGeom>
                    <a:noFill/>
                  </pic:spPr>
                </pic:pic>
              </a:graphicData>
            </a:graphic>
          </wp:anchor>
        </w:drawing>
      </w:r>
    </w:p>
    <w:p>
      <w:pPr>
        <w:spacing w:after="0" w:line="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Deposits with Peruvian Central Reserve Bank</w:t>
      </w:r>
    </w:p>
    <w:p>
      <w:pPr>
        <w:spacing w:after="0" w:line="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in vaults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-116205</wp:posOffset>
            </wp:positionV>
            <wp:extent cx="6969125" cy="130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ind w:left="283"/>
        <w:spacing w:after="0"/>
        <w:rPr>
          <w:sz w:val="20"/>
          <w:szCs w:val="20"/>
          <w:color w:val="auto"/>
        </w:rPr>
      </w:pPr>
      <w:r>
        <w:rPr>
          <w:rFonts w:ascii="Times New Roman" w:cs="Times New Roman" w:eastAsia="Times New Roman" w:hAnsi="Times New Roman"/>
          <w:sz w:val="16"/>
          <w:szCs w:val="16"/>
          <w:b w:val="1"/>
          <w:bCs w:val="1"/>
          <w:color w:val="auto"/>
        </w:rPr>
        <w:t>Total mandatory reserves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204"/>
        </w:trPr>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r>
    </w:tbl>
    <w:p>
      <w:pPr>
        <w:spacing w:after="0" w:line="352" w:lineRule="exact"/>
        <w:rPr>
          <w:sz w:val="20"/>
          <w:szCs w:val="20"/>
          <w:color w:val="auto"/>
        </w:rPr>
      </w:pPr>
    </w:p>
    <w:p>
      <w:pPr>
        <w:jc w:val="both"/>
        <w:ind w:left="560"/>
        <w:spacing w:after="0"/>
        <w:tabs>
          <w:tab w:leader="none" w:pos="1860" w:val="left"/>
        </w:tabs>
        <w:rPr>
          <w:sz w:val="20"/>
          <w:szCs w:val="20"/>
          <w:color w:val="auto"/>
        </w:rPr>
      </w:pPr>
      <w:r>
        <w:rPr>
          <w:rFonts w:ascii="Times New Roman" w:cs="Times New Roman" w:eastAsia="Times New Roman" w:hAnsi="Times New Roman"/>
          <w:sz w:val="16"/>
          <w:szCs w:val="16"/>
          <w:color w:val="auto"/>
        </w:rPr>
        <w:t>8,625,876</w:t>
      </w:r>
      <w:r>
        <w:rPr>
          <w:sz w:val="20"/>
          <w:szCs w:val="20"/>
          <w:color w:val="auto"/>
        </w:rPr>
        <w:tab/>
      </w:r>
      <w:r>
        <w:rPr>
          <w:rFonts w:ascii="Times New Roman" w:cs="Times New Roman" w:eastAsia="Times New Roman" w:hAnsi="Times New Roman"/>
          <w:sz w:val="16"/>
          <w:szCs w:val="16"/>
          <w:color w:val="auto"/>
        </w:rPr>
        <w:t>12,783,866</w:t>
      </w:r>
    </w:p>
    <w:p>
      <w:pPr>
        <w:spacing w:after="0" w:line="26" w:lineRule="exact"/>
        <w:rPr>
          <w:sz w:val="20"/>
          <w:szCs w:val="20"/>
          <w:color w:val="auto"/>
        </w:rPr>
      </w:pPr>
    </w:p>
    <w:p>
      <w:pPr>
        <w:jc w:val="both"/>
        <w:ind w:left="560"/>
        <w:spacing w:after="0"/>
        <w:tabs>
          <w:tab w:leader="none" w:pos="1940" w:val="left"/>
        </w:tabs>
        <w:rPr>
          <w:sz w:val="20"/>
          <w:szCs w:val="20"/>
          <w:color w:val="auto"/>
        </w:rPr>
      </w:pPr>
      <w:r>
        <w:rPr>
          <w:rFonts w:ascii="Times New Roman" w:cs="Times New Roman" w:eastAsia="Times New Roman" w:hAnsi="Times New Roman"/>
          <w:sz w:val="16"/>
          <w:szCs w:val="16"/>
          <w:color w:val="auto"/>
        </w:rPr>
        <w:t>3,158,153</w:t>
      </w:r>
      <w:r>
        <w:rPr>
          <w:sz w:val="20"/>
          <w:szCs w:val="20"/>
          <w:color w:val="auto"/>
        </w:rPr>
        <w:tab/>
      </w:r>
      <w:r>
        <w:rPr>
          <w:rFonts w:ascii="Times New Roman" w:cs="Times New Roman" w:eastAsia="Times New Roman" w:hAnsi="Times New Roman"/>
          <w:sz w:val="16"/>
          <w:szCs w:val="16"/>
          <w:color w:val="auto"/>
        </w:rPr>
        <w:t>3,289,135</w:t>
      </w:r>
    </w:p>
    <w:p>
      <w:pPr>
        <w:spacing w:after="0" w:line="21" w:lineRule="exact"/>
        <w:rPr>
          <w:sz w:val="20"/>
          <w:szCs w:val="20"/>
          <w:color w:val="auto"/>
        </w:rPr>
      </w:pPr>
    </w:p>
    <w:p>
      <w:pPr>
        <w:jc w:val="both"/>
        <w:ind w:left="480"/>
        <w:spacing w:after="0"/>
        <w:tabs>
          <w:tab w:leader="none" w:pos="1860" w:val="left"/>
        </w:tabs>
        <w:rPr>
          <w:sz w:val="20"/>
          <w:szCs w:val="20"/>
          <w:color w:val="auto"/>
        </w:rPr>
      </w:pPr>
      <w:r>
        <w:rPr>
          <w:rFonts w:ascii="Times New Roman" w:cs="Times New Roman" w:eastAsia="Times New Roman" w:hAnsi="Times New Roman"/>
          <w:sz w:val="16"/>
          <w:szCs w:val="16"/>
          <w:color w:val="auto"/>
        </w:rPr>
        <w:t>11,784,029</w:t>
      </w:r>
      <w:r>
        <w:rPr>
          <w:sz w:val="20"/>
          <w:szCs w:val="20"/>
          <w:color w:val="auto"/>
        </w:rPr>
        <w:tab/>
      </w:r>
      <w:r>
        <w:rPr>
          <w:rFonts w:ascii="Times New Roman" w:cs="Times New Roman" w:eastAsia="Times New Roman" w:hAnsi="Times New Roman"/>
          <w:sz w:val="16"/>
          <w:szCs w:val="16"/>
          <w:color w:val="auto"/>
        </w:rPr>
        <w:t>16,073,001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166560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7823" w:space="720"/>
            <w:col w:w="2900"/>
          </w:cols>
          <w:pgMar w:left="237" w:top="824" w:right="219" w:bottom="1440" w:gutter="0" w:footer="0" w:header="0"/>
          <w:type w:val="continuous"/>
        </w:sectPr>
      </w:pPr>
    </w:p>
    <w:tbl>
      <w:tblPr>
        <w:tblLayout w:type="fixed"/>
        <w:tblInd w:w="283" w:type="dxa"/>
        <w:tblCellMar>
          <w:top w:w="0" w:type="dxa"/>
          <w:left w:w="0" w:type="dxa"/>
          <w:bottom w:w="0" w:type="dxa"/>
          <w:right w:w="0" w:type="dxa"/>
        </w:tblCellMar>
      </w:tblPr>
      <w:tr>
        <w:trPr>
          <w:trHeight w:val="186"/>
        </w:trPr>
        <w:tc>
          <w:tcPr>
            <w:tcW w:w="8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3"/>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Non-mandatory reserves:</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Overnight deposits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16,780</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1,169,973</w:t>
            </w:r>
          </w:p>
        </w:tc>
        <w:tc>
          <w:tcPr>
            <w:tcW w:w="80" w:type="dxa"/>
            <w:vAlign w:val="bottom"/>
            <w:shd w:val="clear" w:color="auto" w:fill="CCEEFF"/>
          </w:tcPr>
          <w:p>
            <w:pPr>
              <w:spacing w:after="0"/>
              <w:rPr>
                <w:sz w:val="16"/>
                <w:szCs w:val="16"/>
                <w:color w:val="auto"/>
              </w:rPr>
            </w:pPr>
          </w:p>
        </w:tc>
      </w:tr>
      <w:tr>
        <w:trPr>
          <w:trHeight w:val="205"/>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Cash in vaults of Bank and others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903,613</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532,484</w:t>
            </w:r>
          </w:p>
        </w:tc>
        <w:tc>
          <w:tcPr>
            <w:tcW w:w="80" w:type="dxa"/>
            <w:vAlign w:val="bottom"/>
          </w:tcPr>
          <w:p>
            <w:pPr>
              <w:spacing w:after="0"/>
              <w:rPr>
                <w:sz w:val="17"/>
                <w:szCs w:val="17"/>
                <w:color w:val="auto"/>
              </w:rPr>
            </w:pPr>
          </w:p>
        </w:tc>
      </w:tr>
      <w:tr>
        <w:trPr>
          <w:trHeight w:val="185"/>
        </w:trPr>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non-mandatory reserves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920,393</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1,702,457</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85"/>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12,704,422</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17,775,458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77" w:lineRule="exact"/>
        <w:rPr>
          <w:sz w:val="20"/>
          <w:szCs w:val="20"/>
          <w:color w:val="auto"/>
        </w:rPr>
      </w:pPr>
    </w:p>
    <w:p>
      <w:pPr>
        <w:ind w:left="283" w:right="140"/>
        <w:spacing w:after="0" w:line="285" w:lineRule="auto"/>
        <w:rPr>
          <w:sz w:val="20"/>
          <w:szCs w:val="20"/>
          <w:color w:val="auto"/>
        </w:rPr>
      </w:pPr>
      <w:r>
        <w:rPr>
          <w:rFonts w:ascii="Times New Roman" w:cs="Times New Roman" w:eastAsia="Times New Roman" w:hAnsi="Times New Roman"/>
          <w:sz w:val="16"/>
          <w:szCs w:val="16"/>
          <w:color w:val="auto"/>
        </w:rPr>
        <w:t>At December 31, 2016 cash and deposits appropriated to mandatory reserves in local and foreign currency are subject to an implicit rate of 6.50 percent and 25.89 percent, respectively of the total balance of obligations subject to reserve, as required by the BCRP (6.50 percent and 30.18 percent, respectively, at December 31, 2015).</w:t>
      </w:r>
    </w:p>
    <w:p>
      <w:pPr>
        <w:spacing w:after="0" w:line="33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type w:val="continuous"/>
        </w:sectPr>
      </w:pPr>
    </w:p>
    <w:bookmarkStart w:id="49" w:name="page50"/>
    <w:bookmarkEnd w:id="49"/>
    <w:p>
      <w:pPr>
        <w:ind w:left="283" w:right="20"/>
        <w:spacing w:after="0" w:line="263" w:lineRule="auto"/>
        <w:rPr>
          <w:sz w:val="20"/>
          <w:szCs w:val="20"/>
          <w:color w:val="auto"/>
        </w:rPr>
      </w:pPr>
      <w:r>
        <w:rPr>
          <w:rFonts w:ascii="Times New Roman" w:cs="Times New Roman" w:eastAsia="Times New Roman" w:hAnsi="Times New Roman"/>
          <w:sz w:val="16"/>
          <w:szCs w:val="16"/>
          <w:color w:val="auto"/>
        </w:rPr>
        <w:t>In the same way, at December 31, 2016, the reduction in the balances of the mandatory reserve originated from the following factors: i) reduction in the rates on the legal cash reserve requirement; ii) reduction in the volumes of the total of obligations subject to the legal cash reserve requirement (TOSE); iii) impact of the devaluation of the U.S. Dollar in the year of 1.63 percent on the balances maintained in said currency; and iv) reduction in the excess balances maintained as mandatory reserve in the final days of 2016.</w:t>
      </w:r>
    </w:p>
    <w:p>
      <w:pPr>
        <w:spacing w:after="0" w:line="161" w:lineRule="exact"/>
        <w:rPr>
          <w:sz w:val="20"/>
          <w:szCs w:val="20"/>
          <w:color w:val="auto"/>
        </w:rPr>
      </w:pPr>
    </w:p>
    <w:p>
      <w:pPr>
        <w:ind w:left="3"/>
        <w:spacing w:after="0"/>
        <w:tabs>
          <w:tab w:leader="none" w:pos="263" w:val="left"/>
        </w:tabs>
        <w:rPr>
          <w:sz w:val="20"/>
          <w:szCs w:val="20"/>
          <w:color w:val="auto"/>
        </w:rPr>
      </w:pPr>
      <w:r>
        <w:rPr>
          <w:rFonts w:ascii="Times New Roman" w:cs="Times New Roman" w:eastAsia="Times New Roman" w:hAnsi="Times New Roman"/>
          <w:sz w:val="16"/>
          <w:szCs w:val="16"/>
          <w:color w:val="auto"/>
        </w:rPr>
        <w:t>b)</w:t>
        <w:tab/>
        <w:t>Deposits with local and foreign banks -</w:t>
      </w:r>
    </w:p>
    <w:p>
      <w:pPr>
        <w:spacing w:after="0" w:line="203" w:lineRule="exact"/>
        <w:rPr>
          <w:sz w:val="20"/>
          <w:szCs w:val="20"/>
          <w:color w:val="auto"/>
        </w:rPr>
      </w:pPr>
    </w:p>
    <w:p>
      <w:pPr>
        <w:ind w:left="283"/>
        <w:spacing w:after="0" w:line="285" w:lineRule="auto"/>
        <w:rPr>
          <w:sz w:val="20"/>
          <w:szCs w:val="20"/>
          <w:color w:val="auto"/>
        </w:rPr>
      </w:pPr>
      <w:r>
        <w:rPr>
          <w:rFonts w:ascii="Times New Roman" w:cs="Times New Roman" w:eastAsia="Times New Roman" w:hAnsi="Times New Roman"/>
          <w:sz w:val="16"/>
          <w:szCs w:val="16"/>
          <w:color w:val="auto"/>
        </w:rPr>
        <w:t>Balances credited to local and foreign banks mainly consist of balances in soles and U.S. dollars; are cash in hand and earn interest at market rates. At December 31, 2016 and 2015 Credicorp and its Subsidiaries do not maintain significant deposits with any bank in particular.</w:t>
      </w:r>
    </w:p>
    <w:p>
      <w:pPr>
        <w:spacing w:after="0" w:line="141" w:lineRule="exact"/>
        <w:rPr>
          <w:sz w:val="20"/>
          <w:szCs w:val="20"/>
          <w:color w:val="auto"/>
        </w:rPr>
      </w:pPr>
    </w:p>
    <w:p>
      <w:pPr>
        <w:ind w:left="583" w:right="380" w:hanging="583"/>
        <w:spacing w:after="0" w:line="288" w:lineRule="auto"/>
        <w:tabs>
          <w:tab w:leader="none" w:pos="583"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COLLATERAL, REVERSE REPURCHASE AGREEMENTS AND SECURITIES BORROWINGS AND PAYABLES FROM REPURCHASE AGREEMENTS AND SECURITY LENDINGS</w:t>
      </w:r>
    </w:p>
    <w:p>
      <w:pPr>
        <w:spacing w:after="0" w:line="14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9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This balance consists of the following:</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9"/>
        </w:trPr>
        <w:tc>
          <w:tcPr>
            <w:tcW w:w="9020" w:type="dxa"/>
            <w:vAlign w:val="bottom"/>
            <w:gridSpan w:val="3"/>
          </w:tcPr>
          <w:p>
            <w:pPr>
              <w:ind w:left="85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S/(000)</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collateral on repurchase agreements and security lendings (i)</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7"/>
              </w:rPr>
              <w:t>10,621,045</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10,080,794</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Reverse repurchase agreement and security borrowings (ii)</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294,558</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945,904</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for short sales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4,021</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10,919,624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11,026,698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77" w:lineRule="exact"/>
        <w:rPr>
          <w:sz w:val="20"/>
          <w:szCs w:val="20"/>
          <w:color w:val="auto"/>
        </w:rPr>
      </w:pPr>
    </w:p>
    <w:p>
      <w:pPr>
        <w:ind w:left="583" w:right="20" w:hanging="293"/>
        <w:spacing w:after="0" w:line="258" w:lineRule="auto"/>
        <w:tabs>
          <w:tab w:leader="none" w:pos="583"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2015, the BCRP issued Circular N°002-2015-BCRP, which establishes new procedures for currency reporting operations for the purpose of supporting the process of de-dollarization of credit. In this regard, at December 31, 2016 this balance mainly comprises cash collateral for approximately US$3,127.1 million (equivalent to S/10,494.7 million) delivered to BCRP to secure a borrowing of approximately S/10,008.7 million obtained from the same entity (US$2,955.4 million, equivalent to S/10,080.8 million, and S/9,329.0 million, respectively at December 31, 2015). Cash collateral bears interest at an average annual effective interest rate according to market rates. The related liability is presented in “Payables from repurchase agreements and security lending” of the consolidated statement of financial position, see paragraph (c) below.</w:t>
      </w:r>
    </w:p>
    <w:p>
      <w:pPr>
        <w:spacing w:after="0" w:line="360"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4" w:right="399" w:bottom="1440" w:gutter="0" w:footer="0" w:header="0"/>
        </w:sectPr>
      </w:pPr>
    </w:p>
    <w:bookmarkStart w:id="50" w:name="page51"/>
    <w:bookmarkEnd w:id="50"/>
    <w:p>
      <w:pPr>
        <w:ind w:left="580" w:right="320" w:hanging="293"/>
        <w:spacing w:after="0" w:line="285" w:lineRule="auto"/>
        <w:tabs>
          <w:tab w:leader="none" w:pos="580" w:val="left"/>
        </w:tabs>
        <w:numPr>
          <w:ilvl w:val="0"/>
          <w:numId w:val="56"/>
        </w:numPr>
        <w:rPr>
          <w:rFonts w:ascii="Times New Roman" w:cs="Times New Roman" w:eastAsia="Times New Roman" w:hAnsi="Times New Roman"/>
          <w:sz w:val="16"/>
          <w:szCs w:val="16"/>
          <w:color w:val="222222"/>
        </w:rPr>
      </w:pPr>
      <w:r>
        <w:rPr>
          <w:rFonts w:ascii="Times New Roman" w:cs="Times New Roman" w:eastAsia="Times New Roman" w:hAnsi="Times New Roman"/>
          <w:sz w:val="16"/>
          <w:szCs w:val="16"/>
          <w:color w:val="222222"/>
        </w:rPr>
        <w:t xml:space="preserve">Credicorp, </w:t>
      </w:r>
      <w:r>
        <w:rPr>
          <w:rFonts w:ascii="Times New Roman" w:cs="Times New Roman" w:eastAsia="Times New Roman" w:hAnsi="Times New Roman"/>
          <w:sz w:val="16"/>
          <w:szCs w:val="16"/>
          <w:color w:val="000000"/>
        </w:rPr>
        <w:t>mainly through its subsidiaries</w:t>
      </w:r>
      <w:r>
        <w:rPr>
          <w:rFonts w:ascii="Times New Roman" w:cs="Times New Roman" w:eastAsia="Times New Roman" w:hAnsi="Times New Roman"/>
          <w:sz w:val="16"/>
          <w:szCs w:val="16"/>
          <w:color w:val="222222"/>
        </w:rPr>
        <w:t xml:space="preserve"> Credicrp Capital Colombia and IM Trust, </w:t>
      </w:r>
      <w:r>
        <w:rPr>
          <w:rFonts w:ascii="Times New Roman" w:cs="Times New Roman" w:eastAsia="Times New Roman" w:hAnsi="Times New Roman"/>
          <w:sz w:val="16"/>
          <w:szCs w:val="16"/>
          <w:color w:val="000000"/>
        </w:rPr>
        <w:t>provides financing to its customers through reverse repurchase agreements and</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security borrowings, in which a financial instrument serves as collateral. Details of said transactions are as follows</w:t>
      </w:r>
      <w:r>
        <w:rPr>
          <w:rFonts w:ascii="Times New Roman" w:cs="Times New Roman" w:eastAsia="Times New Roman" w:hAnsi="Times New Roman"/>
          <w:sz w:val="16"/>
          <w:szCs w:val="16"/>
          <w:color w:val="222222"/>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From 3 to 30</w:t>
            </w: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More than</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Fair value of</w:t>
            </w:r>
          </w:p>
        </w:tc>
        <w:tc>
          <w:tcPr>
            <w:tcW w:w="200" w:type="dxa"/>
            <w:vAlign w:val="bottom"/>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Up to 3</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From 3 to</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More than</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70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Fair value of</w:t>
            </w: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Up to 3 days</w:t>
            </w:r>
          </w:p>
        </w:tc>
        <w:tc>
          <w:tcPr>
            <w:tcW w:w="800" w:type="dxa"/>
            <w:vAlign w:val="bottom"/>
            <w:gridSpan w:val="2"/>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8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Currency  interest rate</w:t>
            </w:r>
          </w:p>
        </w:tc>
        <w:tc>
          <w:tcPr>
            <w:tcW w:w="960" w:type="dxa"/>
            <w:vAlign w:val="bottom"/>
            <w:gridSpan w:val="3"/>
            <w:vMerge w:val="continue"/>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days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30 days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4"/>
              </w:rPr>
              <w:t>interest rate</w:t>
            </w: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days</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30 days</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30 days</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9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w w:val="98"/>
              </w:rPr>
              <w:t>Instruments issued</w:t>
            </w:r>
          </w:p>
        </w:tc>
        <w:tc>
          <w:tcPr>
            <w:tcW w:w="1480" w:type="dxa"/>
            <w:vAlign w:val="bottom"/>
            <w:gridSpan w:val="5"/>
            <w:shd w:val="clear" w:color="auto" w:fill="CCEEFF"/>
          </w:tcPr>
          <w:p>
            <w:pPr>
              <w:ind w:left="40"/>
              <w:spacing w:after="0" w:line="113" w:lineRule="exact"/>
              <w:rPr>
                <w:sz w:val="20"/>
                <w:szCs w:val="20"/>
                <w:color w:val="auto"/>
              </w:rPr>
            </w:pPr>
            <w:r>
              <w:rPr>
                <w:rFonts w:ascii="Times New Roman" w:cs="Times New Roman" w:eastAsia="Times New Roman" w:hAnsi="Times New Roman"/>
                <w:sz w:val="13"/>
                <w:szCs w:val="13"/>
                <w:color w:val="auto"/>
              </w:rPr>
              <w:t>Colombian</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by the Colombian</w:t>
            </w:r>
          </w:p>
        </w:tc>
        <w:tc>
          <w:tcPr>
            <w:tcW w:w="1480" w:type="dxa"/>
            <w:vAlign w:val="bottom"/>
            <w:gridSpan w:val="5"/>
            <w:shd w:val="clear" w:color="auto" w:fill="CCEEFF"/>
          </w:tcPr>
          <w:p>
            <w:pPr>
              <w:ind w:left="40"/>
              <w:spacing w:after="0" w:line="133" w:lineRule="exact"/>
              <w:rPr>
                <w:sz w:val="20"/>
                <w:szCs w:val="20"/>
                <w:color w:val="auto"/>
              </w:rPr>
            </w:pPr>
            <w:r>
              <w:rPr>
                <w:rFonts w:ascii="Times New Roman" w:cs="Times New Roman" w:eastAsia="Times New Roman" w:hAnsi="Times New Roman"/>
                <w:sz w:val="13"/>
                <w:szCs w:val="13"/>
                <w:color w:val="auto"/>
              </w:rPr>
              <w:t>pesos</w:t>
            </w:r>
          </w:p>
        </w:tc>
        <w:tc>
          <w:tcPr>
            <w:tcW w:w="9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5,661</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96,924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11,408</w:t>
            </w:r>
          </w:p>
        </w:tc>
        <w:tc>
          <w:tcPr>
            <w:tcW w:w="10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113,993</w:t>
            </w:r>
          </w:p>
        </w:tc>
        <w:tc>
          <w:tcPr>
            <w:tcW w:w="10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113,993</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5.75</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821,588</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821,588</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821,588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Government</w:t>
            </w:r>
          </w:p>
        </w:tc>
        <w:tc>
          <w:tcPr>
            <w:tcW w:w="14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7.30</w:t>
            </w:r>
          </w:p>
        </w:tc>
        <w:tc>
          <w:tcPr>
            <w:tcW w:w="960" w:type="dxa"/>
            <w:vAlign w:val="bottom"/>
            <w:gridSpan w:val="3"/>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w w:val="98"/>
              </w:rPr>
              <w:t>Instruments issued</w:t>
            </w:r>
          </w:p>
        </w:tc>
        <w:tc>
          <w:tcPr>
            <w:tcW w:w="1480" w:type="dxa"/>
            <w:vAlign w:val="bottom"/>
            <w:gridSpan w:val="5"/>
          </w:tcPr>
          <w:p>
            <w:pPr>
              <w:ind w:left="40"/>
              <w:spacing w:after="0" w:line="113" w:lineRule="exact"/>
              <w:rPr>
                <w:sz w:val="20"/>
                <w:szCs w:val="20"/>
                <w:color w:val="auto"/>
              </w:rPr>
            </w:pPr>
            <w:r>
              <w:rPr>
                <w:rFonts w:ascii="Times New Roman" w:cs="Times New Roman" w:eastAsia="Times New Roman" w:hAnsi="Times New Roman"/>
                <w:sz w:val="13"/>
                <w:szCs w:val="13"/>
                <w:color w:val="auto"/>
              </w:rPr>
              <w:t>Chilean</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by the Chilean</w:t>
            </w:r>
          </w:p>
        </w:tc>
        <w:tc>
          <w:tcPr>
            <w:tcW w:w="1480" w:type="dxa"/>
            <w:vAlign w:val="bottom"/>
            <w:gridSpan w:val="5"/>
          </w:tcPr>
          <w:p>
            <w:pPr>
              <w:ind w:left="40"/>
              <w:spacing w:after="0" w:line="133" w:lineRule="exact"/>
              <w:rPr>
                <w:sz w:val="20"/>
                <w:szCs w:val="20"/>
                <w:color w:val="auto"/>
              </w:rPr>
            </w:pPr>
            <w:r>
              <w:rPr>
                <w:rFonts w:ascii="Times New Roman" w:cs="Times New Roman" w:eastAsia="Times New Roman" w:hAnsi="Times New Roman"/>
                <w:sz w:val="13"/>
                <w:szCs w:val="13"/>
                <w:color w:val="auto"/>
              </w:rPr>
              <w:t>pesos</w:t>
            </w:r>
          </w:p>
        </w:tc>
        <w:tc>
          <w:tcPr>
            <w:tcW w:w="9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1,255</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1,255</w:t>
            </w:r>
          </w:p>
        </w:tc>
        <w:tc>
          <w:tcPr>
            <w:tcW w:w="10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1,259</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0.31</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59,025</w:t>
            </w: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18,661</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1,612</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79,298</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79,338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Government</w:t>
            </w:r>
          </w:p>
        </w:tc>
        <w:tc>
          <w:tcPr>
            <w:tcW w:w="148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0.42</w:t>
            </w:r>
          </w:p>
        </w:tc>
        <w:tc>
          <w:tcPr>
            <w:tcW w:w="96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 instruments</w:t>
            </w:r>
          </w:p>
        </w:tc>
        <w:tc>
          <w:tcPr>
            <w:tcW w:w="1480" w:type="dxa"/>
            <w:vAlign w:val="bottom"/>
            <w:gridSpan w:val="5"/>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4.54</w:t>
            </w:r>
          </w:p>
        </w:tc>
        <w:tc>
          <w:tcPr>
            <w:tcW w:w="960" w:type="dxa"/>
            <w:vAlign w:val="bottom"/>
            <w:gridSpan w:val="3"/>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166,826</w:t>
            </w:r>
          </w:p>
        </w:tc>
        <w:tc>
          <w:tcPr>
            <w:tcW w:w="780" w:type="dxa"/>
            <w:vAlign w:val="bottom"/>
            <w:gridSpan w:val="3"/>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12,484</w:t>
            </w:r>
          </w:p>
        </w:tc>
        <w:tc>
          <w:tcPr>
            <w:tcW w:w="740" w:type="dxa"/>
            <w:vAlign w:val="bottom"/>
            <w:gridSpan w:val="3"/>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179,310</w:t>
            </w:r>
          </w:p>
        </w:tc>
        <w:tc>
          <w:tcPr>
            <w:tcW w:w="1000" w:type="dxa"/>
            <w:vAlign w:val="bottom"/>
            <w:gridSpan w:val="3"/>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179,809</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5.75</w:t>
            </w:r>
          </w:p>
        </w:tc>
        <w:tc>
          <w:tcPr>
            <w:tcW w:w="5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44,527</w:t>
            </w:r>
          </w:p>
        </w:tc>
        <w:tc>
          <w:tcPr>
            <w:tcW w:w="7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491</w:t>
            </w:r>
          </w:p>
        </w:tc>
        <w:tc>
          <w:tcPr>
            <w:tcW w:w="7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45,018</w:t>
            </w:r>
          </w:p>
        </w:tc>
        <w:tc>
          <w:tcPr>
            <w:tcW w:w="72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45,018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5,661</w:t>
            </w:r>
          </w:p>
        </w:tc>
        <w:tc>
          <w:tcPr>
            <w:tcW w:w="2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265,005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23,892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294,558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295,061</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59,025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884,776</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2,103</w:t>
            </w:r>
          </w:p>
        </w:tc>
        <w:tc>
          <w:tcPr>
            <w:tcW w:w="1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945,904</w:t>
            </w:r>
          </w:p>
        </w:tc>
        <w:tc>
          <w:tcPr>
            <w:tcW w:w="2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945,944</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1" w:name="page52"/>
    <w:bookmarkEnd w:id="51"/>
    <w:p>
      <w:pPr>
        <w:ind w:left="283" w:right="40" w:hanging="283"/>
        <w:spacing w:after="0" w:line="285" w:lineRule="auto"/>
        <w:tabs>
          <w:tab w:leader="none" w:pos="28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Credicorp, through its subsidiaries, obtains financing through “Payables from repurchase agreements and security lendings” by selling financial instruments and committing to repurchase them at future dates, plus interest at a fixed rate. The details of said transactions are as follows:</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From 3 to 30</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More than</w:t>
            </w: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Fair value of</w:t>
            </w:r>
          </w:p>
        </w:tc>
        <w:tc>
          <w:tcPr>
            <w:tcW w:w="100" w:type="dxa"/>
            <w:vAlign w:val="bottom"/>
          </w:tcPr>
          <w:p>
            <w:pPr>
              <w:spacing w:after="0"/>
              <w:rPr>
                <w:sz w:val="8"/>
                <w:szCs w:val="8"/>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Up to 3</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From 3 to</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More than</w:t>
            </w:r>
          </w:p>
        </w:tc>
        <w:tc>
          <w:tcPr>
            <w:tcW w:w="1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7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Fair value of</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Up to 3 days</w:t>
            </w:r>
          </w:p>
        </w:tc>
        <w:tc>
          <w:tcPr>
            <w:tcW w:w="8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82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Currency  interest rate</w:t>
            </w:r>
          </w:p>
        </w:tc>
        <w:tc>
          <w:tcPr>
            <w:tcW w:w="880" w:type="dxa"/>
            <w:vAlign w:val="bottom"/>
            <w:gridSpan w:val="3"/>
            <w:vMerge w:val="continue"/>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days</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30 days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30 days</w:t>
            </w: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30 days</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9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Instruments</w:t>
            </w:r>
          </w:p>
        </w:tc>
        <w:tc>
          <w:tcPr>
            <w:tcW w:w="1440" w:type="dxa"/>
            <w:vAlign w:val="bottom"/>
            <w:gridSpan w:val="5"/>
            <w:shd w:val="clear" w:color="auto" w:fill="CCEEFF"/>
          </w:tcPr>
          <w:p>
            <w:pPr>
              <w:ind w:left="40"/>
              <w:spacing w:after="0" w:line="113" w:lineRule="exact"/>
              <w:rPr>
                <w:sz w:val="20"/>
                <w:szCs w:val="20"/>
                <w:color w:val="auto"/>
              </w:rPr>
            </w:pPr>
            <w:r>
              <w:rPr>
                <w:rFonts w:ascii="Times New Roman" w:cs="Times New Roman" w:eastAsia="Times New Roman" w:hAnsi="Times New Roman"/>
                <w:sz w:val="13"/>
                <w:szCs w:val="13"/>
                <w:color w:val="auto"/>
              </w:rPr>
              <w:t>Colombian</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issued by the</w:t>
            </w:r>
          </w:p>
        </w:tc>
        <w:tc>
          <w:tcPr>
            <w:tcW w:w="1440" w:type="dxa"/>
            <w:vAlign w:val="bottom"/>
            <w:gridSpan w:val="5"/>
            <w:shd w:val="clear" w:color="auto" w:fill="CCEEFF"/>
          </w:tcPr>
          <w:p>
            <w:pPr>
              <w:ind w:left="40"/>
              <w:spacing w:after="0" w:line="133" w:lineRule="exact"/>
              <w:rPr>
                <w:sz w:val="20"/>
                <w:szCs w:val="20"/>
                <w:color w:val="auto"/>
              </w:rPr>
            </w:pPr>
            <w:r>
              <w:rPr>
                <w:rFonts w:ascii="Times New Roman" w:cs="Times New Roman" w:eastAsia="Times New Roman" w:hAnsi="Times New Roman"/>
                <w:sz w:val="13"/>
                <w:szCs w:val="13"/>
                <w:color w:val="auto"/>
              </w:rPr>
              <w:t>pesos</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Colombian</w:t>
            </w:r>
          </w:p>
        </w:tc>
        <w:tc>
          <w:tcPr>
            <w:tcW w:w="1440" w:type="dxa"/>
            <w:vAlign w:val="bottom"/>
            <w:gridSpan w:val="5"/>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7.60</w:t>
            </w: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63,267</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864,071</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927,338</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927,865</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5.75</w:t>
            </w: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1,277,165</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1,277,165</w:t>
            </w:r>
          </w:p>
        </w:tc>
        <w:tc>
          <w:tcPr>
            <w:tcW w:w="1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1,277,395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Government</w:t>
            </w:r>
          </w:p>
        </w:tc>
        <w:tc>
          <w:tcPr>
            <w:tcW w:w="1440" w:type="dxa"/>
            <w:vAlign w:val="bottom"/>
            <w:gridSpan w:val="5"/>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Instruments</w:t>
            </w:r>
          </w:p>
        </w:tc>
        <w:tc>
          <w:tcPr>
            <w:tcW w:w="1440" w:type="dxa"/>
            <w:vAlign w:val="bottom"/>
            <w:gridSpan w:val="5"/>
          </w:tcPr>
          <w:p>
            <w:pPr>
              <w:ind w:left="40"/>
              <w:spacing w:after="0" w:line="113" w:lineRule="exact"/>
              <w:rPr>
                <w:sz w:val="20"/>
                <w:szCs w:val="20"/>
                <w:color w:val="auto"/>
              </w:rPr>
            </w:pPr>
            <w:r>
              <w:rPr>
                <w:rFonts w:ascii="Times New Roman" w:cs="Times New Roman" w:eastAsia="Times New Roman" w:hAnsi="Times New Roman"/>
                <w:sz w:val="13"/>
                <w:szCs w:val="13"/>
                <w:color w:val="auto"/>
              </w:rPr>
              <w:t>Chilean</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9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issued by the</w:t>
            </w:r>
          </w:p>
        </w:tc>
        <w:tc>
          <w:tcPr>
            <w:tcW w:w="1440" w:type="dxa"/>
            <w:vAlign w:val="bottom"/>
            <w:gridSpan w:val="5"/>
          </w:tcPr>
          <w:p>
            <w:pPr>
              <w:ind w:left="40"/>
              <w:spacing w:after="0" w:line="133" w:lineRule="exact"/>
              <w:rPr>
                <w:sz w:val="20"/>
                <w:szCs w:val="20"/>
                <w:color w:val="auto"/>
              </w:rPr>
            </w:pPr>
            <w:r>
              <w:rPr>
                <w:rFonts w:ascii="Times New Roman" w:cs="Times New Roman" w:eastAsia="Times New Roman" w:hAnsi="Times New Roman"/>
                <w:sz w:val="13"/>
                <w:szCs w:val="13"/>
                <w:color w:val="auto"/>
              </w:rPr>
              <w:t>pesos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Chilean</w:t>
            </w:r>
          </w:p>
        </w:tc>
        <w:tc>
          <w:tcPr>
            <w:tcW w:w="144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0.34</w:t>
            </w: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231,667</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231,667</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233,108</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0.28</w:t>
            </w: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64,829</w:t>
            </w: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10,674</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75,503</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75,546</w:t>
            </w: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Government</w:t>
            </w:r>
          </w:p>
        </w:tc>
        <w:tc>
          <w:tcPr>
            <w:tcW w:w="1440" w:type="dxa"/>
            <w:vAlign w:val="bottom"/>
            <w:gridSpan w:val="5"/>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Other</w:t>
            </w:r>
          </w:p>
        </w:tc>
        <w:tc>
          <w:tcPr>
            <w:tcW w:w="1440" w:type="dxa"/>
            <w:vAlign w:val="bottom"/>
            <w:gridSpan w:val="5"/>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5.97</w:t>
            </w: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133,494</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133,494</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133,421</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6.04</w:t>
            </w: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69,799</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70,289</w:t>
            </w: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62,193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instruments</w:t>
            </w:r>
          </w:p>
        </w:tc>
        <w:tc>
          <w:tcPr>
            <w:tcW w:w="1440" w:type="dxa"/>
            <w:vAlign w:val="bottom"/>
            <w:gridSpan w:val="5"/>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w w:val="98"/>
              </w:rPr>
              <w:t>Debt instruments</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13,835,500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13,835,500</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14,065,528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13,176,793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13,176,793</w:t>
            </w:r>
          </w:p>
        </w:tc>
        <w:tc>
          <w:tcPr>
            <w:tcW w:w="16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13,176,793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294,934</w:t>
            </w: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997,565</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13,835,500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15,127,999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15,359,922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64,829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1,357,638</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13,177,283</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14,599,750</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14,591,927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52" w:name="page53"/>
    <w:bookmarkEnd w:id="52"/>
    <w:p>
      <w:pPr>
        <w:ind w:left="283" w:right="280" w:hanging="283"/>
        <w:spacing w:after="0" w:line="285" w:lineRule="auto"/>
        <w:tabs>
          <w:tab w:leader="none" w:pos="28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the Group has repurchase agreements secured with: (i) cash, see note 5(a), and (ii) available-for-sales investments and held-to-maturity investments, see note 6(b). This item consists of the following:</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At December 31, 2015</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Counterparties</w:t>
            </w: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16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14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0" w:type="dxa"/>
            <w:vAlign w:val="bottom"/>
          </w:tcPr>
          <w:p>
            <w:pPr>
              <w:spacing w:after="0"/>
              <w:rPr>
                <w:sz w:val="1"/>
                <w:szCs w:val="1"/>
                <w:color w:val="auto"/>
              </w:rPr>
            </w:pPr>
          </w:p>
        </w:tc>
      </w:tr>
      <w:tr>
        <w:trPr>
          <w:trHeight w:val="155"/>
        </w:trPr>
        <w:tc>
          <w:tcPr>
            <w:tcW w:w="194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00" w:type="dxa"/>
            <w:vAlign w:val="bottom"/>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BCRP, Note 5(a)(i)</w:t>
            </w: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9"/>
              </w:rPr>
              <w:t>Soles</w:t>
            </w:r>
          </w:p>
        </w:tc>
        <w:tc>
          <w:tcPr>
            <w:tcW w:w="138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rPr>
              <w:t>January 2017 / October</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10,008,700</w:t>
            </w: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Cash with BCRP</w:t>
            </w:r>
          </w:p>
        </w:tc>
        <w:tc>
          <w:tcPr>
            <w:tcW w:w="12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rPr>
              <w:t>May 2016 /</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9,329,000</w:t>
            </w:r>
          </w:p>
        </w:tc>
        <w:tc>
          <w:tcPr>
            <w:tcW w:w="2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Cash with BCRP</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2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September 2020</w:t>
            </w:r>
          </w:p>
        </w:tc>
        <w:tc>
          <w:tcPr>
            <w:tcW w:w="9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9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BCRP</w:t>
            </w:r>
          </w:p>
        </w:tc>
        <w:tc>
          <w:tcPr>
            <w:tcW w:w="120" w:type="dxa"/>
            <w:vAlign w:val="bottom"/>
          </w:tcPr>
          <w:p>
            <w:pPr>
              <w:spacing w:after="0"/>
              <w:rPr>
                <w:sz w:val="9"/>
                <w:szCs w:val="9"/>
                <w:color w:val="auto"/>
              </w:rPr>
            </w:pPr>
          </w:p>
        </w:tc>
        <w:tc>
          <w:tcPr>
            <w:tcW w:w="9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9"/>
              </w:rPr>
              <w:t>Soles</w:t>
            </w:r>
          </w:p>
        </w:tc>
        <w:tc>
          <w:tcPr>
            <w:tcW w:w="138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8"/>
              </w:rPr>
              <w:t>January 2017 / June</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1,256,706</w:t>
            </w: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120" w:type="dxa"/>
            <w:vAlign w:val="bottom"/>
          </w:tcPr>
          <w:p>
            <w:pPr>
              <w:spacing w:after="0"/>
              <w:rPr>
                <w:sz w:val="9"/>
                <w:szCs w:val="9"/>
                <w:color w:val="auto"/>
              </w:rPr>
            </w:pPr>
          </w:p>
        </w:tc>
        <w:tc>
          <w:tcPr>
            <w:tcW w:w="122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rPr>
              <w:t>January 2016</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1,283,840</w:t>
            </w:r>
          </w:p>
        </w:tc>
        <w:tc>
          <w:tcPr>
            <w:tcW w:w="220" w:type="dxa"/>
            <w:vAlign w:val="bottom"/>
          </w:tcPr>
          <w:p>
            <w:pPr>
              <w:spacing w:after="0"/>
              <w:rPr>
                <w:sz w:val="9"/>
                <w:szCs w:val="9"/>
                <w:color w:val="auto"/>
              </w:rPr>
            </w:pPr>
          </w:p>
        </w:tc>
        <w:tc>
          <w:tcPr>
            <w:tcW w:w="17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9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Natixis S.A.</w:t>
            </w: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9"/>
              </w:rPr>
              <w:t>Soles</w:t>
            </w:r>
          </w:p>
        </w:tc>
        <w:tc>
          <w:tcPr>
            <w:tcW w:w="138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9"/>
              </w:rPr>
              <w:t>August 2017 / August</w:t>
            </w: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12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w w:val="99"/>
              </w:rPr>
              <w:t>August 2017 / August</w:t>
            </w:r>
          </w:p>
        </w:tc>
        <w:tc>
          <w:tcPr>
            <w:tcW w:w="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9"/>
              </w:rPr>
              <w:t>2020</w:t>
            </w:r>
          </w:p>
        </w:tc>
        <w:tc>
          <w:tcPr>
            <w:tcW w:w="1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600,000</w:t>
            </w: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and Held-to-maturity</w:t>
            </w:r>
          </w:p>
        </w:tc>
        <w:tc>
          <w:tcPr>
            <w:tcW w:w="1260" w:type="dxa"/>
            <w:vAlign w:val="bottom"/>
            <w:gridSpan w:val="2"/>
            <w:shd w:val="clear" w:color="auto" w:fill="CCEEFF"/>
          </w:tcPr>
          <w:p>
            <w:pPr>
              <w:jc w:val="center"/>
              <w:ind w:left="56"/>
              <w:spacing w:after="0" w:line="133" w:lineRule="exact"/>
              <w:rPr>
                <w:sz w:val="20"/>
                <w:szCs w:val="20"/>
                <w:color w:val="auto"/>
              </w:rPr>
            </w:pPr>
            <w:r>
              <w:rPr>
                <w:rFonts w:ascii="Times New Roman" w:cs="Times New Roman" w:eastAsia="Times New Roman" w:hAnsi="Times New Roman"/>
                <w:sz w:val="13"/>
                <w:szCs w:val="13"/>
                <w:color w:val="auto"/>
                <w:w w:val="99"/>
              </w:rPr>
              <w:t>2020</w:t>
            </w:r>
          </w:p>
        </w:tc>
        <w:tc>
          <w:tcPr>
            <w:tcW w:w="80" w:type="dxa"/>
            <w:vAlign w:val="bottom"/>
            <w:shd w:val="clear" w:color="auto" w:fill="CCEEFF"/>
          </w:tcPr>
          <w:p>
            <w:pPr>
              <w:spacing w:after="0"/>
              <w:rPr>
                <w:sz w:val="11"/>
                <w:szCs w:val="11"/>
                <w:color w:val="auto"/>
              </w:rPr>
            </w:pPr>
          </w:p>
        </w:tc>
        <w:tc>
          <w:tcPr>
            <w:tcW w:w="11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500,000</w:t>
            </w:r>
          </w:p>
        </w:tc>
        <w:tc>
          <w:tcPr>
            <w:tcW w:w="1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and Held-to-maturity</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w:t>
            </w:r>
          </w:p>
        </w:tc>
        <w:tc>
          <w:tcPr>
            <w:tcW w:w="0" w:type="dxa"/>
            <w:vAlign w:val="bottom"/>
          </w:tcPr>
          <w:p>
            <w:pPr>
              <w:spacing w:after="0"/>
              <w:rPr>
                <w:sz w:val="1"/>
                <w:szCs w:val="1"/>
                <w:color w:val="auto"/>
              </w:rPr>
            </w:pPr>
          </w:p>
        </w:tc>
      </w:tr>
      <w:tr>
        <w:trPr>
          <w:trHeight w:val="113"/>
        </w:trPr>
        <w:tc>
          <w:tcPr>
            <w:tcW w:w="19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Nomura International PLC (*)</w:t>
            </w:r>
          </w:p>
        </w:tc>
        <w:tc>
          <w:tcPr>
            <w:tcW w:w="120" w:type="dxa"/>
            <w:vAlign w:val="bottom"/>
          </w:tcPr>
          <w:p>
            <w:pPr>
              <w:spacing w:after="0"/>
              <w:rPr>
                <w:sz w:val="9"/>
                <w:szCs w:val="9"/>
                <w:color w:val="auto"/>
              </w:rPr>
            </w:pPr>
          </w:p>
        </w:tc>
        <w:tc>
          <w:tcPr>
            <w:tcW w:w="9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8"/>
              </w:rPr>
              <w:t>U.S. dollar</w:t>
            </w:r>
          </w:p>
        </w:tc>
        <w:tc>
          <w:tcPr>
            <w:tcW w:w="138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9"/>
              </w:rPr>
              <w:t>March 2019 / December</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503,400</w:t>
            </w: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120" w:type="dxa"/>
            <w:vAlign w:val="bottom"/>
          </w:tcPr>
          <w:p>
            <w:pPr>
              <w:spacing w:after="0"/>
              <w:rPr>
                <w:sz w:val="9"/>
                <w:szCs w:val="9"/>
                <w:color w:val="auto"/>
              </w:rPr>
            </w:pPr>
          </w:p>
        </w:tc>
        <w:tc>
          <w:tcPr>
            <w:tcW w:w="122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w w:val="99"/>
              </w:rPr>
              <w:t>March 2019 /</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511,650</w:t>
            </w:r>
          </w:p>
        </w:tc>
        <w:tc>
          <w:tcPr>
            <w:tcW w:w="220" w:type="dxa"/>
            <w:vAlign w:val="bottom"/>
          </w:tcPr>
          <w:p>
            <w:pPr>
              <w:spacing w:after="0"/>
              <w:rPr>
                <w:sz w:val="9"/>
                <w:szCs w:val="9"/>
                <w:color w:val="auto"/>
              </w:rPr>
            </w:pPr>
          </w:p>
        </w:tc>
        <w:tc>
          <w:tcPr>
            <w:tcW w:w="17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tcPr>
          <w:p>
            <w:pPr>
              <w:spacing w:after="0"/>
              <w:rPr>
                <w:sz w:val="13"/>
                <w:szCs w:val="13"/>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December 2019</w:t>
            </w: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0" w:type="dxa"/>
            <w:vAlign w:val="bottom"/>
          </w:tcPr>
          <w:p>
            <w:pPr>
              <w:spacing w:after="0"/>
              <w:rPr>
                <w:sz w:val="1"/>
                <w:szCs w:val="1"/>
                <w:color w:val="auto"/>
              </w:rPr>
            </w:pPr>
          </w:p>
        </w:tc>
      </w:tr>
      <w:tr>
        <w:trPr>
          <w:trHeight w:val="113"/>
        </w:trPr>
        <w:tc>
          <w:tcPr>
            <w:tcW w:w="19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Credit Suisse Perú</w:t>
            </w: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9"/>
              </w:rPr>
              <w:t>Soles</w:t>
            </w:r>
          </w:p>
        </w:tc>
        <w:tc>
          <w:tcPr>
            <w:tcW w:w="138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8"/>
              </w:rPr>
              <w:t>August 2017</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300,000</w:t>
            </w: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12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w w:val="98"/>
              </w:rPr>
              <w:t>August 2017</w:t>
            </w:r>
          </w:p>
        </w:tc>
        <w:tc>
          <w:tcPr>
            <w:tcW w:w="11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300,000</w:t>
            </w: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cash</w:t>
            </w:r>
          </w:p>
        </w:tc>
        <w:tc>
          <w:tcPr>
            <w:tcW w:w="0" w:type="dxa"/>
            <w:vAlign w:val="bottom"/>
          </w:tcPr>
          <w:p>
            <w:pPr>
              <w:spacing w:after="0"/>
              <w:rPr>
                <w:sz w:val="1"/>
                <w:szCs w:val="1"/>
                <w:color w:val="auto"/>
              </w:rPr>
            </w:pPr>
          </w:p>
        </w:tc>
      </w:tr>
      <w:tr>
        <w:trPr>
          <w:trHeight w:val="113"/>
        </w:trPr>
        <w:tc>
          <w:tcPr>
            <w:tcW w:w="19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Nomura International PLC (**)</w:t>
            </w:r>
          </w:p>
        </w:tc>
        <w:tc>
          <w:tcPr>
            <w:tcW w:w="120" w:type="dxa"/>
            <w:vAlign w:val="bottom"/>
          </w:tcPr>
          <w:p>
            <w:pPr>
              <w:spacing w:after="0"/>
              <w:rPr>
                <w:sz w:val="9"/>
                <w:szCs w:val="9"/>
                <w:color w:val="auto"/>
              </w:rPr>
            </w:pPr>
          </w:p>
        </w:tc>
        <w:tc>
          <w:tcPr>
            <w:tcW w:w="9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8"/>
              </w:rPr>
              <w:t>U.S. dollar</w:t>
            </w:r>
          </w:p>
        </w:tc>
        <w:tc>
          <w:tcPr>
            <w:tcW w:w="138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8"/>
              </w:rPr>
              <w:t>August 2020</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268,480</w:t>
            </w: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120" w:type="dxa"/>
            <w:vAlign w:val="bottom"/>
          </w:tcPr>
          <w:p>
            <w:pPr>
              <w:spacing w:after="0"/>
              <w:rPr>
                <w:sz w:val="9"/>
                <w:szCs w:val="9"/>
                <w:color w:val="auto"/>
              </w:rPr>
            </w:pPr>
          </w:p>
        </w:tc>
        <w:tc>
          <w:tcPr>
            <w:tcW w:w="122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w w:val="98"/>
              </w:rPr>
              <w:t>August 2020</w:t>
            </w: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272,880</w:t>
            </w:r>
          </w:p>
        </w:tc>
        <w:tc>
          <w:tcPr>
            <w:tcW w:w="17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0" w:type="dxa"/>
            <w:vAlign w:val="bottom"/>
          </w:tcPr>
          <w:p>
            <w:pPr>
              <w:spacing w:after="0"/>
              <w:rPr>
                <w:sz w:val="1"/>
                <w:szCs w:val="1"/>
                <w:color w:val="auto"/>
              </w:rPr>
            </w:pPr>
          </w:p>
        </w:tc>
      </w:tr>
      <w:tr>
        <w:trPr>
          <w:trHeight w:val="113"/>
        </w:trPr>
        <w:tc>
          <w:tcPr>
            <w:tcW w:w="19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Nomura International PLC (***)</w:t>
            </w: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8"/>
              </w:rPr>
              <w:t>U.S. dollar</w:t>
            </w:r>
          </w:p>
        </w:tc>
        <w:tc>
          <w:tcPr>
            <w:tcW w:w="138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8"/>
              </w:rPr>
              <w:t>August 2020</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234,920</w:t>
            </w: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12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w w:val="98"/>
              </w:rPr>
              <w:t>August 2020</w:t>
            </w:r>
          </w:p>
        </w:tc>
        <w:tc>
          <w:tcPr>
            <w:tcW w:w="11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238,770</w:t>
            </w: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9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Citigroup Global Markets Limited</w:t>
            </w:r>
          </w:p>
        </w:tc>
        <w:tc>
          <w:tcPr>
            <w:tcW w:w="120" w:type="dxa"/>
            <w:vAlign w:val="bottom"/>
          </w:tcPr>
          <w:p>
            <w:pPr>
              <w:spacing w:after="0"/>
              <w:rPr>
                <w:sz w:val="9"/>
                <w:szCs w:val="9"/>
                <w:color w:val="auto"/>
              </w:rPr>
            </w:pPr>
          </w:p>
        </w:tc>
        <w:tc>
          <w:tcPr>
            <w:tcW w:w="9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8"/>
              </w:rPr>
              <w:t>U.S. dollar</w:t>
            </w:r>
          </w:p>
        </w:tc>
        <w:tc>
          <w:tcPr>
            <w:tcW w:w="138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8"/>
              </w:rPr>
              <w:t>August 2026</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151,020</w:t>
            </w: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1260" w:type="dxa"/>
            <w:vAlign w:val="bottom"/>
            <w:gridSpan w:val="2"/>
          </w:tcPr>
          <w:p>
            <w:pPr>
              <w:jc w:val="center"/>
              <w:ind w:left="36"/>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9"/>
                <w:szCs w:val="9"/>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17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9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Citigroup Global Markets Limited</w:t>
            </w: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9"/>
              </w:rPr>
              <w:t>Soles</w:t>
            </w:r>
          </w:p>
        </w:tc>
        <w:tc>
          <w:tcPr>
            <w:tcW w:w="138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8"/>
              </w:rPr>
              <w:t>August 2020</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100,000</w:t>
            </w: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12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w w:val="98"/>
              </w:rPr>
              <w:t>August 2020</w:t>
            </w:r>
          </w:p>
        </w:tc>
        <w:tc>
          <w:tcPr>
            <w:tcW w:w="11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100,000</w:t>
            </w: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Held-to-maturity investments</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cash</w:t>
            </w:r>
          </w:p>
        </w:tc>
        <w:tc>
          <w:tcPr>
            <w:tcW w:w="0" w:type="dxa"/>
            <w:vAlign w:val="bottom"/>
          </w:tcPr>
          <w:p>
            <w:pPr>
              <w:spacing w:after="0"/>
              <w:rPr>
                <w:sz w:val="1"/>
                <w:szCs w:val="1"/>
                <w:color w:val="auto"/>
              </w:rPr>
            </w:pPr>
          </w:p>
        </w:tc>
      </w:tr>
      <w:tr>
        <w:trPr>
          <w:trHeight w:val="133"/>
        </w:trPr>
        <w:tc>
          <w:tcPr>
            <w:tcW w:w="19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Natixis S.A. (*****)</w:t>
            </w:r>
          </w:p>
        </w:tc>
        <w:tc>
          <w:tcPr>
            <w:tcW w:w="12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3"/>
                <w:szCs w:val="13"/>
                <w:color w:val="auto"/>
                <w:w w:val="98"/>
              </w:rPr>
              <w:t>U.S. dollar</w:t>
            </w:r>
          </w:p>
        </w:tc>
        <w:tc>
          <w:tcPr>
            <w:tcW w:w="13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August 2026</w:t>
            </w:r>
          </w:p>
        </w:tc>
        <w:tc>
          <w:tcPr>
            <w:tcW w:w="11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83,900</w:t>
            </w:r>
          </w:p>
        </w:tc>
        <w:tc>
          <w:tcPr>
            <w:tcW w:w="17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1260" w:type="dxa"/>
            <w:vAlign w:val="bottom"/>
            <w:gridSpan w:val="2"/>
          </w:tcPr>
          <w:p>
            <w:pPr>
              <w:jc w:val="center"/>
              <w:ind w:lef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9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7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UBS</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40"/>
              <w:spacing w:after="0" w:line="133" w:lineRule="exact"/>
              <w:rPr>
                <w:sz w:val="20"/>
                <w:szCs w:val="20"/>
                <w:color w:val="auto"/>
              </w:rPr>
            </w:pPr>
            <w:r>
              <w:rPr>
                <w:rFonts w:ascii="Times New Roman" w:cs="Times New Roman" w:eastAsia="Times New Roman" w:hAnsi="Times New Roman"/>
                <w:sz w:val="13"/>
                <w:szCs w:val="13"/>
                <w:color w:val="auto"/>
                <w:w w:val="98"/>
              </w:rPr>
              <w:t>U.S. dollar</w:t>
            </w:r>
          </w:p>
        </w:tc>
        <w:tc>
          <w:tcPr>
            <w:tcW w:w="1380" w:type="dxa"/>
            <w:vAlign w:val="bottom"/>
            <w:gridSpan w:val="2"/>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11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68,808</w:t>
            </w: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Held-to-maturity-investments</w:t>
            </w:r>
          </w:p>
        </w:tc>
        <w:tc>
          <w:tcPr>
            <w:tcW w:w="1260" w:type="dxa"/>
            <w:vAlign w:val="bottom"/>
            <w:gridSpan w:val="2"/>
            <w:shd w:val="clear" w:color="auto" w:fill="CCEEFF"/>
          </w:tcPr>
          <w:p>
            <w:pPr>
              <w:jc w:val="center"/>
              <w:ind w:lef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3"/>
        </w:trPr>
        <w:tc>
          <w:tcPr>
            <w:tcW w:w="19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Pershing</w:t>
            </w:r>
          </w:p>
        </w:tc>
        <w:tc>
          <w:tcPr>
            <w:tcW w:w="120" w:type="dxa"/>
            <w:vAlign w:val="bottom"/>
          </w:tcPr>
          <w:p>
            <w:pPr>
              <w:spacing w:after="0"/>
              <w:rPr>
                <w:sz w:val="9"/>
                <w:szCs w:val="9"/>
                <w:color w:val="auto"/>
              </w:rPr>
            </w:pPr>
          </w:p>
        </w:tc>
        <w:tc>
          <w:tcPr>
            <w:tcW w:w="9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8"/>
              </w:rPr>
              <w:t>U.S. dollar</w:t>
            </w:r>
          </w:p>
        </w:tc>
        <w:tc>
          <w:tcPr>
            <w:tcW w:w="12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120" w:type="dxa"/>
            <w:vAlign w:val="bottom"/>
          </w:tcPr>
          <w:p>
            <w:pPr>
              <w:spacing w:after="0"/>
              <w:rPr>
                <w:sz w:val="9"/>
                <w:szCs w:val="9"/>
                <w:color w:val="auto"/>
              </w:rPr>
            </w:pPr>
          </w:p>
        </w:tc>
        <w:tc>
          <w:tcPr>
            <w:tcW w:w="122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color w:val="auto"/>
              </w:rPr>
              <w:t>January 2016</w:t>
            </w: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47,922</w:t>
            </w:r>
          </w:p>
        </w:tc>
        <w:tc>
          <w:tcPr>
            <w:tcW w:w="17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0" w:type="dxa"/>
            <w:vAlign w:val="bottom"/>
          </w:tcPr>
          <w:p>
            <w:pPr>
              <w:spacing w:after="0"/>
              <w:rPr>
                <w:sz w:val="1"/>
                <w:szCs w:val="1"/>
                <w:color w:val="auto"/>
              </w:rPr>
            </w:pPr>
          </w:p>
        </w:tc>
      </w:tr>
      <w:tr>
        <w:trPr>
          <w:trHeight w:val="113"/>
        </w:trPr>
        <w:tc>
          <w:tcPr>
            <w:tcW w:w="19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Credit Suisse INTL</w:t>
            </w: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8"/>
              </w:rPr>
              <w:t>U.S. dollar</w:t>
            </w:r>
          </w:p>
        </w:tc>
        <w:tc>
          <w:tcPr>
            <w:tcW w:w="12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12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9"/>
              </w:rPr>
              <w:t>February 2016</w:t>
            </w:r>
          </w:p>
        </w:tc>
        <w:tc>
          <w:tcPr>
            <w:tcW w:w="11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156,418</w:t>
            </w: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cash</w:t>
            </w:r>
          </w:p>
        </w:tc>
        <w:tc>
          <w:tcPr>
            <w:tcW w:w="0" w:type="dxa"/>
            <w:vAlign w:val="bottom"/>
          </w:tcPr>
          <w:p>
            <w:pPr>
              <w:spacing w:after="0"/>
              <w:rPr>
                <w:sz w:val="1"/>
                <w:szCs w:val="1"/>
                <w:color w:val="auto"/>
              </w:rPr>
            </w:pPr>
          </w:p>
        </w:tc>
      </w:tr>
      <w:tr>
        <w:trPr>
          <w:trHeight w:val="113"/>
        </w:trPr>
        <w:tc>
          <w:tcPr>
            <w:tcW w:w="19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Brarclays PLC</w:t>
            </w:r>
          </w:p>
        </w:tc>
        <w:tc>
          <w:tcPr>
            <w:tcW w:w="120" w:type="dxa"/>
            <w:vAlign w:val="bottom"/>
          </w:tcPr>
          <w:p>
            <w:pPr>
              <w:spacing w:after="0"/>
              <w:rPr>
                <w:sz w:val="9"/>
                <w:szCs w:val="9"/>
                <w:color w:val="auto"/>
              </w:rPr>
            </w:pPr>
          </w:p>
        </w:tc>
        <w:tc>
          <w:tcPr>
            <w:tcW w:w="9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3"/>
                <w:szCs w:val="13"/>
                <w:color w:val="auto"/>
                <w:w w:val="98"/>
              </w:rPr>
              <w:t>U.S. dollar</w:t>
            </w:r>
          </w:p>
        </w:tc>
        <w:tc>
          <w:tcPr>
            <w:tcW w:w="12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120" w:type="dxa"/>
            <w:vAlign w:val="bottom"/>
          </w:tcPr>
          <w:p>
            <w:pPr>
              <w:spacing w:after="0"/>
              <w:rPr>
                <w:sz w:val="9"/>
                <w:szCs w:val="9"/>
                <w:color w:val="auto"/>
              </w:rPr>
            </w:pPr>
          </w:p>
        </w:tc>
        <w:tc>
          <w:tcPr>
            <w:tcW w:w="122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7"/>
              </w:rPr>
              <w:t>June 2016</w:t>
            </w: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275,707</w:t>
            </w:r>
          </w:p>
        </w:tc>
        <w:tc>
          <w:tcPr>
            <w:tcW w:w="17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and cash</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Yields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259,566</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160,606</w:t>
            </w: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13,835,500</w:t>
            </w: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13,176,793</w:t>
            </w: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53" w:name="page54"/>
    <w:bookmarkEnd w:id="53"/>
    <w:p>
      <w:pPr>
        <w:jc w:val="both"/>
        <w:ind w:right="80"/>
        <w:spacing w:after="0" w:line="268" w:lineRule="auto"/>
        <w:rPr>
          <w:sz w:val="20"/>
          <w:szCs w:val="20"/>
          <w:color w:val="auto"/>
        </w:rPr>
      </w:pPr>
      <w:r>
        <w:rPr>
          <w:rFonts w:ascii="Times New Roman" w:cs="Times New Roman" w:eastAsia="Times New Roman" w:hAnsi="Times New Roman"/>
          <w:sz w:val="16"/>
          <w:szCs w:val="16"/>
          <w:color w:val="auto"/>
        </w:rPr>
        <w:t>At December 31, 2016, said operations accrue interest at fixed and variable rates between 0.95 percent and 7.20 percent and between Libor L3M + 0.35 percent and Libor 6M + 1.90 percent, respectively, (between 3.00 percent and 7.20 percent and between Libor 3M + 0.35 percent and Libor 3M + 0.85 percent, respectively, at December 31, 2015).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repurchase agreements were hedged using interest rate swaps (IRS) and cross-currency swaps (CCS), as detailed below:</w:t>
      </w:r>
    </w:p>
    <w:p>
      <w:pPr>
        <w:spacing w:after="0" w:line="203" w:lineRule="exact"/>
        <w:rPr>
          <w:sz w:val="20"/>
          <w:szCs w:val="20"/>
          <w:color w:val="auto"/>
        </w:rPr>
      </w:pPr>
    </w:p>
    <w:p>
      <w:pPr>
        <w:ind w:left="560" w:right="80" w:hanging="553"/>
        <w:spacing w:after="0" w:line="268" w:lineRule="auto"/>
        <w:tabs>
          <w:tab w:leader="none" w:pos="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Group holds IRS which were designated as cash flow hedges of certain repurchase agreements at variable rate for a nominal amount of US$150.0 million, equivalent to S/503.4 million (US$150.0 million, equivalent to S/511.7 million, at December 31, 2015). By using these IRS, those repurchase agreements were economically converted to fixed interest rate, see note 12(b).</w:t>
      </w:r>
    </w:p>
    <w:p>
      <w:pPr>
        <w:spacing w:after="0" w:line="157" w:lineRule="exact"/>
        <w:rPr>
          <w:sz w:val="20"/>
          <w:szCs w:val="20"/>
          <w:color w:val="auto"/>
        </w:rPr>
      </w:pPr>
    </w:p>
    <w:p>
      <w:pPr>
        <w:ind w:left="560" w:right="120" w:hanging="553"/>
        <w:spacing w:after="0" w:line="268" w:lineRule="auto"/>
        <w:tabs>
          <w:tab w:leader="none" w:pos="5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Group maintains an IRS and a CCS, which were together designated as a cash flow hedge of a repurchase agreement in U.S. dollars at variable interest rate for a nominal amount of US$80.0 million, equivalent to S/268.5 million (approximately US$80.0 million, equivalent to S/272.9 million, at December 31, 2015). By means of the IRS and the CCS, said repurchase agreement was economically converted to soles at a fixed interest rate, see note 12(b).</w:t>
      </w:r>
    </w:p>
    <w:p>
      <w:pPr>
        <w:spacing w:after="0" w:line="157" w:lineRule="exact"/>
        <w:rPr>
          <w:sz w:val="20"/>
          <w:szCs w:val="20"/>
          <w:color w:val="auto"/>
        </w:rPr>
      </w:pPr>
    </w:p>
    <w:p>
      <w:pPr>
        <w:ind w:left="560" w:hanging="553"/>
        <w:spacing w:after="0" w:line="268" w:lineRule="auto"/>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December 31, 2016, </w:t>
      </w:r>
      <w:r>
        <w:rPr>
          <w:rFonts w:ascii="Times New Roman" w:cs="Times New Roman" w:eastAsia="Times New Roman" w:hAnsi="Times New Roman"/>
          <w:sz w:val="16"/>
          <w:szCs w:val="16"/>
          <w:color w:val="222222"/>
        </w:rPr>
        <w:t>the Group maintains a CCS which was designated as a cash flow hedge for a repurchase agreement in U.S. dollars at variable rate for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22222"/>
        </w:rPr>
        <w:t xml:space="preserve">nominal amount of </w:t>
      </w:r>
      <w:r>
        <w:rPr>
          <w:rFonts w:ascii="Times New Roman" w:cs="Times New Roman" w:eastAsia="Times New Roman" w:hAnsi="Times New Roman"/>
          <w:sz w:val="16"/>
          <w:szCs w:val="16"/>
          <w:color w:val="000000"/>
        </w:rPr>
        <w:t>US$70 million, equivalent to S/234.9 million (approximately US$70.0 million, equivalent to S/238.8 million, at December 31, 2015).</w:t>
      </w:r>
      <w:r>
        <w:rPr>
          <w:rFonts w:ascii="Times New Roman" w:cs="Times New Roman" w:eastAsia="Times New Roman" w:hAnsi="Times New Roman"/>
          <w:sz w:val="16"/>
          <w:szCs w:val="16"/>
          <w:color w:val="222222"/>
        </w:rPr>
        <w:t xml:space="preserve"> By means of the CCS, this repurchase agreement was economically converted to a fixed interest rate in soles see note 12(b).</w:t>
      </w:r>
    </w:p>
    <w:p>
      <w:pPr>
        <w:spacing w:after="0" w:line="157" w:lineRule="exact"/>
        <w:rPr>
          <w:sz w:val="20"/>
          <w:szCs w:val="20"/>
          <w:color w:val="auto"/>
        </w:rPr>
      </w:pPr>
    </w:p>
    <w:p>
      <w:pPr>
        <w:ind w:left="560" w:right="180" w:hanging="559"/>
        <w:spacing w:after="0" w:line="268" w:lineRule="auto"/>
        <w:tabs>
          <w:tab w:leader="none" w:pos="540" w:val="left"/>
        </w:tabs>
        <w:rPr>
          <w:sz w:val="20"/>
          <w:szCs w:val="20"/>
          <w:color w:val="auto"/>
        </w:rPr>
      </w:pPr>
      <w:r>
        <w:rPr>
          <w:rFonts w:ascii="Times New Roman" w:cs="Times New Roman" w:eastAsia="Times New Roman" w:hAnsi="Times New Roman"/>
          <w:sz w:val="16"/>
          <w:szCs w:val="16"/>
          <w:color w:val="auto"/>
        </w:rPr>
        <w:t>(****)</w:t>
        <w:tab/>
        <w:t>December 31, 2016, the Group maintains a CCS which was designated as a cash flow hedge of two repurchase agreements in U.S. dollars at variable rate for a nominal amount of US$45.0 million, equivalent to S/151.0 million. By means of the CCS, said repurchase agreements were economically converted to soles, see note 12(b).</w:t>
      </w:r>
    </w:p>
    <w:p>
      <w:pPr>
        <w:spacing w:after="0" w:line="157" w:lineRule="exact"/>
        <w:rPr>
          <w:sz w:val="20"/>
          <w:szCs w:val="20"/>
          <w:color w:val="auto"/>
        </w:rPr>
      </w:pPr>
    </w:p>
    <w:p>
      <w:pPr>
        <w:ind w:left="560" w:right="60" w:hanging="555"/>
        <w:spacing w:after="0" w:line="268" w:lineRule="auto"/>
        <w:rPr>
          <w:sz w:val="20"/>
          <w:szCs w:val="20"/>
          <w:color w:val="auto"/>
        </w:rPr>
      </w:pPr>
      <w:r>
        <w:rPr>
          <w:rFonts w:ascii="Times New Roman" w:cs="Times New Roman" w:eastAsia="Times New Roman" w:hAnsi="Times New Roman"/>
          <w:sz w:val="16"/>
          <w:szCs w:val="16"/>
          <w:color w:val="auto"/>
        </w:rPr>
        <w:t>(*****) At December 31, 2016, the Group maintains a CCS which was designated as a cash flow hedge of a repurchase agreement in U.S. dollars at variable rate for a nominal amount of US$25.0 million, equivalent to S/83.9 million. By means of the CCS, said repurchase agreement was economically converted to soles, see note 12(b).</w:t>
      </w:r>
    </w:p>
    <w:p>
      <w:pPr>
        <w:spacing w:after="0" w:line="3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20"/>
          </w:cols>
          <w:pgMar w:left="520" w:top="824" w:right="259" w:bottom="1440" w:gutter="0" w:footer="0" w:header="0"/>
        </w:sectPr>
      </w:pPr>
    </w:p>
    <w:bookmarkStart w:id="54" w:name="page55"/>
    <w:bookmarkEnd w:id="54"/>
    <w:p>
      <w:pPr>
        <w:ind w:left="583" w:hanging="583"/>
        <w:spacing w:after="0"/>
        <w:tabs>
          <w:tab w:leader="none" w:pos="583"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w:t>
      </w:r>
    </w:p>
    <w:p>
      <w:pPr>
        <w:spacing w:after="0" w:line="205" w:lineRule="exact"/>
        <w:rPr>
          <w:sz w:val="20"/>
          <w:szCs w:val="20"/>
          <w:color w:val="auto"/>
        </w:rPr>
      </w:pPr>
    </w:p>
    <w:p>
      <w:pPr>
        <w:ind w:left="283" w:hanging="283"/>
        <w:spacing w:after="0"/>
        <w:tabs>
          <w:tab w:leader="none" w:pos="283"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at fair value through profit or loss and available-for-sale investments consist of the following:</w:t>
      </w:r>
    </w:p>
    <w:p>
      <w:pPr>
        <w:sectPr>
          <w:pgSz w:w="11900" w:h="16838" w:orient="portrait"/>
          <w:cols w:equalWidth="0" w:num="1">
            <w:col w:w="11263"/>
          </w:cols>
          <w:pgMar w:left="237" w:top="8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3"/>
        <w:spacing w:after="0" w:line="226" w:lineRule="auto"/>
        <w:rPr>
          <w:sz w:val="20"/>
          <w:szCs w:val="20"/>
          <w:color w:val="auto"/>
        </w:rPr>
      </w:pPr>
      <w:r>
        <w:rPr>
          <w:rFonts w:ascii="Times New Roman" w:cs="Times New Roman" w:eastAsia="Times New Roman" w:hAnsi="Times New Roman"/>
          <w:sz w:val="13"/>
          <w:szCs w:val="13"/>
          <w:b w:val="1"/>
          <w:bCs w:val="1"/>
          <w:color w:val="auto"/>
        </w:rPr>
        <w:t>Investments at fair value through profit or loss (trading) (i)</w:t>
      </w:r>
    </w:p>
    <w:p>
      <w:pPr>
        <w:ind w:left="283"/>
        <w:spacing w:after="0"/>
        <w:rPr>
          <w:sz w:val="20"/>
          <w:szCs w:val="20"/>
          <w:color w:val="auto"/>
        </w:rPr>
      </w:pPr>
      <w:r>
        <w:rPr>
          <w:rFonts w:ascii="Times New Roman" w:cs="Times New Roman" w:eastAsia="Times New Roman" w:hAnsi="Times New Roman"/>
          <w:sz w:val="13"/>
          <w:szCs w:val="13"/>
          <w:color w:val="auto"/>
        </w:rPr>
        <w:t>Interests accrued</w:t>
      </w:r>
    </w:p>
    <w:p>
      <w:pPr>
        <w:spacing w:after="0" w:line="3"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105"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3"/>
          <w:szCs w:val="13"/>
          <w:b w:val="1"/>
          <w:bCs w:val="1"/>
          <w:color w:val="auto"/>
        </w:rPr>
        <w:t>Available-for-sale investments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66319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6319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Unrealized gross amount</w:t>
      </w:r>
    </w:p>
    <w:tbl>
      <w:tblPr>
        <w:tblLayout w:type="fixed"/>
        <w:tblInd w:w="0" w:type="dxa"/>
        <w:tblCellMar>
          <w:top w:w="0" w:type="dxa"/>
          <w:left w:w="0" w:type="dxa"/>
          <w:bottom w:w="0" w:type="dxa"/>
          <w:right w:w="0" w:type="dxa"/>
        </w:tblCellMar>
      </w:tblPr>
      <w:tr>
        <w:trPr>
          <w:trHeight w:val="103"/>
        </w:trPr>
        <w:tc>
          <w:tcPr>
            <w:tcW w:w="114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1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Profits</w:t>
            </w:r>
          </w:p>
        </w:tc>
        <w:tc>
          <w:tcPr>
            <w:tcW w:w="11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6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55"/>
        </w:trPr>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cost</w:t>
            </w:r>
          </w:p>
        </w:tc>
        <w:tc>
          <w:tcPr>
            <w:tcW w:w="110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1"/>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61595</wp:posOffset>
            </wp:positionV>
            <wp:extent cx="6969125" cy="168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69125" cy="1689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4,012,184</w:t>
            </w:r>
          </w:p>
        </w:tc>
      </w:tr>
      <w:tr>
        <w:trPr>
          <w:trHeight w:val="153"/>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w:t>
            </w:r>
          </w:p>
        </w:tc>
      </w:tr>
      <w:tr>
        <w:trPr>
          <w:trHeight w:val="159"/>
        </w:trPr>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4,015,019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-113030</wp:posOffset>
            </wp:positionV>
            <wp:extent cx="6969125" cy="920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69125" cy="92075"/>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62865</wp:posOffset>
            </wp:positionV>
            <wp:extent cx="6969125" cy="844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69125" cy="8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62509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2509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Unrealized gross amount</w:t>
      </w:r>
    </w:p>
    <w:tbl>
      <w:tblPr>
        <w:tblLayout w:type="fixed"/>
        <w:tblInd w:w="0" w:type="dxa"/>
        <w:tblCellMar>
          <w:top w:w="0" w:type="dxa"/>
          <w:left w:w="0" w:type="dxa"/>
          <w:bottom w:w="0" w:type="dxa"/>
          <w:right w:w="0" w:type="dxa"/>
        </w:tblCellMar>
      </w:tblPr>
      <w:tr>
        <w:trPr>
          <w:trHeight w:val="103"/>
        </w:trPr>
        <w:tc>
          <w:tcPr>
            <w:tcW w:w="86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3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Profits</w:t>
            </w:r>
          </w:p>
        </w:tc>
        <w:tc>
          <w:tcPr>
            <w:tcW w:w="10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8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55"/>
        </w:trPr>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2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2,320,492</w:t>
            </w:r>
          </w:p>
        </w:tc>
      </w:tr>
      <w:tr>
        <w:trPr>
          <w:trHeight w:val="153"/>
        </w:trPr>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w:t>
            </w:r>
          </w:p>
        </w:tc>
      </w:tr>
      <w:tr>
        <w:trPr>
          <w:trHeight w:val="159"/>
        </w:trPr>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2,323,096</w:t>
            </w:r>
          </w:p>
        </w:tc>
      </w:tr>
    </w:tbl>
    <w:p>
      <w:pPr>
        <w:spacing w:after="0" w:line="328" w:lineRule="exact"/>
        <w:rPr>
          <w:sz w:val="20"/>
          <w:szCs w:val="20"/>
          <w:color w:val="auto"/>
        </w:rPr>
      </w:pPr>
    </w:p>
    <w:p>
      <w:pPr>
        <w:sectPr>
          <w:pgSz w:w="11900" w:h="16838" w:orient="portrait"/>
          <w:cols w:equalWidth="0" w:num="3">
            <w:col w:w="2463" w:space="140"/>
            <w:col w:w="4200" w:space="220"/>
            <w:col w:w="4240"/>
          </w:cols>
          <w:pgMar w:left="237" w:top="822" w:right="399" w:bottom="1440" w:gutter="0" w:footer="0" w:header="0"/>
          <w:type w:val="continuous"/>
        </w:sectPr>
      </w:pPr>
    </w:p>
    <w:tbl>
      <w:tblPr>
        <w:tblLayout w:type="fixed"/>
        <w:tblInd w:w="283" w:type="dxa"/>
        <w:tblCellMar>
          <w:top w:w="0" w:type="dxa"/>
          <w:left w:w="0" w:type="dxa"/>
          <w:bottom w:w="0" w:type="dxa"/>
          <w:right w:w="0" w:type="dxa"/>
        </w:tblCellMar>
      </w:tblPr>
      <w:tr>
        <w:trPr>
          <w:trHeight w:val="14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leasing and subordinated bonds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7,902,688</w:t>
            </w:r>
          </w:p>
        </w:tc>
        <w:tc>
          <w:tcPr>
            <w:tcW w:w="2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268,421</w:t>
            </w:r>
          </w:p>
        </w:tc>
        <w:tc>
          <w:tcPr>
            <w:tcW w:w="110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(121,748)</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8,049,361</w:t>
            </w: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7,718,213</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207,182</w:t>
            </w:r>
          </w:p>
        </w:tc>
        <w:tc>
          <w:tcPr>
            <w:tcW w:w="108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(294,504)</w:t>
            </w: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7,630,891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(ii)</w:t>
            </w:r>
          </w:p>
        </w:tc>
        <w:tc>
          <w:tcPr>
            <w:tcW w:w="9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Certificates of deposit BCRP (iii)</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4,796,142</w:t>
            </w:r>
          </w:p>
        </w:tc>
        <w:tc>
          <w:tcPr>
            <w:tcW w:w="240" w:type="dxa"/>
            <w:vAlign w:val="bottom"/>
          </w:tcPr>
          <w:p>
            <w:pPr>
              <w:spacing w:after="0"/>
              <w:rPr>
                <w:sz w:val="11"/>
                <w:szCs w:val="11"/>
                <w:color w:val="auto"/>
              </w:rPr>
            </w:pP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6,466</w:t>
            </w:r>
          </w:p>
        </w:tc>
        <w:tc>
          <w:tcPr>
            <w:tcW w:w="11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4,802,608</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4,601,110</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727</w:t>
            </w:r>
          </w:p>
        </w:tc>
        <w:tc>
          <w:tcPr>
            <w:tcW w:w="10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(8,252)</w:t>
            </w: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4,593,585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Government Treasury Bonds (iv)</w:t>
            </w:r>
          </w:p>
        </w:tc>
        <w:tc>
          <w:tcPr>
            <w:tcW w:w="11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2,071,110</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174,567</w:t>
            </w:r>
          </w:p>
        </w:tc>
        <w:tc>
          <w:tcPr>
            <w:tcW w:w="11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(40,315)</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2,205,362</w:t>
            </w:r>
          </w:p>
        </w:tc>
        <w:tc>
          <w:tcPr>
            <w:tcW w:w="2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2,698,445</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131,055</w:t>
            </w:r>
          </w:p>
        </w:tc>
        <w:tc>
          <w:tcPr>
            <w:tcW w:w="10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(89,426)</w:t>
            </w:r>
          </w:p>
        </w:tc>
        <w:tc>
          <w:tcPr>
            <w:tcW w:w="9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2,740,074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Participation in RAL Fund (v)</w:t>
            </w:r>
          </w:p>
        </w:tc>
        <w:tc>
          <w:tcPr>
            <w:tcW w:w="11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650,803</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650,803</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695,234</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695,234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Securitization instruments (vi)</w:t>
            </w:r>
          </w:p>
        </w:tc>
        <w:tc>
          <w:tcPr>
            <w:tcW w:w="11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523,135</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19,136</w:t>
            </w:r>
          </w:p>
        </w:tc>
        <w:tc>
          <w:tcPr>
            <w:tcW w:w="11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(6,785)</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535,486</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334,265</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946</w:t>
            </w:r>
          </w:p>
        </w:tc>
        <w:tc>
          <w:tcPr>
            <w:tcW w:w="10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(10,797)</w:t>
            </w:r>
          </w:p>
        </w:tc>
        <w:tc>
          <w:tcPr>
            <w:tcW w:w="9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324,414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Restricted mutual funds (vii)</w:t>
            </w:r>
          </w:p>
        </w:tc>
        <w:tc>
          <w:tcPr>
            <w:tcW w:w="11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335,763</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32,655</w:t>
            </w:r>
          </w:p>
        </w:tc>
        <w:tc>
          <w:tcPr>
            <w:tcW w:w="11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368,418</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301,948</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33,816</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335,764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Participation in mutual funds</w:t>
            </w:r>
          </w:p>
        </w:tc>
        <w:tc>
          <w:tcPr>
            <w:tcW w:w="11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286,534</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10,060</w:t>
            </w:r>
          </w:p>
        </w:tc>
        <w:tc>
          <w:tcPr>
            <w:tcW w:w="11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(4,256)</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292,338</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164,897</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3,641</w:t>
            </w:r>
          </w:p>
        </w:tc>
        <w:tc>
          <w:tcPr>
            <w:tcW w:w="10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(7,691)</w:t>
            </w:r>
          </w:p>
        </w:tc>
        <w:tc>
          <w:tcPr>
            <w:tcW w:w="9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160,847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Multilateral organization bonds</w:t>
            </w:r>
          </w:p>
        </w:tc>
        <w:tc>
          <w:tcPr>
            <w:tcW w:w="11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194,906</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3,847</w:t>
            </w:r>
          </w:p>
        </w:tc>
        <w:tc>
          <w:tcPr>
            <w:tcW w:w="11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(2,157)</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196,596</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187,500</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5,770</w:t>
            </w:r>
          </w:p>
        </w:tc>
        <w:tc>
          <w:tcPr>
            <w:tcW w:w="10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(2,493)</w:t>
            </w: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190,777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Trading certificates of deposits</w:t>
            </w:r>
          </w:p>
        </w:tc>
        <w:tc>
          <w:tcPr>
            <w:tcW w:w="11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57,523</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2,889</w:t>
            </w:r>
          </w:p>
        </w:tc>
        <w:tc>
          <w:tcPr>
            <w:tcW w:w="11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(8)</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60,404</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123,069</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3,310</w:t>
            </w:r>
          </w:p>
        </w:tc>
        <w:tc>
          <w:tcPr>
            <w:tcW w:w="10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(79)</w:t>
            </w:r>
          </w:p>
        </w:tc>
        <w:tc>
          <w:tcPr>
            <w:tcW w:w="9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126,300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Mortgage-backed securities (CMO) (viii)</w:t>
            </w:r>
          </w:p>
        </w:tc>
        <w:tc>
          <w:tcPr>
            <w:tcW w:w="11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21,628</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7,618</w:t>
            </w:r>
          </w:p>
        </w:tc>
        <w:tc>
          <w:tcPr>
            <w:tcW w:w="11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29,246</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30,909</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8,275</w:t>
            </w:r>
          </w:p>
        </w:tc>
        <w:tc>
          <w:tcPr>
            <w:tcW w:w="10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w:t>
            </w: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39,180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Certificates of Banco Central de Bolivia</w:t>
            </w: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14,643</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14,643</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152,778</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519</w:t>
            </w:r>
          </w:p>
        </w:tc>
        <w:tc>
          <w:tcPr>
            <w:tcW w:w="108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153,293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(ix)</w:t>
            </w:r>
          </w:p>
        </w:tc>
        <w:tc>
          <w:tcPr>
            <w:tcW w:w="114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Real state funds</w:t>
            </w:r>
          </w:p>
        </w:tc>
        <w:tc>
          <w:tcPr>
            <w:tcW w:w="11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7,333</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7,333</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319</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Commercial paper in foreign entities</w:t>
            </w:r>
          </w:p>
        </w:tc>
        <w:tc>
          <w:tcPr>
            <w:tcW w:w="11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3,347</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(30)</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3,317</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17,260</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(9)</w:t>
            </w:r>
          </w:p>
        </w:tc>
        <w:tc>
          <w:tcPr>
            <w:tcW w:w="9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17,251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Commercial paper in peruvian entities</w:t>
            </w:r>
          </w:p>
        </w:tc>
        <w:tc>
          <w:tcPr>
            <w:tcW w:w="11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2,229</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w:t>
            </w:r>
          </w:p>
        </w:tc>
        <w:tc>
          <w:tcPr>
            <w:tcW w:w="11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2,235</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4,857</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4,857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U.S. Federal agency bonds</w:t>
            </w:r>
          </w:p>
        </w:tc>
        <w:tc>
          <w:tcPr>
            <w:tcW w:w="11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1,036</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131</w:t>
            </w:r>
          </w:p>
        </w:tc>
        <w:tc>
          <w:tcPr>
            <w:tcW w:w="11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1,167</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1,276</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157</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2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Hedge funds</w:t>
            </w:r>
          </w:p>
        </w:tc>
        <w:tc>
          <w:tcPr>
            <w:tcW w:w="9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87</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1,008</w:t>
            </w:r>
          </w:p>
        </w:tc>
        <w:tc>
          <w:tcPr>
            <w:tcW w:w="1100" w:type="dxa"/>
            <w:vAlign w:val="bottom"/>
            <w:gridSpan w:val="2"/>
          </w:tcPr>
          <w:p>
            <w:pPr>
              <w:jc w:val="right"/>
              <w:ind w:right="182"/>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1,095</w:t>
            </w:r>
          </w:p>
        </w:tc>
        <w:tc>
          <w:tcPr>
            <w:tcW w:w="10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134,631</w:t>
            </w:r>
          </w:p>
        </w:tc>
        <w:tc>
          <w:tcPr>
            <w:tcW w:w="11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3,559</w:t>
            </w:r>
          </w:p>
        </w:tc>
        <w:tc>
          <w:tcPr>
            <w:tcW w:w="108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(4,996)</w:t>
            </w:r>
          </w:p>
        </w:tc>
        <w:tc>
          <w:tcPr>
            <w:tcW w:w="90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133,194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3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16,868,907</w:t>
            </w:r>
          </w:p>
        </w:tc>
        <w:tc>
          <w:tcPr>
            <w:tcW w:w="240" w:type="dxa"/>
            <w:vAlign w:val="bottom"/>
          </w:tcPr>
          <w:p>
            <w:pPr>
              <w:spacing w:after="0"/>
              <w:rPr>
                <w:sz w:val="11"/>
                <w:szCs w:val="11"/>
                <w:color w:val="auto"/>
              </w:rPr>
            </w:pP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526,804</w:t>
            </w:r>
          </w:p>
        </w:tc>
        <w:tc>
          <w:tcPr>
            <w:tcW w:w="11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(175,299)</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17,220,412</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17,166,711</w:t>
            </w: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398,957</w:t>
            </w:r>
          </w:p>
        </w:tc>
        <w:tc>
          <w:tcPr>
            <w:tcW w:w="10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(418,255)</w:t>
            </w:r>
          </w:p>
        </w:tc>
        <w:tc>
          <w:tcPr>
            <w:tcW w:w="9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17,147,413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Shares -</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Listed (x)</w:t>
            </w:r>
          </w:p>
        </w:tc>
        <w:tc>
          <w:tcPr>
            <w:tcW w:w="11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568,930</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734,936</w:t>
            </w:r>
          </w:p>
        </w:tc>
        <w:tc>
          <w:tcPr>
            <w:tcW w:w="11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(3,101)</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1,300,765</w:t>
            </w:r>
          </w:p>
        </w:tc>
        <w:tc>
          <w:tcPr>
            <w:tcW w:w="2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809,494</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669,263</w:t>
            </w:r>
          </w:p>
        </w:tc>
        <w:tc>
          <w:tcPr>
            <w:tcW w:w="10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(32,209)</w:t>
            </w:r>
          </w:p>
        </w:tc>
        <w:tc>
          <w:tcPr>
            <w:tcW w:w="9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1,446,548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2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Non-listed</w:t>
            </w:r>
          </w:p>
        </w:tc>
        <w:tc>
          <w:tcPr>
            <w:tcW w:w="11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3"/>
                <w:szCs w:val="13"/>
                <w:color w:val="auto"/>
              </w:rPr>
              <w:t>6,098</w:t>
            </w:r>
          </w:p>
        </w:tc>
        <w:tc>
          <w:tcPr>
            <w:tcW w:w="11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637</w:t>
            </w:r>
          </w:p>
        </w:tc>
        <w:tc>
          <w:tcPr>
            <w:tcW w:w="1100" w:type="dxa"/>
            <w:vAlign w:val="bottom"/>
            <w:gridSpan w:val="2"/>
          </w:tcPr>
          <w:p>
            <w:pPr>
              <w:jc w:val="right"/>
              <w:ind w:right="182"/>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6,735</w:t>
            </w:r>
          </w:p>
        </w:tc>
        <w:tc>
          <w:tcPr>
            <w:tcW w:w="10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6,098</w:t>
            </w:r>
          </w:p>
        </w:tc>
        <w:tc>
          <w:tcPr>
            <w:tcW w:w="11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1,849</w:t>
            </w: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7,947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3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575,028</w:t>
            </w: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735,573</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(3,101</w:t>
            </w:r>
          </w:p>
        </w:tc>
        <w:tc>
          <w:tcPr>
            <w:tcW w:w="220" w:type="dxa"/>
            <w:vAlign w:val="bottom"/>
            <w:tcBorders>
              <w:top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1,307,500</w:t>
            </w: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815,592</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671,112</w:t>
            </w: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(32,209</w:t>
            </w:r>
          </w:p>
        </w:tc>
        <w:tc>
          <w:tcPr>
            <w:tcW w:w="220" w:type="dxa"/>
            <w:vAlign w:val="bottom"/>
            <w:tcBorders>
              <w:top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1,454,495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color w:val="auto"/>
              </w:rPr>
              <w:t>Balance before accrued interest</w:t>
            </w:r>
          </w:p>
        </w:tc>
        <w:tc>
          <w:tcPr>
            <w:tcW w:w="90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17,443,935</w:t>
            </w:r>
          </w:p>
        </w:tc>
        <w:tc>
          <w:tcPr>
            <w:tcW w:w="24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1,262,377</w:t>
            </w:r>
          </w:p>
        </w:tc>
        <w:tc>
          <w:tcPr>
            <w:tcW w:w="2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(178,400</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18,527,912</w:t>
            </w:r>
          </w:p>
        </w:tc>
        <w:tc>
          <w:tcPr>
            <w:tcW w:w="2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17,982,303</w:t>
            </w:r>
          </w:p>
        </w:tc>
        <w:tc>
          <w:tcPr>
            <w:tcW w:w="2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1,070,069</w:t>
            </w:r>
          </w:p>
        </w:tc>
        <w:tc>
          <w:tcPr>
            <w:tcW w:w="2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(450,464</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18,601,908</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Interest accrued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157,755</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167,013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18,685,667</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18,768,921</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2" w:right="399" w:bottom="1440" w:gutter="0" w:footer="0" w:header="0"/>
          <w:type w:val="continuous"/>
        </w:sectPr>
      </w:pPr>
    </w:p>
    <w:bookmarkStart w:id="55" w:name="page56"/>
    <w:bookmarkEnd w:id="55"/>
    <w:p>
      <w:pPr>
        <w:ind w:right="40"/>
        <w:spacing w:after="0" w:line="260" w:lineRule="auto"/>
        <w:rPr>
          <w:sz w:val="20"/>
          <w:szCs w:val="20"/>
          <w:color w:val="auto"/>
        </w:rPr>
      </w:pPr>
      <w:r>
        <w:rPr>
          <w:rFonts w:ascii="Times New Roman" w:cs="Times New Roman" w:eastAsia="Times New Roman" w:hAnsi="Times New Roman"/>
          <w:sz w:val="16"/>
          <w:szCs w:val="16"/>
          <w:color w:val="auto"/>
        </w:rPr>
        <w:t>The Management of Credicorp has determined that the unrealized losses of available-for-sale investments at December 31, 2016 and 2015 are of a temporary nature, considering factors such as intended strategy in relation to the identified security or portfolio, its underlying collateral and credit rating of the issuers. During 2016 as a result of the impairment assessment of its available-for-sale investments, the Group recorded an impairment loss of S/14.5 million (S/43.8 million and S/7.8 million during 2015 and 2014 respectively), which is shown in “Impairment loss on available-for-sale investments” in the consolidated statement of income. Also, Management has decided and has the ability to hold each investment for a period of time sufficient to allow for an anticipated recovery in fair value, until the earlier of its anticipated recovery or maturity.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movement of available-for-sale investments reserves, net of deferred income tax and non-controlling interest, is shown in note 18(c).</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During 2016, the Group reclassified instruments from the portfolio available-for-sale investments to investments held to maturity, which at the time of the transfer maintained an unrealized profit amounting to S/6.0 million recorded in equity (unrealized loss amounting to S/12.9 million and unrealized profit amounting to S/14.9 million, corresponding to the transfers made during the years 2015 and 2014, respectively). During the years 2016, 2015 and 2014 S/1.6 million, S/1.9 million and S/2.5 million, respectively, were amortized from unrealized results which are recorded in equity, and were transferred to the account “Net gain on sale of securities” of the consolidated statement of income. At December 31, 2016, unrealized profit amounting to S/2.1 million is held in equity, corresponding to the investments which were reclassified in category (unrealized loss amounting to S/2.3 million at December 31, 2015).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2016 and 2015, the maturities and annual market rates of available-for-sale investments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Annual effective interest rate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59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2015</w:t>
            </w:r>
          </w:p>
        </w:tc>
        <w:tc>
          <w:tcPr>
            <w:tcW w:w="120" w:type="dxa"/>
            <w:vAlign w:val="bottom"/>
          </w:tcPr>
          <w:p>
            <w:pPr>
              <w:spacing w:after="0"/>
              <w:rPr>
                <w:sz w:val="11"/>
                <w:szCs w:val="11"/>
                <w:color w:val="auto"/>
              </w:rPr>
            </w:pPr>
          </w:p>
        </w:tc>
        <w:tc>
          <w:tcPr>
            <w:tcW w:w="6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2016</w:t>
            </w: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2015</w:t>
            </w: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w:t>
            </w: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US$</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S/</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US$</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currencies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currencies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Min</w:t>
            </w:r>
          </w:p>
        </w:tc>
        <w:tc>
          <w:tcPr>
            <w:tcW w:w="580" w:type="dxa"/>
            <w:vAlign w:val="bottom"/>
            <w:tcBorders>
              <w:top w:val="single" w:sz="8" w:color="auto"/>
            </w:tcBorders>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Max</w:t>
            </w:r>
          </w:p>
        </w:tc>
        <w:tc>
          <w:tcPr>
            <w:tcW w:w="260" w:type="dxa"/>
            <w:vAlign w:val="bottom"/>
          </w:tcPr>
          <w:p>
            <w:pPr>
              <w:spacing w:after="0"/>
              <w:rPr>
                <w:sz w:val="8"/>
                <w:szCs w:val="8"/>
                <w:color w:val="auto"/>
              </w:rPr>
            </w:pPr>
          </w:p>
        </w:tc>
        <w:tc>
          <w:tcPr>
            <w:tcW w:w="58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Min</w:t>
            </w:r>
          </w:p>
        </w:tc>
        <w:tc>
          <w:tcPr>
            <w:tcW w:w="600" w:type="dxa"/>
            <w:vAlign w:val="bottom"/>
            <w:tcBorders>
              <w:top w:val="single" w:sz="8" w:color="auto"/>
            </w:tcBorders>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Max</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Min</w:t>
            </w:r>
          </w:p>
        </w:tc>
        <w:tc>
          <w:tcPr>
            <w:tcW w:w="520" w:type="dxa"/>
            <w:vAlign w:val="bottom"/>
            <w:tcBorders>
              <w:top w:val="single" w:sz="8" w:color="auto"/>
            </w:tcBorders>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Max</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jc w:val="right"/>
              <w:ind w:right="266"/>
              <w:spacing w:after="0" w:line="103" w:lineRule="exact"/>
              <w:rPr>
                <w:sz w:val="20"/>
                <w:szCs w:val="20"/>
                <w:color w:val="auto"/>
              </w:rPr>
            </w:pPr>
            <w:r>
              <w:rPr>
                <w:rFonts w:ascii="Times New Roman" w:cs="Times New Roman" w:eastAsia="Times New Roman" w:hAnsi="Times New Roman"/>
                <w:sz w:val="11"/>
                <w:szCs w:val="11"/>
                <w:b w:val="1"/>
                <w:bCs w:val="1"/>
                <w:color w:val="auto"/>
              </w:rPr>
              <w:t>Min</w:t>
            </w:r>
          </w:p>
        </w:tc>
        <w:tc>
          <w:tcPr>
            <w:tcW w:w="560" w:type="dxa"/>
            <w:vAlign w:val="bottom"/>
            <w:tcBorders>
              <w:top w:val="single" w:sz="8" w:color="auto"/>
            </w:tcBorders>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Max</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Min</w:t>
            </w:r>
          </w:p>
        </w:tc>
        <w:tc>
          <w:tcPr>
            <w:tcW w:w="560" w:type="dxa"/>
            <w:vAlign w:val="bottom"/>
            <w:tcBorders>
              <w:top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Max</w:t>
            </w: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Min</w:t>
            </w:r>
          </w:p>
        </w:tc>
        <w:tc>
          <w:tcPr>
            <w:tcW w:w="500" w:type="dxa"/>
            <w:vAlign w:val="bottom"/>
            <w:tcBorders>
              <w:top w:val="single" w:sz="8" w:color="auto"/>
            </w:tcBorders>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Max</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Corporate, leasing</w:t>
            </w:r>
          </w:p>
        </w:tc>
        <w:tc>
          <w:tcPr>
            <w:tcW w:w="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Jan-2017 / Feb-</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Jan-2016 / Feb-</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and</w:t>
            </w:r>
          </w:p>
        </w:tc>
        <w:tc>
          <w:tcPr>
            <w:tcW w:w="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2.88</w:t>
            </w: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10.21</w:t>
            </w:r>
          </w:p>
        </w:tc>
        <w:tc>
          <w:tcPr>
            <w:tcW w:w="5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0.16</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13.46</w:t>
            </w:r>
          </w:p>
        </w:tc>
        <w:tc>
          <w:tcPr>
            <w:tcW w:w="74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0.14</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9.06</w:t>
            </w:r>
          </w:p>
        </w:tc>
        <w:tc>
          <w:tcPr>
            <w:tcW w:w="6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3.56</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12.04</w:t>
            </w:r>
          </w:p>
        </w:tc>
        <w:tc>
          <w:tcPr>
            <w:tcW w:w="660" w:type="dxa"/>
            <w:vAlign w:val="bottom"/>
            <w:gridSpan w:val="2"/>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0.09</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12.00</w:t>
            </w:r>
          </w:p>
        </w:tc>
        <w:tc>
          <w:tcPr>
            <w:tcW w:w="6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1.05</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 bonds</w:t>
            </w:r>
          </w:p>
        </w:tc>
        <w:tc>
          <w:tcPr>
            <w:tcW w:w="9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9"/>
              </w:rPr>
              <w:t>2065</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2065</w:t>
            </w:r>
          </w:p>
        </w:tc>
        <w:tc>
          <w:tcPr>
            <w:tcW w:w="720" w:type="dxa"/>
            <w:vAlign w:val="bottom"/>
            <w:gridSpan w:val="3"/>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Certificates of deposit</w:t>
            </w:r>
          </w:p>
        </w:tc>
        <w:tc>
          <w:tcPr>
            <w:tcW w:w="60" w:type="dxa"/>
            <w:vAlign w:val="bottom"/>
          </w:tcPr>
          <w:p>
            <w:pPr>
              <w:spacing w:after="0"/>
              <w:rPr>
                <w:sz w:val="9"/>
                <w:szCs w:val="9"/>
                <w:color w:val="auto"/>
              </w:rPr>
            </w:pPr>
          </w:p>
        </w:tc>
        <w:tc>
          <w:tcPr>
            <w:tcW w:w="104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rPr>
              <w:t>Jan-2017 / May-</w:t>
            </w:r>
          </w:p>
        </w:tc>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w w:val="99"/>
              </w:rPr>
              <w:t>Jan-2016 / Jun-</w:t>
            </w:r>
          </w:p>
        </w:tc>
        <w:tc>
          <w:tcPr>
            <w:tcW w:w="72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4.27</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4.55</w:t>
            </w:r>
          </w:p>
        </w:tc>
        <w:tc>
          <w:tcPr>
            <w:tcW w:w="5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3"/>
                <w:szCs w:val="13"/>
                <w:color w:val="auto"/>
              </w:rPr>
              <w:t>3.14</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4.85</w:t>
            </w:r>
          </w:p>
        </w:tc>
        <w:tc>
          <w:tcPr>
            <w:tcW w:w="6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0.27</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0.32</w:t>
            </w: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BCRP</w:t>
            </w:r>
          </w:p>
        </w:tc>
        <w:tc>
          <w:tcPr>
            <w:tcW w:w="9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9"/>
              </w:rPr>
              <w:t>2018</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72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Government Treasury</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7"/>
              </w:rPr>
              <w:t>Jan-2017 / Feb-</w:t>
            </w:r>
          </w:p>
        </w:tc>
        <w:tc>
          <w:tcPr>
            <w:tcW w:w="9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w w:val="97"/>
              </w:rPr>
              <w:t>Jan-2016 / Feb-</w:t>
            </w:r>
          </w:p>
        </w:tc>
        <w:tc>
          <w:tcPr>
            <w:tcW w:w="720" w:type="dxa"/>
            <w:vAlign w:val="bottom"/>
            <w:gridSpan w:val="3"/>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1.83</w:t>
            </w: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7.13</w:t>
            </w:r>
          </w:p>
        </w:tc>
        <w:tc>
          <w:tcPr>
            <w:tcW w:w="5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0.33</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7.10</w:t>
            </w:r>
          </w:p>
        </w:tc>
        <w:tc>
          <w:tcPr>
            <w:tcW w:w="74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1.61</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7.85</w:t>
            </w:r>
          </w:p>
        </w:tc>
        <w:tc>
          <w:tcPr>
            <w:tcW w:w="660" w:type="dxa"/>
            <w:vAlign w:val="bottom"/>
            <w:gridSpan w:val="2"/>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0.12</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7.61</w:t>
            </w:r>
          </w:p>
        </w:tc>
        <w:tc>
          <w:tcPr>
            <w:tcW w:w="6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9.52</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bonds</w:t>
            </w:r>
          </w:p>
        </w:tc>
        <w:tc>
          <w:tcPr>
            <w:tcW w:w="9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9"/>
              </w:rPr>
              <w:t>2055</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2055</w:t>
            </w:r>
          </w:p>
        </w:tc>
        <w:tc>
          <w:tcPr>
            <w:tcW w:w="720" w:type="dxa"/>
            <w:vAlign w:val="bottom"/>
            <w:gridSpan w:val="3"/>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Securitization bonds</w:t>
            </w:r>
          </w:p>
        </w:tc>
        <w:tc>
          <w:tcPr>
            <w:tcW w:w="60" w:type="dxa"/>
            <w:vAlign w:val="bottom"/>
          </w:tcPr>
          <w:p>
            <w:pPr>
              <w:spacing w:after="0"/>
              <w:rPr>
                <w:sz w:val="9"/>
                <w:szCs w:val="9"/>
                <w:color w:val="auto"/>
              </w:rPr>
            </w:pPr>
          </w:p>
        </w:tc>
        <w:tc>
          <w:tcPr>
            <w:tcW w:w="104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7"/>
              </w:rPr>
              <w:t>Jan-2018 / Sep-</w:t>
            </w:r>
          </w:p>
        </w:tc>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w w:val="99"/>
              </w:rPr>
              <w:t>Jun-2018 / Sep-</w:t>
            </w:r>
          </w:p>
        </w:tc>
        <w:tc>
          <w:tcPr>
            <w:tcW w:w="72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4.75</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9.30</w:t>
            </w:r>
          </w:p>
        </w:tc>
        <w:tc>
          <w:tcPr>
            <w:tcW w:w="5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3.27</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9.76</w:t>
            </w:r>
          </w:p>
        </w:tc>
        <w:tc>
          <w:tcPr>
            <w:tcW w:w="74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3"/>
                <w:szCs w:val="13"/>
                <w:color w:val="auto"/>
              </w:rPr>
              <w:t>0.50</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8.44</w:t>
            </w:r>
          </w:p>
        </w:tc>
        <w:tc>
          <w:tcPr>
            <w:tcW w:w="66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3"/>
                <w:szCs w:val="13"/>
                <w:color w:val="auto"/>
              </w:rPr>
              <w:t>5.75</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9.91</w:t>
            </w:r>
          </w:p>
        </w:tc>
        <w:tc>
          <w:tcPr>
            <w:tcW w:w="6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3.40</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10.29</w:t>
            </w: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3.00</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8.44</w:t>
            </w:r>
          </w:p>
        </w:tc>
        <w:tc>
          <w:tcPr>
            <w:tcW w:w="0" w:type="dxa"/>
            <w:vAlign w:val="bottom"/>
          </w:tcPr>
          <w:p>
            <w:pPr>
              <w:spacing w:after="0"/>
              <w:rPr>
                <w:sz w:val="1"/>
                <w:szCs w:val="1"/>
                <w:color w:val="auto"/>
              </w:rPr>
            </w:pPr>
          </w:p>
        </w:tc>
      </w:tr>
      <w:tr>
        <w:trPr>
          <w:trHeight w:val="153"/>
        </w:trPr>
        <w:tc>
          <w:tcPr>
            <w:tcW w:w="1200" w:type="dxa"/>
            <w:vAlign w:val="bottom"/>
            <w:gridSpan w:val="2"/>
            <w:vMerge w:val="continue"/>
          </w:tcPr>
          <w:p>
            <w:pPr>
              <w:spacing w:after="0"/>
              <w:rPr>
                <w:sz w:val="13"/>
                <w:szCs w:val="13"/>
                <w:color w:val="auto"/>
              </w:rPr>
            </w:pPr>
          </w:p>
        </w:tc>
        <w:tc>
          <w:tcPr>
            <w:tcW w:w="9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9"/>
              </w:rPr>
              <w:t>2045</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2045</w:t>
            </w:r>
          </w:p>
        </w:tc>
        <w:tc>
          <w:tcPr>
            <w:tcW w:w="72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Certificates of</w:t>
            </w:r>
          </w:p>
        </w:tc>
        <w:tc>
          <w:tcPr>
            <w:tcW w:w="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Mar-2017 / Jun-</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Jan-2016 / Aug-</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deposits Banco</w:t>
            </w:r>
          </w:p>
        </w:tc>
        <w:tc>
          <w:tcPr>
            <w:tcW w:w="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0.10</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0.30</w:t>
            </w:r>
          </w:p>
        </w:tc>
        <w:tc>
          <w:tcPr>
            <w:tcW w:w="6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0.50</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Central de Bolivia</w:t>
            </w:r>
          </w:p>
        </w:tc>
        <w:tc>
          <w:tcPr>
            <w:tcW w:w="9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9"/>
              </w:rPr>
              <w:t>2017</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2016</w:t>
            </w:r>
          </w:p>
        </w:tc>
        <w:tc>
          <w:tcPr>
            <w:tcW w:w="720" w:type="dxa"/>
            <w:vAlign w:val="bottom"/>
            <w:gridSpan w:val="3"/>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Trading certificates of</w:t>
            </w:r>
          </w:p>
        </w:tc>
        <w:tc>
          <w:tcPr>
            <w:tcW w:w="60" w:type="dxa"/>
            <w:vAlign w:val="bottom"/>
          </w:tcPr>
          <w:p>
            <w:pPr>
              <w:spacing w:after="0"/>
              <w:rPr>
                <w:sz w:val="9"/>
                <w:szCs w:val="9"/>
                <w:color w:val="auto"/>
              </w:rPr>
            </w:pPr>
          </w:p>
        </w:tc>
        <w:tc>
          <w:tcPr>
            <w:tcW w:w="104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7"/>
              </w:rPr>
              <w:t>Jan-2017 / Feb-</w:t>
            </w:r>
          </w:p>
        </w:tc>
        <w:tc>
          <w:tcPr>
            <w:tcW w:w="9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w w:val="97"/>
              </w:rPr>
              <w:t>Jan-2016 / Feb-</w:t>
            </w:r>
          </w:p>
        </w:tc>
        <w:tc>
          <w:tcPr>
            <w:tcW w:w="72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2.10</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6.54</w:t>
            </w:r>
          </w:p>
        </w:tc>
        <w:tc>
          <w:tcPr>
            <w:tcW w:w="5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0.95</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1.98</w:t>
            </w:r>
          </w:p>
        </w:tc>
        <w:tc>
          <w:tcPr>
            <w:tcW w:w="74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3"/>
                <w:szCs w:val="13"/>
                <w:color w:val="auto"/>
              </w:rPr>
              <w:t>1.30</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6.25</w:t>
            </w:r>
          </w:p>
        </w:tc>
        <w:tc>
          <w:tcPr>
            <w:tcW w:w="66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3"/>
                <w:szCs w:val="13"/>
                <w:color w:val="auto"/>
              </w:rPr>
              <w:t>1.06</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4.62</w:t>
            </w:r>
          </w:p>
        </w:tc>
        <w:tc>
          <w:tcPr>
            <w:tcW w:w="6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1.30</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1.62</w:t>
            </w: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0.20</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7.80</w:t>
            </w:r>
          </w:p>
        </w:tc>
        <w:tc>
          <w:tcPr>
            <w:tcW w:w="0" w:type="dxa"/>
            <w:vAlign w:val="bottom"/>
          </w:tcPr>
          <w:p>
            <w:pPr>
              <w:spacing w:after="0"/>
              <w:rPr>
                <w:sz w:val="1"/>
                <w:szCs w:val="1"/>
                <w:color w:val="auto"/>
              </w:rPr>
            </w:pPr>
          </w:p>
        </w:tc>
      </w:tr>
      <w:tr>
        <w:trPr>
          <w:trHeight w:val="153"/>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deposits</w:t>
            </w:r>
          </w:p>
        </w:tc>
        <w:tc>
          <w:tcPr>
            <w:tcW w:w="9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9"/>
              </w:rPr>
              <w:t>2026</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72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Multilateral</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7"/>
              </w:rPr>
              <w:t>Jan-2017 / Feb-</w:t>
            </w:r>
          </w:p>
        </w:tc>
        <w:tc>
          <w:tcPr>
            <w:tcW w:w="9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Sep-2016 / Feb-</w:t>
            </w:r>
          </w:p>
        </w:tc>
        <w:tc>
          <w:tcPr>
            <w:tcW w:w="720" w:type="dxa"/>
            <w:vAlign w:val="bottom"/>
            <w:gridSpan w:val="3"/>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3.39</w:t>
            </w: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7.47</w:t>
            </w:r>
          </w:p>
        </w:tc>
        <w:tc>
          <w:tcPr>
            <w:tcW w:w="5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1.67</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3.31</w:t>
            </w:r>
          </w:p>
        </w:tc>
        <w:tc>
          <w:tcPr>
            <w:tcW w:w="74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3.00</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10.39</w:t>
            </w:r>
          </w:p>
        </w:tc>
        <w:tc>
          <w:tcPr>
            <w:tcW w:w="660" w:type="dxa"/>
            <w:vAlign w:val="bottom"/>
            <w:gridSpan w:val="2"/>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1.62</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2.79</w:t>
            </w:r>
          </w:p>
        </w:tc>
        <w:tc>
          <w:tcPr>
            <w:tcW w:w="6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organization bonds</w:t>
            </w:r>
          </w:p>
        </w:tc>
        <w:tc>
          <w:tcPr>
            <w:tcW w:w="9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9"/>
              </w:rPr>
              <w:t>2044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2044</w:t>
            </w:r>
          </w:p>
        </w:tc>
        <w:tc>
          <w:tcPr>
            <w:tcW w:w="720" w:type="dxa"/>
            <w:vAlign w:val="bottom"/>
            <w:gridSpan w:val="3"/>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Collateralized</w:t>
            </w:r>
          </w:p>
        </w:tc>
        <w:tc>
          <w:tcPr>
            <w:tcW w:w="60" w:type="dxa"/>
            <w:vAlign w:val="bottom"/>
          </w:tcPr>
          <w:p>
            <w:pPr>
              <w:spacing w:after="0"/>
              <w:rPr>
                <w:sz w:val="9"/>
                <w:szCs w:val="9"/>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9"/>
              </w:rPr>
              <w:t>Aug-2020 / Dec-</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Aug-2020 / Dec-</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mortgage obligations</w:t>
            </w:r>
          </w:p>
        </w:tc>
        <w:tc>
          <w:tcPr>
            <w:tcW w:w="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5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2.12</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9.79</w:t>
            </w:r>
          </w:p>
        </w:tc>
        <w:tc>
          <w:tcPr>
            <w:tcW w:w="74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2.24</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8.28</w:t>
            </w: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(CMO)</w:t>
            </w:r>
          </w:p>
        </w:tc>
        <w:tc>
          <w:tcPr>
            <w:tcW w:w="9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9"/>
              </w:rPr>
              <w:t>2036</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2036</w:t>
            </w:r>
          </w:p>
        </w:tc>
        <w:tc>
          <w:tcPr>
            <w:tcW w:w="7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U.S. Federal agency</w:t>
            </w:r>
          </w:p>
        </w:tc>
        <w:tc>
          <w:tcPr>
            <w:tcW w:w="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Aug-2035</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Aug-2035</w:t>
            </w:r>
          </w:p>
        </w:tc>
        <w:tc>
          <w:tcPr>
            <w:tcW w:w="720" w:type="dxa"/>
            <w:vAlign w:val="bottom"/>
            <w:gridSpan w:val="3"/>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1.47</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1.47</w:t>
            </w:r>
          </w:p>
        </w:tc>
        <w:tc>
          <w:tcPr>
            <w:tcW w:w="740" w:type="dxa"/>
            <w:vAlign w:val="bottom"/>
            <w:gridSpan w:val="2"/>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1.62</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1.62</w:t>
            </w:r>
          </w:p>
        </w:tc>
        <w:tc>
          <w:tcPr>
            <w:tcW w:w="6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bonds</w:t>
            </w:r>
          </w:p>
        </w:tc>
        <w:tc>
          <w:tcPr>
            <w:tcW w:w="6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Instruments issued by</w:t>
            </w: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Jul-2016 / Jul-</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Banco Central of</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5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rPr>
              <w:t>2.00</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4.78</w:t>
            </w: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countries</w:t>
            </w: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72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6" w:name="page57"/>
    <w:bookmarkEnd w:id="56"/>
    <w:p>
      <w:pPr>
        <w:ind w:left="393" w:right="440" w:hanging="393"/>
        <w:spacing w:after="0" w:line="268" w:lineRule="auto"/>
        <w:tabs>
          <w:tab w:leader="none" w:pos="39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balance includes mainly 23,265 BCRP certificates of deposit (securities issued at discount through public auctions, negotiated in the Peruvian secondary market and settled in soles) amounting to S/2,259.9 million, government treasury bonds for an amount of S/526.5 million, and bonds of international financial organizations for S/243.2 million (S/1,412.5 million, S/562.4 million and S/55.3 million, respectively, at December 31, 2015).</w:t>
      </w:r>
    </w:p>
    <w:p>
      <w:pPr>
        <w:spacing w:after="0" w:line="157" w:lineRule="exact"/>
        <w:rPr>
          <w:rFonts w:ascii="Times New Roman" w:cs="Times New Roman" w:eastAsia="Times New Roman" w:hAnsi="Times New Roman"/>
          <w:sz w:val="16"/>
          <w:szCs w:val="16"/>
          <w:color w:val="auto"/>
        </w:rPr>
      </w:pPr>
    </w:p>
    <w:p>
      <w:pPr>
        <w:ind w:left="393" w:hanging="393"/>
        <w:spacing w:after="0"/>
        <w:tabs>
          <w:tab w:leader="none" w:pos="39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most significant individual unrealized losses amounted to approximately S/17.7 million (S/15.6 million, at December 31, 2015).</w:t>
      </w:r>
    </w:p>
    <w:p>
      <w:pPr>
        <w:spacing w:after="0" w:line="202" w:lineRule="exact"/>
        <w:rPr>
          <w:rFonts w:ascii="Times New Roman" w:cs="Times New Roman" w:eastAsia="Times New Roman" w:hAnsi="Times New Roman"/>
          <w:sz w:val="16"/>
          <w:szCs w:val="16"/>
          <w:color w:val="auto"/>
        </w:rPr>
      </w:pPr>
    </w:p>
    <w:p>
      <w:pPr>
        <w:ind w:left="393" w:hanging="393"/>
        <w:spacing w:after="0"/>
        <w:tabs>
          <w:tab w:leader="none" w:pos="39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Group maintains 49,504 BCRP certificates of deposits (40,294 at December 31, 2015).</w:t>
      </w:r>
    </w:p>
    <w:p>
      <w:pPr>
        <w:spacing w:after="0" w:line="202" w:lineRule="exact"/>
        <w:rPr>
          <w:rFonts w:ascii="Times New Roman" w:cs="Times New Roman" w:eastAsia="Times New Roman" w:hAnsi="Times New Roman"/>
          <w:sz w:val="16"/>
          <w:szCs w:val="16"/>
          <w:color w:val="auto"/>
        </w:rPr>
      </w:pPr>
    </w:p>
    <w:p>
      <w:pPr>
        <w:ind w:left="393" w:right="80" w:hanging="393"/>
        <w:spacing w:after="0" w:line="263" w:lineRule="auto"/>
        <w:tabs>
          <w:tab w:leader="none" w:pos="39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includes mainly debt instruments issued by the Peruvian Government in Soles for a total of S/1,307.5 million and in U.S. dollars for a total of S/512.7 million, the U.S. Government in U.S Dollars for a total of S/26.9 million and the Colombian Government in U.S., dollars for a total of S/63.4 million (S/1,650.7 million, S/530.4 million, respectively, issued by the Peruvian Government, S/181.2 million issued by the U.S. Government, and S/246.7 million issued by the Colombian Government at December 31, 2015 ).</w:t>
      </w:r>
    </w:p>
    <w:p>
      <w:pPr>
        <w:spacing w:after="0" w:line="160" w:lineRule="exact"/>
        <w:rPr>
          <w:rFonts w:ascii="Times New Roman" w:cs="Times New Roman" w:eastAsia="Times New Roman" w:hAnsi="Times New Roman"/>
          <w:sz w:val="16"/>
          <w:szCs w:val="16"/>
          <w:color w:val="auto"/>
        </w:rPr>
      </w:pPr>
    </w:p>
    <w:p>
      <w:pPr>
        <w:ind w:left="3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treasury bonds were hedged through cross currency swaps (CCS) and interest rate swaps (IRS), as detailed bellow:</w:t>
      </w:r>
    </w:p>
    <w:p>
      <w:pPr>
        <w:spacing w:after="0" w:line="202" w:lineRule="exact"/>
        <w:rPr>
          <w:rFonts w:ascii="Times New Roman" w:cs="Times New Roman" w:eastAsia="Times New Roman" w:hAnsi="Times New Roman"/>
          <w:sz w:val="16"/>
          <w:szCs w:val="16"/>
          <w:color w:val="auto"/>
        </w:rPr>
      </w:pPr>
    </w:p>
    <w:p>
      <w:pPr>
        <w:jc w:val="both"/>
        <w:ind w:left="673" w:right="40" w:hanging="286"/>
        <w:spacing w:after="0" w:line="263" w:lineRule="auto"/>
        <w:tabs>
          <w:tab w:leader="none" w:pos="673"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Group maintains currency swaps (“Cross Currency Swap” or CCS) which were designated as hedges of certain corporate bonds for a nominal amount of S/236.3 million and certain foreign government bonds for S/167.8 million for a nominal amount with a similar principal at maturity, see note 12(b); by means of this CCS, these bonds were economically converted to Soles at fixed rate (S/235.1 million and S/170.6 million, respectively, at December 31, 2015).</w:t>
      </w:r>
    </w:p>
    <w:p>
      <w:pPr>
        <w:spacing w:after="0" w:line="160" w:lineRule="exact"/>
        <w:rPr>
          <w:rFonts w:ascii="Times New Roman" w:cs="Times New Roman" w:eastAsia="Times New Roman" w:hAnsi="Times New Roman"/>
          <w:sz w:val="16"/>
          <w:szCs w:val="16"/>
          <w:color w:val="auto"/>
        </w:rPr>
      </w:pPr>
    </w:p>
    <w:p>
      <w:pPr>
        <w:ind w:left="673" w:right="40" w:hanging="286"/>
        <w:spacing w:after="0" w:line="268" w:lineRule="auto"/>
        <w:tabs>
          <w:tab w:leader="none" w:pos="673"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Group maintains interest rate swaps, which have been designated as fair value hedges of certain Peruvian Government, corporate and international financial entity bonds denominated in U.S Dollars at fixed interest rate for a nominal amount of S/760.3 million (S/819.7 million at December 31, 2015), see note 12(b); through the IRS these bonds were economically converted to variable interest rates.</w:t>
      </w:r>
    </w:p>
    <w:p>
      <w:pPr>
        <w:spacing w:after="0" w:line="157" w:lineRule="exact"/>
        <w:rPr>
          <w:rFonts w:ascii="Times New Roman" w:cs="Times New Roman" w:eastAsia="Times New Roman" w:hAnsi="Times New Roman"/>
          <w:sz w:val="16"/>
          <w:szCs w:val="16"/>
          <w:color w:val="auto"/>
        </w:rPr>
      </w:pPr>
    </w:p>
    <w:p>
      <w:pPr>
        <w:ind w:left="393" w:right="40" w:hanging="393"/>
        <w:spacing w:after="0" w:line="268" w:lineRule="auto"/>
        <w:tabs>
          <w:tab w:leader="none" w:pos="39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funds total approximately 168.4 million in bolivianos and 482.4 million in U.S. dollars (159.8 million in bolivianos and 535.4 million U.S. dollars respectively at December 31, 2015) and comprise investments made by the Group in the Central Bank of Bolivia as collateral for deposits received from the public. These funds have restrictions for their use and are required from all banks in Bolivia.</w:t>
      </w:r>
    </w:p>
    <w:p>
      <w:pPr>
        <w:spacing w:after="0" w:line="157" w:lineRule="exact"/>
        <w:rPr>
          <w:rFonts w:ascii="Times New Roman" w:cs="Times New Roman" w:eastAsia="Times New Roman" w:hAnsi="Times New Roman"/>
          <w:sz w:val="16"/>
          <w:szCs w:val="16"/>
          <w:color w:val="auto"/>
        </w:rPr>
      </w:pPr>
    </w:p>
    <w:p>
      <w:pPr>
        <w:ind w:left="393" w:hanging="393"/>
        <w:spacing w:after="0" w:line="260" w:lineRule="auto"/>
        <w:tabs>
          <w:tab w:leader="none" w:pos="39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Asset-backed securities are secured by a specified pool of underlying assets and are mainly traded in the Peruvian over-the-counter market. Pools of underlying assets are made up of Accounts receivables with predictable future payments. As of December 31, 2016 and 2015, the balance includes S/175.3 million and S/39.8 million, respectively, of financial instruments issued by Hunt Oil Company (the originator). Additionally, at December 31, 2016 the balance includes S/81.6 million of asset-backed securities issued by Abengoa Transmisión Norte and S/94.5.million issued by Inmuebles Panamericana S.A. The underlying assets are future Accounts receivable from the sale of hydrocarbons extracted in Peru. At said dates, the bonds have semiannual payments until 2025.</w:t>
      </w:r>
    </w:p>
    <w:p>
      <w:pPr>
        <w:spacing w:after="0" w:line="357" w:lineRule="exact"/>
        <w:rPr>
          <w:rFonts w:ascii="Times New Roman" w:cs="Times New Roman" w:eastAsia="Times New Roman" w:hAnsi="Times New Roman"/>
          <w:sz w:val="16"/>
          <w:szCs w:val="16"/>
          <w:color w:val="auto"/>
        </w:rPr>
      </w:pPr>
    </w:p>
    <w:p>
      <w:pPr>
        <w:ind w:left="5353" w:hanging="94"/>
        <w:spacing w:after="0"/>
        <w:tabs>
          <w:tab w:leader="none" w:pos="5353"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093"/>
          </w:cols>
          <w:pgMar w:left="527" w:top="1042" w:right="279" w:bottom="1440" w:gutter="0" w:footer="0" w:header="0"/>
        </w:sectPr>
      </w:pPr>
    </w:p>
    <w:bookmarkStart w:id="57" w:name="page58"/>
    <w:bookmarkEnd w:id="57"/>
    <w:p>
      <w:pPr>
        <w:ind w:left="683" w:right="280" w:hanging="393"/>
        <w:spacing w:after="0" w:line="285" w:lineRule="auto"/>
        <w:tabs>
          <w:tab w:leader="none" w:pos="683"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mutual funds comprise the participation quotas in the private pension funds managed by the Group, and are maintained in compliance with the legal regulations in Peru. Their availability is restricted and the yield received is the same as that received by the private pension funds managed.</w:t>
      </w:r>
    </w:p>
    <w:p>
      <w:pPr>
        <w:spacing w:after="0" w:line="143" w:lineRule="exact"/>
        <w:rPr>
          <w:rFonts w:ascii="Times New Roman" w:cs="Times New Roman" w:eastAsia="Times New Roman" w:hAnsi="Times New Roman"/>
          <w:sz w:val="16"/>
          <w:szCs w:val="16"/>
          <w:color w:val="auto"/>
        </w:rPr>
      </w:pPr>
    </w:p>
    <w:p>
      <w:pPr>
        <w:ind w:left="683" w:hanging="393"/>
        <w:spacing w:after="0"/>
        <w:tabs>
          <w:tab w:leader="none" w:pos="683"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Collateralized mortgage obligations correspond to senior tranches (“Senior Tranches”).</w:t>
      </w:r>
    </w:p>
    <w:p>
      <w:pPr>
        <w:spacing w:after="0" w:line="202" w:lineRule="exact"/>
        <w:rPr>
          <w:rFonts w:ascii="Times New Roman" w:cs="Times New Roman" w:eastAsia="Times New Roman" w:hAnsi="Times New Roman"/>
          <w:sz w:val="16"/>
          <w:szCs w:val="16"/>
          <w:color w:val="auto"/>
        </w:rPr>
      </w:pPr>
    </w:p>
    <w:p>
      <w:pPr>
        <w:ind w:left="683" w:hanging="393"/>
        <w:spacing w:after="0"/>
        <w:tabs>
          <w:tab w:leader="none" w:pos="683"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certificates of deposit issued by the Central Bank of Bolivia are mainly denominated in Bolivianos.</w:t>
      </w:r>
    </w:p>
    <w:p>
      <w:pPr>
        <w:spacing w:after="0" w:line="202" w:lineRule="exact"/>
        <w:rPr>
          <w:rFonts w:ascii="Times New Roman" w:cs="Times New Roman" w:eastAsia="Times New Roman" w:hAnsi="Times New Roman"/>
          <w:sz w:val="16"/>
          <w:szCs w:val="16"/>
          <w:color w:val="auto"/>
        </w:rPr>
      </w:pPr>
    </w:p>
    <w:p>
      <w:pPr>
        <w:ind w:left="683" w:hanging="393"/>
        <w:spacing w:after="0" w:line="285" w:lineRule="auto"/>
        <w:tabs>
          <w:tab w:leader="none" w:pos="683"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7, 2016, Credicorp signed a Memorandum of Understanding (MOU) with Banco de Crédito e Inversiones de Chile (hereinafter “BCI Chile”), in which, as a minority shareholder with a 4.06 percent participation in BCI Chile, it stated its intention to sell up to 50.0 percent of said shares.</w:t>
      </w:r>
    </w:p>
    <w:p>
      <w:pPr>
        <w:spacing w:after="0" w:line="143" w:lineRule="exact"/>
        <w:rPr>
          <w:rFonts w:ascii="Times New Roman" w:cs="Times New Roman" w:eastAsia="Times New Roman" w:hAnsi="Times New Roman"/>
          <w:sz w:val="16"/>
          <w:szCs w:val="16"/>
          <w:color w:val="auto"/>
        </w:rPr>
      </w:pPr>
    </w:p>
    <w:p>
      <w:pPr>
        <w:ind w:left="683" w:right="4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Credicorp undertook not to sell the remaining 50.0 percent of its shares in BCI Chile during the period of 180 calendar days subsequent to the expiry date of the preferred option of BCI Chile which forms part of the applicable regulations in Chile. The preferred subscription period began on March 21, 2016.</w:t>
      </w:r>
    </w:p>
    <w:p>
      <w:pPr>
        <w:spacing w:after="0" w:line="143" w:lineRule="exact"/>
        <w:rPr>
          <w:rFonts w:ascii="Times New Roman" w:cs="Times New Roman" w:eastAsia="Times New Roman" w:hAnsi="Times New Roman"/>
          <w:sz w:val="16"/>
          <w:szCs w:val="16"/>
          <w:color w:val="auto"/>
        </w:rPr>
      </w:pPr>
    </w:p>
    <w:p>
      <w:pPr>
        <w:ind w:left="683" w:right="1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Accordingly, on April 22, 2016, Credicorp sold 50.0 percent of the shares which it held in BCI Chile (2,248,593 shares) through Credicorp Capital Corredores de Bolsa, at a price of CLP 27,500 (US$41.6) per share, generating cash for approximately US$94.0 million, equivalent to S/302 million. Said sale generated a profit of approximately S/124.7 million.</w:t>
      </w:r>
    </w:p>
    <w:p>
      <w:pPr>
        <w:spacing w:after="0" w:line="157" w:lineRule="exact"/>
        <w:rPr>
          <w:rFonts w:ascii="Times New Roman" w:cs="Times New Roman" w:eastAsia="Times New Roman" w:hAnsi="Times New Roman"/>
          <w:sz w:val="16"/>
          <w:szCs w:val="16"/>
          <w:color w:val="auto"/>
        </w:rPr>
      </w:pPr>
    </w:p>
    <w:p>
      <w:pPr>
        <w:ind w:left="683" w:right="1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net unrealized gain on listed securities arises mainly from shares in Edelnor S.A.A., Alicorp S.A.A., Banco de Crédito e Inversiones de Chile (BCI Chile), and Inversiones Centenario S.A.A. and totaled S/141.6 million, S/109.4 million, S/81.2 million and S/166.5 million, respectively (S/93.0 million, S/70.6 million, S/236.1 million and S/285.1 million, respectively, at December 31, 2015).</w:t>
      </w:r>
    </w:p>
    <w:p>
      <w:pPr>
        <w:spacing w:after="0" w:line="157"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Held-to-maturity Investments consist of the following:</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7"/>
        </w:trPr>
        <w:tc>
          <w:tcPr>
            <w:tcW w:w="5400" w:type="dxa"/>
            <w:vAlign w:val="bottom"/>
          </w:tcPr>
          <w:p>
            <w:pPr>
              <w:spacing w:after="0"/>
              <w:rPr>
                <w:sz w:val="14"/>
                <w:szCs w:val="14"/>
                <w:color w:val="auto"/>
              </w:rPr>
            </w:pPr>
          </w:p>
        </w:tc>
        <w:tc>
          <w:tcPr>
            <w:tcW w:w="13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2"/>
        </w:trPr>
        <w:tc>
          <w:tcPr>
            <w:tcW w:w="54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4"/>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7"/>
                <w:szCs w:val="17"/>
                <w:color w:val="auto"/>
              </w:rPr>
            </w:pPr>
          </w:p>
        </w:tc>
      </w:tr>
      <w:tr>
        <w:trPr>
          <w:trHeight w:val="175"/>
        </w:trPr>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Peruvian sovereign bonds</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4,016,340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4,099,001</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2,293,048</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2,163,815</w:t>
            </w:r>
          </w:p>
        </w:tc>
        <w:tc>
          <w:tcPr>
            <w:tcW w:w="80" w:type="dxa"/>
            <w:vAlign w:val="bottom"/>
            <w:shd w:val="clear" w:color="auto" w:fill="CCEEFF"/>
          </w:tcPr>
          <w:p>
            <w:pPr>
              <w:spacing w:after="0"/>
              <w:rPr>
                <w:sz w:val="16"/>
                <w:szCs w:val="16"/>
                <w:color w:val="auto"/>
              </w:rPr>
            </w:pPr>
          </w:p>
        </w:tc>
      </w:t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Bonds of foreign governements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333,133</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336,397</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314,247</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293,892</w:t>
            </w:r>
          </w:p>
        </w:tc>
        <w:tc>
          <w:tcPr>
            <w:tcW w:w="80" w:type="dxa"/>
            <w:vAlign w:val="bottom"/>
          </w:tcPr>
          <w:p>
            <w:pPr>
              <w:spacing w:after="0"/>
              <w:rPr>
                <w:sz w:val="16"/>
                <w:szCs w:val="16"/>
                <w:color w:val="auto"/>
              </w:rPr>
            </w:pPr>
          </w:p>
        </w:tc>
      </w:tr>
      <w:tr>
        <w:trPr>
          <w:trHeight w:val="19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Peruvian treasury bonds</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234,884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240,166</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759,737</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730,035</w:t>
            </w:r>
          </w:p>
        </w:tc>
        <w:tc>
          <w:tcPr>
            <w:tcW w:w="80" w:type="dxa"/>
            <w:vAlign w:val="bottom"/>
            <w:shd w:val="clear" w:color="auto" w:fill="CCEEFF"/>
          </w:tcPr>
          <w:p>
            <w:pPr>
              <w:spacing w:after="0"/>
              <w:rPr>
                <w:sz w:val="16"/>
                <w:szCs w:val="16"/>
                <w:color w:val="auto"/>
              </w:rPr>
            </w:pPr>
          </w:p>
        </w:tc>
      </w:t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277,998</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284,028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Certificates of payment on work progress (CRPAO for its Spanish acronym) (*)</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154,449</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154,496</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135,550</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132,955</w:t>
            </w:r>
          </w:p>
        </w:tc>
        <w:tc>
          <w:tcPr>
            <w:tcW w:w="80" w:type="dxa"/>
            <w:vAlign w:val="bottom"/>
            <w:shd w:val="clear" w:color="auto" w:fill="CCEEFF"/>
          </w:tcPr>
          <w:p>
            <w:pPr>
              <w:spacing w:after="0"/>
              <w:rPr>
                <w:sz w:val="17"/>
                <w:szCs w:val="17"/>
                <w:color w:val="auto"/>
              </w:rPr>
            </w:pPr>
          </w:p>
        </w:tc>
      </w:tr>
      <w:tr>
        <w:trPr>
          <w:trHeight w:val="185"/>
        </w:trPr>
        <w:tc>
          <w:tcPr>
            <w:tcW w:w="540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5,016,804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5,114,088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3,502,582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3,320,697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101,616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101,616</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79,547</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79,547</w:t>
            </w:r>
          </w:p>
        </w:tc>
        <w:tc>
          <w:tcPr>
            <w:tcW w:w="80" w:type="dxa"/>
            <w:vAlign w:val="bottom"/>
            <w:shd w:val="clear" w:color="auto" w:fill="CCEEFF"/>
          </w:tcPr>
          <w:p>
            <w:pPr>
              <w:spacing w:after="0"/>
              <w:rPr>
                <w:sz w:val="17"/>
                <w:szCs w:val="17"/>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5,118,420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5,215,704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3,582,129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3,400,244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77" w:lineRule="exact"/>
        <w:rPr>
          <w:sz w:val="20"/>
          <w:szCs w:val="20"/>
          <w:color w:val="auto"/>
        </w:rPr>
      </w:pPr>
    </w:p>
    <w:p>
      <w:pPr>
        <w:ind w:left="283" w:right="80"/>
        <w:spacing w:after="0" w:line="263" w:lineRule="auto"/>
        <w:rPr>
          <w:sz w:val="20"/>
          <w:szCs w:val="20"/>
          <w:color w:val="auto"/>
        </w:rPr>
      </w:pPr>
      <w:r>
        <w:rPr>
          <w:rFonts w:ascii="Times New Roman" w:cs="Times New Roman" w:eastAsia="Times New Roman" w:hAnsi="Times New Roman"/>
          <w:sz w:val="16"/>
          <w:szCs w:val="16"/>
          <w:color w:val="auto"/>
        </w:rPr>
        <w:t>At December 31, 2016, these investments have maturities between August 2017 and February 2042, accruing interest at an annual effective interest rate between 1.87 percent and 7.12 percent on bonds denominated in soles and between 0.47 percent and 6.03 percent on bonds in U.S. dollar (at December 31, 2015 they show maturities between August 2017 and February 2042, bearing interest at an effective annual interest rate of 4.50 and 7.80 percent on bonds denominated in Peruvian soles and between 1.82 percent and 5.40 percent per year on bonds in U.S. dollars).</w:t>
      </w:r>
    </w:p>
    <w:p>
      <w:pPr>
        <w:spacing w:after="0" w:line="35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58" w:name="page59"/>
    <w:bookmarkEnd w:id="58"/>
    <w:p>
      <w:pPr>
        <w:ind w:left="283" w:right="560"/>
        <w:spacing w:after="0" w:line="285" w:lineRule="auto"/>
        <w:rPr>
          <w:sz w:val="20"/>
          <w:szCs w:val="20"/>
          <w:color w:val="auto"/>
        </w:rPr>
      </w:pPr>
      <w:r>
        <w:rPr>
          <w:rFonts w:ascii="Times New Roman" w:cs="Times New Roman" w:eastAsia="Times New Roman" w:hAnsi="Times New Roman"/>
          <w:sz w:val="16"/>
          <w:szCs w:val="16"/>
          <w:color w:val="auto"/>
        </w:rPr>
        <w:t>At December 31, 2016 and 2015, Credicorp Management has determined that the difference between amortized cost and fair value of held-to-maturity investment is temporary in nature and Credicorp has the intention and ability to hold each of these investments until its maturity.</w:t>
      </w:r>
    </w:p>
    <w:p>
      <w:pPr>
        <w:spacing w:after="0" w:line="143" w:lineRule="exact"/>
        <w:rPr>
          <w:sz w:val="20"/>
          <w:szCs w:val="20"/>
          <w:color w:val="auto"/>
        </w:rPr>
      </w:pPr>
    </w:p>
    <w:p>
      <w:pPr>
        <w:ind w:left="283" w:right="260"/>
        <w:spacing w:after="0" w:line="268" w:lineRule="auto"/>
        <w:rPr>
          <w:sz w:val="20"/>
          <w:szCs w:val="20"/>
          <w:color w:val="auto"/>
        </w:rPr>
      </w:pPr>
      <w:r>
        <w:rPr>
          <w:rFonts w:ascii="Times New Roman" w:cs="Times New Roman" w:eastAsia="Times New Roman" w:hAnsi="Times New Roman"/>
          <w:sz w:val="16"/>
          <w:szCs w:val="16"/>
          <w:color w:val="auto"/>
        </w:rPr>
        <w:t>At December 31, 2016 the Group has entered into repurchase agreements transactions over corporate, multilateral development banks and foreign government bonds accounted for as available-for-sale investments for an estimated fair value of S/1,763.6 million (S/2,015.9 million at December 31, 2015), of which the related liability is presented in “Payables from repurchase agreements and security lending” of the consolidated statement of financial position, see note 5(c).</w:t>
      </w:r>
    </w:p>
    <w:p>
      <w:pPr>
        <w:spacing w:after="0" w:line="157" w:lineRule="exact"/>
        <w:rPr>
          <w:sz w:val="20"/>
          <w:szCs w:val="20"/>
          <w:color w:val="auto"/>
        </w:rPr>
      </w:pPr>
    </w:p>
    <w:p>
      <w:pPr>
        <w:ind w:left="283" w:right="320"/>
        <w:spacing w:after="0" w:line="268" w:lineRule="auto"/>
        <w:rPr>
          <w:sz w:val="20"/>
          <w:szCs w:val="20"/>
          <w:color w:val="auto"/>
        </w:rPr>
      </w:pPr>
      <w:r>
        <w:rPr>
          <w:rFonts w:ascii="Times New Roman" w:cs="Times New Roman" w:eastAsia="Times New Roman" w:hAnsi="Times New Roman"/>
          <w:sz w:val="16"/>
          <w:szCs w:val="16"/>
          <w:color w:val="auto"/>
        </w:rPr>
        <w:t>Also, at December 31, 2016, the Group maintains repurchase agreements transactions over held-to-maturity investments for an estimated fair value of S/2,061.6 million (S/1,989.8 million at December 31, 2015) as described in paragraph above. The related liability is presented in “Payables from repurchase agreements and security lendings” of the consolidated statement of financial position, see note 5(c).</w:t>
      </w:r>
    </w:p>
    <w:p>
      <w:pPr>
        <w:spacing w:after="0" w:line="157" w:lineRule="exact"/>
        <w:rPr>
          <w:sz w:val="20"/>
          <w:szCs w:val="20"/>
          <w:color w:val="auto"/>
        </w:rPr>
      </w:pPr>
    </w:p>
    <w:p>
      <w:pPr>
        <w:ind w:left="583" w:right="100" w:hanging="293"/>
        <w:spacing w:after="0" w:line="263" w:lineRule="auto"/>
        <w:tabs>
          <w:tab w:leader="none" w:pos="583"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249 certificates of Annual Recognition of Payment for Work Progress (CRPAO from Spanish acronym) issued by the Government of Peru to finance projects and concessions, said issuance is a mechanism established in the concession agreement signed between the State and the concessionaire, which allows the latter to obtain financing to continue with the works undertaken. The investment in CRPAOs amounts to S/154.4 million with maturities between January 2017 and April 2026, accruing interest at an annual effective rate between 3.01 percent and 6.02 percent.</w:t>
      </w:r>
    </w:p>
    <w:p>
      <w:pPr>
        <w:spacing w:after="0" w:line="160"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shows the balance of investments, by maturity groupings,before accrued interest:</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600" w:type="dxa"/>
            <w:vAlign w:val="bottom"/>
            <w:gridSpan w:val="2"/>
          </w:tcPr>
          <w:p>
            <w:pPr>
              <w:ind w:left="33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7"/>
        </w:trPr>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100"/>
              <w:spacing w:after="0" w:line="168" w:lineRule="exact"/>
              <w:rPr>
                <w:sz w:val="20"/>
                <w:szCs w:val="20"/>
                <w:color w:val="auto"/>
              </w:rPr>
            </w:pPr>
            <w:r>
              <w:rPr>
                <w:rFonts w:ascii="Times New Roman" w:cs="Times New Roman" w:eastAsia="Times New Roman" w:hAnsi="Times New Roman"/>
                <w:sz w:val="16"/>
                <w:szCs w:val="16"/>
                <w:b w:val="1"/>
                <w:bCs w:val="1"/>
                <w:color w:val="auto"/>
              </w:rPr>
              <w:t>Available for</w:t>
            </w:r>
          </w:p>
        </w:tc>
        <w:tc>
          <w:tcPr>
            <w:tcW w:w="120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Held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7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sale</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Until 3 months</w:t>
            </w:r>
          </w:p>
        </w:tc>
        <w:tc>
          <w:tcPr>
            <w:tcW w:w="4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341,995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1,260,163</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17,655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From 3 months to 1 year</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1,723,578</w:t>
            </w: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2,835,467</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807,319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1 to 3 years</w:t>
            </w:r>
          </w:p>
        </w:tc>
        <w:tc>
          <w:tcPr>
            <w:tcW w:w="4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1,166,274</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2,930,790</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956,812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From 3 to 5 years</w:t>
            </w:r>
          </w:p>
        </w:tc>
        <w:tc>
          <w:tcPr>
            <w:tcW w:w="4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329,590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1,361,623</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1,082,244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5 years</w:t>
            </w:r>
          </w:p>
        </w:tc>
        <w:tc>
          <w:tcPr>
            <w:tcW w:w="4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324,417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7,519,714</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2,152,774</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Without maturity</w:t>
            </w:r>
          </w:p>
        </w:tc>
        <w:tc>
          <w:tcPr>
            <w:tcW w:w="4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126,330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2,620,155</w:t>
            </w:r>
          </w:p>
        </w:tc>
        <w:tc>
          <w:tcPr>
            <w:tcW w:w="2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198"/>
        </w:trPr>
        <w:tc>
          <w:tcPr>
            <w:tcW w:w="28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4,012,184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18,527,912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5,016,804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0" w:type="dxa"/>
            <w:vAlign w:val="bottom"/>
            <w:gridSpan w:val="2"/>
          </w:tcPr>
          <w:p>
            <w:pPr>
              <w:ind w:left="33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7"/>
        </w:trPr>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100"/>
              <w:spacing w:after="0" w:line="168" w:lineRule="exact"/>
              <w:rPr>
                <w:sz w:val="20"/>
                <w:szCs w:val="20"/>
                <w:color w:val="auto"/>
              </w:rPr>
            </w:pPr>
            <w:r>
              <w:rPr>
                <w:rFonts w:ascii="Times New Roman" w:cs="Times New Roman" w:eastAsia="Times New Roman" w:hAnsi="Times New Roman"/>
                <w:sz w:val="16"/>
                <w:szCs w:val="16"/>
                <w:b w:val="1"/>
                <w:bCs w:val="1"/>
                <w:color w:val="auto"/>
              </w:rPr>
              <w:t>Available for</w:t>
            </w:r>
          </w:p>
        </w:tc>
        <w:tc>
          <w:tcPr>
            <w:tcW w:w="120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Held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7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sale</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720" w:type="dxa"/>
            <w:vAlign w:val="bottom"/>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 to 3 months</w:t>
            </w:r>
          </w:p>
        </w:tc>
        <w:tc>
          <w:tcPr>
            <w:tcW w:w="4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929,653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2,743,417</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4,926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From 3 months to 1 year</w:t>
            </w:r>
          </w:p>
        </w:tc>
        <w:tc>
          <w:tcPr>
            <w:tcW w:w="4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495,297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2,250,354</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14,548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1 to 3 years</w:t>
            </w:r>
          </w:p>
        </w:tc>
        <w:tc>
          <w:tcPr>
            <w:tcW w:w="4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322,577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2,673,775</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803,179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From 3 to 5 years</w:t>
            </w:r>
          </w:p>
        </w:tc>
        <w:tc>
          <w:tcPr>
            <w:tcW w:w="4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210,752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1,422,860</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1,570,776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5 years</w:t>
            </w:r>
          </w:p>
        </w:tc>
        <w:tc>
          <w:tcPr>
            <w:tcW w:w="4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257,753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6,731,968</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1,109,153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Without maturity</w:t>
            </w:r>
          </w:p>
        </w:tc>
        <w:tc>
          <w:tcPr>
            <w:tcW w:w="4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104,460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2,779,534</w:t>
            </w:r>
          </w:p>
        </w:tc>
        <w:tc>
          <w:tcPr>
            <w:tcW w:w="2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44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2,320,492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18,601,908</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3,502,582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rPr>
              <w:t>- 60 -</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4" w:right="219" w:bottom="1440" w:gutter="0" w:footer="0" w:header="0"/>
        </w:sectPr>
      </w:pPr>
    </w:p>
    <w:bookmarkStart w:id="59" w:name="page60"/>
    <w:bookmarkEnd w:id="59"/>
    <w:p>
      <w:pPr>
        <w:ind w:left="583" w:hanging="583"/>
        <w:spacing w:after="0"/>
        <w:tabs>
          <w:tab w:leader="none" w:pos="583"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LOANS, NET</w:t>
      </w:r>
    </w:p>
    <w:p>
      <w:pPr>
        <w:spacing w:after="0" w:line="205"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a)</w:t>
            </w: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r>
      <w:tr>
        <w:trPr>
          <w:trHeight w:val="204"/>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 loans</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Loans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71,792,562</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67,034,751</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Leasing receivables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8,302,898</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9,574,964</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Credit card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7,036,975</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6,954,298</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Discounted notes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1,921,403</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1,794,928</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Factoring receivables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1,428,571</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1,261,516</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and overdrafts in current account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151,613</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75,220</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Refinanced loans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844,830</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769,309</w:t>
            </w: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Restructured loans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126</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direct loans</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91,478,978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87,464,986</w:t>
            </w: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Internal overdue loans and under legal collection loans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2,620,411</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2,311,242</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94,099,389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89,776,228</w:t>
            </w:r>
          </w:p>
        </w:tc>
        <w:tc>
          <w:tcPr>
            <w:tcW w:w="100" w:type="dxa"/>
            <w:vAlign w:val="bottom"/>
            <w:tcBorders>
              <w:top w:val="single" w:sz="8" w:color="CCEEFF"/>
            </w:tcBorders>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Add (less) -</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784,391</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744,652</w:t>
            </w: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Unearned interests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(114,879)</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(192,381)</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direct loans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94,768,901</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90,328,499</w:t>
            </w:r>
          </w:p>
        </w:tc>
        <w:tc>
          <w:tcPr>
            <w:tcW w:w="100" w:type="dxa"/>
            <w:vAlign w:val="bottom"/>
            <w:tcBorders>
              <w:top w:val="single" w:sz="8" w:color="CCEEFF"/>
            </w:tcBorders>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loan losses (d)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(4,207,133)</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(3,840,337)</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direct loans, net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90,561,768</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86,488,162</w:t>
            </w:r>
          </w:p>
        </w:tc>
        <w:tc>
          <w:tcPr>
            <w:tcW w:w="100" w:type="dxa"/>
            <w:vAlign w:val="bottom"/>
            <w:tcBorders>
              <w:top w:val="single" w:sz="8" w:color="CCEEFF"/>
            </w:tcBorders>
            <w:shd w:val="clear" w:color="auto" w:fill="CCEEFF"/>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Indirect loans, note 21(a)</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19,831,985</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19,004,680</w:t>
            </w:r>
          </w:p>
        </w:tc>
      </w:tr>
      <w:tr>
        <w:trPr>
          <w:trHeight w:val="37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w:t>
            </w: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Direct loans by class are as follows:</w:t>
            </w: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r>
      <w:tr>
        <w:trPr>
          <w:trHeight w:val="204"/>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300" w:type="dxa"/>
            <w:vAlign w:val="bottom"/>
            <w:gridSpan w:val="3"/>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54,133,871</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53,852,207</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14,495,454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13,258,992</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12,518,436</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13,878,711</w:t>
            </w: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Micro-business loans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12,951,628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8,786,318</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94,099,389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89,776,228</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77" w:lineRule="exact"/>
        <w:rPr>
          <w:sz w:val="20"/>
          <w:szCs w:val="20"/>
          <w:color w:val="auto"/>
        </w:rPr>
      </w:pPr>
    </w:p>
    <w:p>
      <w:pPr>
        <w:ind w:left="283" w:hanging="283"/>
        <w:spacing w:after="0"/>
        <w:tabs>
          <w:tab w:leader="none" w:pos="28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loans are set considering the rates prevailing in the markets where the Group’s subsidiaries operate.</w:t>
      </w:r>
    </w:p>
    <w:p>
      <w:pPr>
        <w:spacing w:after="0" w:line="39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2" w:right="399" w:bottom="1440" w:gutter="0" w:footer="0" w:header="0"/>
        </w:sectPr>
      </w:pPr>
    </w:p>
    <w:bookmarkStart w:id="60" w:name="page61"/>
    <w:bookmarkEnd w:id="60"/>
    <w:p>
      <w:pPr>
        <w:spacing w:after="0"/>
        <w:tabs>
          <w:tab w:leader="none" w:pos="260" w:val="left"/>
        </w:tabs>
        <w:rPr>
          <w:sz w:val="20"/>
          <w:szCs w:val="20"/>
          <w:color w:val="auto"/>
        </w:rPr>
      </w:pPr>
      <w:r>
        <w:rPr>
          <w:rFonts w:ascii="Times New Roman" w:cs="Times New Roman" w:eastAsia="Times New Roman" w:hAnsi="Times New Roman"/>
          <w:sz w:val="16"/>
          <w:szCs w:val="16"/>
          <w:color w:val="auto"/>
        </w:rPr>
        <w:t>d)</w:t>
        <w:tab/>
        <w:t>The movement in the allowance for loan losses (direct and indirect loans) is shown below:</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19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7"/>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Micro-business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2"/>
        </w:trPr>
        <w:tc>
          <w:tcPr>
            <w:tcW w:w="3320" w:type="dxa"/>
            <w:vAlign w:val="bottom"/>
          </w:tcPr>
          <w:p>
            <w:pPr>
              <w:spacing w:after="0"/>
              <w:rPr>
                <w:sz w:val="18"/>
                <w:szCs w:val="18"/>
                <w:color w:val="auto"/>
              </w:rPr>
            </w:pPr>
          </w:p>
        </w:tc>
        <w:tc>
          <w:tcPr>
            <w:tcW w:w="212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mortgage loans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the beginning of the period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1,197,713</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173,879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1,372,099</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1,288,528</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4,032,219</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Provision, net of recoveries</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25,567</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26,845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538,233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1,194,850</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1,785,495</w:t>
            </w:r>
          </w:p>
        </w:tc>
        <w:tc>
          <w:tcPr>
            <w:tcW w:w="80" w:type="dxa"/>
            <w:vAlign w:val="bottom"/>
          </w:tcPr>
          <w:p>
            <w:pPr>
              <w:spacing w:after="0"/>
              <w:rPr>
                <w:sz w:val="16"/>
                <w:szCs w:val="16"/>
                <w:color w:val="auto"/>
              </w:rPr>
            </w:pPr>
          </w:p>
        </w:tc>
      </w:tr>
      <w:tr>
        <w:trPr>
          <w:trHeight w:val="19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of written-off loans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219,986</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814</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50,588</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6,326</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277,714</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Loan portfolio written-off</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(143,871)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(7,877)</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(606,546)</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(853,844)</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(1,612,138)</w:t>
            </w:r>
          </w:p>
        </w:tc>
      </w:tr>
      <w:tr>
        <w:trPr>
          <w:trHeight w:val="20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 and others</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(63,425)</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(276)</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(1,206)</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(1,691)</w:t>
            </w: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(66,598)</w:t>
            </w:r>
          </w:p>
        </w:tc>
      </w:tr>
      <w:tr>
        <w:trPr>
          <w:trHeight w:val="198"/>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the end of the period (*)</w:t>
            </w:r>
          </w:p>
        </w:tc>
        <w:tc>
          <w:tcPr>
            <w:tcW w:w="6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1,235,970</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1,634,169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4,416,692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1"/>
        </w:trPr>
        <w:tc>
          <w:tcPr>
            <w:tcW w:w="3320" w:type="dxa"/>
            <w:vAlign w:val="bottom"/>
          </w:tcPr>
          <w:p>
            <w:pPr>
              <w:spacing w:after="0"/>
              <w:rPr>
                <w:sz w:val="24"/>
                <w:szCs w:val="24"/>
                <w:color w:val="auto"/>
              </w:rPr>
            </w:pPr>
          </w:p>
        </w:tc>
        <w:tc>
          <w:tcPr>
            <w:tcW w:w="19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Micro-business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2"/>
        </w:trPr>
        <w:tc>
          <w:tcPr>
            <w:tcW w:w="3320" w:type="dxa"/>
            <w:vAlign w:val="bottom"/>
          </w:tcPr>
          <w:p>
            <w:pPr>
              <w:spacing w:after="0"/>
              <w:rPr>
                <w:sz w:val="18"/>
                <w:szCs w:val="18"/>
                <w:color w:val="auto"/>
              </w:rPr>
            </w:pPr>
          </w:p>
        </w:tc>
        <w:tc>
          <w:tcPr>
            <w:tcW w:w="212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mortgage loans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320" w:type="dxa"/>
            <w:vAlign w:val="bottom"/>
          </w:tcPr>
          <w:p>
            <w:pPr>
              <w:spacing w:after="0"/>
              <w:rPr>
                <w:sz w:val="15"/>
                <w:szCs w:val="15"/>
                <w:color w:val="auto"/>
              </w:rPr>
            </w:pPr>
          </w:p>
        </w:tc>
        <w:tc>
          <w:tcPr>
            <w:tcW w:w="19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12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the beginning of the period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556,270</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165,138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1,124,072</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1,256,616</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3,102,096</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Provision, net of recoveries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732,834</w:t>
            </w:r>
          </w:p>
        </w:tc>
        <w:tc>
          <w:tcPr>
            <w:tcW w:w="22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(321)</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512,052</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636,333</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1,880,898</w:t>
            </w:r>
          </w:p>
        </w:tc>
        <w:tc>
          <w:tcPr>
            <w:tcW w:w="80" w:type="dxa"/>
            <w:vAlign w:val="bottom"/>
          </w:tcPr>
          <w:p>
            <w:pPr>
              <w:spacing w:after="0"/>
              <w:rPr>
                <w:sz w:val="16"/>
                <w:szCs w:val="16"/>
                <w:color w:val="auto"/>
              </w:rPr>
            </w:pPr>
          </w:p>
        </w:tc>
      </w:tr>
      <w:tr>
        <w:trPr>
          <w:trHeight w:val="19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of written-off loans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157,790</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7,333</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5,794</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171,279</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Loan portfolio written-off</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(341,067)</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(4,936)</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(403,993)</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(721,326)</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(1,471,322)</w:t>
            </w:r>
          </w:p>
        </w:tc>
      </w:tr>
      <w:tr>
        <w:trPr>
          <w:trHeight w:val="20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 and others</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91,886</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13,636</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132,635</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111,111</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349,268</w:t>
            </w:r>
          </w:p>
        </w:tc>
        <w:tc>
          <w:tcPr>
            <w:tcW w:w="80" w:type="dxa"/>
            <w:vAlign w:val="bottom"/>
            <w:shd w:val="clear" w:color="auto" w:fill="CCEEFF"/>
          </w:tcPr>
          <w:p>
            <w:pPr>
              <w:spacing w:after="0"/>
              <w:rPr>
                <w:sz w:val="17"/>
                <w:szCs w:val="17"/>
                <w:color w:val="auto"/>
              </w:rPr>
            </w:pPr>
          </w:p>
        </w:tc>
      </w:tr>
      <w:tr>
        <w:trPr>
          <w:trHeight w:val="185"/>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the end of the period (*)</w:t>
            </w:r>
          </w:p>
        </w:tc>
        <w:tc>
          <w:tcPr>
            <w:tcW w:w="66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1,197,713</w:t>
            </w:r>
          </w:p>
        </w:tc>
        <w:tc>
          <w:tcPr>
            <w:tcW w:w="2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173,879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1,372,099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1,288,528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4,032,219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1"/>
        </w:trPr>
        <w:tc>
          <w:tcPr>
            <w:tcW w:w="3320" w:type="dxa"/>
            <w:vAlign w:val="bottom"/>
          </w:tcPr>
          <w:p>
            <w:pPr>
              <w:spacing w:after="0"/>
              <w:rPr>
                <w:sz w:val="24"/>
                <w:szCs w:val="24"/>
                <w:color w:val="auto"/>
              </w:rPr>
            </w:pPr>
          </w:p>
        </w:tc>
        <w:tc>
          <w:tcPr>
            <w:tcW w:w="19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Micro-business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2"/>
        </w:trPr>
        <w:tc>
          <w:tcPr>
            <w:tcW w:w="3320" w:type="dxa"/>
            <w:vAlign w:val="bottom"/>
          </w:tcPr>
          <w:p>
            <w:pPr>
              <w:spacing w:after="0"/>
              <w:rPr>
                <w:sz w:val="18"/>
                <w:szCs w:val="18"/>
                <w:color w:val="auto"/>
              </w:rPr>
            </w:pPr>
          </w:p>
        </w:tc>
        <w:tc>
          <w:tcPr>
            <w:tcW w:w="212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mortgage loans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7"/>
                <w:szCs w:val="17"/>
                <w:color w:val="auto"/>
              </w:rPr>
            </w:pPr>
          </w:p>
        </w:tc>
      </w:tr>
      <w:tr>
        <w:trPr>
          <w:trHeight w:val="175"/>
        </w:trPr>
        <w:tc>
          <w:tcPr>
            <w:tcW w:w="3320" w:type="dxa"/>
            <w:vAlign w:val="bottom"/>
          </w:tcPr>
          <w:p>
            <w:pPr>
              <w:spacing w:after="0"/>
              <w:rPr>
                <w:sz w:val="15"/>
                <w:szCs w:val="15"/>
                <w:color w:val="auto"/>
              </w:rPr>
            </w:pPr>
          </w:p>
        </w:tc>
        <w:tc>
          <w:tcPr>
            <w:tcW w:w="19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1420" w:type="dxa"/>
            <w:vAlign w:val="bottom"/>
            <w:gridSpan w:val="3"/>
          </w:tcPr>
          <w:p>
            <w:pPr>
              <w:spacing w:after="0"/>
              <w:rPr>
                <w:sz w:val="15"/>
                <w:szCs w:val="15"/>
                <w:color w:val="auto"/>
              </w:rPr>
            </w:pPr>
          </w:p>
        </w:tc>
        <w:tc>
          <w:tcPr>
            <w:tcW w:w="1500" w:type="dxa"/>
            <w:vAlign w:val="bottom"/>
            <w:gridSpan w:val="3"/>
          </w:tcPr>
          <w:p>
            <w:pPr>
              <w:spacing w:after="0"/>
              <w:rPr>
                <w:sz w:val="15"/>
                <w:szCs w:val="15"/>
                <w:color w:val="auto"/>
              </w:rPr>
            </w:pPr>
          </w:p>
        </w:tc>
        <w:tc>
          <w:tcPr>
            <w:tcW w:w="12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the beginning of the period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448,435</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144,571</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865,469</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927,483</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2,385,958</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Provision, net of recoveries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357,283</w:t>
            </w:r>
          </w:p>
        </w:tc>
        <w:tc>
          <w:tcPr>
            <w:tcW w:w="2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4,903</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427,214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926,409</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1,715,809</w:t>
            </w:r>
          </w:p>
        </w:tc>
        <w:tc>
          <w:tcPr>
            <w:tcW w:w="80" w:type="dxa"/>
            <w:vAlign w:val="bottom"/>
          </w:tcPr>
          <w:p>
            <w:pPr>
              <w:spacing w:after="0"/>
              <w:rPr>
                <w:sz w:val="16"/>
                <w:szCs w:val="16"/>
                <w:color w:val="auto"/>
              </w:rPr>
            </w:pPr>
          </w:p>
        </w:tc>
      </w:tr>
      <w:tr>
        <w:trPr>
          <w:trHeight w:val="19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of written-off loans</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65,827</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13,029</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43,297</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76,180</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198,333</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Loan portfolio written-off</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(334,571)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(6,270)</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(220,072)</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(711,305)</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(1,272,218)</w:t>
            </w:r>
          </w:p>
        </w:tc>
      </w:tr>
      <w:tr>
        <w:trPr>
          <w:trHeight w:val="20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 and others</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19,296</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8,905</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8,164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37,849</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74,214</w:t>
            </w:r>
          </w:p>
        </w:tc>
        <w:tc>
          <w:tcPr>
            <w:tcW w:w="80" w:type="dxa"/>
            <w:vAlign w:val="bottom"/>
            <w:shd w:val="clear" w:color="auto" w:fill="CCEEFF"/>
          </w:tcPr>
          <w:p>
            <w:pPr>
              <w:spacing w:after="0"/>
              <w:rPr>
                <w:sz w:val="17"/>
                <w:szCs w:val="17"/>
                <w:color w:val="auto"/>
              </w:rPr>
            </w:pPr>
          </w:p>
        </w:tc>
      </w:tr>
      <w:tr>
        <w:trPr>
          <w:trHeight w:val="198"/>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the end of the period (*)</w:t>
            </w:r>
          </w:p>
        </w:tc>
        <w:tc>
          <w:tcPr>
            <w:tcW w:w="6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556,270</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1,124,072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1,256,616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3,102,096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0"/>
          </w:cols>
          <w:pgMar w:left="240" w:top="824" w:right="399" w:bottom="1440" w:gutter="0" w:footer="0" w:header="0"/>
        </w:sectPr>
      </w:pPr>
    </w:p>
    <w:bookmarkStart w:id="61" w:name="page62"/>
    <w:bookmarkEnd w:id="61"/>
    <w:p>
      <w:pPr>
        <w:ind w:left="583" w:right="340" w:hanging="293"/>
        <w:spacing w:after="0" w:line="262" w:lineRule="auto"/>
        <w:tabs>
          <w:tab w:leader="none" w:pos="58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movement in the allowance for loan losses includes the allowance for direct and indirect loans for approximately S/4,207.1 million and S/209.6 million, respectively, at December 31, 2016 (approximately S/3,840.3 million and S/191.9 million and S/2,986.9 million and S/115.2 million, respectively, at December 31,</w:t>
      </w:r>
    </w:p>
    <w:p>
      <w:pPr>
        <w:spacing w:after="0" w:line="1" w:lineRule="exact"/>
        <w:rPr>
          <w:rFonts w:ascii="Times New Roman" w:cs="Times New Roman" w:eastAsia="Times New Roman" w:hAnsi="Times New Roman"/>
          <w:sz w:val="16"/>
          <w:szCs w:val="16"/>
          <w:color w:val="auto"/>
        </w:rPr>
      </w:pPr>
    </w:p>
    <w:p>
      <w:pPr>
        <w:ind w:left="583"/>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2015 and 2014). The allowance for indirect loan losses is included in “Other liabilities” of the consolidated statement of financial position, note 12(a). In Management’s opinion, the allowance for loan losses recorded as of December 31, 2016, 2015 and 2014 has been established in accordance with IAS 39 and is sufficient to cover incurred losses on the loan portfolio.</w:t>
      </w:r>
    </w:p>
    <w:p>
      <w:pPr>
        <w:spacing w:after="0" w:line="164" w:lineRule="exact"/>
        <w:rPr>
          <w:rFonts w:ascii="Times New Roman" w:cs="Times New Roman" w:eastAsia="Times New Roman" w:hAnsi="Times New Roman"/>
          <w:sz w:val="16"/>
          <w:szCs w:val="16"/>
          <w:color w:val="auto"/>
        </w:rPr>
      </w:pPr>
    </w:p>
    <w:p>
      <w:pPr>
        <w:ind w:left="283" w:right="140" w:hanging="283"/>
        <w:spacing w:after="0" w:line="285" w:lineRule="auto"/>
        <w:tabs>
          <w:tab w:leader="none" w:pos="28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of the loan portfolio is collateralized with guarantees received from clients, which mainly consist of mortgages, trust assignments, financial instruments and industrial and mercantile pledges.</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shows the direct gross loan portfolio at December 31, 2016 and 2015 by maturity based on the remaining period to repayment due date:</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r>
      <w:tr>
        <w:trPr>
          <w:trHeight w:val="186"/>
        </w:trPr>
        <w:tc>
          <w:tcPr>
            <w:tcW w:w="826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6"/>
                <w:szCs w:val="16"/>
                <w:color w:val="auto"/>
              </w:rPr>
            </w:pPr>
          </w:p>
        </w:tc>
      </w:tr>
      <w:tr>
        <w:trPr>
          <w:trHeight w:val="19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loans -</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Up to 1 year</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35,455,309</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29,952,566</w:t>
            </w:r>
          </w:p>
        </w:tc>
      </w:tr>
      <w:tr>
        <w:trPr>
          <w:trHeight w:val="19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1 to 3 years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19,214,591</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18,575,278</w:t>
            </w:r>
          </w:p>
        </w:tc>
      </w:tr>
      <w:tr>
        <w:trPr>
          <w:trHeight w:val="193"/>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From 3 to 5 years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11,907,513</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9,045,440</w:t>
            </w:r>
          </w:p>
        </w:tc>
      </w:tr>
      <w:tr>
        <w:trPr>
          <w:trHeight w:val="205"/>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5 years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24,901,565</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29,891,702</w:t>
            </w:r>
          </w:p>
        </w:tc>
      </w:tr>
      <w:tr>
        <w:trPr>
          <w:trHeight w:val="185"/>
        </w:trPr>
        <w:tc>
          <w:tcPr>
            <w:tcW w:w="826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91,478,978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87,464,986</w:t>
            </w:r>
          </w:p>
        </w:tc>
        <w:tc>
          <w:tcPr>
            <w:tcW w:w="100" w:type="dxa"/>
            <w:vAlign w:val="bottom"/>
          </w:tcPr>
          <w:p>
            <w:pPr>
              <w:spacing w:after="0"/>
              <w:rPr>
                <w:sz w:val="16"/>
                <w:szCs w:val="16"/>
                <w:color w:val="auto"/>
              </w:rPr>
            </w:pPr>
          </w:p>
        </w:tc>
      </w:tr>
      <w:tr>
        <w:trPr>
          <w:trHeight w:val="19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Internal overdue loans -</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Overdue 90 days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539,947</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588,385</w:t>
            </w:r>
          </w:p>
        </w:tc>
      </w:tr>
      <w:tr>
        <w:trPr>
          <w:trHeight w:val="205"/>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Overdue 90 days or more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2,080,464</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1,722,857</w:t>
            </w:r>
          </w:p>
        </w:tc>
      </w:tr>
      <w:tr>
        <w:trPr>
          <w:trHeight w:val="185"/>
        </w:trPr>
        <w:tc>
          <w:tcPr>
            <w:tcW w:w="826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2,620,411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2,311,242</w:t>
            </w:r>
          </w:p>
        </w:tc>
        <w:tc>
          <w:tcPr>
            <w:tcW w:w="100" w:type="dxa"/>
            <w:vAlign w:val="bottom"/>
            <w:tcBorders>
              <w:bottom w:val="single" w:sz="8" w:color="CCEEFF"/>
            </w:tcBorders>
          </w:tcPr>
          <w:p>
            <w:pPr>
              <w:spacing w:after="0"/>
              <w:rPr>
                <w:sz w:val="16"/>
                <w:szCs w:val="16"/>
                <w:color w:val="auto"/>
              </w:rPr>
            </w:pPr>
          </w:p>
        </w:tc>
      </w:tr>
      <w:tr>
        <w:trPr>
          <w:trHeight w:val="185"/>
        </w:trPr>
        <w:tc>
          <w:tcPr>
            <w:tcW w:w="8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826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94,099,389</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89,776,228</w:t>
            </w:r>
          </w:p>
        </w:tc>
      </w:tr>
      <w:tr>
        <w:trPr>
          <w:trHeight w:val="379"/>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See credit risk analysis in Note 34.1.</w:t>
            </w: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75" w:lineRule="exact"/>
        <w:rPr>
          <w:sz w:val="20"/>
          <w:szCs w:val="20"/>
          <w:color w:val="auto"/>
        </w:rPr>
      </w:pPr>
    </w:p>
    <w:p>
      <w:pPr>
        <w:ind w:left="583" w:hanging="583"/>
        <w:spacing w:after="0"/>
        <w:tabs>
          <w:tab w:leader="none" w:pos="583"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ASSETS DESIGNATED AT FAIR VALUE THROUGH PROFIT OR LOSS</w:t>
      </w:r>
    </w:p>
    <w:p>
      <w:pPr>
        <w:spacing w:after="0" w:line="205" w:lineRule="exact"/>
        <w:rPr>
          <w:sz w:val="20"/>
          <w:szCs w:val="20"/>
          <w:color w:val="auto"/>
        </w:rPr>
      </w:pPr>
    </w:p>
    <w:p>
      <w:pPr>
        <w:ind w:left="3" w:right="80"/>
        <w:spacing w:after="0" w:line="268" w:lineRule="auto"/>
        <w:rPr>
          <w:sz w:val="20"/>
          <w:szCs w:val="20"/>
          <w:color w:val="auto"/>
        </w:rPr>
      </w:pPr>
      <w:r>
        <w:rPr>
          <w:rFonts w:ascii="Times New Roman" w:cs="Times New Roman" w:eastAsia="Times New Roman" w:hAnsi="Times New Roman"/>
          <w:sz w:val="16"/>
          <w:szCs w:val="16"/>
          <w:color w:val="auto"/>
        </w:rPr>
        <w:t>The Group issues unit-linked life insurance contracts whereby the policyholder takes the investment risk on the assets held in the unit linked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57" w:lineRule="exact"/>
        <w:rPr>
          <w:sz w:val="20"/>
          <w:szCs w:val="20"/>
          <w:color w:val="auto"/>
        </w:rPr>
      </w:pPr>
    </w:p>
    <w:p>
      <w:pPr>
        <w:ind w:left="3" w:right="160"/>
        <w:spacing w:after="0" w:line="263" w:lineRule="auto"/>
        <w:rPr>
          <w:sz w:val="20"/>
          <w:szCs w:val="20"/>
          <w:color w:val="auto"/>
        </w:rPr>
      </w:pPr>
      <w:r>
        <w:rPr>
          <w:rFonts w:ascii="Times New Roman" w:cs="Times New Roman" w:eastAsia="Times New Roman" w:hAnsi="Times New Roman"/>
          <w:sz w:val="16"/>
          <w:szCs w:val="16"/>
          <w:color w:val="auto"/>
        </w:rPr>
        <w:t>For 2016, the profit resulting from the difference between cost and estimated fair value for these financial assets amounted to approximately S/51.7 million (loss of S/33.5 million and S/4.1 million, respectively, for 2015 and 2014) and is shown in “Net income on financial assets designated at fair value through profit or loss” of the consolidated statements of income (“net loss on financial assets designated at fair value through profit or loss”). The offsetting of this effect is included in gross premiums which are part of “Net premiums earned” of the consolidated statement of income, see note 24.</w:t>
      </w:r>
    </w:p>
    <w:p>
      <w:pPr>
        <w:spacing w:after="0" w:line="159" w:lineRule="exact"/>
        <w:rPr>
          <w:sz w:val="20"/>
          <w:szCs w:val="20"/>
          <w:color w:val="auto"/>
        </w:rPr>
      </w:pPr>
    </w:p>
    <w:p>
      <w:pPr>
        <w:ind w:left="583" w:hanging="583"/>
        <w:spacing w:after="0"/>
        <w:tabs>
          <w:tab w:leader="none" w:pos="583"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RECEIVABLE AND PAYABLE FROM INSURANCE CONTRACTS</w:t>
      </w:r>
    </w:p>
    <w:p>
      <w:pPr>
        <w:spacing w:after="0" w:line="205" w:lineRule="exact"/>
        <w:rPr>
          <w:sz w:val="20"/>
          <w:szCs w:val="20"/>
          <w:color w:val="auto"/>
        </w:rPr>
      </w:pPr>
    </w:p>
    <w:p>
      <w:pPr>
        <w:ind w:left="283" w:right="440" w:hanging="283"/>
        <w:spacing w:after="0" w:line="285" w:lineRule="auto"/>
        <w:tabs>
          <w:tab w:leader="none" w:pos="28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2016 and 2015, “Premiums and other policies receivable” in the consolidated statement of financial position includes balances for approximately S/643.2 million and S/648.0 million, respectively, which are primarily of current maturity, have no specific collateral and present no material past due balances.</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0"/>
        </w:trPr>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  The movements of the captions “Accounts receivable and payable to reinsurers and coinsurers” are as follows: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7"/>
        </w:trPr>
        <w:tc>
          <w:tcPr>
            <w:tcW w:w="28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7660" w:type="dxa"/>
            <w:vAlign w:val="bottom"/>
            <w:gridSpan w:val="3"/>
          </w:tcPr>
          <w:p>
            <w:pPr>
              <w:ind w:left="71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4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2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the beginning of the period</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457,189</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468,137</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578,722</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Reported claims of premiums ceded, note 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145,498</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119,894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96,872</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Premiums ceded unearned during the year, note 24 (a)(**)</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(9,139)</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6,835</w:t>
            </w: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(35,351)</w:t>
            </w:r>
          </w:p>
        </w:tc>
      </w:tr>
      <w:tr>
        <w:trPr>
          <w:trHeight w:val="193"/>
        </w:trPr>
        <w:tc>
          <w:tcPr>
            <w:tcW w:w="28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assumed</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72,448</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180,321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30,607</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Settled claims of premiums ceded by facultative contracts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(90,550)</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(125,156)</w:t>
            </w: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(41,934)</w:t>
            </w:r>
          </w:p>
        </w:tc>
      </w:tr>
      <w:tr>
        <w:trPr>
          <w:trHeight w:val="193"/>
        </w:trPr>
        <w:tc>
          <w:tcPr>
            <w:tcW w:w="28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Collections and others, net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(121,259)</w:t>
            </w:r>
          </w:p>
        </w:tc>
        <w:tc>
          <w:tcPr>
            <w:tcW w:w="5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(192,842)</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(160,535)</w:t>
            </w:r>
          </w:p>
        </w:tc>
      </w:tr>
      <w:tr>
        <w:trPr>
          <w:trHeight w:val="205"/>
        </w:trPr>
        <w:tc>
          <w:tcPr>
            <w:tcW w:w="28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to non-current assets classified as held for sale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(244)</w:t>
            </w:r>
          </w:p>
        </w:tc>
      </w:tr>
      <w:tr>
        <w:trPr>
          <w:trHeight w:val="198"/>
        </w:trPr>
        <w:tc>
          <w:tcPr>
            <w:tcW w:w="28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the end of the period</w:t>
            </w:r>
          </w:p>
        </w:tc>
        <w:tc>
          <w:tcPr>
            <w:tcW w:w="5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454,187</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457,189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468,137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77" w:lineRule="exact"/>
        <w:rPr>
          <w:sz w:val="20"/>
          <w:szCs w:val="20"/>
          <w:color w:val="auto"/>
        </w:rPr>
      </w:pPr>
    </w:p>
    <w:p>
      <w:pPr>
        <w:ind w:left="280" w:right="420"/>
        <w:spacing w:after="0" w:line="285" w:lineRule="auto"/>
        <w:rPr>
          <w:sz w:val="20"/>
          <w:szCs w:val="20"/>
          <w:color w:val="auto"/>
        </w:rPr>
      </w:pPr>
      <w:r>
        <w:rPr>
          <w:rFonts w:ascii="Times New Roman" w:cs="Times New Roman" w:eastAsia="Times New Roman" w:hAnsi="Times New Roman"/>
          <w:sz w:val="16"/>
          <w:szCs w:val="16"/>
          <w:color w:val="auto"/>
        </w:rPr>
        <w:t>Accounts receivable as of December 31, 2016 and 2015, include S/139.4 million and S/145.0 million, respectively, which correspond to the unearned portion of the premiums ceded to the reinsurers.</w:t>
      </w:r>
    </w:p>
    <w:p>
      <w:pPr>
        <w:spacing w:after="0" w:line="141"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Payables: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9"/>
        </w:trPr>
        <w:tc>
          <w:tcPr>
            <w:tcW w:w="7380" w:type="dxa"/>
            <w:vAlign w:val="bottom"/>
            <w:gridSpan w:val="2"/>
          </w:tcPr>
          <w:p>
            <w:pPr>
              <w:ind w:left="68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4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68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7"/>
                <w:szCs w:val="17"/>
                <w:color w:val="auto"/>
              </w:rPr>
            </w:pPr>
          </w:p>
        </w:tc>
      </w:tr>
      <w:tr>
        <w:trPr>
          <w:trHeight w:val="175"/>
        </w:trPr>
        <w:tc>
          <w:tcPr>
            <w:tcW w:w="6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the beginning of the period</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241,847</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220,910</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232,497</w:t>
            </w:r>
          </w:p>
        </w:tc>
        <w:tc>
          <w:tcPr>
            <w:tcW w:w="80" w:type="dxa"/>
            <w:vAlign w:val="bottom"/>
            <w:shd w:val="clear" w:color="auto" w:fill="CCEEFF"/>
          </w:tcPr>
          <w:p>
            <w:pPr>
              <w:spacing w:after="0"/>
              <w:rPr>
                <w:sz w:val="16"/>
                <w:szCs w:val="16"/>
                <w:color w:val="auto"/>
              </w:rPr>
            </w:pPr>
          </w:p>
        </w:tc>
      </w:tr>
      <w:tr>
        <w:trPr>
          <w:trHeight w:val="193"/>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ceded for automatic contracts (mainly excess of loss), note 24 (a)(**)</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201,892</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145,618</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143,041</w:t>
            </w:r>
          </w:p>
        </w:tc>
        <w:tc>
          <w:tcPr>
            <w:tcW w:w="80" w:type="dxa"/>
            <w:vAlign w:val="bottom"/>
          </w:tcPr>
          <w:p>
            <w:pPr>
              <w:spacing w:after="0"/>
              <w:rPr>
                <w:sz w:val="16"/>
                <w:szCs w:val="16"/>
                <w:color w:val="auto"/>
              </w:rPr>
            </w:pPr>
          </w:p>
        </w:tc>
      </w:tr>
      <w:tr>
        <w:trPr>
          <w:trHeight w:val="193"/>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Premiums ceded to reinsurers in facultative contracts, note 24 (a)(**)</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292,555</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331,329</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314,624</w:t>
            </w:r>
          </w:p>
        </w:tc>
        <w:tc>
          <w:tcPr>
            <w:tcW w:w="80" w:type="dxa"/>
            <w:vAlign w:val="bottom"/>
            <w:shd w:val="clear" w:color="auto" w:fill="CCEEFF"/>
          </w:tcPr>
          <w:p>
            <w:pPr>
              <w:spacing w:after="0"/>
              <w:rPr>
                <w:sz w:val="16"/>
                <w:szCs w:val="16"/>
                <w:color w:val="auto"/>
              </w:rPr>
            </w:pPr>
          </w:p>
        </w:tc>
      </w:tr>
      <w:tr>
        <w:trPr>
          <w:trHeight w:val="193"/>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Coinsurance granted</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5,965</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5,999</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32,866</w:t>
            </w:r>
          </w:p>
        </w:tc>
        <w:tc>
          <w:tcPr>
            <w:tcW w:w="80" w:type="dxa"/>
            <w:vAlign w:val="bottom"/>
          </w:tcPr>
          <w:p>
            <w:pPr>
              <w:spacing w:after="0"/>
              <w:rPr>
                <w:sz w:val="16"/>
                <w:szCs w:val="16"/>
                <w:color w:val="auto"/>
              </w:rPr>
            </w:pPr>
          </w:p>
        </w:tc>
      </w:tr>
      <w:tr>
        <w:trPr>
          <w:trHeight w:val="20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and other, net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(508,367)</w:t>
            </w:r>
          </w:p>
        </w:tc>
        <w:tc>
          <w:tcPr>
            <w:tcW w:w="5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(462,009)</w:t>
            </w: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(502,118)</w:t>
            </w:r>
          </w:p>
        </w:tc>
      </w:tr>
      <w:tr>
        <w:trPr>
          <w:trHeight w:val="198"/>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the end of the period</w:t>
            </w:r>
          </w:p>
        </w:tc>
        <w:tc>
          <w:tcPr>
            <w:tcW w:w="5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233,892</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241,847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220,910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77" w:lineRule="exact"/>
        <w:rPr>
          <w:sz w:val="20"/>
          <w:szCs w:val="20"/>
          <w:color w:val="auto"/>
        </w:rPr>
      </w:pPr>
    </w:p>
    <w:p>
      <w:pPr>
        <w:ind w:left="280" w:right="180"/>
        <w:spacing w:after="0" w:line="268" w:lineRule="auto"/>
        <w:rPr>
          <w:sz w:val="20"/>
          <w:szCs w:val="20"/>
          <w:color w:val="auto"/>
        </w:rPr>
      </w:pPr>
      <w:r>
        <w:rPr>
          <w:rFonts w:ascii="Times New Roman" w:cs="Times New Roman" w:eastAsia="Times New Roman" w:hAnsi="Times New Roman"/>
          <w:sz w:val="16"/>
          <w:szCs w:val="16"/>
          <w:color w:val="auto"/>
        </w:rPr>
        <w:t>Accounts payable to reinsurers are primarily related to the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covered period.</w:t>
      </w: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0"/>
          </w:cols>
          <w:pgMar w:left="240" w:top="824" w:right="399" w:bottom="1440" w:gutter="0" w:footer="0" w:header="0"/>
        </w:sectPr>
      </w:pPr>
    </w:p>
    <w:bookmarkStart w:id="63" w:name="page64"/>
    <w:bookmarkEnd w:id="63"/>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PROPERTY, FURNITURE AND EQUIPMENT, NET</w:t>
      </w:r>
    </w:p>
    <w:p>
      <w:pPr>
        <w:spacing w:after="0" w:line="205" w:lineRule="exact"/>
        <w:rPr>
          <w:sz w:val="20"/>
          <w:szCs w:val="20"/>
          <w:color w:val="auto"/>
        </w:rPr>
      </w:pPr>
    </w:p>
    <w:p>
      <w:pPr>
        <w:ind w:left="283" w:hanging="283"/>
        <w:spacing w:after="0"/>
        <w:tabs>
          <w:tab w:leader="none" w:pos="28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movement of property, furniture and equipment and accumulated depreciation, for the years ended December 31, 2016, 2015, and 2014 was as follows:</w:t>
      </w:r>
    </w:p>
    <w:p>
      <w:pPr>
        <w:spacing w:after="0" w:line="181" w:lineRule="exact"/>
        <w:rPr>
          <w:sz w:val="20"/>
          <w:szCs w:val="20"/>
          <w:color w:val="auto"/>
        </w:rPr>
      </w:pPr>
    </w:p>
    <w:tbl>
      <w:tblPr>
        <w:tblLayout w:type="fixed"/>
        <w:tblInd w:w="2523"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Buildings and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Furniture</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Computer</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Vehicles and</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Work in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Lands</w:t>
            </w:r>
          </w:p>
        </w:tc>
        <w:tc>
          <w:tcPr>
            <w:tcW w:w="8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Installations</w:t>
            </w:r>
          </w:p>
        </w:tc>
        <w:tc>
          <w:tcPr>
            <w:tcW w:w="980" w:type="dxa"/>
            <w:vAlign w:val="bottom"/>
            <w:gridSpan w:val="3"/>
          </w:tcPr>
          <w:p>
            <w:pPr>
              <w:ind w:left="120"/>
              <w:spacing w:after="0" w:line="133" w:lineRule="exact"/>
              <w:rPr>
                <w:sz w:val="20"/>
                <w:szCs w:val="20"/>
                <w:color w:val="auto"/>
              </w:rPr>
            </w:pPr>
            <w:r>
              <w:rPr>
                <w:rFonts w:ascii="Times New Roman" w:cs="Times New Roman" w:eastAsia="Times New Roman" w:hAnsi="Times New Roman"/>
                <w:sz w:val="13"/>
                <w:szCs w:val="13"/>
                <w:b w:val="1"/>
                <w:bCs w:val="1"/>
                <w:color w:val="auto"/>
              </w:rPr>
              <w:t>and</w:t>
            </w:r>
          </w:p>
        </w:tc>
        <w:tc>
          <w:tcPr>
            <w:tcW w:w="66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2016</w:t>
            </w: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2014</w:t>
            </w:r>
          </w:p>
        </w:tc>
        <w:tc>
          <w:tcPr>
            <w:tcW w:w="0" w:type="dxa"/>
            <w:vAlign w:val="bottom"/>
          </w:tcPr>
          <w:p>
            <w:pPr>
              <w:spacing w:after="0"/>
              <w:rPr>
                <w:sz w:val="1"/>
                <w:szCs w:val="1"/>
                <w:color w:val="auto"/>
              </w:rPr>
            </w:pPr>
          </w:p>
        </w:tc>
      </w:tr>
      <w:tr>
        <w:trPr>
          <w:trHeight w:val="155"/>
        </w:trPr>
        <w:tc>
          <w:tcPr>
            <w:tcW w:w="860" w:type="dxa"/>
            <w:vAlign w:val="bottom"/>
            <w:gridSpan w:val="3"/>
            <w:vMerge w:val="continue"/>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constructions</w:t>
            </w:r>
          </w:p>
        </w:tc>
        <w:tc>
          <w:tcPr>
            <w:tcW w:w="880" w:type="dxa"/>
            <w:vAlign w:val="bottom"/>
            <w:gridSpan w:val="3"/>
            <w:vMerge w:val="continue"/>
          </w:tcPr>
          <w:p>
            <w:pPr>
              <w:spacing w:after="0"/>
              <w:rPr>
                <w:sz w:val="13"/>
                <w:szCs w:val="13"/>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fixtures</w:t>
            </w: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hardware</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progress</w:t>
            </w: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3" w:type="dxa"/>
        <w:tblCellMar>
          <w:top w:w="0" w:type="dxa"/>
          <w:left w:w="0" w:type="dxa"/>
          <w:bottom w:w="0" w:type="dxa"/>
          <w:right w:w="0" w:type="dxa"/>
        </w:tblCellMar>
      </w:tblPr>
      <w:tr>
        <w:trPr>
          <w:trHeight w:val="139"/>
        </w:trPr>
        <w:tc>
          <w:tcPr>
            <w:tcW w:w="22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Cost -</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Balance as of January 1</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397,995</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1,128,325</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509,230</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487,573</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587,748</w:t>
            </w: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155,390</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189,181</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3,455,442</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3,447,017</w:t>
            </w: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3,251,142</w:t>
            </w:r>
          </w:p>
        </w:tc>
      </w:tr>
      <w:tr>
        <w:trPr>
          <w:trHeight w:val="133"/>
        </w:trPr>
        <w:tc>
          <w:tcPr>
            <w:tcW w:w="2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Business combination, note 2(d)(i)</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144,523</w:t>
            </w: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Additions</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10,637</w:t>
            </w:r>
          </w:p>
        </w:tc>
        <w:tc>
          <w:tcPr>
            <w:tcW w:w="9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13,097</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8,746</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20,382</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19,136</w:t>
            </w: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5,632</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32,521</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110,151</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148,426</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301,734</w:t>
            </w:r>
          </w:p>
        </w:tc>
      </w:tr>
      <w:tr>
        <w:trPr>
          <w:trHeight w:val="133"/>
        </w:trPr>
        <w:tc>
          <w:tcPr>
            <w:tcW w:w="2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Transfers</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2,956</w:t>
            </w:r>
          </w:p>
        </w:tc>
        <w:tc>
          <w:tcPr>
            <w:tcW w:w="9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4,798</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85,575</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907</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9,249</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17,636</w:t>
            </w:r>
          </w:p>
        </w:tc>
        <w:tc>
          <w:tcPr>
            <w:tcW w:w="8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(121,121)</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r>
      <w:tr>
        <w:trPr>
          <w:trHeight w:val="145"/>
        </w:trPr>
        <w:tc>
          <w:tcPr>
            <w:tcW w:w="22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Disposals and others</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(9,524)</w:t>
            </w:r>
          </w:p>
        </w:tc>
        <w:tc>
          <w:tcPr>
            <w:tcW w:w="9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(30,684)</w:t>
            </w:r>
          </w:p>
        </w:tc>
        <w:tc>
          <w:tcPr>
            <w:tcW w:w="90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(22,704)</w:t>
            </w:r>
          </w:p>
        </w:tc>
        <w:tc>
          <w:tcPr>
            <w:tcW w:w="8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(12,505)</w:t>
            </w:r>
          </w:p>
        </w:tc>
        <w:tc>
          <w:tcPr>
            <w:tcW w:w="8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(57,231)</w:t>
            </w:r>
          </w:p>
        </w:tc>
        <w:tc>
          <w:tcPr>
            <w:tcW w:w="8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(11,627)</w:t>
            </w:r>
          </w:p>
        </w:tc>
        <w:tc>
          <w:tcPr>
            <w:tcW w:w="8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(11,949)</w:t>
            </w:r>
          </w:p>
        </w:tc>
        <w:tc>
          <w:tcPr>
            <w:tcW w:w="8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(156,224)</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(140,001)</w:t>
            </w:r>
          </w:p>
        </w:tc>
        <w:tc>
          <w:tcPr>
            <w:tcW w:w="7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(250,382)</w:t>
            </w:r>
          </w:p>
        </w:tc>
      </w:tr>
      <w:tr>
        <w:trPr>
          <w:trHeight w:val="125"/>
        </w:trPr>
        <w:tc>
          <w:tcPr>
            <w:tcW w:w="22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402,064</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1,115,536</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580,847</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496,357</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558,902</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167,031</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88,632</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3,409,369</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3,455,442</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3,447,017</w:t>
            </w:r>
          </w:p>
        </w:tc>
        <w:tc>
          <w:tcPr>
            <w:tcW w:w="100" w:type="dxa"/>
            <w:vAlign w:val="bottom"/>
            <w:tcBorders>
              <w:top w:val="single" w:sz="8" w:color="CCEEFF"/>
            </w:tcBorders>
            <w:shd w:val="clear" w:color="auto" w:fill="CCEEFF"/>
          </w:tcPr>
          <w:p>
            <w:pPr>
              <w:spacing w:after="0"/>
              <w:rPr>
                <w:sz w:val="10"/>
                <w:szCs w:val="10"/>
                <w:color w:val="auto"/>
              </w:rPr>
            </w:pPr>
          </w:p>
        </w:tc>
      </w:tr>
      <w:tr>
        <w:trPr>
          <w:trHeight w:val="125"/>
        </w:trPr>
        <w:tc>
          <w:tcPr>
            <w:tcW w:w="2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2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Accumulated depreciation -</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Balance as of January 1</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566,870</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362,035</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291,178</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466,092</w:t>
            </w: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97,826</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1,784,001</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1,671,575</w:t>
            </w: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1,545,071</w:t>
            </w:r>
          </w:p>
        </w:tc>
      </w:tr>
      <w:tr>
        <w:trPr>
          <w:trHeight w:val="133"/>
        </w:trPr>
        <w:tc>
          <w:tcPr>
            <w:tcW w:w="2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Depreciation for the year</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31,286</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42,295</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33,177</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58,429</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17,658</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182,845</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177,623</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178,870</w:t>
            </w:r>
          </w:p>
        </w:tc>
      </w:tr>
      <w:tr>
        <w:trPr>
          <w:trHeight w:val="145"/>
        </w:trPr>
        <w:tc>
          <w:tcPr>
            <w:tcW w:w="22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Disposals and others</w:t>
            </w:r>
          </w:p>
        </w:tc>
        <w:tc>
          <w:tcPr>
            <w:tcW w:w="86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(20,698)</w:t>
            </w:r>
          </w:p>
        </w:tc>
        <w:tc>
          <w:tcPr>
            <w:tcW w:w="90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(6,845)</w:t>
            </w:r>
          </w:p>
        </w:tc>
        <w:tc>
          <w:tcPr>
            <w:tcW w:w="8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(12,999)</w:t>
            </w:r>
          </w:p>
        </w:tc>
        <w:tc>
          <w:tcPr>
            <w:tcW w:w="8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(58,921)</w:t>
            </w:r>
          </w:p>
        </w:tc>
        <w:tc>
          <w:tcPr>
            <w:tcW w:w="8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(9,717)</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(109,180)</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(65,197)</w:t>
            </w:r>
          </w:p>
        </w:tc>
        <w:tc>
          <w:tcPr>
            <w:tcW w:w="7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(52,366)</w:t>
            </w:r>
          </w:p>
        </w:tc>
      </w:tr>
      <w:tr>
        <w:trPr>
          <w:trHeight w:val="125"/>
        </w:trPr>
        <w:tc>
          <w:tcPr>
            <w:tcW w:w="22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577,458</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397,485</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311,356</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465,600</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105,767</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1,857,666</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1,784,001</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1,671,575</w:t>
            </w:r>
          </w:p>
        </w:tc>
        <w:tc>
          <w:tcPr>
            <w:tcW w:w="100" w:type="dxa"/>
            <w:vAlign w:val="bottom"/>
            <w:tcBorders>
              <w:top w:val="single" w:sz="8" w:color="CCEEFF"/>
            </w:tcBorders>
            <w:shd w:val="clear" w:color="auto" w:fill="CCEEFF"/>
          </w:tcPr>
          <w:p>
            <w:pPr>
              <w:spacing w:after="0"/>
              <w:rPr>
                <w:sz w:val="10"/>
                <w:szCs w:val="10"/>
                <w:color w:val="auto"/>
              </w:rPr>
            </w:pPr>
          </w:p>
        </w:tc>
      </w:tr>
      <w:tr>
        <w:trPr>
          <w:trHeight w:val="125"/>
        </w:trPr>
        <w:tc>
          <w:tcPr>
            <w:tcW w:w="2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22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Net carrying amount</w:t>
            </w: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402,064</w:t>
            </w:r>
          </w:p>
        </w:tc>
        <w:tc>
          <w:tcPr>
            <w:tcW w:w="9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538,078</w:t>
            </w: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183,362</w:t>
            </w: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185,001</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93,302</w:t>
            </w:r>
          </w:p>
        </w:tc>
        <w:tc>
          <w:tcPr>
            <w:tcW w:w="8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61,264</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88,632</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1,551,703</w:t>
            </w: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1,671,441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1,775,442</w:t>
            </w:r>
          </w:p>
        </w:tc>
      </w:tr>
      <w:tr>
        <w:trPr>
          <w:trHeight w:val="20"/>
        </w:trPr>
        <w:tc>
          <w:tcPr>
            <w:tcW w:w="2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Banks, financial institutions and insurance entities operating in Peru are not allowed to pledge their fixed assets.</w:t>
      </w:r>
    </w:p>
    <w:p>
      <w:pPr>
        <w:spacing w:after="0" w:line="203" w:lineRule="exact"/>
        <w:rPr>
          <w:sz w:val="20"/>
          <w:szCs w:val="20"/>
          <w:color w:val="auto"/>
        </w:rPr>
      </w:pPr>
    </w:p>
    <w:p>
      <w:pPr>
        <w:jc w:val="both"/>
        <w:ind w:left="283" w:right="640"/>
        <w:spacing w:after="0" w:line="268" w:lineRule="auto"/>
        <w:rPr>
          <w:sz w:val="20"/>
          <w:szCs w:val="20"/>
          <w:color w:val="auto"/>
        </w:rPr>
      </w:pPr>
      <w:r>
        <w:rPr>
          <w:rFonts w:ascii="Times New Roman" w:cs="Times New Roman" w:eastAsia="Times New Roman" w:hAnsi="Times New Roman"/>
          <w:sz w:val="16"/>
          <w:szCs w:val="16"/>
          <w:color w:val="auto"/>
        </w:rPr>
        <w:t>During 2016 and 2015 Credicorp and its Subsidiaries, as part of its annual infrastructure investing, has made cash disbursements related mainly to the acquisition, construction and implementation of new agencies for its banking segment, and the refurbishment and conditioning of several agencies and administrative offices. Credicorp’s subsidiaries hold insurance contracts over its main assets in accordance with the policies established by Management.</w:t>
      </w:r>
    </w:p>
    <w:p>
      <w:pPr>
        <w:spacing w:after="0" w:line="157" w:lineRule="exact"/>
        <w:rPr>
          <w:sz w:val="20"/>
          <w:szCs w:val="20"/>
          <w:color w:val="auto"/>
        </w:rPr>
      </w:pPr>
    </w:p>
    <w:p>
      <w:pPr>
        <w:ind w:left="283"/>
        <w:spacing w:after="0" w:line="268" w:lineRule="auto"/>
        <w:rPr>
          <w:sz w:val="20"/>
          <w:szCs w:val="20"/>
          <w:color w:val="auto"/>
        </w:rPr>
      </w:pPr>
      <w:r>
        <w:rPr>
          <w:rFonts w:ascii="Times New Roman" w:cs="Times New Roman" w:eastAsia="Times New Roman" w:hAnsi="Times New Roman"/>
          <w:sz w:val="16"/>
          <w:szCs w:val="16"/>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2016 and 2015 there is no evidence of impairment of the Group’s property, furniture and equipment.</w:t>
      </w:r>
    </w:p>
    <w:p>
      <w:pPr>
        <w:spacing w:after="0" w:line="351"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2" w:right="299" w:bottom="1440" w:gutter="0" w:footer="0" w:header="0"/>
        </w:sectPr>
      </w:pPr>
    </w:p>
    <w:bookmarkStart w:id="64" w:name="page65"/>
    <w:bookmarkEnd w:id="64"/>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INTANGIBLE ASSETS AND GOODWILL, NET</w:t>
      </w:r>
    </w:p>
    <w:p>
      <w:pPr>
        <w:spacing w:after="0" w:line="205" w:lineRule="exact"/>
        <w:rPr>
          <w:sz w:val="20"/>
          <w:szCs w:val="20"/>
          <w:color w:val="auto"/>
        </w:rPr>
      </w:pPr>
    </w:p>
    <w:p>
      <w:pPr>
        <w:ind w:left="283" w:hanging="283"/>
        <w:spacing w:after="0"/>
        <w:tabs>
          <w:tab w:leader="none" w:pos="28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t>
      </w:r>
    </w:p>
    <w:p>
      <w:pPr>
        <w:spacing w:after="0" w:line="202"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movement of intangible assets with limited useful life for the years ended December 31, 2016, 2015 and 2014 is as follows:</w:t>
      </w:r>
    </w:p>
    <w:p>
      <w:pPr>
        <w:spacing w:after="0" w:line="181" w:lineRule="exact"/>
        <w:rPr>
          <w:sz w:val="20"/>
          <w:szCs w:val="20"/>
          <w:color w:val="auto"/>
        </w:rPr>
      </w:pPr>
    </w:p>
    <w:tbl>
      <w:tblPr>
        <w:tblLayout w:type="fixed"/>
        <w:tblInd w:w="283"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Client</w:t>
            </w:r>
          </w:p>
        </w:tc>
        <w:tc>
          <w:tcPr>
            <w:tcW w:w="9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Rights of</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Brand</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Fund</w:t>
            </w: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Core</w:t>
            </w:r>
          </w:p>
        </w:tc>
        <w:tc>
          <w:tcPr>
            <w:tcW w:w="10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Software and</w:t>
            </w: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Intagible in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20" w:type="dxa"/>
            <w:vAlign w:val="bottom"/>
            <w:gridSpan w:val="3"/>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80" w:type="dxa"/>
            <w:vAlign w:val="bottom"/>
            <w:gridSpan w:val="3"/>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manager</w:t>
            </w: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deposits</w:t>
            </w:r>
          </w:p>
        </w:tc>
        <w:tc>
          <w:tcPr>
            <w:tcW w:w="108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2016</w:t>
            </w: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2014</w:t>
            </w: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use</w:t>
            </w: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intangible</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developments</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progress</w:t>
            </w:r>
          </w:p>
        </w:tc>
        <w:tc>
          <w:tcPr>
            <w:tcW w:w="6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81" w:lineRule="exact"/>
        <w:rPr>
          <w:sz w:val="20"/>
          <w:szCs w:val="20"/>
          <w:color w:val="auto"/>
        </w:rPr>
      </w:pPr>
    </w:p>
    <w:tbl>
      <w:tblPr>
        <w:tblLayout w:type="fixed"/>
        <w:tblInd w:w="283" w:type="dxa"/>
        <w:tblCellMar>
          <w:top w:w="0" w:type="dxa"/>
          <w:left w:w="0" w:type="dxa"/>
          <w:bottom w:w="0" w:type="dxa"/>
          <w:right w:w="0" w:type="dxa"/>
        </w:tblCellMar>
      </w:tblPr>
      <w:tr>
        <w:trPr>
          <w:trHeight w:val="149"/>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 -</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Balances at January 1</w:t>
            </w:r>
          </w:p>
        </w:tc>
        <w:tc>
          <w:tcPr>
            <w:tcW w:w="9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404,001</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55,900</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259,621</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96,724</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21,100</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1,429,482</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217,554</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27,732</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2,512,114</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2,329,549</w:t>
            </w: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1,976,789</w:t>
            </w:r>
          </w:p>
        </w:tc>
        <w:tc>
          <w:tcPr>
            <w:tcW w:w="0" w:type="dxa"/>
            <w:vAlign w:val="bottom"/>
          </w:tcPr>
          <w:p>
            <w:pPr>
              <w:spacing w:after="0"/>
              <w:rPr>
                <w:sz w:val="1"/>
                <w:szCs w:val="1"/>
                <w:color w:val="auto"/>
              </w:rPr>
            </w:pPr>
          </w:p>
        </w:tc>
      </w:tr>
      <w:tr>
        <w:trPr>
          <w:trHeight w:val="133"/>
        </w:trPr>
        <w:tc>
          <w:tcPr>
            <w:tcW w:w="1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Additions</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95,862</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181,484</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277,346</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276,564</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246,882</w:t>
            </w:r>
          </w:p>
        </w:tc>
        <w:tc>
          <w:tcPr>
            <w:tcW w:w="0" w:type="dxa"/>
            <w:vAlign w:val="bottom"/>
          </w:tcPr>
          <w:p>
            <w:pPr>
              <w:spacing w:after="0"/>
              <w:rPr>
                <w:sz w:val="1"/>
                <w:szCs w:val="1"/>
                <w:color w:val="auto"/>
              </w:rPr>
            </w:pPr>
          </w:p>
        </w:tc>
      </w:tr>
      <w:tr>
        <w:trPr>
          <w:trHeight w:val="113"/>
        </w:trPr>
        <w:tc>
          <w:tcPr>
            <w:tcW w:w="13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Business combination,</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307,838</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note 2(d)(i)</w:t>
            </w:r>
          </w:p>
        </w:tc>
        <w:tc>
          <w:tcPr>
            <w:tcW w:w="9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Transfers</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96,291</w:t>
            </w:r>
          </w:p>
        </w:tc>
        <w:tc>
          <w:tcPr>
            <w:tcW w:w="8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(96,291)</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(3,299)</w:t>
            </w: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3"/>
        </w:trPr>
        <w:tc>
          <w:tcPr>
            <w:tcW w:w="13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Transfers to non-current</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assets classified as held</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(147,470)</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for sale</w:t>
            </w:r>
          </w:p>
        </w:tc>
        <w:tc>
          <w:tcPr>
            <w:tcW w:w="9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Disposals and others</w:t>
            </w:r>
          </w:p>
        </w:tc>
        <w:tc>
          <w:tcPr>
            <w:tcW w:w="92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2,185</w:t>
            </w: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2,094</w:t>
            </w: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3,884</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(7,297)</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(891)</w:t>
            </w:r>
          </w:p>
        </w:tc>
        <w:tc>
          <w:tcPr>
            <w:tcW w:w="8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(25)</w:t>
            </w:r>
          </w:p>
        </w:tc>
        <w:tc>
          <w:tcPr>
            <w:tcW w:w="8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(90,700)</w:t>
            </w:r>
          </w:p>
        </w:tc>
        <w:tc>
          <w:tcPr>
            <w:tcW w:w="7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(54,490)</w:t>
            </w:r>
          </w:p>
        </w:tc>
        <w:tc>
          <w:tcPr>
            <w:tcW w:w="0" w:type="dxa"/>
            <w:vAlign w:val="bottom"/>
          </w:tcPr>
          <w:p>
            <w:pPr>
              <w:spacing w:after="0"/>
              <w:rPr>
                <w:sz w:val="1"/>
                <w:szCs w:val="1"/>
                <w:color w:val="auto"/>
              </w:rPr>
            </w:pPr>
          </w:p>
        </w:tc>
      </w:tr>
      <w:tr>
        <w:trPr>
          <w:trHeight w:val="91"/>
        </w:trPr>
        <w:tc>
          <w:tcPr>
            <w:tcW w:w="138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Balances at December</w:t>
            </w: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31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406,186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55,900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261,715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100,608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21,100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1,614,338</w:t>
            </w: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302,747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26,841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2,789,435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2,512,114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2,329,549</w:t>
            </w:r>
          </w:p>
        </w:tc>
        <w:tc>
          <w:tcPr>
            <w:tcW w:w="0" w:type="dxa"/>
            <w:vAlign w:val="bottom"/>
          </w:tcPr>
          <w:p>
            <w:pPr>
              <w:spacing w:after="0"/>
              <w:rPr>
                <w:sz w:val="1"/>
                <w:szCs w:val="1"/>
                <w:color w:val="auto"/>
              </w:rPr>
            </w:pPr>
          </w:p>
        </w:tc>
      </w:tr>
      <w:tr>
        <w:trPr>
          <w:trHeight w:val="125"/>
        </w:trPr>
        <w:tc>
          <w:tcPr>
            <w:tcW w:w="1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80" w:type="dxa"/>
            <w:vAlign w:val="bottom"/>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depreciation -</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Balance at January 1</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162,922</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48,447</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68,046</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5,277</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5,197</w:t>
            </w:r>
          </w:p>
        </w:tc>
        <w:tc>
          <w:tcPr>
            <w:tcW w:w="9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925,584</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27,370</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1,242,843</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1,043,886</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826,286</w:t>
            </w: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Depreciation of the year</w:t>
            </w:r>
          </w:p>
        </w:tc>
        <w:tc>
          <w:tcPr>
            <w:tcW w:w="9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30,296</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7,453</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17,007</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671</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3,517</w:t>
            </w:r>
          </w:p>
        </w:tc>
        <w:tc>
          <w:tcPr>
            <w:tcW w:w="9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165,272</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224,216</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218,874</w:t>
            </w:r>
          </w:p>
        </w:tc>
        <w:tc>
          <w:tcPr>
            <w:tcW w:w="7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254,917</w:t>
            </w:r>
          </w:p>
        </w:tc>
        <w:tc>
          <w:tcPr>
            <w:tcW w:w="0" w:type="dxa"/>
            <w:vAlign w:val="bottom"/>
          </w:tcPr>
          <w:p>
            <w:pPr>
              <w:spacing w:after="0"/>
              <w:rPr>
                <w:sz w:val="1"/>
                <w:szCs w:val="1"/>
                <w:color w:val="auto"/>
              </w:rPr>
            </w:pPr>
          </w:p>
        </w:tc>
      </w:tr>
      <w:tr>
        <w:trPr>
          <w:trHeight w:val="113"/>
        </w:trPr>
        <w:tc>
          <w:tcPr>
            <w:tcW w:w="13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Transfers to non-current</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assets classified as held</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(26,181)</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 sale</w:t>
            </w:r>
          </w:p>
        </w:tc>
        <w:tc>
          <w:tcPr>
            <w:tcW w:w="92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Disposals and others</w:t>
            </w:r>
          </w:p>
        </w:tc>
        <w:tc>
          <w:tcPr>
            <w:tcW w:w="9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(2,864)</w:t>
            </w: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1,338</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(105)</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967</w:t>
            </w:r>
          </w:p>
        </w:tc>
        <w:tc>
          <w:tcPr>
            <w:tcW w:w="22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(972)</w:t>
            </w: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(529)</w:t>
            </w:r>
          </w:p>
        </w:tc>
        <w:tc>
          <w:tcPr>
            <w:tcW w:w="8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(2,165)</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(19,917)</w:t>
            </w:r>
          </w:p>
        </w:tc>
        <w:tc>
          <w:tcPr>
            <w:tcW w:w="7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(11,136)</w:t>
            </w:r>
          </w:p>
        </w:tc>
        <w:tc>
          <w:tcPr>
            <w:tcW w:w="0" w:type="dxa"/>
            <w:vAlign w:val="bottom"/>
          </w:tcPr>
          <w:p>
            <w:pPr>
              <w:spacing w:after="0"/>
              <w:rPr>
                <w:sz w:val="1"/>
                <w:szCs w:val="1"/>
                <w:color w:val="auto"/>
              </w:rPr>
            </w:pPr>
          </w:p>
        </w:tc>
      </w:tr>
      <w:tr>
        <w:trPr>
          <w:trHeight w:val="91"/>
        </w:trPr>
        <w:tc>
          <w:tcPr>
            <w:tcW w:w="1380" w:type="dxa"/>
            <w:vAlign w:val="bottom"/>
            <w:tcBorders>
              <w:top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Balance at December</w:t>
            </w:r>
          </w:p>
        </w:tc>
        <w:tc>
          <w:tcPr>
            <w:tcW w:w="70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190,354</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55,900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86,391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5,843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9,681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1,089,884</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26,841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1,464,894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1,242,843</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1,043,886</w:t>
            </w:r>
          </w:p>
        </w:tc>
        <w:tc>
          <w:tcPr>
            <w:tcW w:w="0" w:type="dxa"/>
            <w:vAlign w:val="bottom"/>
          </w:tcPr>
          <w:p>
            <w:pPr>
              <w:spacing w:after="0"/>
              <w:rPr>
                <w:sz w:val="1"/>
                <w:szCs w:val="1"/>
                <w:color w:val="auto"/>
              </w:rPr>
            </w:pPr>
          </w:p>
        </w:tc>
      </w:tr>
      <w:tr>
        <w:trPr>
          <w:trHeight w:val="125"/>
        </w:trPr>
        <w:tc>
          <w:tcPr>
            <w:tcW w:w="13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Net carrying amount</w:t>
            </w: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215,832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175,324</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94,765</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11,419</w:t>
            </w:r>
          </w:p>
        </w:tc>
        <w:tc>
          <w:tcPr>
            <w:tcW w:w="9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524,454</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302,747</w:t>
            </w: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1,324,541</w:t>
            </w: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1,269,271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1,285,663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3"/>
        <w:spacing w:after="0" w:line="285" w:lineRule="auto"/>
        <w:rPr>
          <w:sz w:val="20"/>
          <w:szCs w:val="20"/>
          <w:color w:val="auto"/>
        </w:rPr>
      </w:pPr>
      <w:r>
        <w:rPr>
          <w:rFonts w:ascii="Times New Roman" w:cs="Times New Roman" w:eastAsia="Times New Roman" w:hAnsi="Times New Roman"/>
          <w:sz w:val="16"/>
          <w:szCs w:val="16"/>
          <w:color w:val="auto"/>
        </w:rPr>
        <w:t>At December 31, 2016 and 2015 additions were related to the implementation of a technological platform, which is used for the administration of the insurance segment of the group, and to develop applications related to basic information of clients, implementation of treasury solutions among others.</w:t>
      </w:r>
    </w:p>
    <w:p>
      <w:pPr>
        <w:spacing w:after="0" w:line="337" w:lineRule="exact"/>
        <w:rPr>
          <w:sz w:val="20"/>
          <w:szCs w:val="20"/>
          <w:color w:val="auto"/>
        </w:rPr>
      </w:pPr>
    </w:p>
    <w:p>
      <w:pPr>
        <w:jc w:val="center"/>
        <w:ind w:right="-122"/>
        <w:spacing w:after="0"/>
        <w:rPr>
          <w:sz w:val="20"/>
          <w:szCs w:val="20"/>
          <w:color w:val="auto"/>
        </w:rPr>
      </w:pPr>
      <w:r>
        <w:rPr>
          <w:rFonts w:ascii="Times New Roman" w:cs="Times New Roman" w:eastAsia="Times New Roman" w:hAnsi="Times New Roman"/>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23"/>
          </w:cols>
          <w:pgMar w:left="237" w:top="82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(i)</w:t>
            </w:r>
          </w:p>
        </w:tc>
        <w:tc>
          <w:tcPr>
            <w:tcW w:w="8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Client relationships -</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8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8500" w:type="dxa"/>
            <w:vAlign w:val="bottom"/>
            <w:gridSpan w:val="3"/>
          </w:tcPr>
          <w:p>
            <w:pPr>
              <w:ind w:left="79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S/(000)</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7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Prima AFP - AFP Unión Vida</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119,367</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124,476</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Inversiones IMT S.A. - IM Trust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26,438</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27,244</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Credicorp Capital Colombia S.A.</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13,751</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15,960</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Edyficar</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5,155</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6,974</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Mibanco</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51,121</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66,425</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5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(ii)</w:t>
            </w:r>
          </w:p>
        </w:tc>
        <w:tc>
          <w:tcPr>
            <w:tcW w:w="8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Brand name -</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8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8500" w:type="dxa"/>
            <w:vAlign w:val="bottom"/>
            <w:gridSpan w:val="3"/>
          </w:tcPr>
          <w:p>
            <w:pPr>
              <w:ind w:left="79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S/(000)</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84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Mibanco</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151,923</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159,683</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Credicorp Capital Colombia S.A.</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13,460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18,325</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Inversiones IMT S.A. - IM Trust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9,941</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13,567</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5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(iii) Fund manager contract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85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8500" w:type="dxa"/>
            <w:vAlign w:val="bottom"/>
            <w:gridSpan w:val="3"/>
          </w:tcPr>
          <w:p>
            <w:pPr>
              <w:ind w:left="79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S/(000)</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84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Credicorp Capital Colombia S.A.</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49,287</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47,791</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Inversiones IMT S.A. - IM Trust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45,478</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43,656</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94,765</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91,447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00" w:right="260"/>
        <w:spacing w:after="0" w:line="285" w:lineRule="auto"/>
        <w:rPr>
          <w:sz w:val="20"/>
          <w:szCs w:val="20"/>
          <w:color w:val="auto"/>
        </w:rPr>
      </w:pPr>
      <w:r>
        <w:rPr>
          <w:rFonts w:ascii="Times New Roman" w:cs="Times New Roman" w:eastAsia="Times New Roman" w:hAnsi="Times New Roman"/>
          <w:sz w:val="16"/>
          <w:szCs w:val="16"/>
          <w:color w:val="auto"/>
        </w:rPr>
        <w:t>Management has assessed at each reporting date that there was no indication that client relationships, rights of use, brand name, fund management contract and software and developments may be impaired.</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820"/>
          </w:cols>
          <w:pgMar w:left="520" w:top="824" w:right="559" w:bottom="1440" w:gutter="0" w:footer="0" w:header="0"/>
        </w:sectPr>
      </w:pPr>
    </w:p>
    <w:bookmarkStart w:id="66" w:name="page67"/>
    <w:bookmarkEnd w:id="66"/>
    <w:p>
      <w:pPr>
        <w:ind w:left="283" w:hanging="283"/>
        <w:spacing w:after="0"/>
        <w:tabs>
          <w:tab w:leader="none" w:pos="28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w:t>
      </w:r>
    </w:p>
    <w:p>
      <w:pPr>
        <w:spacing w:after="0" w:line="202" w:lineRule="exact"/>
        <w:rPr>
          <w:rFonts w:ascii="Times New Roman" w:cs="Times New Roman" w:eastAsia="Times New Roman" w:hAnsi="Times New Roman"/>
          <w:sz w:val="16"/>
          <w:szCs w:val="16"/>
          <w:color w:val="auto"/>
        </w:rPr>
      </w:pPr>
    </w:p>
    <w:p>
      <w:pPr>
        <w:ind w:left="283" w:right="7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acquired through business combinations has been allocated to each subsidiary or groups of them, which are also identified as a CGU for the purposes of impairment testing, as follows:</w:t>
      </w:r>
    </w:p>
    <w:p>
      <w:pPr>
        <w:spacing w:after="0" w:line="15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8840" w:type="dxa"/>
            <w:vAlign w:val="bottom"/>
            <w:gridSpan w:val="2"/>
          </w:tcPr>
          <w:p>
            <w:pPr>
              <w:ind w:left="82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r>
      <w:tr>
        <w:trPr>
          <w:trHeight w:val="204"/>
        </w:trPr>
        <w:tc>
          <w:tcPr>
            <w:tcW w:w="826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8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Edyficar y Mibanco</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273,694</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273,694</w:t>
            </w:r>
          </w:p>
        </w:tc>
      </w:tr>
      <w:tr>
        <w:trPr>
          <w:trHeight w:val="193"/>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Prima AFP – AFP Unión Vida</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124,640</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124,640</w:t>
            </w:r>
          </w:p>
        </w:tc>
      </w:tr>
      <w:tr>
        <w:trPr>
          <w:trHeight w:val="193"/>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Credicorp Capital Colombia S.A.</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80,022</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76,393</w:t>
            </w:r>
          </w:p>
        </w:tc>
      </w:tr>
      <w:tr>
        <w:trPr>
          <w:trHeight w:val="193"/>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Banco de Crédito del Perú</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52,359</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52,359</w:t>
            </w:r>
          </w:p>
        </w:tc>
      </w:tr>
      <w:tr>
        <w:trPr>
          <w:trHeight w:val="193"/>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Inversiones IMT S.A. – IM Trust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39,284</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37,764</w:t>
            </w:r>
          </w:p>
        </w:tc>
      </w:tr>
      <w:tr>
        <w:trPr>
          <w:trHeight w:val="193"/>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 Pacífico Peruano – Suiza Compañía de Seguros y Reaseguros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36,355</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36,355</w:t>
            </w:r>
          </w:p>
        </w:tc>
      </w:tr>
      <w:tr>
        <w:trPr>
          <w:trHeight w:val="193"/>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Atlantic Security Holding Corporation</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29,795</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29,795</w:t>
            </w:r>
          </w:p>
        </w:tc>
      </w:tr>
      <w:tr>
        <w:trPr>
          <w:trHeight w:val="205"/>
        </w:trPr>
        <w:tc>
          <w:tcPr>
            <w:tcW w:w="8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Fiduciaria Colseguros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426</w:t>
            </w:r>
          </w:p>
        </w:tc>
      </w:tr>
      <w:tr>
        <w:trPr>
          <w:trHeight w:val="185"/>
        </w:trPr>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636,149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631,426</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77" w:lineRule="exact"/>
        <w:rPr>
          <w:sz w:val="20"/>
          <w:szCs w:val="20"/>
          <w:color w:val="auto"/>
        </w:rPr>
      </w:pPr>
    </w:p>
    <w:p>
      <w:pPr>
        <w:ind w:left="283" w:right="140"/>
        <w:spacing w:after="0" w:line="285" w:lineRule="auto"/>
        <w:rPr>
          <w:sz w:val="20"/>
          <w:szCs w:val="20"/>
          <w:color w:val="auto"/>
        </w:rPr>
      </w:pPr>
      <w:r>
        <w:rPr>
          <w:rFonts w:ascii="Times New Roman" w:cs="Times New Roman" w:eastAsia="Times New Roman" w:hAnsi="Times New Roman"/>
          <w:sz w:val="16"/>
          <w:szCs w:val="16"/>
          <w:color w:val="auto"/>
        </w:rPr>
        <w:t>The recoverable amount of all CGU has been determined based on calculations of fair value less selling costs, determined by discounting the future cash flows expected to be generated from the continuing use of the CGU.</w:t>
      </w:r>
    </w:p>
    <w:p>
      <w:pPr>
        <w:spacing w:after="0" w:line="143" w:lineRule="exact"/>
        <w:rPr>
          <w:sz w:val="20"/>
          <w:szCs w:val="20"/>
          <w:color w:val="auto"/>
        </w:rPr>
      </w:pPr>
    </w:p>
    <w:p>
      <w:pPr>
        <w:ind w:left="283"/>
        <w:spacing w:after="0" w:line="285" w:lineRule="auto"/>
        <w:rPr>
          <w:sz w:val="20"/>
          <w:szCs w:val="20"/>
          <w:color w:val="auto"/>
        </w:rPr>
      </w:pPr>
      <w:r>
        <w:rPr>
          <w:rFonts w:ascii="Times New Roman" w:cs="Times New Roman" w:eastAsia="Times New Roman" w:hAnsi="Times New Roman"/>
          <w:sz w:val="16"/>
          <w:szCs w:val="16"/>
          <w:color w:val="auto"/>
        </w:rPr>
        <w:t>Balances of goodwill from IM Trust S.A. and Correval are impacted by the volatility of the exchange rate of the local currency of the countries in which they operate against the exchange rate of Grupo Credicorp’s functional currency.</w:t>
      </w:r>
    </w:p>
    <w:p>
      <w:pPr>
        <w:spacing w:after="0" w:line="143"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following table summarizes the key assumptions used for the calculation of fair value less selling costs in 2016 and 2015:</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At December 31, 2016</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7"/>
        </w:trPr>
        <w:tc>
          <w:tcPr>
            <w:tcW w:w="2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Terminal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280" w:type="dxa"/>
            <w:vAlign w:val="bottom"/>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growth rate</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rate</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Inversiones IMT S.A. – IM Trust</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5.25</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Mibanco</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w:t>
            </w:r>
          </w:p>
        </w:tc>
        <w:tc>
          <w:tcPr>
            <w:tcW w:w="7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Prima AFP – AFP Unión Vida</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Credicorp Capital Colombia S.A.</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3.80</w:t>
            </w:r>
          </w:p>
        </w:tc>
        <w:tc>
          <w:tcPr>
            <w:tcW w:w="7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Banco de Crédito del Perú</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El Pacífico Peruano – Suiza Compañía de Seguros y Reaseguros</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w:t>
            </w:r>
          </w:p>
        </w:tc>
        <w:tc>
          <w:tcPr>
            <w:tcW w:w="7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Atlantic Security Bank</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11.17</w:t>
            </w:r>
          </w:p>
        </w:tc>
        <w:tc>
          <w:tcPr>
            <w:tcW w:w="180" w:type="dxa"/>
            <w:vAlign w:val="bottom"/>
          </w:tcPr>
          <w:p>
            <w:pPr>
              <w:spacing w:after="0"/>
              <w:rPr>
                <w:sz w:val="16"/>
                <w:szCs w:val="16"/>
                <w:color w:val="auto"/>
              </w:rPr>
            </w:pPr>
          </w:p>
        </w:tc>
      </w:tr>
      <w:tr>
        <w:trPr>
          <w:trHeight w:val="580"/>
        </w:trPr>
        <w:tc>
          <w:tcPr>
            <w:tcW w:w="2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419"/>
              <w:spacing w:after="0"/>
              <w:rPr>
                <w:sz w:val="20"/>
                <w:szCs w:val="20"/>
                <w:color w:val="auto"/>
              </w:rPr>
            </w:pPr>
            <w:r>
              <w:rPr>
                <w:rFonts w:ascii="Times New Roman" w:cs="Times New Roman" w:eastAsia="Times New Roman" w:hAnsi="Times New Roman"/>
                <w:sz w:val="16"/>
                <w:szCs w:val="16"/>
                <w:color w:val="auto"/>
              </w:rPr>
              <w:t>- 68 -</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4" w:right="21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At December 31, 2015</w:t>
            </w:r>
          </w:p>
        </w:tc>
      </w:tr>
      <w:tr>
        <w:trPr>
          <w:trHeight w:val="167"/>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Terminal</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value growth</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Discount rate</w:t>
            </w:r>
          </w:p>
        </w:tc>
      </w:tr>
      <w:tr>
        <w:trPr>
          <w:trHeight w:val="204"/>
        </w:trPr>
        <w:tc>
          <w:tcPr>
            <w:tcW w:w="8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175"/>
        </w:trPr>
        <w:tc>
          <w:tcPr>
            <w:tcW w:w="8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Inversiones IMT S.A. - IM Trust</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5.25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12.94</w:t>
            </w:r>
          </w:p>
        </w:tc>
      </w:tr>
      <w:tr>
        <w:trPr>
          <w:trHeight w:val="193"/>
        </w:trPr>
        <w:tc>
          <w:tcPr>
            <w:tcW w:w="8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Mibanco</w:t>
            </w:r>
          </w:p>
        </w:tc>
        <w:tc>
          <w:tcPr>
            <w:tcW w:w="9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5.00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14.94</w:t>
            </w:r>
          </w:p>
        </w:tc>
      </w:tr>
      <w:tr>
        <w:trPr>
          <w:trHeight w:val="193"/>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Prima AFP - AFP Unión Vida</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1.20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9.92</w:t>
            </w:r>
          </w:p>
        </w:tc>
      </w:tr>
      <w:tr>
        <w:trPr>
          <w:trHeight w:val="193"/>
        </w:trPr>
        <w:tc>
          <w:tcPr>
            <w:tcW w:w="8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Credicorp Capital Colombia S.A.</w:t>
            </w:r>
          </w:p>
        </w:tc>
        <w:tc>
          <w:tcPr>
            <w:tcW w:w="9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3.80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13.77</w:t>
            </w:r>
          </w:p>
        </w:tc>
      </w:tr>
      <w:tr>
        <w:trPr>
          <w:trHeight w:val="193"/>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Banco de Crédito del Perú</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4.70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13.85</w:t>
            </w:r>
          </w:p>
        </w:tc>
      </w:tr>
      <w:tr>
        <w:trPr>
          <w:trHeight w:val="193"/>
        </w:trPr>
        <w:tc>
          <w:tcPr>
            <w:tcW w:w="8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 Pacífico Peruano - Suiza Compañía de Seguros y Reaseguros</w:t>
            </w:r>
          </w:p>
        </w:tc>
        <w:tc>
          <w:tcPr>
            <w:tcW w:w="9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5.00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10.23</w:t>
            </w:r>
          </w:p>
        </w:tc>
      </w:tr>
      <w:tr>
        <w:trPr>
          <w:trHeight w:val="193"/>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Atlantic Security Bank</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2.00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10.97</w:t>
            </w:r>
          </w:p>
        </w:tc>
      </w:tr>
    </w:tbl>
    <w:p>
      <w:pPr>
        <w:spacing w:after="0" w:line="1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Five or ten years of cash flows, depending on the business maturity, were included in the discounted cash flow model. The growth rate estimates are based on past performance and management’s expectations of market development. A long-term growth rate into perpetuity has been determined taking into account forecasts included in industry reports.</w:t>
      </w:r>
    </w:p>
    <w:p>
      <w:pPr>
        <w:spacing w:after="0" w:line="15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Discount rates represent the current market assessment of the risks specific to each CGU. The discount rate is derived from the capital asset pricing model (CAPM). The cost of equity is derived from the expected return on investment by the Group’s investors, specific risk incorporated by applying individual comparable beta factors adjusted by the debt structure of each CGU and country and market risk specific premiums to each CGU. The beta factors are evaluated annually based on publicly available market data.</w:t>
      </w:r>
    </w:p>
    <w:p>
      <w:pPr>
        <w:spacing w:after="0" w:line="16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During the years 2015 and 2014, the Group recorded a gross impairment loss amounting to S/82.4 million and S/92.6 million at December 31, 2015 and 2014, respectively, as a result of the assessment of the recoverable amount of “IM Trust”, amounting to S/234.3 million and S/306.1 million at December 31, 2015 and 2014, respectively, which decreased in relation to prior years given the lower revenues generated against those originally budgeted by Management and for the changes expected in the payment of taxes attributable to the parent company resulting from the tax law reform in Chile.</w:t>
      </w:r>
    </w:p>
    <w:p>
      <w:pPr>
        <w:spacing w:after="0" w:line="161"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The key assumptions described above may change as economic and market conditions change. The Group estimates that reasonably possible changes in these assumptions would not cause the recoverable amount of all CGU to decline below their carrying amount.</w:t>
      </w:r>
    </w:p>
    <w:p>
      <w:pPr>
        <w:spacing w:after="0" w:line="33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20"/>
          </w:cols>
          <w:pgMar w:left="520" w:top="834" w:right="2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OTHER ASSETS AND OTHER LIABILITIES</w:t>
            </w: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87"/>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This item consists of the following:</w:t>
            </w:r>
          </w:p>
        </w:tc>
        <w:tc>
          <w:tcPr>
            <w:tcW w:w="3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4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5"/>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 -</w:t>
            </w: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instruments:</w:t>
            </w:r>
          </w:p>
        </w:tc>
        <w:tc>
          <w:tcPr>
            <w:tcW w:w="3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1,240,632</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1,660,021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Derivatives receivable (b)</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942,602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1,475,516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 in process (c)</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45,450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109,768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2,228,684</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3,245,305</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Non-financial instruments:</w:t>
            </w:r>
          </w:p>
        </w:tc>
        <w:tc>
          <w:tcPr>
            <w:tcW w:w="3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 note 19(c)</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506,044</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524,620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associates (e)</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699,724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630,739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properties, net (f)</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504,927</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421,133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Deferred fees</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504,445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377,103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prepayments, net</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357,149</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220,672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VAT (IGV) tax credit</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41,140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192,391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Seized assets, net</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73,466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24,666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13,334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12,670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2,700,229</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2,403,994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4,928,913</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5,649,299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liabilities -</w:t>
            </w:r>
          </w:p>
        </w:tc>
        <w:tc>
          <w:tcPr>
            <w:tcW w:w="3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instruments:</w:t>
            </w: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1,512,804</w:t>
            </w: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1,349,002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payable (b)</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673,015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942,521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other personnel expenses</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681,853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605,196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indirect loan losses, note 7(d)</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209,559</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191,882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Put options on non-controlling interest, note 2(a)</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486,068</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 in process (c)</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136,764</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75,415</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3,213,995</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3,650,084</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Non-financial instruments:</w:t>
            </w: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Taxes</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286,504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415,501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note 19(c)</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172,641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138,886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sundry risks (d)</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296,339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196,261</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150,587</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221,366</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906,071</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972,014</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4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4,120,066</w:t>
            </w:r>
          </w:p>
        </w:tc>
        <w:tc>
          <w:tcPr>
            <w:tcW w:w="2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4,622,098</w:t>
            </w: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559"/>
              <w:spacing w:after="0"/>
              <w:rPr>
                <w:sz w:val="20"/>
                <w:szCs w:val="20"/>
                <w:color w:val="auto"/>
              </w:rPr>
            </w:pPr>
            <w:r>
              <w:rPr>
                <w:rFonts w:ascii="Times New Roman" w:cs="Times New Roman" w:eastAsia="Times New Roman" w:hAnsi="Times New Roman"/>
                <w:sz w:val="16"/>
                <w:szCs w:val="16"/>
                <w:color w:val="auto"/>
              </w:rPr>
              <w:t>- 70 -</w:t>
            </w: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2" w:right="219" w:bottom="1440" w:gutter="0" w:footer="0" w:header="0"/>
        </w:sectPr>
      </w:pPr>
    </w:p>
    <w:bookmarkStart w:id="69" w:name="page70"/>
    <w:bookmarkEnd w:id="69"/>
    <w:p>
      <w:pPr>
        <w:ind w:left="283" w:right="240" w:hanging="283"/>
        <w:spacing w:after="0" w:line="285" w:lineRule="auto"/>
        <w:tabs>
          <w:tab w:leader="none" w:pos="28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in derivative contracts arises from the possibility of the counterparty failing to comply with the terms and conditions agreed and that the reference rates at which the transactions took place change.</w:t>
      </w:r>
    </w:p>
    <w:p>
      <w:pPr>
        <w:spacing w:after="0" w:line="143" w:lineRule="exact"/>
        <w:rPr>
          <w:sz w:val="20"/>
          <w:szCs w:val="20"/>
          <w:color w:val="auto"/>
        </w:rPr>
      </w:pPr>
    </w:p>
    <w:p>
      <w:pPr>
        <w:ind w:left="283" w:right="400"/>
        <w:spacing w:after="0" w:line="268" w:lineRule="auto"/>
        <w:rPr>
          <w:sz w:val="20"/>
          <w:szCs w:val="20"/>
          <w:color w:val="auto"/>
        </w:rPr>
      </w:pPr>
      <w:r>
        <w:rPr>
          <w:rFonts w:ascii="Times New Roman" w:cs="Times New Roman" w:eastAsia="Times New Roman" w:hAnsi="Times New Roman"/>
          <w:sz w:val="16"/>
          <w:szCs w:val="16"/>
          <w:color w:val="auto"/>
        </w:rPr>
        <w:t>The table below shows at December 31, 2016 and 2015 the fair value of derivative financial instruments, recorded as an asset or a liability, together with their nominal amounts and maturities. The nominal amount, recorded gross, is the amount of a derivative’s underlying asset and is the basis upon which changes in the value of derivatives are measured.</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2016 y 2015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540"/>
              <w:spacing w:after="0" w:line="138" w:lineRule="exact"/>
              <w:rPr>
                <w:sz w:val="20"/>
                <w:szCs w:val="20"/>
                <w:color w:val="auto"/>
              </w:rPr>
            </w:pPr>
            <w:r>
              <w:rPr>
                <w:rFonts w:ascii="Times New Roman" w:cs="Times New Roman" w:eastAsia="Times New Roman" w:hAnsi="Times New Roman"/>
                <w:sz w:val="13"/>
                <w:szCs w:val="13"/>
                <w:b w:val="1"/>
                <w:bCs w:val="1"/>
                <w:color w:val="auto"/>
                <w:w w:val="92"/>
              </w:rPr>
              <w:t>Assets</w:t>
            </w:r>
          </w:p>
        </w:tc>
        <w:tc>
          <w:tcPr>
            <w:tcW w:w="88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14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Nominal amount</w:t>
            </w:r>
          </w:p>
        </w:tc>
        <w:tc>
          <w:tcPr>
            <w:tcW w:w="8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100" w:type="dxa"/>
            <w:vAlign w:val="bottom"/>
          </w:tcPr>
          <w:p>
            <w:pPr>
              <w:spacing w:after="0"/>
              <w:rPr>
                <w:sz w:val="11"/>
                <w:szCs w:val="11"/>
                <w:color w:val="auto"/>
              </w:rPr>
            </w:pPr>
          </w:p>
        </w:tc>
        <w:tc>
          <w:tcPr>
            <w:tcW w:w="78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Assets</w:t>
            </w:r>
          </w:p>
        </w:tc>
        <w:tc>
          <w:tcPr>
            <w:tcW w:w="1020" w:type="dxa"/>
            <w:vAlign w:val="bottom"/>
            <w:tcBorders>
              <w:top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120" w:type="dxa"/>
            <w:vAlign w:val="bottom"/>
            <w:tcBorders>
              <w:top w:val="single" w:sz="8" w:color="auto"/>
            </w:tcBorders>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Nominal amount</w:t>
            </w:r>
          </w:p>
        </w:tc>
        <w:tc>
          <w:tcPr>
            <w:tcW w:w="110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120" w:type="dxa"/>
            <w:vAlign w:val="bottom"/>
          </w:tcPr>
          <w:p>
            <w:pPr>
              <w:spacing w:after="0"/>
              <w:rPr>
                <w:sz w:val="11"/>
                <w:szCs w:val="11"/>
                <w:color w:val="auto"/>
              </w:rPr>
            </w:pPr>
          </w:p>
        </w:tc>
        <w:tc>
          <w:tcPr>
            <w:tcW w:w="11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9"/>
              </w:rPr>
              <w:t>Related instruments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gridSpan w:val="2"/>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Derivatives held for</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trading (i) -</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Forward foreign exchange</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Between January</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73,722</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55,437</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9,313,965</w:t>
            </w: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92,132</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178,056</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11,472,027</w:t>
            </w:r>
          </w:p>
        </w:tc>
        <w:tc>
          <w:tcPr>
            <w:tcW w:w="11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2016 and  March</w:t>
            </w:r>
          </w:p>
        </w:tc>
        <w:tc>
          <w:tcPr>
            <w:tcW w:w="1260" w:type="dxa"/>
            <w:vAlign w:val="bottom"/>
            <w:gridSpan w:val="2"/>
            <w:vMerge w:val="restart"/>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contracts</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and June 2020</w:t>
            </w: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2017</w:t>
            </w: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Between January</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swaps</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87,872</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55,927</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25,900,896</w:t>
            </w: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and December</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56,424</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58,587</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8,393,724</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2016 and December</w:t>
            </w:r>
          </w:p>
        </w:tc>
        <w:tc>
          <w:tcPr>
            <w:tcW w:w="1260" w:type="dxa"/>
            <w:vAlign w:val="bottom"/>
            <w:gridSpan w:val="2"/>
            <w:vMerge w:val="restart"/>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2031</w:t>
            </w: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2031</w:t>
            </w:r>
          </w:p>
        </w:tc>
        <w:tc>
          <w:tcPr>
            <w:tcW w:w="12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Between January</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Currency swaps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428,928</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490,475</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7,518,170</w:t>
            </w: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and December</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839,087</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625,687</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16,586,466</w:t>
            </w: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2016 and December</w:t>
            </w:r>
          </w:p>
        </w:tc>
        <w:tc>
          <w:tcPr>
            <w:tcW w:w="1260" w:type="dxa"/>
            <w:vAlign w:val="bottom"/>
            <w:gridSpan w:val="2"/>
            <w:vMerge w:val="restart"/>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Between January</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Forward foreign exchange</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and December</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2016 and December</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contracts</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21,490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17,202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2,747,601</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10,072</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24,371</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2,135,684</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2016</w:t>
            </w:r>
          </w:p>
        </w:tc>
        <w:tc>
          <w:tcPr>
            <w:tcW w:w="126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612,012</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619,041</w:t>
            </w:r>
          </w:p>
        </w:tc>
        <w:tc>
          <w:tcPr>
            <w:tcW w:w="220" w:type="dxa"/>
            <w:vAlign w:val="bottom"/>
          </w:tcPr>
          <w:p>
            <w:pPr>
              <w:spacing w:after="0"/>
              <w:rPr>
                <w:sz w:val="10"/>
                <w:szCs w:val="10"/>
                <w:color w:val="auto"/>
              </w:rPr>
            </w:pPr>
          </w:p>
        </w:tc>
        <w:tc>
          <w:tcPr>
            <w:tcW w:w="9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45,480,632</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997,715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886,701</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38,587,901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Derivatives held as hedges</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Cash flow hedges (ii) -</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 April</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15(a)(i)(*)</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1,384</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318,820</w:t>
            </w: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2017 and</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to banks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2018</w:t>
            </w: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tcPr>
          <w:p>
            <w:pPr>
              <w:spacing w:after="0"/>
              <w:rPr>
                <w:sz w:val="9"/>
                <w:szCs w:val="9"/>
                <w:color w:val="auto"/>
              </w:rPr>
            </w:pPr>
          </w:p>
        </w:tc>
        <w:tc>
          <w:tcPr>
            <w:tcW w:w="5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rPr>
              <w:t>15(a)(i)</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218</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335,600</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January 2018</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401</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341,100</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January 2018</w:t>
            </w:r>
          </w:p>
        </w:tc>
        <w:tc>
          <w:tcPr>
            <w:tcW w:w="12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Debt to banks</w:t>
            </w:r>
          </w:p>
        </w:tc>
        <w:tc>
          <w:tcPr>
            <w:tcW w:w="0" w:type="dxa"/>
            <w:vAlign w:val="bottom"/>
          </w:tcPr>
          <w:p>
            <w:pPr>
              <w:spacing w:after="0"/>
              <w:rPr>
                <w:sz w:val="1"/>
                <w:szCs w:val="1"/>
                <w:color w:val="auto"/>
              </w:rPr>
            </w:pPr>
          </w:p>
        </w:tc>
      </w:tr>
      <w:tr>
        <w:trPr>
          <w:trHeight w:val="153"/>
        </w:trPr>
        <w:tc>
          <w:tcPr>
            <w:tcW w:w="1560" w:type="dxa"/>
            <w:vAlign w:val="bottom"/>
            <w:gridSpan w:val="2"/>
            <w:vMerge w:val="continue"/>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15(a)(i)</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1,614</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335,600</w:t>
            </w:r>
          </w:p>
        </w:tc>
        <w:tc>
          <w:tcPr>
            <w:tcW w:w="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2018</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170,550</w:t>
            </w:r>
          </w:p>
        </w:tc>
        <w:tc>
          <w:tcPr>
            <w:tcW w:w="1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2016</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to banks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tcPr>
          <w:p>
            <w:pPr>
              <w:spacing w:after="0"/>
              <w:rPr>
                <w:sz w:val="9"/>
                <w:szCs w:val="9"/>
                <w:color w:val="auto"/>
              </w:rPr>
            </w:pPr>
          </w:p>
        </w:tc>
        <w:tc>
          <w:tcPr>
            <w:tcW w:w="5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rPr>
              <w:t>15(a)(i)</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127</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102,330</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October 2016</w:t>
            </w:r>
          </w:p>
        </w:tc>
        <w:tc>
          <w:tcPr>
            <w:tcW w:w="12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Debt to banks</w:t>
            </w:r>
          </w:p>
        </w:tc>
        <w:tc>
          <w:tcPr>
            <w:tcW w:w="0" w:type="dxa"/>
            <w:vAlign w:val="bottom"/>
          </w:tcPr>
          <w:p>
            <w:pPr>
              <w:spacing w:after="0"/>
              <w:rPr>
                <w:sz w:val="1"/>
                <w:szCs w:val="1"/>
                <w:color w:val="auto"/>
              </w:rPr>
            </w:pPr>
          </w:p>
        </w:tc>
      </w:tr>
      <w:tr>
        <w:trPr>
          <w:trHeight w:val="153"/>
        </w:trPr>
        <w:tc>
          <w:tcPr>
            <w:tcW w:w="1560" w:type="dxa"/>
            <w:vAlign w:val="bottom"/>
            <w:gridSpan w:val="2"/>
            <w:vMerge w:val="continue"/>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15(a)(i)</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170,550</w:t>
            </w:r>
          </w:p>
        </w:tc>
        <w:tc>
          <w:tcPr>
            <w:tcW w:w="1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2016</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to banks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7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Between March</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17(a)(iii)</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2,736</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179,231</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October 2017</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18,604</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465,394</w:t>
            </w:r>
          </w:p>
        </w:tc>
        <w:tc>
          <w:tcPr>
            <w:tcW w:w="11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2016 and October</w:t>
            </w:r>
          </w:p>
        </w:tc>
        <w:tc>
          <w:tcPr>
            <w:tcW w:w="12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Notes issued</w:t>
            </w:r>
          </w:p>
        </w:tc>
        <w:tc>
          <w:tcPr>
            <w:tcW w:w="0" w:type="dxa"/>
            <w:vAlign w:val="bottom"/>
          </w:tcPr>
          <w:p>
            <w:pPr>
              <w:spacing w:after="0"/>
              <w:rPr>
                <w:sz w:val="1"/>
                <w:szCs w:val="1"/>
                <w:color w:val="auto"/>
              </w:rPr>
            </w:pPr>
          </w:p>
        </w:tc>
      </w:tr>
      <w:tr>
        <w:trPr>
          <w:trHeight w:val="153"/>
        </w:trPr>
        <w:tc>
          <w:tcPr>
            <w:tcW w:w="1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2017</w:t>
            </w: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 March</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 March</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5(c)(*)</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3,140</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294</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503,400</w:t>
            </w: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2019 and</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3,256</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594</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511,650</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2019 and December</w:t>
            </w:r>
          </w:p>
        </w:tc>
        <w:tc>
          <w:tcPr>
            <w:tcW w:w="1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2019</w:t>
            </w: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2019</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Cross currency swaps (CCS)</w:t>
            </w:r>
          </w:p>
        </w:tc>
        <w:tc>
          <w:tcPr>
            <w:tcW w:w="6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5"/>
              </w:rPr>
              <w:t>17(a)(xi)</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25,387</w:t>
            </w:r>
          </w:p>
        </w:tc>
        <w:tc>
          <w:tcPr>
            <w:tcW w:w="11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1,006,800</w:t>
            </w: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October 2019</w:t>
            </w:r>
          </w:p>
        </w:tc>
        <w:tc>
          <w:tcPr>
            <w:tcW w:w="88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100" w:type="dxa"/>
            <w:vAlign w:val="bottom"/>
          </w:tcPr>
          <w:p>
            <w:pPr>
              <w:ind w:left="5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Bonds issued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Cross currency swaps (CCS)</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5(c)(***)</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35,158</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234,920</w:t>
            </w:r>
          </w:p>
        </w:tc>
        <w:tc>
          <w:tcPr>
            <w:tcW w:w="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August 2020</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47,217</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238,770</w:t>
            </w:r>
          </w:p>
        </w:tc>
        <w:tc>
          <w:tcPr>
            <w:tcW w:w="1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August 2020</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Repurchase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agreements</w:t>
            </w:r>
          </w:p>
        </w:tc>
        <w:tc>
          <w:tcPr>
            <w:tcW w:w="0" w:type="dxa"/>
            <w:vAlign w:val="bottom"/>
          </w:tcPr>
          <w:p>
            <w:pPr>
              <w:spacing w:after="0"/>
              <w:rPr>
                <w:sz w:val="1"/>
                <w:szCs w:val="1"/>
                <w:color w:val="auto"/>
              </w:rPr>
            </w:pPr>
          </w:p>
        </w:tc>
      </w:tr>
      <w:tr>
        <w:trPr>
          <w:trHeight w:val="113"/>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Cross currency swaps (CCS)</w:t>
            </w:r>
          </w:p>
        </w:tc>
        <w:tc>
          <w:tcPr>
            <w:tcW w:w="60" w:type="dxa"/>
            <w:vAlign w:val="bottom"/>
          </w:tcPr>
          <w:p>
            <w:pPr>
              <w:spacing w:after="0"/>
              <w:rPr>
                <w:sz w:val="9"/>
                <w:szCs w:val="9"/>
                <w:color w:val="auto"/>
              </w:rPr>
            </w:pPr>
          </w:p>
        </w:tc>
        <w:tc>
          <w:tcPr>
            <w:tcW w:w="5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w w:val="95"/>
              </w:rPr>
              <w:t>5(c)</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6,871</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151,020</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August 2026</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1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Repurchase</w:t>
            </w:r>
          </w:p>
        </w:tc>
        <w:tc>
          <w:tcPr>
            <w:tcW w:w="0" w:type="dxa"/>
            <w:vAlign w:val="bottom"/>
          </w:tcPr>
          <w:p>
            <w:pPr>
              <w:spacing w:after="0"/>
              <w:rPr>
                <w:sz w:val="1"/>
                <w:szCs w:val="1"/>
                <w:color w:val="auto"/>
              </w:rPr>
            </w:pPr>
          </w:p>
        </w:tc>
      </w:tr>
      <w:tr>
        <w:trPr>
          <w:trHeight w:val="153"/>
        </w:trPr>
        <w:tc>
          <w:tcPr>
            <w:tcW w:w="1560" w:type="dxa"/>
            <w:vAlign w:val="bottom"/>
            <w:gridSpan w:val="2"/>
            <w:vMerge w:val="continue"/>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agreements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Cross currency swaps (CCS)</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w w:val="95"/>
              </w:rPr>
              <w:t>5(c)</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1,154</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83,900</w:t>
            </w:r>
          </w:p>
        </w:tc>
        <w:tc>
          <w:tcPr>
            <w:tcW w:w="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August 2026</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Repurchase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Between January</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Available-for-sale</w:t>
            </w:r>
          </w:p>
        </w:tc>
        <w:tc>
          <w:tcPr>
            <w:tcW w:w="0" w:type="dxa"/>
            <w:vAlign w:val="bottom"/>
          </w:tcPr>
          <w:p>
            <w:pPr>
              <w:spacing w:after="0"/>
              <w:rPr>
                <w:sz w:val="1"/>
                <w:szCs w:val="1"/>
                <w:color w:val="auto"/>
              </w:rPr>
            </w:pPr>
          </w:p>
        </w:tc>
      </w:tr>
      <w:tr>
        <w:trPr>
          <w:trHeight w:val="133"/>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Cross currency swaps (CCS)</w:t>
            </w:r>
          </w:p>
        </w:tc>
        <w:tc>
          <w:tcPr>
            <w:tcW w:w="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6(a)</w:t>
            </w: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16,537</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9,483</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236,335</w:t>
            </w: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and September</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16,531</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17,869</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235,078</w:t>
            </w:r>
          </w:p>
        </w:tc>
        <w:tc>
          <w:tcPr>
            <w:tcW w:w="11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2017 and September</w:t>
            </w: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 January</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Available-for-sale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Cross currency swaps (CCS)</w:t>
            </w: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6(a)</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1,289</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7,588</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167,800</w:t>
            </w: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13,598</w:t>
            </w:r>
          </w:p>
        </w:tc>
        <w:tc>
          <w:tcPr>
            <w:tcW w:w="11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170,550</w:t>
            </w:r>
          </w:p>
        </w:tc>
        <w:tc>
          <w:tcPr>
            <w:tcW w:w="1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2017 and March</w:t>
            </w:r>
          </w:p>
        </w:tc>
        <w:tc>
          <w:tcPr>
            <w:tcW w:w="1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March 2019</w:t>
            </w: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2019</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Cross currency swaps and</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Repurchase</w:t>
            </w:r>
          </w:p>
        </w:tc>
        <w:tc>
          <w:tcPr>
            <w:tcW w:w="0" w:type="dxa"/>
            <w:vAlign w:val="bottom"/>
          </w:tcPr>
          <w:p>
            <w:pPr>
              <w:spacing w:after="0"/>
              <w:rPr>
                <w:sz w:val="1"/>
                <w:szCs w:val="1"/>
                <w:color w:val="auto"/>
              </w:rPr>
            </w:pPr>
          </w:p>
        </w:tc>
      </w:tr>
      <w:tr>
        <w:trPr>
          <w:trHeight w:val="133"/>
        </w:trPr>
        <w:tc>
          <w:tcPr>
            <w:tcW w:w="15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interest rate swaps (CCS and</w:t>
            </w:r>
          </w:p>
        </w:tc>
        <w:tc>
          <w:tcPr>
            <w:tcW w:w="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5(c)(**)</w:t>
            </w: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54,103</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268,480</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August 2020</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69,647</w:t>
            </w: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272,880</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August 2020</w:t>
            </w: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IRS)</w:t>
            </w: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agreements</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Fair value hedges -</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Between September</w:t>
            </w: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17(a)</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212,162</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8,196,765</w:t>
            </w: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September 2020</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339,435</w:t>
            </w:r>
          </w:p>
        </w:tc>
        <w:tc>
          <w:tcPr>
            <w:tcW w:w="10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8,331,098</w:t>
            </w:r>
          </w:p>
        </w:tc>
        <w:tc>
          <w:tcPr>
            <w:tcW w:w="2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Bonds issued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April 2023</w:t>
            </w:r>
          </w:p>
        </w:tc>
        <w:tc>
          <w:tcPr>
            <w:tcW w:w="88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2020 and April 2023</w:t>
            </w:r>
          </w:p>
        </w:tc>
        <w:tc>
          <w:tcPr>
            <w:tcW w:w="1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Between</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January 2017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Between January</w:t>
            </w:r>
          </w:p>
        </w:tc>
        <w:tc>
          <w:tcPr>
            <w:tcW w:w="12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Available-for-sale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and October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rate swaps (IRS)</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6(a)</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4,049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1,397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760,315</w:t>
            </w: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833</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5,155</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819,677</w:t>
            </w: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2017 and May 2023</w:t>
            </w:r>
          </w:p>
        </w:tc>
        <w:tc>
          <w:tcPr>
            <w:tcW w:w="1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330,590</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53,974</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12,778,986</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477,801</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55,820</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11,829,627</w:t>
            </w:r>
          </w:p>
        </w:tc>
        <w:tc>
          <w:tcPr>
            <w:tcW w:w="220" w:type="dxa"/>
            <w:vAlign w:val="bottom"/>
            <w:tcBorders>
              <w:top w:val="single" w:sz="8" w:color="CCEEFF"/>
            </w:tcBorders>
            <w:gridSpan w:val="2"/>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942,602</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673,015</w:t>
            </w:r>
          </w:p>
        </w:tc>
        <w:tc>
          <w:tcPr>
            <w:tcW w:w="22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58,259,618</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1,475,516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942,521</w:t>
            </w:r>
          </w:p>
        </w:tc>
        <w:tc>
          <w:tcPr>
            <w:tcW w:w="220" w:type="dxa"/>
            <w:vAlign w:val="bottom"/>
          </w:tcPr>
          <w:p>
            <w:pPr>
              <w:spacing w:after="0"/>
              <w:rPr>
                <w:sz w:val="10"/>
                <w:szCs w:val="10"/>
                <w:color w:val="auto"/>
              </w:rPr>
            </w:pPr>
          </w:p>
        </w:tc>
        <w:tc>
          <w:tcPr>
            <w:tcW w:w="90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50,417,528</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70" w:name="page71"/>
    <w:bookmarkEnd w:id="70"/>
    <w:p>
      <w:pPr>
        <w:ind w:left="283" w:hanging="283"/>
        <w:spacing w:after="0" w:line="268" w:lineRule="auto"/>
        <w:tabs>
          <w:tab w:leader="none" w:pos="28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Held-for-trading derivatives are principally negotiated to satisfy client’s needs. On the other hand, the Group may also take positions with the expectation of profiting from favorable movements in prices or rates. Also, this caption includes any derivatives which do not comply with IAS 39 hedging accounting requirements. Fair value of derivatives held for trading classified by contractual maturity is as follows:</w:t>
      </w:r>
    </w:p>
    <w:p>
      <w:pPr>
        <w:spacing w:after="0" w:line="164" w:lineRule="exact"/>
        <w:rPr>
          <w:sz w:val="20"/>
          <w:szCs w:val="20"/>
          <w:color w:val="auto"/>
        </w:rPr>
      </w:pPr>
    </w:p>
    <w:tbl>
      <w:tblPr>
        <w:tblLayout w:type="fixed"/>
        <w:tblInd w:w="283" w:type="dxa"/>
        <w:tblCellMar>
          <w:top w:w="0" w:type="dxa"/>
          <w:left w:w="0" w:type="dxa"/>
          <w:bottom w:w="0" w:type="dxa"/>
          <w:right w:w="0" w:type="dxa"/>
        </w:tblCellMar>
      </w:tblPr>
      <w:tr>
        <w:trPr>
          <w:trHeight w:val="155"/>
        </w:trPr>
        <w:tc>
          <w:tcPr>
            <w:tcW w:w="1400" w:type="dxa"/>
            <w:vAlign w:val="bottom"/>
          </w:tcPr>
          <w:p>
            <w:pPr>
              <w:spacing w:after="0"/>
              <w:rPr>
                <w:sz w:val="13"/>
                <w:szCs w:val="13"/>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400" w:type="dxa"/>
            <w:vAlign w:val="bottom"/>
          </w:tcPr>
          <w:p>
            <w:pPr>
              <w:spacing w:after="0"/>
              <w:rPr>
                <w:sz w:val="8"/>
                <w:szCs w:val="8"/>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Up to 3</w:t>
            </w:r>
          </w:p>
        </w:tc>
        <w:tc>
          <w:tcPr>
            <w:tcW w:w="8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3</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From 1 to 3</w:t>
            </w: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From 3 to 5</w:t>
            </w:r>
          </w:p>
        </w:tc>
        <w:tc>
          <w:tcPr>
            <w:tcW w:w="7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Over 5</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3</w:t>
            </w: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From 1 to 3</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From 3 to 5</w:t>
            </w: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Over 5</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months to 1</w:t>
            </w:r>
          </w:p>
        </w:tc>
        <w:tc>
          <w:tcPr>
            <w:tcW w:w="72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Up to 3 months</w:t>
            </w:r>
          </w:p>
        </w:tc>
        <w:tc>
          <w:tcPr>
            <w:tcW w:w="7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months to 1</w:t>
            </w:r>
          </w:p>
        </w:tc>
        <w:tc>
          <w:tcPr>
            <w:tcW w:w="92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740" w:type="dxa"/>
            <w:vAlign w:val="bottom"/>
            <w:gridSpan w:val="3"/>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Forward foreign</w:t>
            </w:r>
          </w:p>
        </w:tc>
        <w:tc>
          <w:tcPr>
            <w:tcW w:w="7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58,168</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12,737</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2,040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73,722</w:t>
            </w:r>
          </w:p>
        </w:tc>
        <w:tc>
          <w:tcPr>
            <w:tcW w:w="11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54,900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35,983</w:t>
            </w: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1,249</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92,132</w:t>
            </w: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contracts</w:t>
            </w:r>
          </w:p>
        </w:tc>
        <w:tc>
          <w:tcPr>
            <w:tcW w:w="780" w:type="dxa"/>
            <w:vAlign w:val="bottom"/>
            <w:gridSpan w:val="3"/>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Interest rate swaps</w:t>
            </w:r>
          </w:p>
        </w:tc>
        <w:tc>
          <w:tcPr>
            <w:tcW w:w="780" w:type="dxa"/>
            <w:vAlign w:val="bottom"/>
            <w:gridSpan w:val="3"/>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6,763</w:t>
            </w:r>
          </w:p>
        </w:tc>
        <w:tc>
          <w:tcPr>
            <w:tcW w:w="8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9,480</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18,550</w:t>
            </w:r>
          </w:p>
        </w:tc>
        <w:tc>
          <w:tcPr>
            <w:tcW w:w="82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9,591</w:t>
            </w:r>
          </w:p>
        </w:tc>
        <w:tc>
          <w:tcPr>
            <w:tcW w:w="72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43,488</w:t>
            </w:r>
          </w:p>
        </w:tc>
        <w:tc>
          <w:tcPr>
            <w:tcW w:w="74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87,872</w:t>
            </w:r>
          </w:p>
        </w:tc>
        <w:tc>
          <w:tcPr>
            <w:tcW w:w="9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89</w:t>
            </w:r>
          </w:p>
        </w:tc>
        <w:tc>
          <w:tcPr>
            <w:tcW w:w="200" w:type="dxa"/>
            <w:vAlign w:val="bottom"/>
          </w:tcPr>
          <w:p>
            <w:pPr>
              <w:spacing w:after="0"/>
              <w:rPr>
                <w:sz w:val="11"/>
                <w:szCs w:val="11"/>
                <w:color w:val="auto"/>
              </w:rPr>
            </w:pPr>
          </w:p>
        </w:tc>
        <w:tc>
          <w:tcPr>
            <w:tcW w:w="7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1,947</w:t>
            </w:r>
          </w:p>
        </w:tc>
        <w:tc>
          <w:tcPr>
            <w:tcW w:w="92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14,990</w:t>
            </w:r>
          </w:p>
        </w:tc>
        <w:tc>
          <w:tcPr>
            <w:tcW w:w="7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4,322</w:t>
            </w:r>
          </w:p>
        </w:tc>
        <w:tc>
          <w:tcPr>
            <w:tcW w:w="820" w:type="dxa"/>
            <w:vAlign w:val="bottom"/>
            <w:gridSpan w:val="3"/>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35,076</w:t>
            </w:r>
          </w:p>
        </w:tc>
        <w:tc>
          <w:tcPr>
            <w:tcW w:w="6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56,424</w:t>
            </w:r>
          </w:p>
        </w:tc>
        <w:tc>
          <w:tcPr>
            <w:tcW w:w="0" w:type="dxa"/>
            <w:vAlign w:val="bottom"/>
          </w:tcPr>
          <w:p>
            <w:pPr>
              <w:spacing w:after="0"/>
              <w:rPr>
                <w:sz w:val="1"/>
                <w:szCs w:val="1"/>
                <w:color w:val="auto"/>
              </w:rPr>
            </w:pPr>
          </w:p>
        </w:tc>
      </w:tr>
      <w:tr>
        <w:trPr>
          <w:trHeight w:val="133"/>
        </w:trPr>
        <w:tc>
          <w:tcPr>
            <w:tcW w:w="1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Cross currency swaps</w:t>
            </w:r>
          </w:p>
        </w:tc>
        <w:tc>
          <w:tcPr>
            <w:tcW w:w="780" w:type="dxa"/>
            <w:vAlign w:val="bottom"/>
            <w:gridSpan w:val="3"/>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751</w:t>
            </w:r>
          </w:p>
        </w:tc>
        <w:tc>
          <w:tcPr>
            <w:tcW w:w="8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20,029</w:t>
            </w:r>
          </w:p>
        </w:tc>
        <w:tc>
          <w:tcPr>
            <w:tcW w:w="7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87,300</w:t>
            </w:r>
          </w:p>
        </w:tc>
        <w:tc>
          <w:tcPr>
            <w:tcW w:w="82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212,990</w:t>
            </w:r>
          </w:p>
        </w:tc>
        <w:tc>
          <w:tcPr>
            <w:tcW w:w="72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107,858</w:t>
            </w:r>
          </w:p>
        </w:tc>
        <w:tc>
          <w:tcPr>
            <w:tcW w:w="74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428,928</w:t>
            </w:r>
          </w:p>
        </w:tc>
        <w:tc>
          <w:tcPr>
            <w:tcW w:w="1140" w:type="dxa"/>
            <w:vAlign w:val="bottom"/>
            <w:gridSpan w:val="3"/>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220,815</w:t>
            </w:r>
          </w:p>
        </w:tc>
        <w:tc>
          <w:tcPr>
            <w:tcW w:w="72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24,947</w:t>
            </w:r>
          </w:p>
        </w:tc>
        <w:tc>
          <w:tcPr>
            <w:tcW w:w="92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56,615</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306,370</w:t>
            </w:r>
          </w:p>
        </w:tc>
        <w:tc>
          <w:tcPr>
            <w:tcW w:w="820" w:type="dxa"/>
            <w:vAlign w:val="bottom"/>
            <w:gridSpan w:val="3"/>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230,340</w:t>
            </w:r>
          </w:p>
        </w:tc>
        <w:tc>
          <w:tcPr>
            <w:tcW w:w="6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839,087</w:t>
            </w:r>
          </w:p>
        </w:tc>
        <w:tc>
          <w:tcPr>
            <w:tcW w:w="0" w:type="dxa"/>
            <w:vAlign w:val="bottom"/>
          </w:tcPr>
          <w:p>
            <w:pPr>
              <w:spacing w:after="0"/>
              <w:rPr>
                <w:sz w:val="1"/>
                <w:szCs w:val="1"/>
                <w:color w:val="auto"/>
              </w:rPr>
            </w:pPr>
          </w:p>
        </w:tc>
      </w:tr>
      <w:tr>
        <w:trPr>
          <w:trHeight w:val="145"/>
        </w:trPr>
        <w:tc>
          <w:tcPr>
            <w:tcW w:w="14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Foreign exchange options</w:t>
            </w:r>
          </w:p>
        </w:tc>
        <w:tc>
          <w:tcPr>
            <w:tcW w:w="78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9,827</w:t>
            </w:r>
          </w:p>
        </w:tc>
        <w:tc>
          <w:tcPr>
            <w:tcW w:w="8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11,663</w:t>
            </w:r>
          </w:p>
        </w:tc>
        <w:tc>
          <w:tcPr>
            <w:tcW w:w="7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21,490</w:t>
            </w:r>
          </w:p>
        </w:tc>
        <w:tc>
          <w:tcPr>
            <w:tcW w:w="114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6,448</w:t>
            </w: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3,624</w:t>
            </w:r>
          </w:p>
        </w:tc>
        <w:tc>
          <w:tcPr>
            <w:tcW w:w="92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10,072</w:t>
            </w:r>
          </w:p>
        </w:tc>
        <w:tc>
          <w:tcPr>
            <w:tcW w:w="0" w:type="dxa"/>
            <w:vAlign w:val="bottom"/>
          </w:tcPr>
          <w:p>
            <w:pPr>
              <w:spacing w:after="0"/>
              <w:rPr>
                <w:sz w:val="1"/>
                <w:szCs w:val="1"/>
                <w:color w:val="auto"/>
              </w:rPr>
            </w:pPr>
          </w:p>
        </w:tc>
      </w:tr>
      <w:tr>
        <w:trPr>
          <w:trHeight w:val="137"/>
        </w:trPr>
        <w:tc>
          <w:tcPr>
            <w:tcW w:w="140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75,509</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53,909</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107,890</w:t>
            </w: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223,358</w:t>
            </w: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151,346</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612,012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282,252</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66,501</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72,854</w:t>
            </w:r>
          </w:p>
        </w:tc>
        <w:tc>
          <w:tcPr>
            <w:tcW w:w="18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310,692</w:t>
            </w: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265,416</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997,715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1400" w:type="dxa"/>
            <w:vAlign w:val="bottom"/>
          </w:tcPr>
          <w:p>
            <w:pPr>
              <w:spacing w:after="0"/>
              <w:rPr>
                <w:sz w:val="24"/>
                <w:szCs w:val="24"/>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400" w:type="dxa"/>
            <w:vAlign w:val="bottom"/>
          </w:tcPr>
          <w:p>
            <w:pPr>
              <w:spacing w:after="0"/>
              <w:rPr>
                <w:sz w:val="8"/>
                <w:szCs w:val="8"/>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Up to 3</w:t>
            </w:r>
          </w:p>
        </w:tc>
        <w:tc>
          <w:tcPr>
            <w:tcW w:w="8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3</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From 1 to 3</w:t>
            </w: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From 3 to 5</w:t>
            </w:r>
          </w:p>
        </w:tc>
        <w:tc>
          <w:tcPr>
            <w:tcW w:w="7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Over 5</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3</w:t>
            </w: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From 1 to 3</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From 3 to 5</w:t>
            </w: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Over 5</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months to 1</w:t>
            </w:r>
          </w:p>
        </w:tc>
        <w:tc>
          <w:tcPr>
            <w:tcW w:w="72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Up to 3 months</w:t>
            </w:r>
          </w:p>
        </w:tc>
        <w:tc>
          <w:tcPr>
            <w:tcW w:w="7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months to 1</w:t>
            </w:r>
          </w:p>
        </w:tc>
        <w:tc>
          <w:tcPr>
            <w:tcW w:w="92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740" w:type="dxa"/>
            <w:vAlign w:val="bottom"/>
            <w:gridSpan w:val="3"/>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Forward foreign</w:t>
            </w:r>
          </w:p>
        </w:tc>
        <w:tc>
          <w:tcPr>
            <w:tcW w:w="7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46,721</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8,661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55,437</w:t>
            </w:r>
          </w:p>
        </w:tc>
        <w:tc>
          <w:tcPr>
            <w:tcW w:w="11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121,930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55,135</w:t>
            </w: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991</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178,056</w:t>
            </w: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contracts</w:t>
            </w:r>
          </w:p>
        </w:tc>
        <w:tc>
          <w:tcPr>
            <w:tcW w:w="780" w:type="dxa"/>
            <w:vAlign w:val="bottom"/>
            <w:gridSpan w:val="3"/>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Interest rate swaps</w:t>
            </w:r>
          </w:p>
        </w:tc>
        <w:tc>
          <w:tcPr>
            <w:tcW w:w="780" w:type="dxa"/>
            <w:vAlign w:val="bottom"/>
            <w:gridSpan w:val="3"/>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4,226</w:t>
            </w:r>
          </w:p>
        </w:tc>
        <w:tc>
          <w:tcPr>
            <w:tcW w:w="8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8,236</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17,749</w:t>
            </w:r>
          </w:p>
        </w:tc>
        <w:tc>
          <w:tcPr>
            <w:tcW w:w="82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4,300</w:t>
            </w:r>
          </w:p>
        </w:tc>
        <w:tc>
          <w:tcPr>
            <w:tcW w:w="72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21,416</w:t>
            </w:r>
          </w:p>
        </w:tc>
        <w:tc>
          <w:tcPr>
            <w:tcW w:w="74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55,927</w:t>
            </w:r>
          </w:p>
        </w:tc>
        <w:tc>
          <w:tcPr>
            <w:tcW w:w="9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435</w:t>
            </w:r>
          </w:p>
        </w:tc>
        <w:tc>
          <w:tcPr>
            <w:tcW w:w="200" w:type="dxa"/>
            <w:vAlign w:val="bottom"/>
          </w:tcPr>
          <w:p>
            <w:pPr>
              <w:spacing w:after="0"/>
              <w:rPr>
                <w:sz w:val="11"/>
                <w:szCs w:val="11"/>
                <w:color w:val="auto"/>
              </w:rPr>
            </w:pPr>
          </w:p>
        </w:tc>
        <w:tc>
          <w:tcPr>
            <w:tcW w:w="7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3,379</w:t>
            </w:r>
          </w:p>
        </w:tc>
        <w:tc>
          <w:tcPr>
            <w:tcW w:w="92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10,677</w:t>
            </w:r>
          </w:p>
        </w:tc>
        <w:tc>
          <w:tcPr>
            <w:tcW w:w="7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7,550</w:t>
            </w:r>
          </w:p>
        </w:tc>
        <w:tc>
          <w:tcPr>
            <w:tcW w:w="820" w:type="dxa"/>
            <w:vAlign w:val="bottom"/>
            <w:gridSpan w:val="3"/>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36,546</w:t>
            </w:r>
          </w:p>
        </w:tc>
        <w:tc>
          <w:tcPr>
            <w:tcW w:w="6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58,587</w:t>
            </w:r>
          </w:p>
        </w:tc>
        <w:tc>
          <w:tcPr>
            <w:tcW w:w="0" w:type="dxa"/>
            <w:vAlign w:val="bottom"/>
          </w:tcPr>
          <w:p>
            <w:pPr>
              <w:spacing w:after="0"/>
              <w:rPr>
                <w:sz w:val="1"/>
                <w:szCs w:val="1"/>
                <w:color w:val="auto"/>
              </w:rPr>
            </w:pPr>
          </w:p>
        </w:tc>
      </w:tr>
      <w:tr>
        <w:trPr>
          <w:trHeight w:val="133"/>
        </w:trPr>
        <w:tc>
          <w:tcPr>
            <w:tcW w:w="1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Cross currency swaps</w:t>
            </w:r>
          </w:p>
        </w:tc>
        <w:tc>
          <w:tcPr>
            <w:tcW w:w="780" w:type="dxa"/>
            <w:vAlign w:val="bottom"/>
            <w:gridSpan w:val="3"/>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64,023</w:t>
            </w:r>
          </w:p>
        </w:tc>
        <w:tc>
          <w:tcPr>
            <w:tcW w:w="8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37,626</w:t>
            </w:r>
          </w:p>
        </w:tc>
        <w:tc>
          <w:tcPr>
            <w:tcW w:w="7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133,530</w:t>
            </w:r>
          </w:p>
        </w:tc>
        <w:tc>
          <w:tcPr>
            <w:tcW w:w="82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178,979</w:t>
            </w:r>
          </w:p>
        </w:tc>
        <w:tc>
          <w:tcPr>
            <w:tcW w:w="72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76,317</w:t>
            </w:r>
          </w:p>
        </w:tc>
        <w:tc>
          <w:tcPr>
            <w:tcW w:w="74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490,475</w:t>
            </w:r>
          </w:p>
        </w:tc>
        <w:tc>
          <w:tcPr>
            <w:tcW w:w="1140" w:type="dxa"/>
            <w:vAlign w:val="bottom"/>
            <w:gridSpan w:val="3"/>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17,092</w:t>
            </w:r>
          </w:p>
        </w:tc>
        <w:tc>
          <w:tcPr>
            <w:tcW w:w="72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22,097</w:t>
            </w:r>
          </w:p>
        </w:tc>
        <w:tc>
          <w:tcPr>
            <w:tcW w:w="92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191,597</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287,496</w:t>
            </w:r>
          </w:p>
        </w:tc>
        <w:tc>
          <w:tcPr>
            <w:tcW w:w="820" w:type="dxa"/>
            <w:vAlign w:val="bottom"/>
            <w:gridSpan w:val="3"/>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107,405</w:t>
            </w:r>
          </w:p>
        </w:tc>
        <w:tc>
          <w:tcPr>
            <w:tcW w:w="6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625,687</w:t>
            </w:r>
          </w:p>
        </w:tc>
        <w:tc>
          <w:tcPr>
            <w:tcW w:w="0" w:type="dxa"/>
            <w:vAlign w:val="bottom"/>
          </w:tcPr>
          <w:p>
            <w:pPr>
              <w:spacing w:after="0"/>
              <w:rPr>
                <w:sz w:val="1"/>
                <w:szCs w:val="1"/>
                <w:color w:val="auto"/>
              </w:rPr>
            </w:pPr>
          </w:p>
        </w:tc>
      </w:tr>
      <w:tr>
        <w:trPr>
          <w:trHeight w:val="145"/>
        </w:trPr>
        <w:tc>
          <w:tcPr>
            <w:tcW w:w="14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Foreign exchange options</w:t>
            </w:r>
          </w:p>
        </w:tc>
        <w:tc>
          <w:tcPr>
            <w:tcW w:w="78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4,564</w:t>
            </w:r>
          </w:p>
        </w:tc>
        <w:tc>
          <w:tcPr>
            <w:tcW w:w="8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12,638</w:t>
            </w:r>
          </w:p>
        </w:tc>
        <w:tc>
          <w:tcPr>
            <w:tcW w:w="7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17,202</w:t>
            </w:r>
          </w:p>
        </w:tc>
        <w:tc>
          <w:tcPr>
            <w:tcW w:w="114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12,531</w:t>
            </w: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11,840</w:t>
            </w:r>
          </w:p>
        </w:tc>
        <w:tc>
          <w:tcPr>
            <w:tcW w:w="80" w:type="dxa"/>
            <w:vAlign w:val="bottom"/>
          </w:tcPr>
          <w:p>
            <w:pPr>
              <w:spacing w:after="0"/>
              <w:rPr>
                <w:sz w:val="12"/>
                <w:szCs w:val="12"/>
                <w:color w:val="auto"/>
              </w:rPr>
            </w:pPr>
          </w:p>
        </w:tc>
        <w:tc>
          <w:tcPr>
            <w:tcW w:w="92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24,371</w:t>
            </w:r>
          </w:p>
        </w:tc>
        <w:tc>
          <w:tcPr>
            <w:tcW w:w="0" w:type="dxa"/>
            <w:vAlign w:val="bottom"/>
          </w:tcPr>
          <w:p>
            <w:pPr>
              <w:spacing w:after="0"/>
              <w:rPr>
                <w:sz w:val="1"/>
                <w:szCs w:val="1"/>
                <w:color w:val="auto"/>
              </w:rPr>
            </w:pPr>
          </w:p>
        </w:tc>
      </w:tr>
      <w:tr>
        <w:trPr>
          <w:trHeight w:val="125"/>
        </w:trPr>
        <w:tc>
          <w:tcPr>
            <w:tcW w:w="140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119,534</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67,161</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151,322</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183,291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97,733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619,041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151,988</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92,451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203,265</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295,046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143,951</w:t>
            </w: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886,701</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122"/>
        <w:spacing w:after="0"/>
        <w:rPr>
          <w:sz w:val="20"/>
          <w:szCs w:val="20"/>
          <w:color w:val="auto"/>
        </w:rPr>
      </w:pPr>
      <w:r>
        <w:rPr>
          <w:rFonts w:ascii="Times New Roman" w:cs="Times New Roman" w:eastAsia="Times New Roman" w:hAnsi="Times New Roman"/>
          <w:sz w:val="16"/>
          <w:szCs w:val="16"/>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23"/>
          </w:cols>
          <w:pgMar w:left="237" w:top="824" w:right="339" w:bottom="1440" w:gutter="0" w:footer="0" w:header="0"/>
        </w:sectPr>
      </w:pPr>
    </w:p>
    <w:bookmarkStart w:id="71" w:name="page72"/>
    <w:bookmarkEnd w:id="71"/>
    <w:p>
      <w:pPr>
        <w:ind w:left="283" w:right="160" w:hanging="283"/>
        <w:spacing w:after="0" w:line="285" w:lineRule="auto"/>
        <w:tabs>
          <w:tab w:leader="none" w:pos="28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 exposed to variability in future cash flows on assets and liabilities in foreign currency and/or which bear interest at variable rates. The Group uses derivative financial instruments as cash flow hedges to cover these risks.</w:t>
      </w:r>
    </w:p>
    <w:p>
      <w:pPr>
        <w:spacing w:after="0" w:line="143" w:lineRule="exact"/>
        <w:rPr>
          <w:rFonts w:ascii="Times New Roman" w:cs="Times New Roman" w:eastAsia="Times New Roman" w:hAnsi="Times New Roman"/>
          <w:sz w:val="16"/>
          <w:szCs w:val="16"/>
          <w:color w:val="auto"/>
        </w:rPr>
      </w:pPr>
    </w:p>
    <w:p>
      <w:pPr>
        <w:ind w:left="283" w:right="2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schedule indicating the periods when the current cash flow hedges are expected to occur and affect the consolidated statement of income, net of deferred income tax is presented below:</w:t>
      </w:r>
    </w:p>
    <w:p>
      <w:pPr>
        <w:sectPr>
          <w:pgSz w:w="11900" w:h="16838" w:orient="portrait"/>
          <w:cols w:equalWidth="0" w:num="1">
            <w:col w:w="11423"/>
          </w:cols>
          <w:pgMar w:left="237" w:top="8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inflows (assets)</w:t>
      </w:r>
    </w:p>
    <w:p>
      <w:pPr>
        <w:spacing w:after="0" w:line="2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outflows (liabilities)</w:t>
      </w:r>
    </w:p>
    <w:p>
      <w:pPr>
        <w:spacing w:after="0" w:line="1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inflows (assets)</w:t>
      </w:r>
    </w:p>
    <w:p>
      <w:pPr>
        <w:spacing w:after="0" w:line="2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outflows (liabilities)</w:t>
      </w:r>
    </w:p>
    <w:p>
      <w:pPr>
        <w:spacing w:after="0" w:line="1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Consolidated statement of income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December 31, 2016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60" w:type="dxa"/>
            <w:vAlign w:val="bottom"/>
            <w:tcBorders>
              <w:top w:val="single" w:sz="8" w:color="auto"/>
            </w:tcBorders>
            <w:gridSpan w:val="3"/>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Up to 1</w:t>
            </w:r>
          </w:p>
        </w:tc>
        <w:tc>
          <w:tcPr>
            <w:tcW w:w="132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From 1 to</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From 3 to 5</w:t>
            </w:r>
          </w:p>
        </w:tc>
        <w:tc>
          <w:tcPr>
            <w:tcW w:w="150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Over 5</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4"/>
        </w:trPr>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40" w:type="dxa"/>
            <w:vAlign w:val="bottom"/>
            <w:gridSpan w:val="2"/>
          </w:tcPr>
          <w:p>
            <w:pPr>
              <w:spacing w:after="0"/>
              <w:rPr>
                <w:sz w:val="17"/>
                <w:szCs w:val="17"/>
                <w:color w:val="auto"/>
              </w:rPr>
            </w:pPr>
          </w:p>
        </w:tc>
      </w:tr>
      <w:tr>
        <w:trPr>
          <w:trHeight w:val="352"/>
        </w:trPr>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524,775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2,549,873</w:t>
            </w:r>
          </w:p>
        </w:tc>
        <w:tc>
          <w:tcPr>
            <w:tcW w:w="120" w:type="dxa"/>
            <w:vAlign w:val="bottom"/>
          </w:tcPr>
          <w:p>
            <w:pPr>
              <w:spacing w:after="0"/>
              <w:rPr>
                <w:sz w:val="24"/>
                <w:szCs w:val="24"/>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836,116</w:t>
            </w:r>
          </w:p>
        </w:tc>
        <w:tc>
          <w:tcPr>
            <w:tcW w:w="15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294,889</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4,205,653</w:t>
            </w:r>
          </w:p>
        </w:tc>
        <w:tc>
          <w:tcPr>
            <w:tcW w:w="20" w:type="dxa"/>
            <w:vAlign w:val="bottom"/>
          </w:tcPr>
          <w:p>
            <w:pPr>
              <w:spacing w:after="0"/>
              <w:rPr>
                <w:sz w:val="24"/>
                <w:szCs w:val="24"/>
                <w:color w:val="auto"/>
              </w:rPr>
            </w:pPr>
          </w:p>
        </w:tc>
      </w:tr>
      <w:tr>
        <w:trPr>
          <w:trHeight w:val="222"/>
        </w:trPr>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(578,526)</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(2,575,723)</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(732,108)</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(255,205)</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(4,141,562)</w:t>
            </w:r>
          </w:p>
        </w:tc>
      </w:tr>
      <w:tr>
        <w:trPr>
          <w:trHeight w:val="198"/>
        </w:trPr>
        <w:tc>
          <w:tcPr>
            <w:tcW w:w="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91"/>
        </w:trPr>
        <w:tc>
          <w:tcPr>
            <w:tcW w:w="2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At December 31, 2015</w:t>
            </w: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146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Up to 1</w:t>
            </w:r>
          </w:p>
        </w:tc>
        <w:tc>
          <w:tcPr>
            <w:tcW w:w="13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From 1 to</w:t>
            </w:r>
          </w:p>
        </w:tc>
        <w:tc>
          <w:tcPr>
            <w:tcW w:w="1420" w:type="dxa"/>
            <w:vAlign w:val="bottom"/>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From 3 to 5</w:t>
            </w:r>
          </w:p>
        </w:tc>
        <w:tc>
          <w:tcPr>
            <w:tcW w:w="1500" w:type="dxa"/>
            <w:vAlign w:val="bottom"/>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Over 5</w:t>
            </w: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40" w:type="dxa"/>
            <w:vAlign w:val="bottom"/>
            <w:gridSpan w:val="2"/>
          </w:tcPr>
          <w:p>
            <w:pPr>
              <w:spacing w:after="0"/>
              <w:rPr>
                <w:sz w:val="17"/>
                <w:szCs w:val="17"/>
                <w:color w:val="auto"/>
              </w:rPr>
            </w:pPr>
          </w:p>
        </w:tc>
      </w:tr>
      <w:tr>
        <w:trPr>
          <w:trHeight w:val="352"/>
        </w:trPr>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786,445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761,822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1,349,653</w:t>
            </w:r>
          </w:p>
        </w:tc>
        <w:tc>
          <w:tcPr>
            <w:tcW w:w="140" w:type="dxa"/>
            <w:vAlign w:val="bottom"/>
          </w:tcPr>
          <w:p>
            <w:pPr>
              <w:spacing w:after="0"/>
              <w:rPr>
                <w:sz w:val="24"/>
                <w:szCs w:val="24"/>
                <w:color w:val="auto"/>
              </w:rPr>
            </w:pPr>
          </w:p>
        </w:tc>
        <w:tc>
          <w:tcPr>
            <w:tcW w:w="15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114,973</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3,012,893</w:t>
            </w:r>
          </w:p>
        </w:tc>
        <w:tc>
          <w:tcPr>
            <w:tcW w:w="20" w:type="dxa"/>
            <w:vAlign w:val="bottom"/>
          </w:tcPr>
          <w:p>
            <w:pPr>
              <w:spacing w:after="0"/>
              <w:rPr>
                <w:sz w:val="24"/>
                <w:szCs w:val="24"/>
                <w:color w:val="auto"/>
              </w:rPr>
            </w:pPr>
          </w:p>
        </w:tc>
      </w:tr>
      <w:tr>
        <w:trPr>
          <w:trHeight w:val="222"/>
        </w:trPr>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(807,161)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(779,061)</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(1,216,438)</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(113,301)</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(2,915,961)</w:t>
            </w:r>
          </w:p>
        </w:tc>
      </w:tr>
      <w:tr>
        <w:trPr>
          <w:trHeight w:val="198"/>
        </w:trPr>
        <w:tc>
          <w:tcPr>
            <w:tcW w:w="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2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24,350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-1557655</wp:posOffset>
            </wp:positionV>
            <wp:extent cx="6969125" cy="1225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69125" cy="1225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-1304290</wp:posOffset>
            </wp:positionV>
            <wp:extent cx="6969125" cy="138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69125" cy="13843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-398780</wp:posOffset>
            </wp:positionV>
            <wp:extent cx="6969125" cy="1225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69125" cy="1225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-145415</wp:posOffset>
            </wp:positionV>
            <wp:extent cx="6969125" cy="138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69125" cy="13843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3543" w:space="720"/>
            <w:col w:w="7160"/>
          </w:cols>
          <w:pgMar w:left="237" w:top="824" w:right="239" w:bottom="1440" w:gutter="0" w:footer="0" w:header="0"/>
          <w:type w:val="continuous"/>
        </w:sectPr>
      </w:pPr>
    </w:p>
    <w:p>
      <w:pPr>
        <w:ind w:left="283" w:right="160"/>
        <w:spacing w:after="0" w:line="260" w:lineRule="auto"/>
        <w:rPr>
          <w:sz w:val="20"/>
          <w:szCs w:val="20"/>
          <w:color w:val="auto"/>
        </w:rPr>
      </w:pPr>
      <w:r>
        <w:rPr>
          <w:rFonts w:ascii="Times New Roman" w:cs="Times New Roman" w:eastAsia="Times New Roman" w:hAnsi="Times New Roman"/>
          <w:sz w:val="16"/>
          <w:szCs w:val="16"/>
          <w:color w:val="auto"/>
        </w:rPr>
        <w:t>At December 31, 2016 the accumulated balance of the net unrealized loss from the cash flow hedges is included as other comprehensive income in “Cash flow hedge reserves” and results from the current hedges, which have an unrealized profit for approximately S/11.5 million, and from the revoked hedges, which have an unrealized profit for approximately S/13.1 million (unrealized profit for approximately S/24.4 million and S/20.7 million from current and revoked hedges, respectively at December 31, 2015), which is being recognized in the consolidated statemen of income over the remaining term of the underlying financial instrument. Also, the transfer of the unrealized loss on cash flow hedges to the consolidated statement of income is shown in note 18(c).</w:t>
      </w:r>
    </w:p>
    <w:p>
      <w:pPr>
        <w:spacing w:after="0" w:line="164" w:lineRule="exact"/>
        <w:rPr>
          <w:sz w:val="20"/>
          <w:szCs w:val="20"/>
          <w:color w:val="auto"/>
        </w:rPr>
      </w:pPr>
    </w:p>
    <w:p>
      <w:pPr>
        <w:jc w:val="both"/>
        <w:ind w:left="283" w:hanging="283"/>
        <w:spacing w:after="0" w:line="268" w:lineRule="auto"/>
        <w:tabs>
          <w:tab w:leader="none" w:pos="28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in process include deposits received, loans disbursed, loans collected, funds transferred and other similar types of transactions, which are made at the end of the month and not reclassified to their final accounts in the consolidated statement of financial position until the first days of the following month. These transactions do not affect the Group’s consolidated net income.</w:t>
      </w:r>
    </w:p>
    <w:p>
      <w:pPr>
        <w:spacing w:after="0" w:line="350"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type w:val="continuous"/>
        </w:sectPr>
      </w:pPr>
    </w:p>
    <w:bookmarkStart w:id="72" w:name="page73"/>
    <w:bookmarkEnd w:id="72"/>
    <w:p>
      <w:pPr>
        <w:ind w:left="3"/>
        <w:spacing w:after="0"/>
        <w:tabs>
          <w:tab w:leader="none" w:pos="263" w:val="left"/>
        </w:tabs>
        <w:rPr>
          <w:sz w:val="20"/>
          <w:szCs w:val="20"/>
          <w:color w:val="auto"/>
        </w:rPr>
      </w:pPr>
      <w:r>
        <w:rPr>
          <w:rFonts w:ascii="Times New Roman" w:cs="Times New Roman" w:eastAsia="Times New Roman" w:hAnsi="Times New Roman"/>
          <w:sz w:val="16"/>
          <w:szCs w:val="16"/>
          <w:color w:val="auto"/>
        </w:rPr>
        <w:t>d)</w:t>
        <w:tab/>
        <w:t>The movement of the provision for sundry risks for the years ended December 31, 2016, 2015 and 2014 is as follows:</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7420" w:type="dxa"/>
            <w:vAlign w:val="bottom"/>
            <w:gridSpan w:val="2"/>
          </w:tcPr>
          <w:p>
            <w:pPr>
              <w:ind w:left="68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2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r>
      <w:tr>
        <w:trPr>
          <w:trHeight w:val="204"/>
        </w:trPr>
        <w:tc>
          <w:tcPr>
            <w:tcW w:w="6820" w:type="dxa"/>
            <w:vAlign w:val="bottom"/>
          </w:tcPr>
          <w:p>
            <w:pPr>
              <w:spacing w:after="0"/>
              <w:rPr>
                <w:sz w:val="17"/>
                <w:szCs w:val="17"/>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6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the beginning of the year</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196,261</w:t>
            </w: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158,013</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107,174</w:t>
            </w:r>
          </w:p>
        </w:tc>
      </w:tr>
      <w:tr>
        <w:trPr>
          <w:trHeight w:val="193"/>
        </w:trPr>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note 28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28,093</w:t>
            </w:r>
          </w:p>
        </w:tc>
        <w:tc>
          <w:tcPr>
            <w:tcW w:w="5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38,248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70,094</w:t>
            </w:r>
          </w:p>
        </w:tc>
      </w:tr>
      <w:tr>
        <w:trPr>
          <w:trHeight w:val="193"/>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combination, note 2(a)</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44,003</w:t>
            </w:r>
          </w:p>
        </w:tc>
      </w:tr>
      <w:tr>
        <w:trPr>
          <w:trHeight w:val="205"/>
        </w:trPr>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(decreases)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71,985</w:t>
            </w:r>
          </w:p>
        </w:tc>
        <w:tc>
          <w:tcPr>
            <w:tcW w:w="5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(63,258)</w:t>
            </w:r>
          </w:p>
        </w:tc>
      </w:tr>
      <w:tr>
        <w:trPr>
          <w:trHeight w:val="198"/>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w:t>
            </w: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296,339</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196,261</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158,013</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77" w:lineRule="exact"/>
        <w:rPr>
          <w:sz w:val="20"/>
          <w:szCs w:val="20"/>
          <w:color w:val="auto"/>
        </w:rPr>
      </w:pPr>
    </w:p>
    <w:p>
      <w:pPr>
        <w:ind w:left="283" w:right="40"/>
        <w:spacing w:after="0" w:line="268" w:lineRule="auto"/>
        <w:rPr>
          <w:sz w:val="20"/>
          <w:szCs w:val="20"/>
          <w:color w:val="auto"/>
        </w:rPr>
      </w:pPr>
      <w:r>
        <w:rPr>
          <w:rFonts w:ascii="Times New Roman" w:cs="Times New Roman" w:eastAsia="Times New Roman" w:hAnsi="Times New Roman"/>
          <w:sz w:val="16"/>
          <w:szCs w:val="16"/>
          <w:color w:val="auto"/>
        </w:rPr>
        <w:t>Due to the nature of its business, the Group has some pending legal claims for which it records a provision when, in the opinion of Management and its in-house legal advisors, they will result in an additional liability and such amount can be reliably estimated. Regarding legal claims against the Group which have not been provided for, in the opinion of Management and its in-house legal advisors, they will not have a material effect on the Group’s consolidated financial statements.</w:t>
      </w:r>
    </w:p>
    <w:p>
      <w:pPr>
        <w:spacing w:after="0" w:line="157" w:lineRule="exact"/>
        <w:rPr>
          <w:sz w:val="20"/>
          <w:szCs w:val="20"/>
          <w:color w:val="auto"/>
        </w:rPr>
      </w:pPr>
    </w:p>
    <w:p>
      <w:pPr>
        <w:ind w:left="283" w:right="20" w:hanging="283"/>
        <w:spacing w:after="0" w:line="285" w:lineRule="auto"/>
        <w:tabs>
          <w:tab w:leader="none" w:pos="28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Credicorp’s principal associate is Pacífico EPS. (See note 13), the balance of which at said dates amounts to S/490.1 million and S/483.3 million, respectively.</w:t>
      </w:r>
    </w:p>
    <w:p>
      <w:pPr>
        <w:spacing w:after="0" w:line="143" w:lineRule="exact"/>
        <w:rPr>
          <w:rFonts w:ascii="Times New Roman" w:cs="Times New Roman" w:eastAsia="Times New Roman" w:hAnsi="Times New Roman"/>
          <w:sz w:val="16"/>
          <w:szCs w:val="16"/>
          <w:color w:val="auto"/>
        </w:rPr>
      </w:pPr>
    </w:p>
    <w:p>
      <w:pPr>
        <w:jc w:val="both"/>
        <w:ind w:left="283" w:right="2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2014 Credicorp, through its subsidiary Grupo Crédito, signed a share purchase agreement with Willis Europe BV, by which the latter acquired the total number of Grupo Crédito’s shares in Willis Perú held by Grupo Crédito S.A., which was equivalent to 49.9% of the total shares of said company. This transfer was made effective on August 18, 2015, with the payment of US$3.5 million, and did not have significant effects on the Group’s consolidated financial statements.</w:t>
      </w:r>
    </w:p>
    <w:p>
      <w:pPr>
        <w:spacing w:after="0" w:line="157"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properties -</w:t>
      </w:r>
    </w:p>
    <w:p>
      <w:pPr>
        <w:spacing w:after="0" w:line="202"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movement of cost and accumulated depreciation of investment properties is as follows:</w:t>
      </w:r>
    </w:p>
    <w:p>
      <w:pPr>
        <w:spacing w:after="0" w:line="213" w:lineRule="exact"/>
        <w:rPr>
          <w:sz w:val="20"/>
          <w:szCs w:val="20"/>
          <w:color w:val="auto"/>
        </w:rPr>
      </w:pPr>
    </w:p>
    <w:tbl>
      <w:tblPr>
        <w:tblLayout w:type="fixed"/>
        <w:tblInd w:w="5683" w:type="dxa"/>
        <w:tblCellMar>
          <w:top w:w="0" w:type="dxa"/>
          <w:left w:w="0" w:type="dxa"/>
          <w:bottom w:w="0" w:type="dxa"/>
          <w:right w:w="0" w:type="dxa"/>
        </w:tblCellMar>
      </w:tblPr>
      <w:tr>
        <w:trPr>
          <w:trHeight w:val="212"/>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198"/>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Own assets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91"/>
        </w:trPr>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Lands</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Building</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6"/>
        </w:trPr>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3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205,926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256,514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462,440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351,193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3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83,506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4,680</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88,186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66,237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Transfers</w:t>
            </w:r>
          </w:p>
        </w:tc>
        <w:tc>
          <w:tcPr>
            <w:tcW w:w="3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46,242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w:t>
            </w:r>
          </w:p>
        </w:tc>
        <w:tc>
          <w:tcPr>
            <w:tcW w:w="3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Disposals and other</w:t>
            </w:r>
          </w:p>
        </w:tc>
        <w:tc>
          <w:tcPr>
            <w:tcW w:w="3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(1,232)</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3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289,432</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261,174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550,606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462,440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3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41,307</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41,307</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37,217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for the year</w:t>
            </w:r>
          </w:p>
        </w:tc>
        <w:tc>
          <w:tcPr>
            <w:tcW w:w="3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4,369</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4,369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4,409</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 and other</w:t>
            </w:r>
          </w:p>
        </w:tc>
        <w:tc>
          <w:tcPr>
            <w:tcW w:w="3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(319)</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186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45,679</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45,679</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41,307</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18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289,432</w:t>
            </w:r>
          </w:p>
        </w:tc>
        <w:tc>
          <w:tcPr>
            <w:tcW w:w="2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215,495</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504,927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421,133</w:t>
            </w:r>
          </w:p>
        </w:tc>
        <w:tc>
          <w:tcPr>
            <w:tcW w:w="18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- 74 -</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4" w:right="219" w:bottom="1440" w:gutter="0" w:footer="0" w:header="0"/>
        </w:sectPr>
      </w:pPr>
    </w:p>
    <w:bookmarkStart w:id="73" w:name="page74"/>
    <w:bookmarkEnd w:id="73"/>
    <w:p>
      <w:pPr>
        <w:jc w:val="both"/>
        <w:ind w:left="283" w:right="180"/>
        <w:spacing w:after="0" w:line="285" w:lineRule="auto"/>
        <w:rPr>
          <w:sz w:val="20"/>
          <w:szCs w:val="20"/>
          <w:color w:val="auto"/>
        </w:rPr>
      </w:pPr>
      <w:r>
        <w:rPr>
          <w:rFonts w:ascii="Times New Roman" w:cs="Times New Roman" w:eastAsia="Times New Roman" w:hAnsi="Times New Roman"/>
          <w:sz w:val="16"/>
          <w:szCs w:val="16"/>
          <w:color w:val="auto"/>
        </w:rPr>
        <w:t>Land and its buildings are mainly used for rental of offices. Said property is free of all encumbrances. Among the most important buildings are those managed by Pacifico Vida.</w:t>
      </w:r>
    </w:p>
    <w:p>
      <w:pPr>
        <w:spacing w:after="0" w:line="143" w:lineRule="exact"/>
        <w:rPr>
          <w:sz w:val="20"/>
          <w:szCs w:val="20"/>
          <w:color w:val="auto"/>
        </w:rPr>
      </w:pPr>
    </w:p>
    <w:p>
      <w:pPr>
        <w:jc w:val="both"/>
        <w:ind w:left="283" w:right="160"/>
        <w:spacing w:after="0" w:line="263" w:lineRule="auto"/>
        <w:rPr>
          <w:sz w:val="20"/>
          <w:szCs w:val="20"/>
          <w:color w:val="auto"/>
        </w:rPr>
      </w:pPr>
      <w:r>
        <w:rPr>
          <w:rFonts w:ascii="Times New Roman" w:cs="Times New Roman" w:eastAsia="Times New Roman" w:hAnsi="Times New Roman"/>
          <w:sz w:val="16"/>
          <w:szCs w:val="16"/>
          <w:color w:val="auto"/>
        </w:rPr>
        <w:t>During the period 2016, in order to consolidate the real estate projects, mainly of offices, the subsidiary Pacífico Vida carried out constructions and acquired a plot of land located at Av. Nicolas Dueñas 475, Cercado de Lima for an amount of approximately S/21.9 million and another located in Ex-Fundo Marquez, in the vicinity of KM 14.6 of Av. Coronel Nestor Gambeta, Callao for an amount of approximately S/60.9 million. In 2015, the main acquisition was the building namely “Nissan” of Pacífico Vida, located in the District of Surquillo.</w:t>
      </w:r>
    </w:p>
    <w:p>
      <w:pPr>
        <w:spacing w:after="0" w:line="159"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AGREEMENT BETWEEN EL PACIFICO PERUANO SUIZA AND BANMÉDICA</w:t>
      </w:r>
    </w:p>
    <w:p>
      <w:pPr>
        <w:spacing w:after="0" w:line="205" w:lineRule="exact"/>
        <w:rPr>
          <w:sz w:val="20"/>
          <w:szCs w:val="20"/>
          <w:color w:val="auto"/>
        </w:rPr>
      </w:pPr>
    </w:p>
    <w:p>
      <w:pPr>
        <w:jc w:val="both"/>
        <w:ind w:left="283" w:right="160"/>
        <w:spacing w:after="0" w:line="285" w:lineRule="auto"/>
        <w:rPr>
          <w:sz w:val="20"/>
          <w:szCs w:val="20"/>
          <w:color w:val="auto"/>
        </w:rPr>
      </w:pPr>
      <w:r>
        <w:rPr>
          <w:rFonts w:ascii="Times New Roman" w:cs="Times New Roman" w:eastAsia="Times New Roman" w:hAnsi="Times New Roman"/>
          <w:sz w:val="16"/>
          <w:szCs w:val="16"/>
          <w:color w:val="auto"/>
        </w:rPr>
        <w:t>With effect from January 1, 2015 due to the agreement signed on December 30, 2014, Credicorp, through its subsidiary El Pacífico Peruano Suiza Compañía de Seguros y Reaseguros (hereinafter “PPS”) lost control over Pacífico EPS, the latter becoming its associate. See note 2(e).</w:t>
      </w:r>
    </w:p>
    <w:p>
      <w:pPr>
        <w:spacing w:after="0" w:line="143" w:lineRule="exact"/>
        <w:rPr>
          <w:sz w:val="20"/>
          <w:szCs w:val="20"/>
          <w:color w:val="auto"/>
        </w:rPr>
      </w:pPr>
    </w:p>
    <w:p>
      <w:pPr>
        <w:ind w:left="283" w:right="200"/>
        <w:spacing w:after="0" w:line="285" w:lineRule="auto"/>
        <w:rPr>
          <w:sz w:val="20"/>
          <w:szCs w:val="20"/>
          <w:color w:val="auto"/>
        </w:rPr>
      </w:pPr>
      <w:r>
        <w:rPr>
          <w:rFonts w:ascii="Times New Roman" w:cs="Times New Roman" w:eastAsia="Times New Roman" w:hAnsi="Times New Roman"/>
          <w:sz w:val="16"/>
          <w:szCs w:val="16"/>
          <w:color w:val="auto"/>
        </w:rPr>
        <w:t>The agreement had two basic parts: (i) healthcare plans and medical services in Peru, implemented by Pacífico EPS and (ii) the health insurance business, part of a line of business of Credicorp, through its subsidiary PPS.</w:t>
      </w:r>
    </w:p>
    <w:p>
      <w:pPr>
        <w:spacing w:after="0" w:line="143" w:lineRule="exact"/>
        <w:rPr>
          <w:sz w:val="20"/>
          <w:szCs w:val="20"/>
          <w:color w:val="auto"/>
        </w:rPr>
      </w:pPr>
    </w:p>
    <w:p>
      <w:pPr>
        <w:ind w:left="343" w:right="200" w:hanging="343"/>
        <w:spacing w:after="0" w:line="263" w:lineRule="auto"/>
        <w:tabs>
          <w:tab w:leader="none" w:pos="34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healthcare plans and medical services, both parties have agreed to develop them in Peru, only and exclusively through Pacífico EPS and its subsidiaries. Therefore, Banmédica contributed to Pacífico EPS, at fair values, their Peruvian subsidiaries Clínica San Felipe S.A. and Laboratorios Roe S.A., (measured at fair value) plus an additional payment of US$32.0 million in cash to obtain 50 percent interest in the capital stock of Pacífico EPS. As a result of that transaction, Credicorp recorded a gain which is not significant to the consolidated financial statements taken as a whole.</w:t>
      </w:r>
    </w:p>
    <w:p>
      <w:pPr>
        <w:spacing w:after="0" w:line="161" w:lineRule="exact"/>
        <w:rPr>
          <w:sz w:val="20"/>
          <w:szCs w:val="20"/>
          <w:color w:val="auto"/>
        </w:rPr>
      </w:pPr>
    </w:p>
    <w:p>
      <w:pPr>
        <w:ind w:left="283" w:right="180"/>
        <w:spacing w:after="0" w:line="268" w:lineRule="auto"/>
        <w:rPr>
          <w:sz w:val="20"/>
          <w:szCs w:val="20"/>
          <w:color w:val="auto"/>
        </w:rPr>
      </w:pPr>
      <w:r>
        <w:rPr>
          <w:rFonts w:ascii="Times New Roman" w:cs="Times New Roman" w:eastAsia="Times New Roman" w:hAnsi="Times New Roman"/>
          <w:sz w:val="16"/>
          <w:szCs w:val="16"/>
          <w:color w:val="auto"/>
        </w:rPr>
        <w:t>Although both parties have the same number of members on the Board, which governs the relevant activities of Pacífico EPS, in case of a tied vote, the Chairman of the Board (who is appointed by Banmédica) has the casting vote. Therefore, in accordance with IFRS, Credicorp transferred the control of Pacífico EPS to Banmédica, which will direct the relevant activities of Pacífico EPS. As a result, with effect from January 2015, Pacífico EPS became an associate of Credicorp.</w:t>
      </w:r>
    </w:p>
    <w:p>
      <w:pPr>
        <w:spacing w:after="0" w:line="15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For the year ended December 31, 2014, results of operations of Pacífico EPS included in the consolidated statement of income are as follows:</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and expenses</w:t>
            </w:r>
          </w:p>
        </w:tc>
        <w:tc>
          <w:tcPr>
            <w:tcW w:w="6420" w:type="dxa"/>
            <w:vAlign w:val="bottom"/>
            <w:gridSpan w:val="3"/>
          </w:tcPr>
          <w:p>
            <w:pPr>
              <w:ind w:left="522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premiums earned</w:t>
            </w:r>
          </w:p>
        </w:tc>
        <w:tc>
          <w:tcPr>
            <w:tcW w:w="65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754,412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Net services</w:t>
            </w:r>
          </w:p>
        </w:tc>
        <w:tc>
          <w:tcPr>
            <w:tcW w:w="65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116,375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claims incurred and commission expenses for health</w:t>
            </w:r>
          </w:p>
        </w:tc>
        <w:tc>
          <w:tcPr>
            <w:tcW w:w="5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insurance contracts</w:t>
            </w:r>
          </w:p>
        </w:tc>
        <w:tc>
          <w:tcPr>
            <w:tcW w:w="65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(653,637)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income</w:t>
            </w:r>
          </w:p>
        </w:tc>
        <w:tc>
          <w:tcPr>
            <w:tcW w:w="5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65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1,508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6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(9,077)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Others, net</w:t>
            </w:r>
          </w:p>
        </w:tc>
        <w:tc>
          <w:tcPr>
            <w:tcW w:w="65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(190,643)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before exchange difference and income tax</w:t>
            </w:r>
          </w:p>
        </w:tc>
        <w:tc>
          <w:tcPr>
            <w:tcW w:w="5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w:t>
            </w:r>
          </w:p>
        </w:tc>
        <w:tc>
          <w:tcPr>
            <w:tcW w:w="65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(1,976)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w:t>
            </w:r>
          </w:p>
        </w:tc>
        <w:tc>
          <w:tcPr>
            <w:tcW w:w="6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profit for the year</w:t>
            </w:r>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20" w:type="dxa"/>
            <w:vAlign w:val="bottom"/>
            <w:vMerge w:val="restart"/>
          </w:tcPr>
          <w:p>
            <w:pPr>
              <w:jc w:val="right"/>
              <w:ind w:right="3979"/>
              <w:spacing w:after="0"/>
              <w:rPr>
                <w:sz w:val="20"/>
                <w:szCs w:val="20"/>
                <w:color w:val="auto"/>
              </w:rPr>
            </w:pPr>
            <w:r>
              <w:rPr>
                <w:rFonts w:ascii="Times New Roman" w:cs="Times New Roman" w:eastAsia="Times New Roman" w:hAnsi="Times New Roman"/>
                <w:sz w:val="16"/>
                <w:szCs w:val="16"/>
                <w:color w:val="auto"/>
              </w:rPr>
              <w:t>- 75 -</w:t>
            </w: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3"/>
          </w:cols>
          <w:pgMar w:left="237" w:top="824" w:right="219" w:bottom="1440" w:gutter="0" w:footer="0" w:header="0"/>
        </w:sectPr>
      </w:pPr>
    </w:p>
    <w:bookmarkStart w:id="74" w:name="page75"/>
    <w:bookmarkEnd w:id="74"/>
    <w:p>
      <w:pPr>
        <w:ind w:left="283"/>
        <w:spacing w:after="0"/>
        <w:rPr>
          <w:sz w:val="20"/>
          <w:szCs w:val="20"/>
          <w:color w:val="auto"/>
        </w:rPr>
      </w:pPr>
      <w:r>
        <w:rPr>
          <w:rFonts w:ascii="Times New Roman" w:cs="Times New Roman" w:eastAsia="Times New Roman" w:hAnsi="Times New Roman"/>
          <w:sz w:val="16"/>
          <w:szCs w:val="16"/>
          <w:b w:val="1"/>
          <w:bCs w:val="1"/>
          <w:color w:val="auto"/>
        </w:rPr>
        <w:t>Balances of the statement of cash flows</w:t>
      </w:r>
    </w:p>
    <w:p>
      <w:pPr>
        <w:spacing w:after="0" w:line="200" w:lineRule="exact"/>
        <w:rPr>
          <w:sz w:val="20"/>
          <w:szCs w:val="20"/>
          <w:color w:val="auto"/>
        </w:rPr>
      </w:pPr>
    </w:p>
    <w:p>
      <w:pPr>
        <w:spacing w:after="0" w:line="222"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-105410</wp:posOffset>
            </wp:positionV>
            <wp:extent cx="6969125" cy="1225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69125" cy="122555"/>
                    </a:xfrm>
                    <a:prstGeom prst="rect">
                      <a:avLst/>
                    </a:prstGeom>
                    <a:noFill/>
                  </pic:spPr>
                </pic:pic>
              </a:graphicData>
            </a:graphic>
          </wp:anchor>
        </w:drawing>
      </w:r>
    </w:p>
    <w:p>
      <w:pPr>
        <w:spacing w:after="0" w:line="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-116205</wp:posOffset>
            </wp:positionV>
            <wp:extent cx="6969125" cy="130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spacing w:after="0" w:line="18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-104140</wp:posOffset>
            </wp:positionV>
            <wp:extent cx="6969125" cy="130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spacing w:after="0" w:line="1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year</w:t>
      </w:r>
    </w:p>
    <w:p>
      <w:pPr>
        <w:spacing w:after="0" w:line="2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Escrow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-116205</wp:posOffset>
            </wp:positionV>
            <wp:extent cx="6969125" cy="130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ind w:left="283"/>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2014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6009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17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(265)</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(21,325)</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37,379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6009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20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15,789</w:t>
      </w:r>
    </w:p>
    <w:p>
      <w:pPr>
        <w:spacing w:after="0" w:line="2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49,951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6009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7,819</w:t>
      </w:r>
    </w:p>
    <w:p>
      <w:pPr>
        <w:spacing w:after="0" w:line="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73,559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6009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009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7600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43" w:space="720"/>
            <w:col w:w="1300"/>
          </w:cols>
          <w:pgMar w:left="237" w:top="822" w:right="399" w:bottom="1440" w:gutter="0" w:footer="0" w:header="0"/>
        </w:sectPr>
      </w:pPr>
    </w:p>
    <w:p>
      <w:pPr>
        <w:spacing w:after="0" w:line="11" w:lineRule="exact"/>
        <w:rPr>
          <w:sz w:val="20"/>
          <w:szCs w:val="20"/>
          <w:color w:val="auto"/>
        </w:rPr>
      </w:pPr>
    </w:p>
    <w:p>
      <w:pPr>
        <w:ind w:left="343" w:right="40" w:hanging="343"/>
        <w:spacing w:after="0" w:line="263" w:lineRule="auto"/>
        <w:tabs>
          <w:tab w:leader="none" w:pos="34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health insurance business, which represents one of the main business activities performed by PPS, Banmédica paid US$25.0 million in cash to PPS, obtaining 50 percent of the results related to this business line (health insurance business in Peru). The distributable income will be shared in equal parts (50 percent) and will be determined based on a formula agreed by both parties in the respective contract. PPS will contribute the management of the business and Banmédica will contribute the business plan each year, which contains, among others, business strategies in technical, economic, technological and financial terms.</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14</w:t>
            </w:r>
          </w:p>
        </w:tc>
        <w:tc>
          <w:tcPr>
            <w:tcW w:w="87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DEPOSITS AND OBLIGATIONS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7"/>
        </w:trPr>
        <w:tc>
          <w:tcPr>
            <w:tcW w:w="9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This item consists of the following:</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8740" w:type="dxa"/>
            <w:vAlign w:val="bottom"/>
            <w:gridSpan w:val="2"/>
          </w:tcPr>
          <w:p>
            <w:pPr>
              <w:ind w:left="82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S/(000)</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accounts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7"/>
              </w:rPr>
              <w:t>28,506,270</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28,499,990</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Time deposits (c)</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7"/>
              </w:rPr>
              <w:t>22,531,305</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25,999,186</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Saving accounts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7"/>
              </w:rPr>
              <w:t>26,684,134</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24,904,565</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Severance indemnity deposits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7,117,685</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7,183,421</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Bank’s negotiable certificates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743,726</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1,720,800</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85,583,120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88,307,962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333,267</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298,671</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85,916,387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88,606,633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77" w:lineRule="exact"/>
        <w:rPr>
          <w:sz w:val="20"/>
          <w:szCs w:val="20"/>
          <w:color w:val="auto"/>
        </w:rPr>
      </w:pPr>
    </w:p>
    <w:p>
      <w:pPr>
        <w:ind w:left="283" w:right="180"/>
        <w:spacing w:after="0" w:line="268" w:lineRule="auto"/>
        <w:rPr>
          <w:sz w:val="20"/>
          <w:szCs w:val="20"/>
          <w:color w:val="auto"/>
        </w:rPr>
      </w:pPr>
      <w:r>
        <w:rPr>
          <w:rFonts w:ascii="Times New Roman" w:cs="Times New Roman" w:eastAsia="Times New Roman" w:hAnsi="Times New Roman"/>
          <w:sz w:val="16"/>
          <w:szCs w:val="16"/>
          <w:color w:val="auto"/>
        </w:rPr>
        <w:t>The Group has established a policy to remunerate demand deposits and savings accounts according to an interest rate scale, based on the average balance maintained in those accounts; on the other hand, according with its policy, balances that are lower than a specified amount for each type of account do not bear interest. Also, time deposits earn interest at market rates.</w:t>
      </w:r>
    </w:p>
    <w:p>
      <w:pPr>
        <w:spacing w:after="0" w:line="15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Interest rates are determined by the Group considering interest rates prevailing in the market in which each of the Group’s subsidiaries operates.</w:t>
      </w:r>
    </w:p>
    <w:p>
      <w:pPr>
        <w:spacing w:after="0" w:line="396"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6"/>
          <w:szCs w:val="16"/>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2" w:right="399" w:bottom="1440" w:gutter="0" w:footer="0" w:header="0"/>
          <w:type w:val="continuous"/>
        </w:sectPr>
      </w:pPr>
    </w:p>
    <w:bookmarkStart w:id="75" w:name="page76"/>
    <w:bookmarkEnd w:id="75"/>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w:t>
            </w: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The amounts of non-interest-bearing and interest-bearing deposits and obligations are presented below:</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Non-interest-bearing -</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 Peru</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24,718,582</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23,324,797</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 other countries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3,366,109</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4,724,273</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28,084,691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28,049,070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Interest-bearing -</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 Peru</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52,472,191</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53,630,904</w:t>
            </w:r>
          </w:p>
        </w:tc>
        <w:tc>
          <w:tcPr>
            <w:tcW w:w="80" w:type="dxa"/>
            <w:vAlign w:val="bottom"/>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 other countries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5,026,238</w:t>
            </w:r>
          </w:p>
        </w:tc>
        <w:tc>
          <w:tcPr>
            <w:tcW w:w="220" w:type="dxa"/>
            <w:vAlign w:val="bottom"/>
          </w:tcPr>
          <w:p>
            <w:pPr>
              <w:spacing w:after="0"/>
              <w:rPr>
                <w:sz w:val="17"/>
                <w:szCs w:val="17"/>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6,627,988</w:t>
            </w:r>
          </w:p>
        </w:tc>
        <w:tc>
          <w:tcPr>
            <w:tcW w:w="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57,498,429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60,258,892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85,583,120</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88,307,962</w:t>
            </w:r>
          </w:p>
        </w:tc>
        <w:tc>
          <w:tcPr>
            <w:tcW w:w="80" w:type="dxa"/>
            <w:vAlign w:val="bottom"/>
            <w:shd w:val="clear" w:color="auto" w:fill="CCEEFF"/>
          </w:tcPr>
          <w:p>
            <w:pPr>
              <w:spacing w:after="0"/>
              <w:rPr>
                <w:sz w:val="17"/>
                <w:szCs w:val="17"/>
                <w:color w:val="auto"/>
              </w:rPr>
            </w:pPr>
          </w:p>
        </w:tc>
      </w:tr>
      <w:tr>
        <w:trPr>
          <w:trHeight w:val="37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c)</w:t>
            </w: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The balance of time deposits classified by maturity is as follows:</w:t>
            </w: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2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 to 3 months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11,017,649</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14,493,389</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From 3 months to 1 year</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6,614,180</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7,204,555</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1 to 3 years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2,770,452</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2,505,630</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From 3 to 5 years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777,729</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700,663</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5 years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1,351,295</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1,094,949</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22,531,305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25,999,186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7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As of December 31, 2016 and 2015 Management considers the Group’s deposits and obligations are diversified with no significant concentrations.</w:t>
      </w:r>
    </w:p>
    <w:p>
      <w:pPr>
        <w:spacing w:after="0" w:line="203" w:lineRule="exact"/>
        <w:rPr>
          <w:sz w:val="20"/>
          <w:szCs w:val="20"/>
          <w:color w:val="auto"/>
        </w:rPr>
      </w:pPr>
    </w:p>
    <w:p>
      <w:pPr>
        <w:ind w:left="283" w:right="140"/>
        <w:spacing w:after="0" w:line="268" w:lineRule="auto"/>
        <w:rPr>
          <w:sz w:val="20"/>
          <w:szCs w:val="20"/>
          <w:color w:val="auto"/>
        </w:rPr>
      </w:pPr>
      <w:r>
        <w:rPr>
          <w:rFonts w:ascii="Times New Roman" w:cs="Times New Roman" w:eastAsia="Times New Roman" w:hAnsi="Times New Roman"/>
          <w:sz w:val="16"/>
          <w:szCs w:val="16"/>
          <w:color w:val="auto"/>
        </w:rPr>
        <w:t>At December 31, 2016 and 2015, of the total balance of deposits and obligations in Peru, approximately S/28,239.3 million and S/26,812.6 million are secured by the Peruvian “Fondo de Seguro de Depósitos” (Deposit Insurance Fund). At said dates, maximum coverage recognized by “Fondo de Seguro de Depósitos” totaled S/97,644.0 and S/96,246.0, respectively.</w:t>
      </w:r>
    </w:p>
    <w:p>
      <w:pPr>
        <w:spacing w:after="0" w:line="155"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DUE TO BANKS AND CORRESPONDENTS</w:t>
      </w:r>
    </w:p>
    <w:p>
      <w:pPr>
        <w:spacing w:after="0" w:line="205" w:lineRule="exact"/>
        <w:rPr>
          <w:sz w:val="20"/>
          <w:szCs w:val="20"/>
          <w:color w:val="auto"/>
        </w:rPr>
      </w:pPr>
    </w:p>
    <w:p>
      <w:pPr>
        <w:ind w:left="283" w:hanging="283"/>
        <w:spacing w:after="0"/>
        <w:tabs>
          <w:tab w:leader="none" w:pos="28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consists of the following:</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7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5"/>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funds and others (i)</w:t>
            </w:r>
          </w:p>
        </w:tc>
        <w:tc>
          <w:tcPr>
            <w:tcW w:w="5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5,253,826</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5,569,602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Promotional credit lines (ii)</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1,793,205</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1,721,136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Inter-bank funds</w:t>
            </w:r>
          </w:p>
        </w:tc>
        <w:tc>
          <w:tcPr>
            <w:tcW w:w="5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408,153</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446,000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7,455,184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7,736,738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5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38,732</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25,759</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56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7,493,916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7,762,497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right"/>
              <w:ind w:right="2559"/>
              <w:spacing w:after="0"/>
              <w:rPr>
                <w:sz w:val="20"/>
                <w:szCs w:val="20"/>
                <w:color w:val="auto"/>
              </w:rPr>
            </w:pPr>
            <w:r>
              <w:rPr>
                <w:rFonts w:ascii="Times New Roman" w:cs="Times New Roman" w:eastAsia="Times New Roman" w:hAnsi="Times New Roman"/>
                <w:sz w:val="16"/>
                <w:szCs w:val="16"/>
                <w:color w:val="auto"/>
              </w:rPr>
              <w:t>- 77 -</w:t>
            </w: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4" w:right="2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  This item consists of the following:</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700" w:type="dxa"/>
            <w:vAlign w:val="bottom"/>
            <w:gridSpan w:val="3"/>
          </w:tcPr>
          <w:p>
            <w:pPr>
              <w:ind w:left="82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S/(000)</w:t>
            </w: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0" w:type="dxa"/>
            <w:vAlign w:val="bottom"/>
            <w:vMerge w:val="restart"/>
          </w:tcPr>
          <w:p>
            <w:pPr>
              <w:spacing w:after="0"/>
              <w:rPr>
                <w:sz w:val="15"/>
                <w:szCs w:val="15"/>
                <w:color w:val="auto"/>
              </w:rPr>
            </w:pPr>
          </w:p>
        </w:tc>
        <w:tc>
          <w:tcPr>
            <w:tcW w:w="7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0" w:type="dxa"/>
            <w:vAlign w:val="bottom"/>
            <w:vMerge w:val="continue"/>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Montreal Canada</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805,440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Wells Fargo Bank NY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788,660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392,265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Corporación Financiera de Desarrollo (COFIDE)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456,246</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230,072</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Canadian Imperial Bank of Commerce Toronto</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335,600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426,375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New York Mellon NY</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335,600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477,540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Citibank N.A.</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385,940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226,400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America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335,426</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340,760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 and Chase NY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335,204</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170,338</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HSBC Bank</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295,328</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377,347</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Banco de Desarrollo de America Latina CAF</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247,013</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Finance Corporation IFC</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191,142</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152,092</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Banco Consorcio</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103,969</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Deutsche Bank</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83,900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324,045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Scotiabank Perú S.A.A</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80,722</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Comunidad Andina de Fomento - CAF</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387,785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Sumitomo Mitsui Banking Corp</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272,880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Standard Chartered Bank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245,592</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China Development Bank</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204,001</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Tokyo NY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170,127</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Toronto Dominion Bank</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102,431</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Responsability Global Microfinance Fund</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95,666</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 below S/80 million</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473,636</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873,886</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5,253,826</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5,569,602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80" w:hanging="383"/>
        <w:spacing w:after="0" w:line="268" w:lineRule="auto"/>
        <w:tabs>
          <w:tab w:leader="none" w:pos="6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balance includes two variable rate loans obtained in April and June of 2016 for a total of US$95.0 million, equivalent to S/318.8 million, the amounts of which are hedged by two IRS for a nominal amount with equal principal and maturity, see note 12(b). By means of the IRS, the two loans were economically converted to a fixed rate loan.</w:t>
      </w:r>
    </w:p>
    <w:p>
      <w:pPr>
        <w:spacing w:after="0" w:line="157" w:lineRule="exact"/>
        <w:rPr>
          <w:sz w:val="20"/>
          <w:szCs w:val="20"/>
          <w:color w:val="auto"/>
        </w:rPr>
      </w:pPr>
    </w:p>
    <w:p>
      <w:pPr>
        <w:ind w:left="680" w:right="160" w:hanging="383"/>
        <w:spacing w:after="0" w:line="268" w:lineRule="auto"/>
        <w:tabs>
          <w:tab w:leader="none" w:pos="6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variable rate obtained in December 2015 for US$100.0 million, equivalent to S/335.6 million (S/335.4 million net of its transaction cost) is hedged with an interest rate swap (IRS) for an amount equal to the principal and same maturity date, see note12(b). (US$100.0 million, S/341.1 million and S/340.8 million, respectively, at December 31, 2015). By means of the IRS, said loan was economically converted to a fixed rate loan.</w:t>
      </w:r>
    </w:p>
    <w:p>
      <w:pPr>
        <w:spacing w:after="0" w:line="157" w:lineRule="exact"/>
        <w:rPr>
          <w:sz w:val="20"/>
          <w:szCs w:val="20"/>
          <w:color w:val="auto"/>
        </w:rPr>
      </w:pPr>
    </w:p>
    <w:p>
      <w:pPr>
        <w:ind w:left="680" w:right="180" w:hanging="383"/>
        <w:spacing w:after="0" w:line="268" w:lineRule="auto"/>
        <w:tabs>
          <w:tab w:leader="none" w:pos="6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variable rate loan obtained in February 2016 for US$100.0 million, equivalent to S/335.6 million (S/335.2 million, net of its transaction cost) is hedged with an IRS for a nominal amount equal to the principal and same maturity date, see note 12(b); by means of the IRS, said loan was economically converted to a fixed-rate loan.</w:t>
      </w:r>
    </w:p>
    <w:p>
      <w:pPr>
        <w:spacing w:after="0" w:line="350" w:lineRule="exact"/>
        <w:rPr>
          <w:rFonts w:ascii="Times New Roman" w:cs="Times New Roman" w:eastAsia="Times New Roman" w:hAnsi="Times New Roman"/>
          <w:sz w:val="16"/>
          <w:szCs w:val="16"/>
          <w:color w:val="auto"/>
        </w:rPr>
      </w:pPr>
    </w:p>
    <w:p>
      <w:pPr>
        <w:ind w:left="5360" w:hanging="94"/>
        <w:spacing w:after="0"/>
        <w:tabs>
          <w:tab w:leader="none" w:pos="536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4" w:right="279" w:bottom="1440" w:gutter="0" w:footer="0" w:header="0"/>
        </w:sectPr>
      </w:pPr>
    </w:p>
    <w:bookmarkStart w:id="77" w:name="page78"/>
    <w:bookmarkEnd w:id="77"/>
    <w:p>
      <w:pPr>
        <w:ind w:left="1063" w:right="500"/>
        <w:spacing w:after="0" w:line="285" w:lineRule="auto"/>
        <w:rPr>
          <w:sz w:val="20"/>
          <w:szCs w:val="20"/>
          <w:color w:val="auto"/>
        </w:rPr>
      </w:pPr>
      <w:r>
        <w:rPr>
          <w:rFonts w:ascii="Times New Roman" w:cs="Times New Roman" w:eastAsia="Times New Roman" w:hAnsi="Times New Roman"/>
          <w:sz w:val="16"/>
          <w:szCs w:val="16"/>
          <w:color w:val="auto"/>
        </w:rPr>
        <w:t>At December 31, 2015, the variable rate loan obtained in September 2014 for US$50.0 million, equivalent to S/170.6 million (S/170.3 million net of its transaction cost) matured in October 2016, see note 12(b).</w:t>
      </w:r>
    </w:p>
    <w:p>
      <w:pPr>
        <w:spacing w:after="0" w:line="143" w:lineRule="exact"/>
        <w:rPr>
          <w:sz w:val="20"/>
          <w:szCs w:val="20"/>
          <w:color w:val="auto"/>
        </w:rPr>
      </w:pPr>
    </w:p>
    <w:p>
      <w:pPr>
        <w:ind w:left="1063" w:right="100" w:hanging="483"/>
        <w:spacing w:after="0" w:line="285" w:lineRule="auto"/>
        <w:rPr>
          <w:sz w:val="20"/>
          <w:szCs w:val="20"/>
          <w:color w:val="auto"/>
        </w:rPr>
      </w:pPr>
      <w:r>
        <w:rPr>
          <w:rFonts w:ascii="Times New Roman" w:cs="Times New Roman" w:eastAsia="Times New Roman" w:hAnsi="Times New Roman"/>
          <w:sz w:val="16"/>
          <w:szCs w:val="16"/>
          <w:color w:val="auto"/>
        </w:rPr>
        <w:t>(****) At December 31, 2015, the balance includes a variable rate loan for US$30.0 million, equivalent to S/102.3 million, which matured in October 2016, see note 12(b). By means of the IRS, said loan was economically converted to a fixed rate loan.</w:t>
      </w:r>
    </w:p>
    <w:p>
      <w:pPr>
        <w:spacing w:after="0" w:line="143" w:lineRule="exact"/>
        <w:rPr>
          <w:sz w:val="20"/>
          <w:szCs w:val="20"/>
          <w:color w:val="auto"/>
        </w:rPr>
      </w:pPr>
    </w:p>
    <w:p>
      <w:pPr>
        <w:ind w:left="1103" w:hanging="519"/>
        <w:spacing w:after="0" w:line="285" w:lineRule="auto"/>
        <w:rPr>
          <w:sz w:val="20"/>
          <w:szCs w:val="20"/>
          <w:color w:val="auto"/>
        </w:rPr>
      </w:pPr>
      <w:r>
        <w:rPr>
          <w:rFonts w:ascii="Times New Roman" w:cs="Times New Roman" w:eastAsia="Times New Roman" w:hAnsi="Times New Roman"/>
          <w:sz w:val="16"/>
          <w:szCs w:val="16"/>
          <w:color w:val="auto"/>
        </w:rPr>
        <w:t>(*****)At December 31, 2015, the variable rate loan for US$50.0 million, equivalent to S/170.6 million (S/170.1 million net of its transaction cost), which matured in October 2016, see not 12(b). By means of the IRS, said loan was economically converted to a fixed rate loan.</w:t>
      </w:r>
    </w:p>
    <w:p>
      <w:pPr>
        <w:spacing w:after="0" w:line="143" w:lineRule="exact"/>
        <w:rPr>
          <w:sz w:val="20"/>
          <w:szCs w:val="20"/>
          <w:color w:val="auto"/>
        </w:rPr>
      </w:pPr>
    </w:p>
    <w:p>
      <w:pPr>
        <w:ind w:left="583" w:right="20"/>
        <w:spacing w:after="0" w:line="285" w:lineRule="auto"/>
        <w:rPr>
          <w:sz w:val="20"/>
          <w:szCs w:val="20"/>
          <w:color w:val="auto"/>
        </w:rPr>
      </w:pPr>
      <w:r>
        <w:rPr>
          <w:rFonts w:ascii="Times New Roman" w:cs="Times New Roman" w:eastAsia="Times New Roman" w:hAnsi="Times New Roman"/>
          <w:sz w:val="16"/>
          <w:szCs w:val="16"/>
          <w:color w:val="auto"/>
        </w:rPr>
        <w:t>At December 31, 2016, loans have maturities between January 2017 and December 2031 (between January 2016 and December 2035 at December 31, 2015) and bear interest at rates that vary between 0.44 percent and 11.43 percent (between 0.62 and 8.00 percent at December 31, 2015).</w:t>
      </w:r>
    </w:p>
    <w:p>
      <w:pPr>
        <w:spacing w:after="0" w:line="143" w:lineRule="exact"/>
        <w:rPr>
          <w:sz w:val="20"/>
          <w:szCs w:val="20"/>
          <w:color w:val="auto"/>
        </w:rPr>
      </w:pPr>
    </w:p>
    <w:p>
      <w:pPr>
        <w:ind w:left="583" w:right="40" w:hanging="293"/>
        <w:spacing w:after="0" w:line="260" w:lineRule="auto"/>
        <w:tabs>
          <w:tab w:leader="none" w:pos="58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Promotional credit lines represent loans granted by Corporación Financiera de Desarrollo and Fondo de Cooperación para el Desarrollo Social (COFIDE and FONCODES for their Spanish acronym, respectively) to promote the development of Peru, they have maturities between January 2017 and January 2022 at annual interest rates varying between 6.00 percent and 7.75 percent at December 31, 2016 (between August 2016 and December 2035 and with annual interest rates ranging between 6.00 and 7.75 percent at December 31, 2015). These credit lines are secured by a loan portfolio totaling S/1,793.2 million and S/1,721.1 million at December 31, 2016 and December 31, 2015, respectively.</w:t>
      </w:r>
    </w:p>
    <w:p>
      <w:pPr>
        <w:spacing w:after="0" w:line="163" w:lineRule="exact"/>
        <w:rPr>
          <w:rFonts w:ascii="Times New Roman" w:cs="Times New Roman" w:eastAsia="Times New Roman" w:hAnsi="Times New Roman"/>
          <w:sz w:val="16"/>
          <w:szCs w:val="16"/>
          <w:color w:val="auto"/>
        </w:rPr>
      </w:pPr>
    </w:p>
    <w:p>
      <w:pPr>
        <w:ind w:left="583" w:right="1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due to banks and correspondents include standard covenants related to financial ratios, use of funds and other administrative matters, which, in Management’s opinion, do not limit the Group’s operations and it has fully complied with them as of the dates of the consolidated financial statements.</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shows maturities of due to banks and correspondents at December 31, 2016 and 2015 based on the remaining period to the maturity date:</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8780" w:type="dxa"/>
            <w:vAlign w:val="bottom"/>
            <w:gridSpan w:val="2"/>
          </w:tcPr>
          <w:p>
            <w:pPr>
              <w:ind w:left="82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8260" w:type="dxa"/>
            <w:vAlign w:val="bottom"/>
          </w:tcPr>
          <w:p>
            <w:pPr>
              <w:spacing w:after="0"/>
              <w:rPr>
                <w:sz w:val="17"/>
                <w:szCs w:val="17"/>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gridSpan w:val="2"/>
          </w:tcPr>
          <w:p>
            <w:pPr>
              <w:spacing w:after="0"/>
              <w:rPr>
                <w:sz w:val="17"/>
                <w:szCs w:val="17"/>
                <w:color w:val="auto"/>
              </w:rPr>
            </w:pPr>
          </w:p>
        </w:tc>
      </w:tr>
      <w:tr>
        <w:trPr>
          <w:trHeight w:val="175"/>
        </w:trPr>
        <w:tc>
          <w:tcPr>
            <w:tcW w:w="8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8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Up to 3 months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2,801,499</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1,881,200</w:t>
            </w:r>
          </w:p>
        </w:tc>
        <w:tc>
          <w:tcPr>
            <w:tcW w:w="80" w:type="dxa"/>
            <w:vAlign w:val="bottom"/>
            <w:shd w:val="clear" w:color="auto" w:fill="CCEEFF"/>
          </w:tcPr>
          <w:p>
            <w:pPr>
              <w:spacing w:after="0"/>
              <w:rPr>
                <w:sz w:val="16"/>
                <w:szCs w:val="16"/>
                <w:color w:val="auto"/>
              </w:rPr>
            </w:pPr>
          </w:p>
        </w:tc>
      </w:tr>
      <w:tr>
        <w:trPr>
          <w:trHeight w:val="193"/>
        </w:trPr>
        <w:tc>
          <w:tcPr>
            <w:tcW w:w="8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From 3 months to 1 year</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1,536,609</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3,055,071</w:t>
            </w:r>
          </w:p>
        </w:tc>
        <w:tc>
          <w:tcPr>
            <w:tcW w:w="80" w:type="dxa"/>
            <w:vAlign w:val="bottom"/>
          </w:tcPr>
          <w:p>
            <w:pPr>
              <w:spacing w:after="0"/>
              <w:rPr>
                <w:sz w:val="16"/>
                <w:szCs w:val="16"/>
                <w:color w:val="auto"/>
              </w:rPr>
            </w:pPr>
          </w:p>
        </w:tc>
      </w:tr>
      <w:tr>
        <w:trPr>
          <w:trHeight w:val="193"/>
        </w:trPr>
        <w:tc>
          <w:tcPr>
            <w:tcW w:w="8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From 1 to 3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1,214,848</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1,286,206</w:t>
            </w:r>
          </w:p>
        </w:tc>
        <w:tc>
          <w:tcPr>
            <w:tcW w:w="80" w:type="dxa"/>
            <w:vAlign w:val="bottom"/>
            <w:shd w:val="clear" w:color="auto" w:fill="CCEEFF"/>
          </w:tcPr>
          <w:p>
            <w:pPr>
              <w:spacing w:after="0"/>
              <w:rPr>
                <w:sz w:val="16"/>
                <w:szCs w:val="16"/>
                <w:color w:val="auto"/>
              </w:rPr>
            </w:pPr>
          </w:p>
        </w:tc>
      </w:tr>
      <w:tr>
        <w:trPr>
          <w:trHeight w:val="193"/>
        </w:trPr>
        <w:tc>
          <w:tcPr>
            <w:tcW w:w="8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From 3 to 5 years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554,600</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329,832</w:t>
            </w:r>
          </w:p>
        </w:tc>
        <w:tc>
          <w:tcPr>
            <w:tcW w:w="80" w:type="dxa"/>
            <w:vAlign w:val="bottom"/>
          </w:tcPr>
          <w:p>
            <w:pPr>
              <w:spacing w:after="0"/>
              <w:rPr>
                <w:sz w:val="16"/>
                <w:szCs w:val="16"/>
                <w:color w:val="auto"/>
              </w:rPr>
            </w:pPr>
          </w:p>
        </w:tc>
      </w:tr>
      <w:tr>
        <w:trPr>
          <w:trHeight w:val="205"/>
        </w:trPr>
        <w:tc>
          <w:tcPr>
            <w:tcW w:w="8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Over 5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1,347,628</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1,184,429</w:t>
            </w:r>
          </w:p>
        </w:tc>
        <w:tc>
          <w:tcPr>
            <w:tcW w:w="80" w:type="dxa"/>
            <w:vAlign w:val="bottom"/>
            <w:shd w:val="clear" w:color="auto" w:fill="CCEEFF"/>
          </w:tcPr>
          <w:p>
            <w:pPr>
              <w:spacing w:after="0"/>
              <w:rPr>
                <w:sz w:val="17"/>
                <w:szCs w:val="17"/>
                <w:color w:val="auto"/>
              </w:rPr>
            </w:pPr>
          </w:p>
        </w:tc>
      </w:tr>
      <w:tr>
        <w:trPr>
          <w:trHeight w:val="185"/>
        </w:trPr>
        <w:tc>
          <w:tcPr>
            <w:tcW w:w="82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7,455,184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7,736,738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77" w:lineRule="exact"/>
        <w:rPr>
          <w:sz w:val="20"/>
          <w:szCs w:val="20"/>
          <w:color w:val="auto"/>
        </w:rPr>
      </w:pPr>
    </w:p>
    <w:p>
      <w:pPr>
        <w:ind w:left="283" w:right="160" w:hanging="283"/>
        <w:spacing w:after="0" w:line="285" w:lineRule="auto"/>
        <w:tabs>
          <w:tab w:leader="none" w:pos="28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lines of credit granted by several local and foreign financial institutions, available for future operating activities amounted to S/7,047.0 million and S/7,291.4 million, respectively.</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23"/>
          </w:cols>
          <w:pgMar w:left="237" w:top="824" w:right="339" w:bottom="1440" w:gutter="0" w:footer="0" w:header="0"/>
        </w:sectPr>
      </w:pPr>
    </w:p>
    <w:bookmarkStart w:id="78" w:name="page79"/>
    <w:bookmarkEnd w:id="78"/>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INSURANCE CLAIMS RESERVES, TECHNICAL RESERVES AND PAYABLES FROM HEALTHCARE</w:t>
      </w:r>
    </w:p>
    <w:p>
      <w:pPr>
        <w:spacing w:after="0" w:line="205" w:lineRule="exact"/>
        <w:rPr>
          <w:sz w:val="20"/>
          <w:szCs w:val="20"/>
          <w:color w:val="auto"/>
        </w:rPr>
      </w:pPr>
    </w:p>
    <w:p>
      <w:pPr>
        <w:ind w:left="283" w:hanging="283"/>
        <w:spacing w:after="0"/>
        <w:tabs>
          <w:tab w:leader="none" w:pos="28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consists of the following:</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tcPr>
          <w:p>
            <w:pPr>
              <w:ind w:left="220"/>
              <w:spacing w:after="0" w:line="168" w:lineRule="exact"/>
              <w:rPr>
                <w:sz w:val="20"/>
                <w:szCs w:val="20"/>
                <w:color w:val="auto"/>
              </w:rPr>
            </w:pPr>
            <w:r>
              <w:rPr>
                <w:rFonts w:ascii="Times New Roman" w:cs="Times New Roman" w:eastAsia="Times New Roman" w:hAnsi="Times New Roman"/>
                <w:sz w:val="16"/>
                <w:szCs w:val="16"/>
                <w:b w:val="1"/>
                <w:bCs w:val="1"/>
                <w:color w:val="auto"/>
              </w:rPr>
              <w:t>Technical</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Claims reserves</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reserves (*)</w:t>
            </w:r>
          </w:p>
        </w:tc>
        <w:tc>
          <w:tcPr>
            <w:tcW w:w="100" w:type="dxa"/>
            <w:vAlign w:val="bottom"/>
          </w:tcPr>
          <w:p>
            <w:pPr>
              <w:spacing w:after="0"/>
              <w:rPr>
                <w:sz w:val="18"/>
                <w:szCs w:val="18"/>
                <w:color w:val="auto"/>
              </w:rPr>
            </w:pPr>
          </w:p>
        </w:tc>
        <w:tc>
          <w:tcPr>
            <w:tcW w:w="14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Assumed</w:t>
            </w:r>
          </w:p>
        </w:tc>
        <w:tc>
          <w:tcPr>
            <w:tcW w:w="220" w:type="dxa"/>
            <w:vAlign w:val="bottom"/>
            <w:vMerge w:val="restart"/>
          </w:tcPr>
          <w:p>
            <w:pPr>
              <w:spacing w:after="0"/>
              <w:rPr>
                <w:sz w:val="17"/>
                <w:szCs w:val="17"/>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vMerge w:val="restart"/>
          </w:tcPr>
          <w:p>
            <w:pPr>
              <w:spacing w:after="0"/>
              <w:rPr>
                <w:sz w:val="17"/>
                <w:szCs w:val="17"/>
                <w:color w:val="auto"/>
              </w:rPr>
            </w:pPr>
          </w:p>
        </w:tc>
        <w:tc>
          <w:tcPr>
            <w:tcW w:w="1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S/(000)</w:t>
            </w:r>
          </w:p>
        </w:tc>
        <w:tc>
          <w:tcPr>
            <w:tcW w:w="0" w:type="dxa"/>
            <w:vAlign w:val="bottom"/>
          </w:tcPr>
          <w:p>
            <w:pPr>
              <w:spacing w:after="0"/>
              <w:rPr>
                <w:sz w:val="1"/>
                <w:szCs w:val="1"/>
                <w:color w:val="auto"/>
              </w:rPr>
            </w:pPr>
          </w:p>
        </w:tc>
      </w:tr>
      <w:tr>
        <w:trPr>
          <w:trHeight w:val="204"/>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Life insurance</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551,516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5,128,974</w:t>
            </w:r>
          </w:p>
        </w:tc>
        <w:tc>
          <w:tcPr>
            <w:tcW w:w="1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5,680,490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Health insurance</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325,748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574,435</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900,183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insurance</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60,733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144,783</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205,516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937,997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5,848,192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6,786,189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54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tcPr>
          <w:p>
            <w:pPr>
              <w:ind w:left="220"/>
              <w:spacing w:after="0" w:line="168" w:lineRule="exact"/>
              <w:rPr>
                <w:sz w:val="20"/>
                <w:szCs w:val="20"/>
                <w:color w:val="auto"/>
              </w:rPr>
            </w:pPr>
            <w:r>
              <w:rPr>
                <w:rFonts w:ascii="Times New Roman" w:cs="Times New Roman" w:eastAsia="Times New Roman" w:hAnsi="Times New Roman"/>
                <w:sz w:val="16"/>
                <w:szCs w:val="16"/>
                <w:b w:val="1"/>
                <w:bCs w:val="1"/>
                <w:color w:val="auto"/>
              </w:rPr>
              <w:t>Technical</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Claims reserves</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reserves (*)</w:t>
            </w:r>
          </w:p>
        </w:tc>
        <w:tc>
          <w:tcPr>
            <w:tcW w:w="100" w:type="dxa"/>
            <w:vAlign w:val="bottom"/>
          </w:tcPr>
          <w:p>
            <w:pPr>
              <w:spacing w:after="0"/>
              <w:rPr>
                <w:sz w:val="18"/>
                <w:szCs w:val="18"/>
                <w:color w:val="auto"/>
              </w:rPr>
            </w:pPr>
          </w:p>
        </w:tc>
        <w:tc>
          <w:tcPr>
            <w:tcW w:w="14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Assumed</w:t>
            </w:r>
          </w:p>
        </w:tc>
        <w:tc>
          <w:tcPr>
            <w:tcW w:w="220" w:type="dxa"/>
            <w:vAlign w:val="bottom"/>
            <w:vMerge w:val="restart"/>
          </w:tcPr>
          <w:p>
            <w:pPr>
              <w:spacing w:after="0"/>
              <w:rPr>
                <w:sz w:val="17"/>
                <w:szCs w:val="17"/>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vMerge w:val="restart"/>
          </w:tcPr>
          <w:p>
            <w:pPr>
              <w:spacing w:after="0"/>
              <w:rPr>
                <w:sz w:val="17"/>
                <w:szCs w:val="17"/>
                <w:color w:val="auto"/>
              </w:rPr>
            </w:pPr>
          </w:p>
        </w:tc>
        <w:tc>
          <w:tcPr>
            <w:tcW w:w="1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S/(000)</w:t>
            </w:r>
          </w:p>
        </w:tc>
        <w:tc>
          <w:tcPr>
            <w:tcW w:w="0" w:type="dxa"/>
            <w:vAlign w:val="bottom"/>
          </w:tcPr>
          <w:p>
            <w:pPr>
              <w:spacing w:after="0"/>
              <w:rPr>
                <w:sz w:val="1"/>
                <w:szCs w:val="1"/>
                <w:color w:val="auto"/>
              </w:rPr>
            </w:pPr>
          </w:p>
        </w:tc>
      </w:tr>
      <w:tr>
        <w:trPr>
          <w:trHeight w:val="204"/>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Life insurance</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478,960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4,755,154</w:t>
            </w:r>
          </w:p>
        </w:tc>
        <w:tc>
          <w:tcPr>
            <w:tcW w:w="1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5,234,114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Health insurance</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335,818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582,453</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918,271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insurance</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64,896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144,346</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209,242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879,674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5,481,953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6,361,627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83" w:right="440" w:hanging="293"/>
        <w:spacing w:after="0" w:line="285" w:lineRule="auto"/>
        <w:tabs>
          <w:tab w:leader="none" w:pos="58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life insurance technical reserves include the mathematic reserves of life annuities amounting to S/3,908.3 million (S/3,692.4 million a December 31, 2015).</w:t>
      </w:r>
    </w:p>
    <w:p>
      <w:pPr>
        <w:spacing w:after="0" w:line="143" w:lineRule="exact"/>
        <w:rPr>
          <w:sz w:val="20"/>
          <w:szCs w:val="20"/>
          <w:color w:val="auto"/>
        </w:rPr>
      </w:pPr>
    </w:p>
    <w:p>
      <w:pPr>
        <w:ind w:left="283" w:right="180"/>
        <w:spacing w:after="0" w:line="285" w:lineRule="auto"/>
        <w:rPr>
          <w:sz w:val="20"/>
          <w:szCs w:val="20"/>
          <w:color w:val="auto"/>
        </w:rPr>
      </w:pPr>
      <w:r>
        <w:rPr>
          <w:rFonts w:ascii="Times New Roman" w:cs="Times New Roman" w:eastAsia="Times New Roman" w:hAnsi="Times New Roman"/>
          <w:sz w:val="16"/>
          <w:szCs w:val="16"/>
          <w:color w:val="auto"/>
        </w:rPr>
        <w:t>Insurance claims reserves represent reported claims and an estimation for incurred but non reported claims (IBNR). Reported claims are adjusted on the basis of technical reports received from independent adjusters</w:t>
      </w:r>
      <w:r>
        <w:rPr>
          <w:rFonts w:ascii="Times New Roman" w:cs="Times New Roman" w:eastAsia="Times New Roman" w:hAnsi="Times New Roman"/>
          <w:sz w:val="16"/>
          <w:szCs w:val="16"/>
          <w:b w:val="1"/>
          <w:bCs w:val="1"/>
          <w:color w:val="auto"/>
        </w:rPr>
        <w:t>.</w:t>
      </w:r>
    </w:p>
    <w:p>
      <w:pPr>
        <w:spacing w:after="0" w:line="143" w:lineRule="exact"/>
        <w:rPr>
          <w:sz w:val="20"/>
          <w:szCs w:val="20"/>
          <w:color w:val="auto"/>
        </w:rPr>
      </w:pPr>
    </w:p>
    <w:p>
      <w:pPr>
        <w:ind w:left="283" w:right="500"/>
        <w:spacing w:after="0" w:line="285" w:lineRule="auto"/>
        <w:rPr>
          <w:sz w:val="20"/>
          <w:szCs w:val="20"/>
          <w:color w:val="auto"/>
        </w:rPr>
      </w:pPr>
      <w:r>
        <w:rPr>
          <w:rFonts w:ascii="Times New Roman" w:cs="Times New Roman" w:eastAsia="Times New Roman" w:hAnsi="Times New Roman"/>
          <w:sz w:val="16"/>
          <w:szCs w:val="16"/>
          <w:color w:val="auto"/>
        </w:rPr>
        <w:t>Insurance claims and technical reserves corresponding to the reinsurers and coinsurers are shown as ceded claims, which are presented in “Accounts receivable from reinsurers and coinsurers” of the consolidated statement of financial position, see note 9.</w:t>
      </w:r>
    </w:p>
    <w:p>
      <w:pPr>
        <w:spacing w:after="0" w:line="143" w:lineRule="exact"/>
        <w:rPr>
          <w:sz w:val="20"/>
          <w:szCs w:val="20"/>
          <w:color w:val="auto"/>
        </w:rPr>
      </w:pPr>
    </w:p>
    <w:p>
      <w:pPr>
        <w:ind w:left="283" w:right="240"/>
        <w:spacing w:after="0" w:line="285" w:lineRule="auto"/>
        <w:rPr>
          <w:sz w:val="20"/>
          <w:szCs w:val="20"/>
          <w:color w:val="auto"/>
        </w:rPr>
      </w:pPr>
      <w:r>
        <w:rPr>
          <w:rFonts w:ascii="Times New Roman" w:cs="Times New Roman" w:eastAsia="Times New Roman" w:hAnsi="Times New Roman"/>
          <w:sz w:val="16"/>
          <w:szCs w:val="16"/>
          <w:color w:val="auto"/>
        </w:rPr>
        <w:t>At December 31, 2016, the reserves for direct claims include reserves for IBNR for life, general and health insurance for an amount of S/231.4, S/9.1 and S/41.1 million, respectively (S/189.6, S/16.8 and S/45.7 million, respectively, at December 31, 2015).</w:t>
      </w:r>
    </w:p>
    <w:p>
      <w:pPr>
        <w:spacing w:after="0" w:line="143" w:lineRule="exact"/>
        <w:rPr>
          <w:sz w:val="20"/>
          <w:szCs w:val="20"/>
          <w:color w:val="auto"/>
        </w:rPr>
      </w:pPr>
    </w:p>
    <w:p>
      <w:pPr>
        <w:ind w:left="283"/>
        <w:spacing w:after="0" w:line="268" w:lineRule="auto"/>
        <w:rPr>
          <w:sz w:val="20"/>
          <w:szCs w:val="20"/>
          <w:color w:val="auto"/>
        </w:rPr>
      </w:pPr>
      <w:r>
        <w:rPr>
          <w:rFonts w:ascii="Times New Roman" w:cs="Times New Roman" w:eastAsia="Times New Roman" w:hAnsi="Times New Roman"/>
          <w:sz w:val="16"/>
          <w:szCs w:val="16"/>
          <w:color w:val="auto"/>
        </w:rPr>
        <w:t>At December 31, 2016 and in previous years, the differences between the estimations for the incurred and non-reported claims and the settled and pending liquidation claims have not been significant. In the case of general risks and health, retrospective analysis indicates that the amounts accrued are adequate and the Management believes that the estimated IBNR reserve is sufficient to cover any liability as of December 31, 2016 and 2015.</w:t>
      </w:r>
    </w:p>
    <w:p>
      <w:pPr>
        <w:spacing w:after="0" w:line="157" w:lineRule="exact"/>
        <w:rPr>
          <w:sz w:val="20"/>
          <w:szCs w:val="20"/>
          <w:color w:val="auto"/>
        </w:rPr>
      </w:pPr>
    </w:p>
    <w:p>
      <w:pPr>
        <w:ind w:left="283" w:right="300"/>
        <w:spacing w:after="0" w:line="285" w:lineRule="auto"/>
        <w:rPr>
          <w:sz w:val="20"/>
          <w:szCs w:val="20"/>
          <w:color w:val="auto"/>
        </w:rPr>
      </w:pPr>
      <w:r>
        <w:rPr>
          <w:rFonts w:ascii="Times New Roman" w:cs="Times New Roman" w:eastAsia="Times New Roman" w:hAnsi="Times New Roman"/>
          <w:sz w:val="16"/>
          <w:szCs w:val="16"/>
          <w:color w:val="auto"/>
        </w:rPr>
        <w:t>Technical reserves comprise reserves for future benefit obligation under its in-force life, annuities and accident insurance policies and the unearned premium reserves in respect of the portion of premiums written that is allocable to the unexpired portion of the related policy periods for general and health insurance products.</w:t>
      </w:r>
    </w:p>
    <w:p>
      <w:pPr>
        <w:spacing w:after="0" w:line="33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2" w:right="239" w:bottom="1440" w:gutter="0" w:footer="0" w:header="0"/>
        </w:sectPr>
      </w:pPr>
    </w:p>
    <w:bookmarkStart w:id="79" w:name="page80"/>
    <w:bookmarkEnd w:id="79"/>
    <w:p>
      <w:pPr>
        <w:spacing w:after="0"/>
        <w:tabs>
          <w:tab w:leader="none" w:pos="260" w:val="left"/>
        </w:tabs>
        <w:rPr>
          <w:sz w:val="20"/>
          <w:szCs w:val="20"/>
          <w:color w:val="auto"/>
        </w:rPr>
      </w:pPr>
      <w:r>
        <w:rPr>
          <w:rFonts w:ascii="Times New Roman" w:cs="Times New Roman" w:eastAsia="Times New Roman" w:hAnsi="Times New Roman"/>
          <w:sz w:val="16"/>
          <w:szCs w:val="16"/>
          <w:color w:val="auto"/>
        </w:rPr>
        <w:t>b)</w:t>
        <w:tab/>
        <w:t>Movement of insurance claims reserves (direct and assumed), occurred during the years 2016 and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7"/>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Life</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General</w:t>
            </w:r>
          </w:p>
        </w:tc>
        <w:tc>
          <w:tcPr>
            <w:tcW w:w="150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478,960</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335,818</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64,896</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879,674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Claims, note 25</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618,274</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351,227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274,902</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1,244,403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w:t>
            </w:r>
          </w:p>
        </w:tc>
        <w:tc>
          <w:tcPr>
            <w:tcW w:w="2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(544,934)</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(385,621)</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(243,847)</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(1,174,402)</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w:t>
            </w:r>
          </w:p>
        </w:tc>
        <w:tc>
          <w:tcPr>
            <w:tcW w:w="2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(784)</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24,324</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(35,218)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(11,678)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7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551,516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325,748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937,997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391"/>
        </w:trPr>
        <w:tc>
          <w:tcPr>
            <w:tcW w:w="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7"/>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Life</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General</w:t>
            </w:r>
          </w:p>
        </w:tc>
        <w:tc>
          <w:tcPr>
            <w:tcW w:w="150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40" w:type="dxa"/>
            <w:vAlign w:val="bottom"/>
            <w:gridSpan w:val="3"/>
          </w:tcPr>
          <w:p>
            <w:pPr>
              <w:spacing w:after="0"/>
              <w:rPr>
                <w:sz w:val="15"/>
                <w:szCs w:val="15"/>
                <w:color w:val="auto"/>
              </w:rPr>
            </w:pPr>
          </w:p>
        </w:tc>
        <w:tc>
          <w:tcPr>
            <w:tcW w:w="1420" w:type="dxa"/>
            <w:vAlign w:val="bottom"/>
            <w:gridSpan w:val="3"/>
          </w:tcPr>
          <w:p>
            <w:pPr>
              <w:spacing w:after="0"/>
              <w:rPr>
                <w:sz w:val="15"/>
                <w:szCs w:val="15"/>
                <w:color w:val="auto"/>
              </w:rPr>
            </w:pPr>
          </w:p>
        </w:tc>
        <w:tc>
          <w:tcPr>
            <w:tcW w:w="1500" w:type="dxa"/>
            <w:vAlign w:val="bottom"/>
            <w:gridSpan w:val="3"/>
          </w:tcPr>
          <w:p>
            <w:pPr>
              <w:spacing w:after="0"/>
              <w:rPr>
                <w:sz w:val="15"/>
                <w:szCs w:val="15"/>
                <w:color w:val="auto"/>
              </w:rPr>
            </w:pPr>
          </w:p>
        </w:tc>
        <w:tc>
          <w:tcPr>
            <w:tcW w:w="13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345,812</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371,746</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63,309</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780,867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Claims, note 25</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546,645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341,470</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263,438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1,151,553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w:t>
            </w:r>
          </w:p>
        </w:tc>
        <w:tc>
          <w:tcPr>
            <w:tcW w:w="2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(423,057)</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(416,649)</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(266,107)</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(1,105,813)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9,560</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39,251</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4,256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53,067</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7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478,960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335,818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64,896</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879,674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379"/>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  Technical reserves occurred during the years 2016 and 2015:</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7"/>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Life</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General</w:t>
            </w:r>
          </w:p>
        </w:tc>
        <w:tc>
          <w:tcPr>
            <w:tcW w:w="150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40" w:type="dxa"/>
            <w:vAlign w:val="bottom"/>
            <w:gridSpan w:val="3"/>
          </w:tcPr>
          <w:p>
            <w:pPr>
              <w:spacing w:after="0"/>
              <w:rPr>
                <w:sz w:val="15"/>
                <w:szCs w:val="15"/>
                <w:color w:val="auto"/>
              </w:rPr>
            </w:pPr>
          </w:p>
        </w:tc>
        <w:tc>
          <w:tcPr>
            <w:tcW w:w="1420" w:type="dxa"/>
            <w:vAlign w:val="bottom"/>
            <w:gridSpan w:val="3"/>
          </w:tcPr>
          <w:p>
            <w:pPr>
              <w:spacing w:after="0"/>
              <w:rPr>
                <w:sz w:val="15"/>
                <w:szCs w:val="15"/>
                <w:color w:val="auto"/>
              </w:rPr>
            </w:pPr>
          </w:p>
        </w:tc>
        <w:tc>
          <w:tcPr>
            <w:tcW w:w="1500" w:type="dxa"/>
            <w:vAlign w:val="bottom"/>
            <w:gridSpan w:val="3"/>
          </w:tcPr>
          <w:p>
            <w:pPr>
              <w:spacing w:after="0"/>
              <w:rPr>
                <w:sz w:val="15"/>
                <w:szCs w:val="15"/>
                <w:color w:val="auto"/>
              </w:rPr>
            </w:pPr>
          </w:p>
        </w:tc>
        <w:tc>
          <w:tcPr>
            <w:tcW w:w="13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4,755,154</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582,453</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144,346</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5,481,953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Time course expenses and others</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58,778</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(24,769)</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13,964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47,973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Unearned premium and other technical reserves variation, net</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365</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(11,578)</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9,881</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Insurance subscriptions</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361,966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361,966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w:t>
            </w:r>
          </w:p>
        </w:tc>
        <w:tc>
          <w:tcPr>
            <w:tcW w:w="2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(47,289)</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28,329</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(23,408)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(42,368)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7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5,128,974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574,435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144,783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5,848,192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- 81 -</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4" w:right="2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7"/>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Life</w:t>
            </w:r>
          </w:p>
        </w:tc>
        <w:tc>
          <w:tcPr>
            <w:tcW w:w="142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General</w:t>
            </w:r>
          </w:p>
        </w:tc>
        <w:tc>
          <w:tcPr>
            <w:tcW w:w="1500" w:type="dxa"/>
            <w:vAlign w:val="bottom"/>
            <w:tcBorders>
              <w:top w:val="single" w:sz="8" w:color="auto"/>
            </w:tcBorders>
            <w:gridSpan w:val="3"/>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3,929,027</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561,622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125,543</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4,616,192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Unearned premium and other technical reserves variation, net</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663,577</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(32,811)</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13,728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644,494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subscriptions</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2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(174,735)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(174,735)</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w:t>
            </w:r>
          </w:p>
        </w:tc>
        <w:tc>
          <w:tcPr>
            <w:tcW w:w="2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337,285</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53,642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5,075</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396,002</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7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4,755,154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144,346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5,481,953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- 82 -</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34" w:right="219" w:bottom="1440" w:gutter="0" w:footer="0" w:header="0"/>
        </w:sectPr>
      </w:pPr>
    </w:p>
    <w:bookmarkStart w:id="81" w:name="page82"/>
    <w:bookmarkEnd w:id="81"/>
    <w:p>
      <w:pPr>
        <w:ind w:left="3" w:right="180"/>
        <w:spacing w:after="0" w:line="285" w:lineRule="auto"/>
        <w:rPr>
          <w:sz w:val="20"/>
          <w:szCs w:val="20"/>
          <w:color w:val="auto"/>
        </w:rPr>
      </w:pPr>
      <w:r>
        <w:rPr>
          <w:rFonts w:ascii="Times New Roman" w:cs="Times New Roman" w:eastAsia="Times New Roman" w:hAnsi="Times New Roman"/>
          <w:sz w:val="16"/>
          <w:szCs w:val="16"/>
          <w:color w:val="auto"/>
        </w:rPr>
        <w:t>At December 31, 2016 and 2015 no additional reserves were needed as a result of the liability adequacy test. The main assumptions used in estimation of retirement, disability and survival annuities and individual life (included unit-linked insurance contracts) reserves as of those dates, were the following:</w:t>
      </w:r>
    </w:p>
    <w:p>
      <w:pPr>
        <w:spacing w:after="0" w:line="141"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Mortality</w:t>
            </w: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At December 31, 2016</w:t>
            </w:r>
          </w:p>
        </w:tc>
        <w:tc>
          <w:tcPr>
            <w:tcW w:w="2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At December 31, 2015</w:t>
            </w:r>
          </w:p>
        </w:tc>
        <w:tc>
          <w:tcPr>
            <w:tcW w:w="5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vMerge w:val="continue"/>
          </w:tcPr>
          <w:p>
            <w:pPr>
              <w:spacing w:after="0"/>
              <w:rPr>
                <w:sz w:val="14"/>
                <w:szCs w:val="14"/>
                <w:color w:val="auto"/>
              </w:rPr>
            </w:pPr>
          </w:p>
        </w:tc>
        <w:tc>
          <w:tcPr>
            <w:tcW w:w="21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Mortality table</w:t>
            </w:r>
          </w:p>
        </w:tc>
        <w:tc>
          <w:tcPr>
            <w:tcW w:w="2340" w:type="dxa"/>
            <w:vAlign w:val="bottom"/>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Technical rates</w:t>
            </w:r>
          </w:p>
        </w:tc>
        <w:tc>
          <w:tcPr>
            <w:tcW w:w="120" w:type="dxa"/>
            <w:vAlign w:val="bottom"/>
          </w:tcPr>
          <w:p>
            <w:pPr>
              <w:spacing w:after="0"/>
              <w:rPr>
                <w:sz w:val="14"/>
                <w:szCs w:val="14"/>
                <w:color w:val="auto"/>
              </w:rPr>
            </w:pPr>
          </w:p>
        </w:tc>
        <w:tc>
          <w:tcPr>
            <w:tcW w:w="21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Mortality table</w:t>
            </w:r>
          </w:p>
        </w:tc>
        <w:tc>
          <w:tcPr>
            <w:tcW w:w="232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6"/>
                <w:szCs w:val="16"/>
                <w:b w:val="1"/>
                <w:bCs w:val="1"/>
                <w:color w:val="auto"/>
              </w:rPr>
              <w:t>Technical rates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5.00%</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- 6.03% in US$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3.56% in soles VAC</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5.03%</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-5.40% adjusted in US$</w:t>
            </w:r>
          </w:p>
        </w:tc>
        <w:tc>
          <w:tcPr>
            <w:tcW w:w="0" w:type="dxa"/>
            <w:vAlign w:val="bottom"/>
          </w:tcPr>
          <w:p>
            <w:pPr>
              <w:spacing w:after="0"/>
              <w:rPr>
                <w:sz w:val="1"/>
                <w:szCs w:val="1"/>
                <w:color w:val="auto"/>
              </w:rPr>
            </w:pPr>
          </w:p>
        </w:tc>
      </w:tr>
      <w:tr>
        <w:trPr>
          <w:trHeight w:val="193"/>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Annuities</w:t>
            </w:r>
          </w:p>
        </w:tc>
        <w:tc>
          <w:tcPr>
            <w:tcW w:w="2120" w:type="dxa"/>
            <w:vAlign w:val="bottom"/>
          </w:tcPr>
          <w:p>
            <w:pPr>
              <w:spacing w:after="0"/>
              <w:rPr>
                <w:sz w:val="16"/>
                <w:szCs w:val="16"/>
                <w:color w:val="auto"/>
              </w:rPr>
            </w:pP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Between 4.21% - 7.69% /</w:t>
            </w:r>
          </w:p>
        </w:tc>
        <w:tc>
          <w:tcPr>
            <w:tcW w:w="2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5.54%</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-6.57% adjusted in soles</w:t>
            </w:r>
          </w:p>
        </w:tc>
        <w:tc>
          <w:tcPr>
            <w:tcW w:w="0" w:type="dxa"/>
            <w:vAlign w:val="bottom"/>
          </w:tcPr>
          <w:p>
            <w:pPr>
              <w:spacing w:after="0"/>
              <w:rPr>
                <w:sz w:val="1"/>
                <w:szCs w:val="1"/>
                <w:color w:val="auto"/>
              </w:rPr>
            </w:pPr>
          </w:p>
        </w:tc>
      </w:tr>
      <w:tr>
        <w:trPr>
          <w:trHeight w:val="193"/>
        </w:trPr>
        <w:tc>
          <w:tcPr>
            <w:tcW w:w="2420" w:type="dxa"/>
            <w:vAlign w:val="bottom"/>
            <w:vMerge w:val="continue"/>
          </w:tcPr>
          <w:p>
            <w:pPr>
              <w:spacing w:after="0"/>
              <w:rPr>
                <w:sz w:val="16"/>
                <w:szCs w:val="16"/>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TAP 2012 and MI 2006</w:t>
            </w: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Between 2.50% - 5.25%</w:t>
            </w: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RV 2009, B2006 and MI 2006</w:t>
            </w: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2.24 – Soles VAC</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4.12 adjusted in dollars</w:t>
            </w:r>
          </w:p>
        </w:tc>
        <w:tc>
          <w:tcPr>
            <w:tcW w:w="2120" w:type="dxa"/>
            <w:vAlign w:val="bottom"/>
          </w:tcPr>
          <w:p>
            <w:pPr>
              <w:spacing w:after="0"/>
              <w:rPr>
                <w:sz w:val="16"/>
                <w:szCs w:val="16"/>
                <w:color w:val="auto"/>
              </w:rPr>
            </w:pP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4.12 adjusted in dollars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B - 85, B – 85 adjusted,</w:t>
            </w: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5.53% adjusted in soles</w:t>
            </w: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B - 85, B – 85 adjusted,</w:t>
            </w: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5.53% adjusted in soles</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Disability and survival (*)</w:t>
            </w: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MI – 85, B-2006 and MI-2006</w:t>
            </w:r>
          </w:p>
        </w:tc>
        <w:tc>
          <w:tcPr>
            <w:tcW w:w="2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3.00% - 3.4407 %</w:t>
            </w: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MI – 85, B-2006 and MI-2006</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3.00%</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- 3.4407 %</w:t>
            </w:r>
          </w:p>
        </w:tc>
        <w:tc>
          <w:tcPr>
            <w:tcW w:w="0" w:type="dxa"/>
            <w:vAlign w:val="bottom"/>
          </w:tcPr>
          <w:p>
            <w:pPr>
              <w:spacing w:after="0"/>
              <w:rPr>
                <w:sz w:val="1"/>
                <w:szCs w:val="1"/>
                <w:color w:val="auto"/>
              </w:rPr>
            </w:pPr>
          </w:p>
        </w:tc>
      </w:tr>
      <w:tr>
        <w:trPr>
          <w:trHeight w:val="371"/>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Regular life and insurance</w:t>
            </w:r>
          </w:p>
        </w:tc>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contracts</w:t>
            </w: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 Linked</w:t>
            </w: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CSO 80 adjusted</w:t>
            </w: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4.00 – 5.00 %</w:t>
            </w: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CS0 80 adjusted</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4.00%</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- 5.00% in US$</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23" w:hanging="223"/>
        <w:spacing w:after="0"/>
        <w:tabs>
          <w:tab w:leader="none" w:pos="22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includes retirements for complementary Work Risk Insurance (SCTR the Spanish acronym).</w:t>
      </w:r>
    </w:p>
    <w:p>
      <w:pPr>
        <w:spacing w:after="0" w:line="39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1041" w:right="219" w:bottom="1440" w:gutter="0" w:footer="0" w:header="0"/>
        </w:sectPr>
      </w:pPr>
    </w:p>
    <w:bookmarkStart w:id="82" w:name="page83"/>
    <w:bookmarkEnd w:id="82"/>
    <w:p>
      <w:pPr>
        <w:jc w:val="both"/>
        <w:ind w:right="80"/>
        <w:spacing w:after="0" w:line="268" w:lineRule="auto"/>
        <w:rPr>
          <w:sz w:val="20"/>
          <w:szCs w:val="20"/>
          <w:color w:val="auto"/>
        </w:rPr>
      </w:pPr>
      <w:r>
        <w:rPr>
          <w:rFonts w:ascii="Times New Roman" w:cs="Times New Roman" w:eastAsia="Times New Roman" w:hAnsi="Times New Roman"/>
          <w:sz w:val="16"/>
          <w:szCs w:val="16"/>
          <w:color w:val="auto"/>
        </w:rPr>
        <w:t>The sensitivity of the estimates used by the Group to measure its insurance risks is represented primarily by the life insurance risks; the main variables as of December 31, 2016 and 2015, are the interest rates and the mortality tables used. The Group has evaluated the changes of the reserves related to its most significant life insurance contracts included in retirement, disability and survival annuities contracts of +/- 100 bps of the interest rates and of +/- 5 bps of the mortality factors, with the following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At December 31, 2016</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At December 31, 2015</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20" w:type="dxa"/>
            <w:vAlign w:val="bottom"/>
            <w:gridSpan w:val="3"/>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2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Variation of the reserve</w:t>
            </w:r>
          </w:p>
        </w:tc>
        <w:tc>
          <w:tcPr>
            <w:tcW w:w="220" w:type="dxa"/>
            <w:vAlign w:val="bottom"/>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Variation of the reserve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Variables</w:t>
            </w:r>
          </w:p>
        </w:tc>
        <w:tc>
          <w:tcPr>
            <w:tcW w:w="2120" w:type="dxa"/>
            <w:vAlign w:val="bottom"/>
            <w:gridSpan w:val="3"/>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180" w:type="dxa"/>
            <w:vAlign w:val="bottom"/>
            <w:gridSpan w:val="2"/>
            <w:vMerge w:val="continue"/>
          </w:tcPr>
          <w:p>
            <w:pPr>
              <w:spacing w:after="0"/>
              <w:rPr>
                <w:sz w:val="18"/>
                <w:szCs w:val="18"/>
                <w:color w:val="auto"/>
              </w:rPr>
            </w:pPr>
          </w:p>
        </w:tc>
        <w:tc>
          <w:tcPr>
            <w:tcW w:w="212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the reserve</w:t>
            </w: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reserve</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6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Portfolio in S/- Base amount</w:t>
            </w:r>
          </w:p>
        </w:tc>
        <w:tc>
          <w:tcPr>
            <w:tcW w:w="2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508,498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516,986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Changes in interest rates: + 100 bps</w:t>
            </w:r>
          </w:p>
        </w:tc>
        <w:tc>
          <w:tcPr>
            <w:tcW w:w="2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462,992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(45,506)</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470,508</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(46,478)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interest rates: - 100 bps</w:t>
            </w:r>
          </w:p>
        </w:tc>
        <w:tc>
          <w:tcPr>
            <w:tcW w:w="2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563,057</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54,559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572,606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55,620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Changes in Mortality tables to 105%</w:t>
            </w:r>
          </w:p>
        </w:tc>
        <w:tc>
          <w:tcPr>
            <w:tcW w:w="2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503,253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(5,245)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510,912</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(6,074)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Mortality tables to 95%</w:t>
            </w:r>
          </w:p>
        </w:tc>
        <w:tc>
          <w:tcPr>
            <w:tcW w:w="2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514,003</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5,505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523,401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93"/>
        </w:trPr>
        <w:tc>
          <w:tcPr>
            <w:tcW w:w="318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Portfolio in US$- Base amount</w:t>
            </w:r>
          </w:p>
        </w:tc>
        <w:tc>
          <w:tcPr>
            <w:tcW w:w="2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2,317,565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1,312,769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interest rates: + 100 bps</w:t>
            </w:r>
          </w:p>
        </w:tc>
        <w:tc>
          <w:tcPr>
            <w:tcW w:w="2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2,089,212</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(228,352)</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(9.85)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1,176,417</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(136,352)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Changes in interest rates: - 100 bps</w:t>
            </w:r>
          </w:p>
        </w:tc>
        <w:tc>
          <w:tcPr>
            <w:tcW w:w="2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2,591,011</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273,447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11.80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1,478,464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165,695</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Mortality tables to 105%</w:t>
            </w:r>
          </w:p>
        </w:tc>
        <w:tc>
          <w:tcPr>
            <w:tcW w:w="2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2,293,403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(24,161)</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1,300,244</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(12,525)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Changes in Mortality tables to 95%</w:t>
            </w:r>
          </w:p>
        </w:tc>
        <w:tc>
          <w:tcPr>
            <w:tcW w:w="2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2,336,095</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18,530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0.80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1,326,043</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13,274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- 84 -</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83" w:name="page84"/>
    <w:bookmarkEnd w:id="83"/>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BONDS AND NOTES ISSUED</w:t>
      </w:r>
    </w:p>
    <w:p>
      <w:pPr>
        <w:spacing w:after="0" w:line="205" w:lineRule="exact"/>
        <w:rPr>
          <w:sz w:val="20"/>
          <w:szCs w:val="20"/>
          <w:color w:val="auto"/>
        </w:rPr>
      </w:pPr>
    </w:p>
    <w:p>
      <w:pPr>
        <w:ind w:left="283" w:hanging="283"/>
        <w:spacing w:after="0"/>
        <w:tabs>
          <w:tab w:leader="none" w:pos="28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consists of the following:</w:t>
      </w:r>
    </w:p>
    <w:p>
      <w:pPr>
        <w:spacing w:after="0" w:line="18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Annual</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Interest payment</w:t>
            </w: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Issued amount</w:t>
            </w:r>
          </w:p>
        </w:tc>
        <w:tc>
          <w:tcPr>
            <w:tcW w:w="1020" w:type="dxa"/>
            <w:vAlign w:val="bottom"/>
            <w:gridSpan w:val="2"/>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180" w:type="dxa"/>
            <w:vAlign w:val="bottom"/>
            <w:gridSpan w:val="3"/>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2"/>
              </w:rPr>
              <w:t>S/(000)</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Senior notes - (i)</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5.38</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September 2020</w:t>
            </w:r>
          </w:p>
        </w:tc>
        <w:tc>
          <w:tcPr>
            <w:tcW w:w="9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US$800,000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2,755,382</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2,832,041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40" w:type="dxa"/>
            <w:vAlign w:val="bottom"/>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Senior notes - (i)(x)</w:t>
            </w:r>
          </w:p>
        </w:tc>
        <w:tc>
          <w:tcPr>
            <w:tcW w:w="16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w w:val="98"/>
              </w:rPr>
              <w:t>Between 2.75 and 4.25</w:t>
            </w:r>
          </w:p>
        </w:tc>
        <w:tc>
          <w:tcPr>
            <w:tcW w:w="120" w:type="dxa"/>
            <w:vAlign w:val="bottom"/>
          </w:tcPr>
          <w:p>
            <w:pPr>
              <w:spacing w:after="0"/>
              <w:rPr>
                <w:sz w:val="9"/>
                <w:szCs w:val="9"/>
                <w:color w:val="auto"/>
              </w:rPr>
            </w:pPr>
          </w:p>
        </w:tc>
        <w:tc>
          <w:tcPr>
            <w:tcW w:w="10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9"/>
              </w:rPr>
              <w:t>Between January 2018 and April</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US$596,455</w:t>
            </w: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2,082,913</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2,489,795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Senior notes - (ii)</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4.25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April 2023</w:t>
            </w:r>
          </w:p>
        </w:tc>
        <w:tc>
          <w:tcPr>
            <w:tcW w:w="9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US$350,000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1,086,997</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1,246,995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Senior notes - (xi)</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2.25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rPr>
              <w:t>October 2019</w:t>
            </w:r>
          </w:p>
        </w:tc>
        <w:tc>
          <w:tcPr>
            <w:tcW w:w="900" w:type="dxa"/>
            <w:vAlign w:val="bottom"/>
          </w:tcPr>
          <w:p>
            <w:pPr>
              <w:ind w:left="120"/>
              <w:spacing w:after="0" w:line="133" w:lineRule="exact"/>
              <w:rPr>
                <w:sz w:val="20"/>
                <w:szCs w:val="20"/>
                <w:color w:val="auto"/>
              </w:rPr>
            </w:pPr>
            <w:r>
              <w:rPr>
                <w:rFonts w:ascii="Times New Roman" w:cs="Times New Roman" w:eastAsia="Times New Roman" w:hAnsi="Times New Roman"/>
                <w:sz w:val="13"/>
                <w:szCs w:val="13"/>
                <w:color w:val="auto"/>
              </w:rPr>
              <w:t>US$300,000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1,005,955</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CCR Inc. MMT 100 - Secured notes - (iii)</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2006 Series A Floating rate certificates</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Libor 1M + 24.0 pb</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Monthly</w:t>
            </w:r>
          </w:p>
        </w:tc>
        <w:tc>
          <w:tcPr>
            <w:tcW w:w="1940" w:type="dxa"/>
            <w:vAlign w:val="bottom"/>
            <w:gridSpan w:val="2"/>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March 2016</w:t>
            </w:r>
          </w:p>
        </w:tc>
        <w:tc>
          <w:tcPr>
            <w:tcW w:w="9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US$100,000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4,780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2010 Series B Floating rate certificates</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Libor 1M + 57.6 pb</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Monthly</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March 2016</w:t>
            </w:r>
          </w:p>
        </w:tc>
        <w:tc>
          <w:tcPr>
            <w:tcW w:w="900" w:type="dxa"/>
            <w:vAlign w:val="bottom"/>
          </w:tcPr>
          <w:p>
            <w:pPr>
              <w:ind w:left="120"/>
              <w:spacing w:after="0" w:line="133" w:lineRule="exact"/>
              <w:rPr>
                <w:sz w:val="20"/>
                <w:szCs w:val="20"/>
                <w:color w:val="auto"/>
              </w:rPr>
            </w:pPr>
            <w:r>
              <w:rPr>
                <w:rFonts w:ascii="Times New Roman" w:cs="Times New Roman" w:eastAsia="Times New Roman" w:hAnsi="Times New Roman"/>
                <w:sz w:val="13"/>
                <w:szCs w:val="13"/>
                <w:color w:val="auto"/>
              </w:rPr>
              <w:t>US$100,000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2010 Series C Floating rate certificates</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Libor 1M + 44.5 pb</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Monthly</w:t>
            </w:r>
          </w:p>
        </w:tc>
        <w:tc>
          <w:tcPr>
            <w:tcW w:w="1940" w:type="dxa"/>
            <w:vAlign w:val="bottom"/>
            <w:gridSpan w:val="2"/>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July 2017</w:t>
            </w:r>
          </w:p>
        </w:tc>
        <w:tc>
          <w:tcPr>
            <w:tcW w:w="9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US$350,000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179,230</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425,493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2012 Series A and B Floating rate certificates</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Libor 1M + 22.5 pb</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Monthly</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July 2017</w:t>
            </w:r>
          </w:p>
        </w:tc>
        <w:tc>
          <w:tcPr>
            <w:tcW w:w="900" w:type="dxa"/>
            <w:vAlign w:val="bottom"/>
          </w:tcPr>
          <w:p>
            <w:pPr>
              <w:ind w:left="120"/>
              <w:spacing w:after="0" w:line="133" w:lineRule="exact"/>
              <w:rPr>
                <w:sz w:val="20"/>
                <w:szCs w:val="20"/>
                <w:color w:val="auto"/>
              </w:rPr>
            </w:pPr>
            <w:r>
              <w:rPr>
                <w:rFonts w:ascii="Times New Roman" w:cs="Times New Roman" w:eastAsia="Times New Roman" w:hAnsi="Times New Roman"/>
                <w:sz w:val="13"/>
                <w:szCs w:val="13"/>
                <w:color w:val="auto"/>
              </w:rPr>
              <w:t>US$150,000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97,884</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255,825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2012 Series C Floating rate certificates</w:t>
            </w:r>
          </w:p>
        </w:tc>
        <w:tc>
          <w:tcPr>
            <w:tcW w:w="16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96"/>
              </w:rPr>
              <w:t>4.75</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3"/>
                <w:szCs w:val="13"/>
                <w:color w:val="auto"/>
                <w:w w:val="98"/>
              </w:rPr>
              <w:t>Monthly</w:t>
            </w:r>
          </w:p>
        </w:tc>
        <w:tc>
          <w:tcPr>
            <w:tcW w:w="194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3"/>
                <w:szCs w:val="13"/>
                <w:color w:val="auto"/>
                <w:w w:val="98"/>
              </w:rPr>
              <w:t>July 2022</w:t>
            </w:r>
          </w:p>
        </w:tc>
        <w:tc>
          <w:tcPr>
            <w:tcW w:w="90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US$315,000</w:t>
            </w:r>
          </w:p>
        </w:tc>
        <w:tc>
          <w:tcPr>
            <w:tcW w:w="1240" w:type="dxa"/>
            <w:vAlign w:val="bottom"/>
            <w:gridSpan w:val="3"/>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843,195</w:t>
            </w:r>
          </w:p>
        </w:tc>
        <w:tc>
          <w:tcPr>
            <w:tcW w:w="92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997,717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Borders>
              <w:bottom w:val="single" w:sz="8" w:color="CCEEFF"/>
            </w:tcBorders>
          </w:tcPr>
          <w:p>
            <w:pPr>
              <w:spacing w:after="0"/>
              <w:rPr>
                <w:sz w:val="10"/>
                <w:szCs w:val="10"/>
                <w:color w:val="auto"/>
              </w:rPr>
            </w:pPr>
          </w:p>
        </w:tc>
        <w:tc>
          <w:tcPr>
            <w:tcW w:w="16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1,120,309</w:t>
            </w:r>
          </w:p>
        </w:tc>
        <w:tc>
          <w:tcPr>
            <w:tcW w:w="22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1,692,693</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5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Corporate bonds -</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Second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Second issuance (Series A) - Edyficar</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5.5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rPr>
              <w:t>January 2016</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S/70,000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66,500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Third issuance (Series A and B) – BCP</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Between 7.47 and 8.50</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rPr>
              <w:t>Quarterly</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Between June and July 2018</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S/200,000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200,000</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Third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A) - Edyficar</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5.28</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November 2016</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S/62,108</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54,972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A and B) - Mibanco</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Between 5.38 and 5.41</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May and July 2017</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S/98,800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20,766</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51,432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Fourth issuance (Series A) - Mibanco</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4.78</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9"/>
              </w:rPr>
              <w:t>December 2017</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S/100,000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91,505</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91,235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Fifth issuance (Series A and B) - Mibanco</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Between 6.59 and 6.97</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Between January and March 2017</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S/84,660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78,815</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79,225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Fourth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Ninth issuance (Series A) - BCP</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6.22</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November 2016</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S/128,000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127,640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Tenth issuance (Series A, B and C) - BCP</w:t>
            </w:r>
          </w:p>
        </w:tc>
        <w:tc>
          <w:tcPr>
            <w:tcW w:w="160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w w:val="98"/>
              </w:rPr>
              <w:t>Between 5.31 and 7.25</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9"/>
              </w:rPr>
              <w:t>Between December 2021 and</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S/550,000</w:t>
            </w:r>
          </w:p>
        </w:tc>
        <w:tc>
          <w:tcPr>
            <w:tcW w:w="12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549,400</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546,360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9"/>
              </w:rPr>
              <w:t>November 2022</w:t>
            </w:r>
          </w:p>
        </w:tc>
        <w:tc>
          <w:tcPr>
            <w:tcW w:w="900" w:type="dxa"/>
            <w:vAlign w:val="bottom"/>
            <w:vMerge w:val="continue"/>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A) - Mibanco</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6.56</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July 2018</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S/100,000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86,950</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87,000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B) - Mibanco</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7.16</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June 2019</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S/100,000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85,000</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Fifth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A) - BCP</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6.41</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April 2019</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S/172,870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172,391</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B) - BCP</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5.59</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June 2019</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S/150,000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150,000</w:t>
            </w:r>
          </w:p>
        </w:tc>
        <w:tc>
          <w:tcPr>
            <w:tcW w:w="92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C) - BCP</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5.625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November 2019</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S/138,410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138,075</w:t>
            </w:r>
          </w:p>
        </w:tc>
        <w:tc>
          <w:tcPr>
            <w:tcW w:w="9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Sixth program</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Third issuance (Series A) - Mibanco</w:t>
            </w:r>
          </w:p>
        </w:tc>
        <w:tc>
          <w:tcPr>
            <w:tcW w:w="16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96"/>
              </w:rPr>
              <w:t>5.16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3"/>
                <w:szCs w:val="13"/>
                <w:color w:val="auto"/>
                <w:w w:val="97"/>
              </w:rPr>
              <w:t>May 2017</w:t>
            </w:r>
          </w:p>
        </w:tc>
        <w:tc>
          <w:tcPr>
            <w:tcW w:w="9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98"/>
              </w:rPr>
              <w:t>S/50,000</w:t>
            </w:r>
          </w:p>
        </w:tc>
        <w:tc>
          <w:tcPr>
            <w:tcW w:w="1240" w:type="dxa"/>
            <w:vAlign w:val="bottom"/>
            <w:gridSpan w:val="3"/>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46,165</w:t>
            </w:r>
          </w:p>
        </w:tc>
        <w:tc>
          <w:tcPr>
            <w:tcW w:w="92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46,200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1,619,067</w:t>
            </w:r>
          </w:p>
        </w:tc>
        <w:tc>
          <w:tcPr>
            <w:tcW w:w="22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1,350,564</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2"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Annual</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Interest payment</w:t>
            </w: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Issued amount</w:t>
            </w:r>
          </w:p>
        </w:tc>
        <w:tc>
          <w:tcPr>
            <w:tcW w:w="1020" w:type="dxa"/>
            <w:vAlign w:val="bottom"/>
            <w:gridSpan w:val="2"/>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180" w:type="dxa"/>
            <w:vAlign w:val="bottom"/>
            <w:gridSpan w:val="3"/>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2"/>
              </w:rPr>
              <w:t>S/(000)</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Subordinated bonds - BCP (iv)</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6.13</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April 2027</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US$720,000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2,423,720</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2,471,995</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Subordinated bonds - BCP (v)</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6.88</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September 2026</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US$350,000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1,194,773</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1,230,909</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Junior subordinated bonds – BCP (vi)</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9.75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November 2069</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US$250,000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851,423</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873,100</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Subordinated bonds -</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First program</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A) - BCP</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6.22</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May 2027</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S/15,000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15,000</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A) - PPS</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6.97</w:t>
            </w: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rPr>
              <w:t>Quarterly</w:t>
            </w:r>
          </w:p>
        </w:tc>
        <w:tc>
          <w:tcPr>
            <w:tcW w:w="19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9"/>
              </w:rPr>
              <w:t>November 2026</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US$60,000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200,655</w:t>
            </w:r>
          </w:p>
        </w:tc>
        <w:tc>
          <w:tcPr>
            <w:tcW w:w="10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203,828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First, second and forth issuance (Series A) - Edyficar</w:t>
            </w:r>
          </w:p>
        </w:tc>
        <w:tc>
          <w:tcPr>
            <w:tcW w:w="160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w w:val="98"/>
              </w:rPr>
              <w:t>Between 6.19 and 8.16</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8"/>
              </w:rPr>
              <w:t>Between October 2021 and</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S/110,000</w:t>
            </w:r>
          </w:p>
        </w:tc>
        <w:tc>
          <w:tcPr>
            <w:tcW w:w="12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109,980</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108,391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December 2022</w:t>
            </w:r>
          </w:p>
        </w:tc>
        <w:tc>
          <w:tcPr>
            <w:tcW w:w="900" w:type="dxa"/>
            <w:vAlign w:val="bottom"/>
            <w:vMerge w:val="continue"/>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Forth issuance (Series A, B, C and D) - BCP</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Between 6.53 and 8.50</w:t>
            </w: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rPr>
              <w:t>Quarterly</w:t>
            </w:r>
          </w:p>
        </w:tc>
        <w:tc>
          <w:tcPr>
            <w:tcW w:w="19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8"/>
              </w:rPr>
              <w:t>Between February and May 2016</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US$113,822</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388,074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Fifth issuance (Series A and B) - Edyficar</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7.75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July 2024</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S/88,009</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88,009</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88,009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Second program</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First issuance (Series A) - Mibanco</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8.5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May 2026</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S/100,000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100,000</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I - Credit bonds Bolivia</w:t>
            </w:r>
          </w:p>
        </w:tc>
        <w:tc>
          <w:tcPr>
            <w:tcW w:w="16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6.25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August 2028</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rPr>
              <w:t>Bs70,000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34,196</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34,857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Issuance II - Credit bonds Bolivia</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5.25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August 2022</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Bs137,200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68,180</w:t>
            </w:r>
          </w:p>
        </w:tc>
        <w:tc>
          <w:tcPr>
            <w:tcW w:w="10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69,696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gridSpan w:val="3"/>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616,020</w:t>
            </w:r>
          </w:p>
        </w:tc>
        <w:tc>
          <w:tcPr>
            <w:tcW w:w="10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907,855</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Negotiable certificate of deposit - BCP (vii)</w:t>
            </w: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7.45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8"/>
              </w:rPr>
              <w:t>October 2022</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S/483,280</w:t>
            </w:r>
          </w:p>
        </w:tc>
        <w:tc>
          <w:tcPr>
            <w:tcW w:w="12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478,837</w:t>
            </w:r>
          </w:p>
        </w:tc>
        <w:tc>
          <w:tcPr>
            <w:tcW w:w="10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474,445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Negotiable certificate of deposit - Mibanco</w:t>
            </w:r>
          </w:p>
        </w:tc>
        <w:tc>
          <w:tcPr>
            <w:tcW w:w="160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w w:val="99"/>
              </w:rPr>
              <w:t>Between 1.8 and 5.9</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9"/>
              </w:rPr>
              <w:t>Annual</w:t>
            </w:r>
          </w:p>
        </w:tc>
        <w:tc>
          <w:tcPr>
            <w:tcW w:w="194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9"/>
              </w:rPr>
              <w:t>Between January 2017 and</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S/2,998</w:t>
            </w:r>
          </w:p>
        </w:tc>
        <w:tc>
          <w:tcPr>
            <w:tcW w:w="12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2,998</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December 2019</w:t>
            </w:r>
          </w:p>
        </w:tc>
        <w:tc>
          <w:tcPr>
            <w:tcW w:w="900" w:type="dxa"/>
            <w:vAlign w:val="bottom"/>
            <w:vMerge w:val="continue"/>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35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Subordinated negotiable certificates - BCP (viii)</w:t>
            </w:r>
          </w:p>
        </w:tc>
        <w:tc>
          <w:tcPr>
            <w:tcW w:w="160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w w:val="96"/>
              </w:rPr>
              <w:t>6.88</w:t>
            </w:r>
          </w:p>
        </w:tc>
        <w:tc>
          <w:tcPr>
            <w:tcW w:w="1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3"/>
                <w:szCs w:val="13"/>
                <w:color w:val="auto"/>
                <w:w w:val="97"/>
              </w:rPr>
              <w:t>Semi-annual</w:t>
            </w:r>
          </w:p>
        </w:tc>
        <w:tc>
          <w:tcPr>
            <w:tcW w:w="194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3"/>
                <w:szCs w:val="13"/>
                <w:color w:val="auto"/>
                <w:w w:val="99"/>
              </w:rPr>
              <w:t>Between November 2021 and</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US$129,080</w:t>
            </w:r>
          </w:p>
        </w:tc>
        <w:tc>
          <w:tcPr>
            <w:tcW w:w="12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412,073</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415,408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September 2026</w:t>
            </w:r>
          </w:p>
        </w:tc>
        <w:tc>
          <w:tcPr>
            <w:tcW w:w="900" w:type="dxa"/>
            <w:vAlign w:val="bottom"/>
            <w:vMerge w:val="continue"/>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Leasing bonds</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First program (ix)</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Sixth issuance (Series A) – BCP</w:t>
            </w:r>
          </w:p>
        </w:tc>
        <w:tc>
          <w:tcPr>
            <w:tcW w:w="16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96"/>
              </w:rPr>
              <w:t>8.72</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3"/>
                <w:szCs w:val="13"/>
                <w:color w:val="auto"/>
              </w:rPr>
              <w:t>Quarterly</w:t>
            </w:r>
          </w:p>
        </w:tc>
        <w:tc>
          <w:tcPr>
            <w:tcW w:w="194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3"/>
                <w:szCs w:val="13"/>
                <w:color w:val="auto"/>
                <w:w w:val="98"/>
              </w:rPr>
              <w:t>August 2018</w:t>
            </w:r>
          </w:p>
        </w:tc>
        <w:tc>
          <w:tcPr>
            <w:tcW w:w="9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rPr>
              <w:t>S/100,000</w:t>
            </w:r>
          </w:p>
        </w:tc>
        <w:tc>
          <w:tcPr>
            <w:tcW w:w="1240" w:type="dxa"/>
            <w:vAlign w:val="bottom"/>
            <w:gridSpan w:val="3"/>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100,000</w:t>
            </w:r>
          </w:p>
        </w:tc>
        <w:tc>
          <w:tcPr>
            <w:tcW w:w="10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100,000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15,750,467</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16,094,120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Interest payable</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189,136</w:t>
            </w:r>
          </w:p>
        </w:tc>
        <w:tc>
          <w:tcPr>
            <w:tcW w:w="10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193,842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15,939,603</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16,287,962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02" w:right="219" w:bottom="1440" w:gutter="0" w:footer="0" w:header="0"/>
        </w:sectPr>
      </w:pPr>
    </w:p>
    <w:bookmarkStart w:id="85" w:name="page86"/>
    <w:bookmarkEnd w:id="85"/>
    <w:p>
      <w:pPr>
        <w:ind w:right="240"/>
        <w:spacing w:after="0" w:line="268" w:lineRule="auto"/>
        <w:rPr>
          <w:sz w:val="20"/>
          <w:szCs w:val="20"/>
          <w:color w:val="auto"/>
        </w:rPr>
      </w:pPr>
      <w:r>
        <w:rPr>
          <w:rFonts w:ascii="Times New Roman" w:cs="Times New Roman" w:eastAsia="Times New Roman" w:hAnsi="Times New Roman"/>
          <w:sz w:val="16"/>
          <w:szCs w:val="16"/>
          <w:color w:val="auto"/>
        </w:rPr>
        <w:t>At December 31, 2016 the Group holds IRS for a nominal amount totaling US$2,442.4 million, equivalent to S/8,196.8 million (US$2,442.4 million, equivalent to S/8,331.1 million at December 31, 2015), see note 12(b), which were designated as fair value hedges of certain corporate bonds, subordinated bonds and notes denominated in U.S. Dollars at fixed rate; through said IRS, these bonds and notes were economically converted to variable interest rate. .</w:t>
      </w:r>
    </w:p>
    <w:p>
      <w:pPr>
        <w:spacing w:after="0" w:line="157" w:lineRule="exact"/>
        <w:rPr>
          <w:sz w:val="20"/>
          <w:szCs w:val="20"/>
          <w:color w:val="auto"/>
        </w:rPr>
      </w:pPr>
    </w:p>
    <w:p>
      <w:pPr>
        <w:ind w:left="680" w:hanging="393"/>
        <w:spacing w:after="0" w:line="285" w:lineRule="auto"/>
        <w:tabs>
          <w:tab w:leader="none" w:pos="6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can redeem these notes in whole or in a part at any time, with the penalty of the payment of an interest rate equivalent to that of the American Treasury plus 40 basis points. Payment of principal will take place at the date of maturity or redemption of the bonds.</w:t>
      </w:r>
    </w:p>
    <w:p>
      <w:pPr>
        <w:spacing w:after="0" w:line="143" w:lineRule="exact"/>
        <w:rPr>
          <w:rFonts w:ascii="Times New Roman" w:cs="Times New Roman" w:eastAsia="Times New Roman" w:hAnsi="Times New Roman"/>
          <w:sz w:val="16"/>
          <w:szCs w:val="16"/>
          <w:color w:val="auto"/>
        </w:rPr>
      </w:pPr>
    </w:p>
    <w:p>
      <w:pPr>
        <w:ind w:left="680" w:right="100" w:hanging="393"/>
        <w:spacing w:after="0" w:line="285" w:lineRule="auto"/>
        <w:tabs>
          <w:tab w:leader="none" w:pos="6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can redeem these notes in whole or in part at any time, with the penalty of the payment of an interest rate equivalent to that of the American Treasury plus 50 basis points. Payment of principal will take place at the date of maturity or redemption.</w:t>
      </w:r>
    </w:p>
    <w:p>
      <w:pPr>
        <w:spacing w:after="0" w:line="143" w:lineRule="exact"/>
        <w:rPr>
          <w:rFonts w:ascii="Times New Roman" w:cs="Times New Roman" w:eastAsia="Times New Roman" w:hAnsi="Times New Roman"/>
          <w:sz w:val="16"/>
          <w:szCs w:val="16"/>
          <w:color w:val="auto"/>
        </w:rPr>
      </w:pPr>
    </w:p>
    <w:p>
      <w:pPr>
        <w:jc w:val="both"/>
        <w:ind w:left="680" w:right="60" w:hanging="393"/>
        <w:spacing w:after="0" w:line="268" w:lineRule="auto"/>
        <w:tabs>
          <w:tab w:leader="none" w:pos="6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issuances are secured by the collection of BCP's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w:t>
      </w:r>
    </w:p>
    <w:p>
      <w:pPr>
        <w:spacing w:after="0" w:line="157" w:lineRule="exact"/>
        <w:rPr>
          <w:rFonts w:ascii="Times New Roman" w:cs="Times New Roman" w:eastAsia="Times New Roman" w:hAnsi="Times New Roman"/>
          <w:sz w:val="16"/>
          <w:szCs w:val="16"/>
          <w:color w:val="auto"/>
        </w:rPr>
      </w:pPr>
    </w:p>
    <w:p>
      <w:pPr>
        <w:ind w:left="680" w:right="2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cash flows of issuances in 2010 with series "C", which are subject to variable interest rates, have been hedged using IRS designated as fair value hedges for a nominal amount of S/179.2 million (S/465.4 million as of December 31, 2015), see note 12(b); through IRS, said issuances were economically converted to a fixed interest rate.</w:t>
      </w:r>
    </w:p>
    <w:p>
      <w:pPr>
        <w:spacing w:after="0" w:line="157" w:lineRule="exact"/>
        <w:rPr>
          <w:rFonts w:ascii="Times New Roman" w:cs="Times New Roman" w:eastAsia="Times New Roman" w:hAnsi="Times New Roman"/>
          <w:sz w:val="16"/>
          <w:szCs w:val="16"/>
          <w:color w:val="auto"/>
        </w:rPr>
      </w:pPr>
    </w:p>
    <w:p>
      <w:pPr>
        <w:ind w:left="680" w:right="120" w:hanging="393"/>
        <w:spacing w:after="0" w:line="263" w:lineRule="auto"/>
        <w:tabs>
          <w:tab w:leader="none" w:pos="6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April 24, 2022, the Bank will pay a floating interest rate of 3 month Libor plus 704.3 basis points. Between April 24, 2017 and April 24, 2022, the Group may redeem all or part of the subordinated notes with the penalty of the payment of an interest rate equivalent to that of the American Treasury plus 50 basis points. Additionally, from April 25, 2022 or at any later date of coupon payment, the Bank will be able to redeem all or part of the bonds without penalty. Payment of principal will take place at the date of maturity of bonds or upon redemption.</w:t>
      </w:r>
    </w:p>
    <w:p>
      <w:pPr>
        <w:spacing w:after="0" w:line="160" w:lineRule="exact"/>
        <w:rPr>
          <w:rFonts w:ascii="Times New Roman" w:cs="Times New Roman" w:eastAsia="Times New Roman" w:hAnsi="Times New Roman"/>
          <w:sz w:val="16"/>
          <w:szCs w:val="16"/>
          <w:color w:val="auto"/>
        </w:rPr>
      </w:pPr>
    </w:p>
    <w:p>
      <w:pPr>
        <w:ind w:left="680"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2014, the Bank, through its Panama Branch increased the issue of its subordinated bonds by an amount of US$200.0 million in the international market, as occurred in April 2013, when it carried out a first increase for an amount of US$170.0 million, with the same characteristics of the issue made in April 2012 for US$350.0 million.</w:t>
      </w:r>
    </w:p>
    <w:p>
      <w:pPr>
        <w:spacing w:after="0" w:line="157" w:lineRule="exact"/>
        <w:rPr>
          <w:rFonts w:ascii="Times New Roman" w:cs="Times New Roman" w:eastAsia="Times New Roman" w:hAnsi="Times New Roman"/>
          <w:sz w:val="16"/>
          <w:szCs w:val="16"/>
          <w:color w:val="auto"/>
        </w:rPr>
      </w:pPr>
    </w:p>
    <w:p>
      <w:pPr>
        <w:jc w:val="both"/>
        <w:ind w:left="680" w:right="80" w:hanging="393"/>
        <w:spacing w:after="0" w:line="263" w:lineRule="auto"/>
        <w:tabs>
          <w:tab w:leader="none" w:pos="6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September 16, 2021, the interest rate becomes a floating rate of 3 month Libor plus 770.8 basis points. Between September 16, 2016 and September 15, 2021, the Group may redeem all or part of the bonds, with the penalty of the payment of an interest equivalent to the American Treasury plus 50 basis points. Additionally, from September 16, 2021 or at any later date of coupon payment, the Group can redeem all or part of the bonds without penalty. Payment of principal will take place at the date of maturity of bonds or upon redemption.</w:t>
      </w:r>
    </w:p>
    <w:p>
      <w:pPr>
        <w:spacing w:after="0" w:line="160" w:lineRule="exact"/>
        <w:rPr>
          <w:rFonts w:ascii="Times New Roman" w:cs="Times New Roman" w:eastAsia="Times New Roman" w:hAnsi="Times New Roman"/>
          <w:sz w:val="16"/>
          <w:szCs w:val="16"/>
          <w:color w:val="auto"/>
        </w:rPr>
      </w:pPr>
    </w:p>
    <w:p>
      <w:pPr>
        <w:ind w:left="680" w:right="60" w:hanging="393"/>
        <w:spacing w:after="0" w:line="285" w:lineRule="auto"/>
        <w:tabs>
          <w:tab w:leader="none" w:pos="6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2019, interest rate will become a variable rate of three month Libor plus 816.7 basis points. On that date and on any interest payment date the Bank can redeem 100 percent of the bonds without penalty. Payment of principal will take place at the date of maturity or upon redemption.</w:t>
      </w:r>
    </w:p>
    <w:p>
      <w:pPr>
        <w:spacing w:after="0" w:line="143" w:lineRule="exact"/>
        <w:rPr>
          <w:rFonts w:ascii="Times New Roman" w:cs="Times New Roman" w:eastAsia="Times New Roman" w:hAnsi="Times New Roman"/>
          <w:sz w:val="16"/>
          <w:szCs w:val="16"/>
          <w:color w:val="auto"/>
        </w:rPr>
      </w:pPr>
    </w:p>
    <w:p>
      <w:pPr>
        <w:ind w:left="680" w:right="6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issuance, as authorized by the SBS, qualifies as “Tier 1” equity in the determination of the regulatory capital (“patrimonio efectivo”) and has no related guarantees.</w:t>
      </w:r>
    </w:p>
    <w:p>
      <w:pPr>
        <w:spacing w:after="0" w:line="336" w:lineRule="exact"/>
        <w:rPr>
          <w:rFonts w:ascii="Times New Roman" w:cs="Times New Roman" w:eastAsia="Times New Roman" w:hAnsi="Times New Roman"/>
          <w:sz w:val="16"/>
          <w:szCs w:val="16"/>
          <w:color w:val="auto"/>
        </w:rPr>
      </w:pPr>
    </w:p>
    <w:p>
      <w:pPr>
        <w:ind w:left="5640" w:hanging="94"/>
        <w:spacing w:after="0"/>
        <w:tabs>
          <w:tab w:leader="none" w:pos="564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86" w:name="page87"/>
    <w:bookmarkEnd w:id="86"/>
    <w:p>
      <w:pPr>
        <w:ind w:left="683" w:right="120" w:hanging="393"/>
        <w:spacing w:after="0" w:line="268" w:lineRule="auto"/>
        <w:tabs>
          <w:tab w:leader="none" w:pos="683"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2017, the interest rate will become a variable rate, fixed as the average of at least three valuations of the internal rate of return for sovereign bonds issued by the Peruvian Government (with maturity in 2037), plus 150 basis points, with semiannual payments. From said date, the Group can redeem 100 percent of the certificates, without penalties. Payment of principal will take place at the date of maturity of bonds (October 2022) or upon redemption.</w:t>
      </w:r>
    </w:p>
    <w:p>
      <w:pPr>
        <w:spacing w:after="0" w:line="157" w:lineRule="exact"/>
        <w:rPr>
          <w:rFonts w:ascii="Times New Roman" w:cs="Times New Roman" w:eastAsia="Times New Roman" w:hAnsi="Times New Roman"/>
          <w:sz w:val="16"/>
          <w:szCs w:val="16"/>
          <w:color w:val="auto"/>
        </w:rPr>
      </w:pPr>
    </w:p>
    <w:p>
      <w:pPr>
        <w:ind w:left="683" w:right="60" w:hanging="393"/>
        <w:spacing w:after="0" w:line="268" w:lineRule="auto"/>
        <w:tabs>
          <w:tab w:leader="none" w:pos="683"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October 2016, said certificates bore interest at the fixed rate of 6.88 percent per annum. From November 2016, the interest rate will change to a floating interest rate, established as three month Libor plus 2.79 percent, with half yearly payments. Furthermore, from said date, the Group can redeem 100 percent of the debt, without penalties. Payment of principal will take place at the date of maturity of bonds or upon redemption.</w:t>
      </w:r>
    </w:p>
    <w:p>
      <w:pPr>
        <w:spacing w:after="0" w:line="157" w:lineRule="exact"/>
        <w:rPr>
          <w:rFonts w:ascii="Times New Roman" w:cs="Times New Roman" w:eastAsia="Times New Roman" w:hAnsi="Times New Roman"/>
          <w:sz w:val="16"/>
          <w:szCs w:val="16"/>
          <w:color w:val="auto"/>
        </w:rPr>
      </w:pPr>
    </w:p>
    <w:p>
      <w:pPr>
        <w:ind w:left="683" w:hanging="393"/>
        <w:spacing w:after="0"/>
        <w:tabs>
          <w:tab w:leader="none" w:pos="683"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Leasing bonds are collateralized by the fixed assets financed by the Group.</w:t>
      </w:r>
    </w:p>
    <w:p>
      <w:pPr>
        <w:spacing w:after="0" w:line="202" w:lineRule="exact"/>
        <w:rPr>
          <w:rFonts w:ascii="Times New Roman" w:cs="Times New Roman" w:eastAsia="Times New Roman" w:hAnsi="Times New Roman"/>
          <w:sz w:val="16"/>
          <w:szCs w:val="16"/>
          <w:color w:val="auto"/>
        </w:rPr>
      </w:pPr>
    </w:p>
    <w:p>
      <w:pPr>
        <w:ind w:left="683" w:right="140" w:hanging="393"/>
        <w:spacing w:after="0" w:line="285" w:lineRule="auto"/>
        <w:tabs>
          <w:tab w:leader="none" w:pos="683"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2014, the Group offered an Exchange to the tenders of senior notes, by which the notes were partially replaced with new notes, at market rate, with the same characteristics of the senior notes indicated in (i) above.</w:t>
      </w:r>
    </w:p>
    <w:p>
      <w:pPr>
        <w:spacing w:after="0" w:line="143" w:lineRule="exact"/>
        <w:rPr>
          <w:rFonts w:ascii="Times New Roman" w:cs="Times New Roman" w:eastAsia="Times New Roman" w:hAnsi="Times New Roman"/>
          <w:sz w:val="16"/>
          <w:szCs w:val="16"/>
          <w:color w:val="auto"/>
        </w:rPr>
      </w:pPr>
    </w:p>
    <w:p>
      <w:pPr>
        <w:ind w:left="683" w:right="20" w:hanging="393"/>
        <w:spacing w:after="0" w:line="285" w:lineRule="auto"/>
        <w:tabs>
          <w:tab w:leader="none" w:pos="683"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may redeem all or part of the notes at any time, subject to a penalty of a rate of interest equal to that of the U.S. Treasury plus 20 base points. The payment of principal will take place on the maturity date of the notes or when the Group redeems them.</w:t>
      </w:r>
    </w:p>
    <w:p>
      <w:pPr>
        <w:spacing w:after="0" w:line="143" w:lineRule="exact"/>
        <w:rPr>
          <w:rFonts w:ascii="Times New Roman" w:cs="Times New Roman" w:eastAsia="Times New Roman" w:hAnsi="Times New Roman"/>
          <w:sz w:val="16"/>
          <w:szCs w:val="16"/>
          <w:color w:val="auto"/>
        </w:rPr>
      </w:pPr>
    </w:p>
    <w:p>
      <w:pPr>
        <w:ind w:left="6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the cash flows of the bond issued in U.S. dollars, subject to exchange rate risk have been hedged by means of three CCS designated as a cash flow hedge for a nominal amount of US$300.0 million, equivalent to S/1,006.8 million, see note 12(b). By means of the CCs, the bond was economically converted to soles.</w:t>
      </w:r>
    </w:p>
    <w:p>
      <w:pPr>
        <w:spacing w:after="0" w:line="157"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shows the bonds and notes issued, classified by maturity:</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8400" w:type="dxa"/>
            <w:vAlign w:val="bottom"/>
            <w:gridSpan w:val="2"/>
          </w:tcPr>
          <w:p>
            <w:pPr>
              <w:ind w:left="78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Up to 3 months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251,751</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802,786</w:t>
            </w:r>
          </w:p>
        </w:tc>
      </w:tr>
      <w:tr>
        <w:trPr>
          <w:trHeight w:val="193"/>
        </w:trPr>
        <w:tc>
          <w:tcPr>
            <w:tcW w:w="28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From 3 months to 1 year</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407,200</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182,611</w:t>
            </w:r>
          </w:p>
        </w:tc>
      </w:tr>
      <w:tr>
        <w:trPr>
          <w:trHeight w:val="193"/>
        </w:trPr>
        <w:tc>
          <w:tcPr>
            <w:tcW w:w="28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1 to 3 years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3,009,004</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2,270,325</w:t>
            </w:r>
          </w:p>
        </w:tc>
      </w:tr>
      <w:tr>
        <w:trPr>
          <w:trHeight w:val="193"/>
        </w:trPr>
        <w:tc>
          <w:tcPr>
            <w:tcW w:w="28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From 3 to 5 years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3,271,925</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3,255,769</w:t>
            </w:r>
          </w:p>
        </w:tc>
      </w:tr>
      <w:tr>
        <w:trPr>
          <w:trHeight w:val="205"/>
        </w:trPr>
        <w:tc>
          <w:tcPr>
            <w:tcW w:w="28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More than 5 years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8,810,587</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9,582,629</w:t>
            </w:r>
          </w:p>
        </w:tc>
      </w:tr>
      <w:tr>
        <w:trPr>
          <w:trHeight w:val="185"/>
        </w:trPr>
        <w:tc>
          <w:tcPr>
            <w:tcW w:w="28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15,750,467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16,094,120</w:t>
            </w:r>
          </w:p>
        </w:tc>
        <w:tc>
          <w:tcPr>
            <w:tcW w:w="100" w:type="dxa"/>
            <w:vAlign w:val="bottom"/>
          </w:tcPr>
          <w:p>
            <w:pPr>
              <w:spacing w:after="0"/>
              <w:rPr>
                <w:sz w:val="16"/>
                <w:szCs w:val="16"/>
                <w:color w:val="auto"/>
              </w:rPr>
            </w:pPr>
          </w:p>
        </w:tc>
      </w:tr>
      <w:tr>
        <w:trPr>
          <w:trHeight w:val="379"/>
        </w:trPr>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87"/>
              </w:rPr>
              <w:t>18</w:t>
            </w:r>
          </w:p>
        </w:tc>
        <w:tc>
          <w:tcPr>
            <w:tcW w:w="84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7" w:lineRule="exact"/>
        <w:rPr>
          <w:sz w:val="20"/>
          <w:szCs w:val="20"/>
          <w:color w:val="auto"/>
        </w:rPr>
      </w:pPr>
    </w:p>
    <w:p>
      <w:pPr>
        <w:ind w:left="283" w:hanging="283"/>
        <w:spacing w:after="0"/>
        <w:tabs>
          <w:tab w:leader="none" w:pos="28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capital -</w:t>
      </w:r>
    </w:p>
    <w:p>
      <w:pPr>
        <w:spacing w:after="0" w:line="202"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2015 and 2014 a total of 94,382,317 shares have been issued at US$5 par value each.</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Treasury stock -</w:t>
      </w:r>
    </w:p>
    <w:p>
      <w:pPr>
        <w:spacing w:after="0" w:line="202" w:lineRule="exact"/>
        <w:rPr>
          <w:rFonts w:ascii="Times New Roman" w:cs="Times New Roman" w:eastAsia="Times New Roman" w:hAnsi="Times New Roman"/>
          <w:sz w:val="16"/>
          <w:szCs w:val="16"/>
          <w:color w:val="auto"/>
        </w:rPr>
      </w:pPr>
    </w:p>
    <w:p>
      <w:pPr>
        <w:ind w:left="283" w:right="3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treasury stock comprises the par value of 14,915,537 shares of Credicorp Ltd. (14,903,833 and 14,894,664 shares of Credicorp at December 31, 2015 and 2014, respectively) that are owned by Group companies.</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87" w:name="page88"/>
    <w:bookmarkEnd w:id="87"/>
    <w:p>
      <w:pPr>
        <w:ind w:left="283" w:right="240"/>
        <w:spacing w:after="0" w:line="285" w:lineRule="auto"/>
        <w:rPr>
          <w:sz w:val="20"/>
          <w:szCs w:val="20"/>
          <w:color w:val="auto"/>
        </w:rPr>
      </w:pPr>
      <w:r>
        <w:rPr>
          <w:rFonts w:ascii="Times New Roman" w:cs="Times New Roman" w:eastAsia="Times New Roman" w:hAnsi="Times New Roman"/>
          <w:sz w:val="16"/>
          <w:szCs w:val="16"/>
          <w:color w:val="auto"/>
        </w:rPr>
        <w:t>During 2016, 2015 and 2014, the Group bought 156,603, 145,871 and 144,898 shares of Credicorp Ltd., respectively, for a total of US$20.0 million (equivalent to S/66.5 million ), US$21.7million (equivalent to S/72.9 million ) and US$18.6 million (equivalent to S/45.6 million), respectively.</w:t>
      </w:r>
    </w:p>
    <w:p>
      <w:pPr>
        <w:spacing w:after="0" w:line="143" w:lineRule="exact"/>
        <w:rPr>
          <w:sz w:val="20"/>
          <w:szCs w:val="20"/>
          <w:color w:val="auto"/>
        </w:rPr>
      </w:pPr>
    </w:p>
    <w:p>
      <w:pPr>
        <w:ind w:left="283" w:hanging="283"/>
        <w:spacing w:after="0"/>
        <w:tabs>
          <w:tab w:leader="none" w:pos="28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Reserves -</w:t>
      </w:r>
    </w:p>
    <w:p>
      <w:pPr>
        <w:spacing w:after="0" w:line="202" w:lineRule="exact"/>
        <w:rPr>
          <w:rFonts w:ascii="Times New Roman" w:cs="Times New Roman" w:eastAsia="Times New Roman" w:hAnsi="Times New Roman"/>
          <w:sz w:val="16"/>
          <w:szCs w:val="16"/>
          <w:color w:val="auto"/>
        </w:rPr>
      </w:pPr>
    </w:p>
    <w:p>
      <w:pPr>
        <w:ind w:left="283" w:right="1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the Group´ subsidiaries are required to keep a reserve that equals a percentage of paid-in capital (20, 30 or 50 percent, depending on its activities and country in which production takes place); this reserve must be constituted with annual transfers of not less than 10 percent of net profits. At December 31, 2016, 2015 and 2014, the balance of reserves amounts to approximately S/3,987.5, S/2,996.7 million and S/2,731.7 million, respectively.</w:t>
      </w:r>
    </w:p>
    <w:p>
      <w:pPr>
        <w:spacing w:after="0" w:line="157" w:lineRule="exact"/>
        <w:rPr>
          <w:rFonts w:ascii="Times New Roman" w:cs="Times New Roman" w:eastAsia="Times New Roman" w:hAnsi="Times New Roman"/>
          <w:sz w:val="16"/>
          <w:szCs w:val="16"/>
          <w:color w:val="auto"/>
        </w:rPr>
      </w:pPr>
    </w:p>
    <w:p>
      <w:pPr>
        <w:ind w:left="283" w:right="3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Board meetings held on February 24, 2016, February 25, 2015 and February 25, 2014, the decision was made to transfer from “Retained earnings” to “Reserves” S/2,316.4 million , S/1,820.5 million and S/1,200.9 million, respectively.</w:t>
      </w:r>
    </w:p>
    <w:p>
      <w:pPr>
        <w:spacing w:after="0" w:line="143" w:lineRule="exact"/>
        <w:rPr>
          <w:rFonts w:ascii="Times New Roman" w:cs="Times New Roman" w:eastAsia="Times New Roman" w:hAnsi="Times New Roman"/>
          <w:sz w:val="16"/>
          <w:szCs w:val="16"/>
          <w:color w:val="auto"/>
        </w:rPr>
      </w:pPr>
    </w:p>
    <w:p>
      <w:pPr>
        <w:ind w:left="283" w:right="4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reserves” include unrealized gains (losses) on Available-for-sale investments and on cash flow hedges, net of deferred income tax and non-controlling interest. Movement was as follows:</w:t>
      </w:r>
    </w:p>
    <w:p>
      <w:pPr>
        <w:spacing w:after="0" w:line="15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Net unrealized gains (losses):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7"/>
        </w:trPr>
        <w:tc>
          <w:tcPr>
            <w:tcW w:w="2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Reserve for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Reserve for</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for-sale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2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January 1, 2014</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1,027,763</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(11,935)</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(154,683)</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861,145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Increase in net unrealized gains on Available-for-sale investments</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292,418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292,418</w:t>
            </w:r>
          </w:p>
        </w:tc>
        <w:tc>
          <w:tcPr>
            <w:tcW w:w="180" w:type="dxa"/>
            <w:vAlign w:val="bottom"/>
          </w:tcPr>
          <w:p>
            <w:pPr>
              <w:spacing w:after="0"/>
              <w:rPr>
                <w:sz w:val="16"/>
                <w:szCs w:val="16"/>
                <w:color w:val="auto"/>
              </w:rPr>
            </w:pPr>
          </w:p>
        </w:tc>
      </w:tr>
      <w:tr>
        <w:trPr>
          <w:trHeight w:val="177"/>
        </w:trPr>
        <w:tc>
          <w:tcPr>
            <w:tcW w:w="280" w:type="dxa"/>
            <w:vAlign w:val="bottom"/>
          </w:tcPr>
          <w:p>
            <w:pPr>
              <w:spacing w:after="0"/>
              <w:rPr>
                <w:sz w:val="15"/>
                <w:szCs w:val="15"/>
                <w:color w:val="auto"/>
              </w:rPr>
            </w:pPr>
          </w:p>
        </w:tc>
        <w:tc>
          <w:tcPr>
            <w:tcW w:w="52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Transfer of net realized gains on Available-for-sale investments to profit or loss,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2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realized loss</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(104,360)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(104,360)</w:t>
            </w:r>
          </w:p>
        </w:tc>
        <w:tc>
          <w:tcPr>
            <w:tcW w:w="180" w:type="dxa"/>
            <w:vAlign w:val="bottom"/>
          </w:tcPr>
          <w:p>
            <w:pPr>
              <w:spacing w:after="0"/>
              <w:rPr>
                <w:sz w:val="18"/>
                <w:szCs w:val="18"/>
                <w:color w:val="auto"/>
              </w:rPr>
            </w:pPr>
          </w:p>
        </w:tc>
      </w:tr>
      <w:tr>
        <w:trPr>
          <w:trHeight w:val="177"/>
        </w:trPr>
        <w:tc>
          <w:tcPr>
            <w:tcW w:w="280" w:type="dxa"/>
            <w:vAlign w:val="bottom"/>
          </w:tcPr>
          <w:p>
            <w:pPr>
              <w:spacing w:after="0"/>
              <w:rPr>
                <w:sz w:val="15"/>
                <w:szCs w:val="15"/>
                <w:color w:val="auto"/>
              </w:rPr>
            </w:pPr>
          </w:p>
        </w:tc>
        <w:tc>
          <w:tcPr>
            <w:tcW w:w="52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Transfer of the impairment loss on Available-for-sale investments to profit or</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2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loss, Note 6(c)</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7,794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7,794</w:t>
            </w:r>
          </w:p>
        </w:tc>
        <w:tc>
          <w:tcPr>
            <w:tcW w:w="180" w:type="dxa"/>
            <w:vAlign w:val="bottom"/>
          </w:tcPr>
          <w:p>
            <w:pPr>
              <w:spacing w:after="0"/>
              <w:rPr>
                <w:sz w:val="18"/>
                <w:szCs w:val="18"/>
                <w:color w:val="auto"/>
              </w:rPr>
            </w:pPr>
          </w:p>
        </w:tc>
      </w:tr>
      <w:tr>
        <w:trPr>
          <w:trHeight w:val="194"/>
        </w:trPr>
        <w:tc>
          <w:tcPr>
            <w:tcW w:w="28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from net unrealized gains on cash flow hedges, Note 12(b)(ii)</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(38,943)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(38,943)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Transfer of net realized gains on cash flow hedges to profit or loss, Note 12(b)(ii)</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56,815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56,815</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(51,483)</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(51,483)</w:t>
            </w:r>
          </w:p>
        </w:tc>
        <w:tc>
          <w:tcPr>
            <w:tcW w:w="180" w:type="dxa"/>
            <w:vAlign w:val="bottom"/>
          </w:tcPr>
          <w:p>
            <w:pPr>
              <w:spacing w:after="0"/>
              <w:rPr>
                <w:sz w:val="17"/>
                <w:szCs w:val="17"/>
                <w:color w:val="auto"/>
              </w:rPr>
            </w:pPr>
          </w:p>
        </w:tc>
      </w:tr>
      <w:tr>
        <w:trPr>
          <w:trHeight w:val="202"/>
        </w:trPr>
        <w:tc>
          <w:tcPr>
            <w:tcW w:w="28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2014</w:t>
            </w:r>
          </w:p>
        </w:tc>
        <w:tc>
          <w:tcPr>
            <w:tcW w:w="1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1,223,615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(206,166)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1,023,386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64"/>
        </w:trPr>
        <w:tc>
          <w:tcPr>
            <w:tcW w:w="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w w:val="97"/>
              </w:rPr>
              <w:t>- 89 -</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4" w:right="2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2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Net unrealized gains (losses):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5400" w:type="dxa"/>
            <w:vAlign w:val="bottom"/>
          </w:tcPr>
          <w:p>
            <w:pPr>
              <w:spacing w:after="0"/>
              <w:rPr>
                <w:sz w:val="14"/>
                <w:szCs w:val="14"/>
                <w:color w:val="auto"/>
              </w:rPr>
            </w:pPr>
          </w:p>
        </w:tc>
        <w:tc>
          <w:tcPr>
            <w:tcW w:w="13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Reserve for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54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Reserve for</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54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for-sale</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4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2014</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1,223,615</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5,937</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(206,166)</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1,023,386</w:t>
            </w:r>
          </w:p>
        </w:tc>
      </w:t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Decrease in net unrealized gains on Available-for-sale investments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(323,348)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(323,348)</w:t>
            </w:r>
          </w:p>
        </w:tc>
      </w:tr>
      <w:tr>
        <w:trPr>
          <w:trHeight w:val="177"/>
        </w:trPr>
        <w:tc>
          <w:tcPr>
            <w:tcW w:w="5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Transfer of net realized gains on Available-for-sale investments to profit or loss,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realized loss</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(191,716)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(191,716)</w:t>
            </w:r>
          </w:p>
        </w:tc>
      </w:tr>
      <w:tr>
        <w:trPr>
          <w:trHeight w:val="177"/>
        </w:trPr>
        <w:tc>
          <w:tcPr>
            <w:tcW w:w="54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Transfer of the impairment loss on Available-for-sale investments to profit or loss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Note 6(c)</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(55,647)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(55,647)</w:t>
            </w:r>
          </w:p>
        </w:tc>
      </w:tr>
      <w:tr>
        <w:trPr>
          <w:trHeight w:val="19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net unrealized gains on cash flow hedges, Note 12(b)(ii)</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50,273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50,273</w:t>
            </w:r>
          </w:p>
        </w:tc>
      </w:tr>
      <w:tr>
        <w:trPr>
          <w:trHeight w:val="177"/>
        </w:trPr>
        <w:tc>
          <w:tcPr>
            <w:tcW w:w="54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Transfer of net realized losses on cash flow hedges to profit or loss, Note 12(b)</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(ii)</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(11,160)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(11,160)</w:t>
            </w:r>
          </w:p>
        </w:tc>
      </w:tr>
      <w:tr>
        <w:trPr>
          <w:trHeight w:val="20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270,907</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270,907</w:t>
            </w:r>
          </w:p>
        </w:tc>
      </w:tr>
      <w:tr>
        <w:trPr>
          <w:trHeight w:val="18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2015</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64,741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762,695</w:t>
            </w:r>
          </w:p>
        </w:tc>
        <w:tc>
          <w:tcPr>
            <w:tcW w:w="100" w:type="dxa"/>
            <w:vAlign w:val="bottom"/>
          </w:tcPr>
          <w:p>
            <w:pPr>
              <w:spacing w:after="0"/>
              <w:rPr>
                <w:sz w:val="16"/>
                <w:szCs w:val="16"/>
                <w:color w:val="auto"/>
              </w:rPr>
            </w:pPr>
          </w:p>
        </w:tc>
      </w:tr>
      <w:tr>
        <w:trPr>
          <w:trHeight w:val="19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net unrealized gains on Available-for-sale investments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554,869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554,869</w:t>
            </w:r>
          </w:p>
        </w:tc>
      </w:tr>
      <w:tr>
        <w:trPr>
          <w:trHeight w:val="177"/>
        </w:trPr>
        <w:tc>
          <w:tcPr>
            <w:tcW w:w="54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Transfer of net realized gains on Available-for-sale investments to profit or loss,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of realized loss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(75,444)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(75,444)</w:t>
            </w:r>
          </w:p>
        </w:tc>
      </w:tr>
      <w:tr>
        <w:trPr>
          <w:trHeight w:val="177"/>
        </w:trPr>
        <w:tc>
          <w:tcPr>
            <w:tcW w:w="5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Transfer of the impairment loss on Available-for-sale investments to profit or loss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6(c)</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14,459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14,459</w:t>
            </w:r>
          </w:p>
        </w:tc>
      </w:tr>
      <w:tr>
        <w:trPr>
          <w:trHeight w:val="19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Change in net unrealized gains on cash flow hedges, Note 12(b)(ii)</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(16,724)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(16,724)</w:t>
            </w:r>
          </w:p>
        </w:tc>
      </w:tr>
      <w:tr>
        <w:trPr>
          <w:trHeight w:val="177"/>
        </w:trPr>
        <w:tc>
          <w:tcPr>
            <w:tcW w:w="5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Transfer of net realized losses on cash flow hedges to profit or loss, Note 12(b)</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(ii)</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(3,676)</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(26,448)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(26,448)</w:t>
            </w:r>
          </w:p>
        </w:tc>
      </w:tr>
      <w:tr>
        <w:trPr>
          <w:trHeight w:val="185"/>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1,146,788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1,209,731</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80"/>
          </w:cols>
          <w:pgMar w:left="520" w:top="834" w:right="399" w:bottom="1440" w:gutter="0" w:footer="0" w:header="0"/>
        </w:sectPr>
      </w:pPr>
    </w:p>
    <w:bookmarkStart w:id="89" w:name="page90"/>
    <w:bookmarkEnd w:id="89"/>
    <w:p>
      <w:pPr>
        <w:ind w:left="283" w:hanging="283"/>
        <w:spacing w:after="0"/>
        <w:tabs>
          <w:tab w:leader="none" w:pos="283"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Components of other comprehensive income -</w:t>
      </w:r>
    </w:p>
    <w:p>
      <w:pPr>
        <w:spacing w:after="0" w:line="202" w:lineRule="exact"/>
        <w:rPr>
          <w:rFonts w:ascii="Times New Roman" w:cs="Times New Roman" w:eastAsia="Times New Roman" w:hAnsi="Times New Roman"/>
          <w:sz w:val="16"/>
          <w:szCs w:val="16"/>
          <w:color w:val="auto"/>
        </w:rPr>
      </w:pPr>
    </w:p>
    <w:p>
      <w:pPr>
        <w:ind w:left="283" w:right="1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statement of comprehensive income includes other comprehensive income from available-for-sale investments and from derivative financial instruments used as cash flow hedges; their movements are as follows:</w:t>
      </w:r>
    </w:p>
    <w:p>
      <w:pPr>
        <w:spacing w:after="0" w:line="15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2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Available-for-sale investments: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(losses) on available-for-sale investments</w:t>
            </w:r>
          </w:p>
        </w:tc>
        <w:tc>
          <w:tcPr>
            <w:tcW w:w="16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554,869</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(323,348)</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292,418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of realized gains on available-for-sale investments to profit or loss, net of realized losses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(75,444)</w:t>
            </w:r>
          </w:p>
        </w:tc>
        <w:tc>
          <w:tcPr>
            <w:tcW w:w="15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(191,716)</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(104,360)</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Transfer of impairment losses on available-for-sale investments to profit or loss</w:t>
            </w:r>
          </w:p>
        </w:tc>
        <w:tc>
          <w:tcPr>
            <w:tcW w:w="16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14,459</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(55,647)</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7,794</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 total</w:t>
            </w: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493,884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(570,711)</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6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1,799</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(46,529)</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8,398</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w:t>
            </w:r>
          </w:p>
        </w:tc>
        <w:tc>
          <w:tcPr>
            <w:tcW w:w="162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22,975</w:t>
            </w:r>
          </w:p>
        </w:tc>
        <w:tc>
          <w:tcPr>
            <w:tcW w:w="15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(18,503)</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(6,853)</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518,658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(635,743</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197,397</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 hedge:</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gains on cash flow hedges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(16,724)</w:t>
            </w:r>
          </w:p>
        </w:tc>
        <w:tc>
          <w:tcPr>
            <w:tcW w:w="15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50,273</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(38,943)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Transfer of net realized losses (gains) on cash flow hedges to profit or loss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(11,160)</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56,815</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 total</w:t>
            </w: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6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585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5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1,956</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1,016</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41,069</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18,888</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Foreign exchange translation:</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gains or losses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(26,448)</w:t>
            </w:r>
          </w:p>
        </w:tc>
        <w:tc>
          <w:tcPr>
            <w:tcW w:w="15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270,907</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(51,483)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(2,522)</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270,907</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(54,005</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5260"/>
              <w:spacing w:after="0"/>
              <w:rPr>
                <w:sz w:val="20"/>
                <w:szCs w:val="20"/>
                <w:color w:val="auto"/>
              </w:rPr>
            </w:pPr>
            <w:r>
              <w:rPr>
                <w:rFonts w:ascii="Times New Roman" w:cs="Times New Roman" w:eastAsia="Times New Roman" w:hAnsi="Times New Roman"/>
                <w:sz w:val="16"/>
                <w:szCs w:val="16"/>
                <w:color w:val="auto"/>
              </w:rPr>
              <w:t>- 91 -</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4" w:right="219" w:bottom="1440" w:gutter="0" w:footer="0" w:header="0"/>
        </w:sectPr>
      </w:pPr>
    </w:p>
    <w:bookmarkStart w:id="90" w:name="page91"/>
    <w:bookmarkEnd w:id="90"/>
    <w:p>
      <w:pPr>
        <w:ind w:left="283" w:hanging="283"/>
        <w:spacing w:after="0"/>
        <w:tabs>
          <w:tab w:leader="none" w:pos="28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distribution -</w:t>
      </w:r>
    </w:p>
    <w:p>
      <w:pPr>
        <w:spacing w:after="0" w:line="202" w:lineRule="exact"/>
        <w:rPr>
          <w:rFonts w:ascii="Times New Roman" w:cs="Times New Roman" w:eastAsia="Times New Roman" w:hAnsi="Times New Roman"/>
          <w:sz w:val="16"/>
          <w:szCs w:val="16"/>
          <w:color w:val="auto"/>
        </w:rPr>
      </w:pPr>
    </w:p>
    <w:p>
      <w:pPr>
        <w:jc w:val="both"/>
        <w:ind w:left="283" w:right="1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2015 and 2014, Credicorp paid cash dividends, net of the effect of treasury shares, for approximately US$184.7, US$174.4 and US$151.5 million, respectively (equivalent to approximately S/653.3, S/540.0 and S/429.4 million, respectively). In this sense, at December 31, 2016, 2015 and 2014, cash dividend payouts per share totaled US$2.3 US$1.8 and US$1.9, respectively.</w:t>
      </w:r>
    </w:p>
    <w:p>
      <w:pPr>
        <w:spacing w:after="0" w:line="157" w:lineRule="exact"/>
        <w:rPr>
          <w:rFonts w:ascii="Times New Roman" w:cs="Times New Roman" w:eastAsia="Times New Roman" w:hAnsi="Times New Roman"/>
          <w:sz w:val="16"/>
          <w:szCs w:val="16"/>
          <w:color w:val="auto"/>
        </w:rPr>
      </w:pPr>
    </w:p>
    <w:p>
      <w:pPr>
        <w:ind w:left="283" w:right="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current Peruvian legislation, there is no restriction for overseas remittance of dividends or the repatriation of foreign investment. At December 31, 2016 and 2015 dividends paid by the Peruvian subsidiaries to Credicorp are subject to a 6.8 percent withholding tax and at December 31, 2014, the withholding rate was 4.1 percent.</w:t>
      </w:r>
    </w:p>
    <w:p>
      <w:pPr>
        <w:spacing w:after="0" w:line="157"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effect from 2017, dividends will be subject to a withholding rate of 5.0 percent.</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capital -</w:t>
      </w:r>
    </w:p>
    <w:p>
      <w:pPr>
        <w:spacing w:after="0" w:line="203" w:lineRule="exact"/>
        <w:rPr>
          <w:sz w:val="20"/>
          <w:szCs w:val="20"/>
          <w:color w:val="auto"/>
        </w:rPr>
      </w:pPr>
    </w:p>
    <w:p>
      <w:pPr>
        <w:ind w:left="283" w:right="60"/>
        <w:spacing w:after="0" w:line="263" w:lineRule="auto"/>
        <w:rPr>
          <w:sz w:val="20"/>
          <w:szCs w:val="20"/>
          <w:color w:val="auto"/>
        </w:rPr>
      </w:pPr>
      <w:r>
        <w:rPr>
          <w:rFonts w:ascii="Times New Roman" w:cs="Times New Roman" w:eastAsia="Times New Roman" w:hAnsi="Times New Roman"/>
          <w:sz w:val="16"/>
          <w:szCs w:val="16"/>
          <w:color w:val="auto"/>
        </w:rPr>
        <w:t>At December 31, 2016 and 2015, the regulatory capital requirement (“patrimonio efectivo” in Peru) applicable to Credicorp subsidiaries engaged in financial services and insurance activities in Peru, determined under the provisions of the Peruvian banking and insurance regulator, SBS, totals approximately S/21,174.7 million and S/18,614.7 million, respectively. At those dates, the Group’s regulatory requirement exceeds by approximately S/3.915.7 million and S/1,834.4 million, respectively, the minimum regulatory capital required by the SBS.</w:t>
      </w:r>
    </w:p>
    <w:p>
      <w:pPr>
        <w:spacing w:after="0" w:line="159"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TAX SITUATION</w:t>
      </w:r>
    </w:p>
    <w:p>
      <w:pPr>
        <w:spacing w:after="0" w:line="205" w:lineRule="exact"/>
        <w:rPr>
          <w:sz w:val="20"/>
          <w:szCs w:val="20"/>
          <w:color w:val="auto"/>
        </w:rPr>
      </w:pPr>
    </w:p>
    <w:p>
      <w:pPr>
        <w:ind w:left="283" w:hanging="283"/>
        <w:spacing w:after="0"/>
        <w:tabs>
          <w:tab w:leader="none" w:pos="28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Credicorp is not subject to income tax or any taxes on capital gains, equity or property in Bermuda. Credicorp’s Peruvian subsidiaries are subject to the Peruvian tax regime.</w:t>
      </w:r>
    </w:p>
    <w:p>
      <w:pPr>
        <w:spacing w:after="0" w:line="202" w:lineRule="exact"/>
        <w:rPr>
          <w:rFonts w:ascii="Times New Roman" w:cs="Times New Roman" w:eastAsia="Times New Roman" w:hAnsi="Times New Roman"/>
          <w:sz w:val="16"/>
          <w:szCs w:val="16"/>
          <w:color w:val="auto"/>
        </w:rPr>
      </w:pPr>
    </w:p>
    <w:p>
      <w:pPr>
        <w:ind w:left="283" w:right="3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Peruvian statutory Income Tax rate was 28 percent on taxable profit after calculating the workers’ profit sharing, which is determined using a 5 percent rate.</w:t>
      </w:r>
    </w:p>
    <w:p>
      <w:pPr>
        <w:spacing w:after="0" w:line="143"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established by Legislative Decree N° 1261, published on December 10, 2016, the income tax rate in Peru with effect from fiscal year 2017, will be 29.5 percent.</w:t>
      </w:r>
    </w:p>
    <w:p>
      <w:pPr>
        <w:spacing w:after="0" w:line="202" w:lineRule="exact"/>
        <w:rPr>
          <w:rFonts w:ascii="Times New Roman" w:cs="Times New Roman" w:eastAsia="Times New Roman" w:hAnsi="Times New Roman"/>
          <w:sz w:val="16"/>
          <w:szCs w:val="16"/>
          <w:color w:val="auto"/>
        </w:rPr>
      </w:pPr>
    </w:p>
    <w:p>
      <w:pPr>
        <w:ind w:left="283" w:right="1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Bolivian statutory Income Tax rate is 25 percent. Financial entities have an additional rate if the ROE exceeds 6 percent. In that case, an additional 22 percent must be considered, with which the rate becomes 47 percent.</w:t>
      </w:r>
    </w:p>
    <w:p>
      <w:pPr>
        <w:spacing w:after="0" w:line="143" w:lineRule="exact"/>
        <w:rPr>
          <w:rFonts w:ascii="Times New Roman" w:cs="Times New Roman" w:eastAsia="Times New Roman" w:hAnsi="Times New Roman"/>
          <w:sz w:val="16"/>
          <w:szCs w:val="16"/>
          <w:color w:val="auto"/>
        </w:rPr>
      </w:pPr>
    </w:p>
    <w:p>
      <w:pPr>
        <w:ind w:left="283" w:right="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for the years 2016 and 2015, the Chilean statutory Income Tax rate (First Category Tax) for resident legal entities is 24 percent and 22.5 percent, respectively. In the last quarter of 2016, companies domiciled in Chile had to choose between the imputed income system or the semi-integrated system in order to determine Income Tax with effect from fiscal year 2017. The additional tax rate is maintained at 35 percent. For the years 2017 and 2018 the first category income tax rate will be 25 percent and 25.5 percent, respectively.</w:t>
      </w:r>
    </w:p>
    <w:p>
      <w:pPr>
        <w:spacing w:after="0" w:line="160" w:lineRule="exact"/>
        <w:rPr>
          <w:rFonts w:ascii="Times New Roman" w:cs="Times New Roman" w:eastAsia="Times New Roman" w:hAnsi="Times New Roman"/>
          <w:sz w:val="16"/>
          <w:szCs w:val="16"/>
          <w:color w:val="auto"/>
        </w:rPr>
      </w:pPr>
    </w:p>
    <w:p>
      <w:pPr>
        <w:ind w:left="283" w:right="2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Colombia, the income tax rate for the years 2016 and 2015 was 25 percent. With the tax reform of December 2016, the income tax rate for 2017 will be 34 percent plus a surcharge of 6 percent. In 2018, it will be 33 percent plus a surcharge of 4 percent. Finally, with effect from 2019, the rate will be only 33 percent.</w:t>
      </w:r>
    </w:p>
    <w:p>
      <w:pPr>
        <w:spacing w:after="0" w:line="143" w:lineRule="exact"/>
        <w:rPr>
          <w:rFonts w:ascii="Times New Roman" w:cs="Times New Roman" w:eastAsia="Times New Roman" w:hAnsi="Times New Roman"/>
          <w:sz w:val="16"/>
          <w:szCs w:val="16"/>
          <w:color w:val="auto"/>
        </w:rPr>
      </w:pPr>
    </w:p>
    <w:p>
      <w:pPr>
        <w:ind w:left="283" w:right="4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ASHC and its Subsidiaries are not subject to taxes in the Cayman Islands or Panama. For the years ended December 31, 2016, 2015 and 2014, no taxable income was generated from their operations in the United States of America.</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91" w:name="page92"/>
    <w:bookmarkEnd w:id="91"/>
    <w:p>
      <w:pPr>
        <w:ind w:left="280"/>
        <w:spacing w:after="0"/>
        <w:rPr>
          <w:sz w:val="20"/>
          <w:szCs w:val="20"/>
          <w:color w:val="auto"/>
        </w:rPr>
      </w:pPr>
      <w:r>
        <w:rPr>
          <w:rFonts w:ascii="Times New Roman" w:cs="Times New Roman" w:eastAsia="Times New Roman" w:hAnsi="Times New Roman"/>
          <w:sz w:val="16"/>
          <w:szCs w:val="16"/>
          <w:color w:val="auto"/>
        </w:rPr>
        <w:t>The reconciliation between the statutory income tax rate and the effective tax rate for the Group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80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62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Peruvian statutory income tax rate</w:t>
            </w:r>
          </w:p>
        </w:tc>
        <w:tc>
          <w:tcPr>
            <w:tcW w:w="1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28.00</w:t>
            </w:r>
          </w:p>
        </w:tc>
        <w:tc>
          <w:tcPr>
            <w:tcW w:w="15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28.00</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Increase (decrease) in the statutory tax rate due to:</w:t>
            </w: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w:t>
            </w: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arising from net income of subsidiaries not domiciled in Peru</w:t>
            </w:r>
          </w:p>
        </w:tc>
        <w:tc>
          <w:tcPr>
            <w:tcW w:w="1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(0.04)</w:t>
            </w:r>
          </w:p>
        </w:tc>
        <w:tc>
          <w:tcPr>
            <w:tcW w:w="15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(0.37)</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0.39</w:t>
            </w:r>
          </w:p>
        </w:tc>
      </w:tr>
      <w:tr>
        <w:trPr>
          <w:trHeight w:val="193"/>
        </w:trPr>
        <w:tc>
          <w:tcPr>
            <w:tcW w:w="28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(ii)</w:t>
            </w:r>
          </w:p>
        </w:tc>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Non-taxable income, net</w:t>
            </w: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(1.23)</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(0.18)</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(1.95)</w:t>
            </w: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(iii)  Translation results not considered for tax purposes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0.11</w:t>
            </w:r>
          </w:p>
        </w:tc>
      </w:tr>
      <w:tr>
        <w:trPr>
          <w:trHeight w:val="205"/>
        </w:trPr>
        <w:tc>
          <w:tcPr>
            <w:tcW w:w="2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(iv)  Effect of change in Peruvian tax rates</w:t>
            </w: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0.02</w:t>
            </w:r>
          </w:p>
        </w:tc>
      </w:tr>
      <w:tr>
        <w:trPr>
          <w:trHeight w:val="185"/>
        </w:trPr>
        <w:tc>
          <w:tcPr>
            <w:tcW w:w="280" w:type="dxa"/>
            <w:vAlign w:val="bottom"/>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8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Effective income tax rate</w:t>
            </w:r>
          </w:p>
        </w:tc>
        <w:tc>
          <w:tcPr>
            <w:tcW w:w="1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26.20</w:t>
            </w:r>
          </w:p>
        </w:tc>
        <w:tc>
          <w:tcPr>
            <w:tcW w:w="15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27.45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28.57</w:t>
            </w:r>
          </w:p>
        </w:tc>
      </w:tr>
      <w:tr>
        <w:trPr>
          <w:trHeight w:val="379"/>
        </w:trPr>
        <w:tc>
          <w:tcPr>
            <w:tcW w:w="6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  Income tax expense for the years ended December 31, 2016, 2015 and 2014 comprises:</w:t>
            </w:r>
          </w:p>
        </w:tc>
        <w:tc>
          <w:tcPr>
            <w:tcW w:w="5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0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w:t>
            </w:r>
          </w:p>
        </w:tc>
        <w:tc>
          <w:tcPr>
            <w:tcW w:w="5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Peru</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1,098,125</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1,217,907</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1,188,552</w:t>
            </w:r>
          </w:p>
        </w:tc>
      </w:tr>
      <w:tr>
        <w:trPr>
          <w:trHeight w:val="205"/>
        </w:trPr>
        <w:tc>
          <w:tcPr>
            <w:tcW w:w="28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 other countries</w:t>
            </w:r>
          </w:p>
        </w:tc>
        <w:tc>
          <w:tcPr>
            <w:tcW w:w="1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155,095</w:t>
            </w:r>
          </w:p>
        </w:tc>
        <w:tc>
          <w:tcPr>
            <w:tcW w:w="15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96,495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32,382</w:t>
            </w:r>
          </w:p>
        </w:tc>
      </w:tr>
      <w:tr>
        <w:trPr>
          <w:trHeight w:val="185"/>
        </w:trPr>
        <w:tc>
          <w:tcPr>
            <w:tcW w:w="280" w:type="dxa"/>
            <w:vAlign w:val="bottom"/>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8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1,253,220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1,314,402</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1,220,934</w:t>
            </w:r>
          </w:p>
        </w:tc>
        <w:tc>
          <w:tcPr>
            <w:tcW w:w="100" w:type="dxa"/>
            <w:vAlign w:val="bottom"/>
            <w:tcBorders>
              <w:bottom w:val="single" w:sz="8" w:color="CCEEFF"/>
            </w:tcBorders>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Deferred -</w:t>
            </w: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 Peru</w:t>
            </w:r>
          </w:p>
        </w:tc>
        <w:tc>
          <w:tcPr>
            <w:tcW w:w="1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31,472</w:t>
            </w:r>
          </w:p>
        </w:tc>
        <w:tc>
          <w:tcPr>
            <w:tcW w:w="15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22,667</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(182,465)</w:t>
            </w: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other countries</w:t>
            </w:r>
          </w:p>
        </w:tc>
        <w:tc>
          <w:tcPr>
            <w:tcW w:w="1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10,748</w:t>
            </w: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(139,862)</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(53,819)</w:t>
            </w:r>
          </w:p>
        </w:tc>
      </w:tr>
      <w:tr>
        <w:trPr>
          <w:trHeight w:val="205"/>
        </w:trPr>
        <w:tc>
          <w:tcPr>
            <w:tcW w:w="28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change in Peruvian tax rates</w:t>
            </w:r>
          </w:p>
        </w:tc>
        <w:tc>
          <w:tcPr>
            <w:tcW w:w="1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(13,992)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(16,426)</w:t>
            </w:r>
          </w:p>
        </w:tc>
      </w:tr>
      <w:tr>
        <w:trPr>
          <w:trHeight w:val="185"/>
        </w:trPr>
        <w:tc>
          <w:tcPr>
            <w:tcW w:w="280" w:type="dxa"/>
            <w:vAlign w:val="bottom"/>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8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(117,195</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(252,710</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85"/>
        </w:trPr>
        <w:tc>
          <w:tcPr>
            <w:tcW w:w="28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5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1,281,448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1,197,207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968,224</w:t>
            </w:r>
          </w:p>
        </w:tc>
        <w:tc>
          <w:tcPr>
            <w:tcW w:w="100" w:type="dxa"/>
            <w:vAlign w:val="bottom"/>
            <w:shd w:val="clear" w:color="auto" w:fill="CCEEFF"/>
          </w:tcPr>
          <w:p>
            <w:pPr>
              <w:spacing w:after="0"/>
              <w:rPr>
                <w:sz w:val="16"/>
                <w:szCs w:val="16"/>
                <w:color w:val="auto"/>
              </w:rPr>
            </w:pPr>
          </w:p>
        </w:tc>
      </w:tr>
    </w:tbl>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deferred income tax has been calculated on all temporary differences, considering the income tax rates effective where Credicorp’s subsidiaries are located.</w:t>
      </w: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0"/>
          </w:cols>
          <w:pgMar w:left="240" w:top="824" w:right="3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0"/>
        </w:trPr>
        <w:tc>
          <w:tcPr>
            <w:tcW w:w="9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  The following table presents a summary of the Group’s deferred income tax:</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9"/>
        </w:trPr>
        <w:tc>
          <w:tcPr>
            <w:tcW w:w="9080" w:type="dxa"/>
            <w:vAlign w:val="bottom"/>
            <w:gridSpan w:val="3"/>
          </w:tcPr>
          <w:p>
            <w:pPr>
              <w:ind w:left="85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income tax asset, net</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Deferred asset</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doubtful loan accounts</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545,716</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490,466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Unrealized loss on hedged bonds</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43,252</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71,367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loss carry forward</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38,856</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32,999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sundry expenses</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38,326</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30,893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adjudicated assets</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18,641</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22,940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sundry risks</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17,731</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31,730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 due to valuation of cash flow hedge derivatives</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2,105</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4,774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Unrealized loss due to valuation of available-for-sale investments</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6,001</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5,511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65,329</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58,749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liabilities</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(107,317)</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(98,220)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(72,381)</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(58,361)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Ajdustment for difference in exchange of SUNAT and SBS</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(40,096)</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(25,009)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profit due to valuation of derivative financial instruments for hedging purposes</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(7,216)</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(36,897)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Unrealized profit from the valuation of held-for-sale investments</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(6,142)</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(4,264)</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(36,761)</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506,044</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524,620</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Deferred income tax liability, net</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asset</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sundry risks, net</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4,560</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4,486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32,436</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42,333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liability</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Unrealized profit due to valuation of investments available for sale.</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(36,721)</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(20,333)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(80,081)</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(82,794)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of buildings</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(2,736)</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(4,749)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generated in the reorganization of Pacífico EPS</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(39,515)</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(34,826)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(50,584)</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(43,003)</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(172,641</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(138,886</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6"/>
                <w:szCs w:val="16"/>
                <w:color w:val="auto"/>
              </w:rPr>
            </w:pPr>
          </w:p>
        </w:tc>
      </w:tr>
      <w:tr>
        <w:trPr>
          <w:trHeight w:val="572"/>
        </w:trPr>
        <w:tc>
          <w:tcPr>
            <w:tcW w:w="8540" w:type="dxa"/>
            <w:vAlign w:val="bottom"/>
            <w:tcBorders>
              <w:bottom w:val="single" w:sz="8" w:color="auto"/>
            </w:tcBorders>
            <w:gridSpan w:val="2"/>
          </w:tcPr>
          <w:p>
            <w:pPr>
              <w:jc w:val="right"/>
              <w:ind w:right="2559"/>
              <w:spacing w:after="0"/>
              <w:rPr>
                <w:sz w:val="20"/>
                <w:szCs w:val="20"/>
                <w:color w:val="auto"/>
              </w:rPr>
            </w:pPr>
            <w:r>
              <w:rPr>
                <w:rFonts w:ascii="Times New Roman" w:cs="Times New Roman" w:eastAsia="Times New Roman" w:hAnsi="Times New Roman"/>
                <w:sz w:val="16"/>
                <w:szCs w:val="16"/>
                <w:color w:val="auto"/>
              </w:rPr>
              <w:t>- 94 -</w:t>
            </w: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4" w:right="219" w:bottom="1440" w:gutter="0" w:footer="0" w:header="0"/>
        </w:sectPr>
      </w:pPr>
    </w:p>
    <w:bookmarkStart w:id="93" w:name="page94"/>
    <w:bookmarkEnd w:id="93"/>
    <w:p>
      <w:pPr>
        <w:ind w:left="283" w:right="320"/>
        <w:spacing w:after="0" w:line="285" w:lineRule="auto"/>
        <w:rPr>
          <w:sz w:val="20"/>
          <w:szCs w:val="20"/>
          <w:color w:val="auto"/>
        </w:rPr>
      </w:pPr>
      <w:r>
        <w:rPr>
          <w:rFonts w:ascii="Times New Roman" w:cs="Times New Roman" w:eastAsia="Times New Roman" w:hAnsi="Times New Roman"/>
          <w:sz w:val="16"/>
          <w:szCs w:val="16"/>
          <w:color w:val="auto"/>
        </w:rPr>
        <w:t>At December 31, 2016, 2015 and 2014, Credicorp and its Subsidiaries have recorded deferred income tax balance of S/5.3 millones, S/30.9 million , S/27.8 million and S/87.2 million, respectively,resulting from unrealized gains and losses on available-for-sale investments and cash flow hedges.</w:t>
      </w:r>
    </w:p>
    <w:p>
      <w:pPr>
        <w:spacing w:after="0" w:line="143" w:lineRule="exact"/>
        <w:rPr>
          <w:sz w:val="20"/>
          <w:szCs w:val="20"/>
          <w:color w:val="auto"/>
        </w:rPr>
      </w:pPr>
    </w:p>
    <w:p>
      <w:pPr>
        <w:ind w:left="283" w:hanging="283"/>
        <w:spacing w:after="0" w:line="285" w:lineRule="auto"/>
        <w:tabs>
          <w:tab w:leader="none" w:pos="28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Peruvian Tax Authorities have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43"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Banco de Crédito del Perú</w:t>
            </w:r>
          </w:p>
        </w:tc>
        <w:tc>
          <w:tcPr>
            <w:tcW w:w="3440" w:type="dxa"/>
            <w:vAlign w:val="bottom"/>
          </w:tcPr>
          <w:p>
            <w:pPr>
              <w:ind w:left="2580"/>
              <w:spacing w:after="0"/>
              <w:rPr>
                <w:sz w:val="20"/>
                <w:szCs w:val="20"/>
                <w:color w:val="auto"/>
              </w:rPr>
            </w:pPr>
            <w:r>
              <w:rPr>
                <w:rFonts w:ascii="Times New Roman" w:cs="Times New Roman" w:eastAsia="Times New Roman" w:hAnsi="Times New Roman"/>
                <w:sz w:val="16"/>
                <w:szCs w:val="16"/>
                <w:color w:val="auto"/>
                <w:w w:val="99"/>
              </w:rPr>
              <w:t>2012 to 2016</w:t>
            </w:r>
          </w:p>
        </w:tc>
      </w:tr>
      <w:tr>
        <w:trPr>
          <w:trHeight w:val="19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Edyficar</w:t>
            </w:r>
          </w:p>
        </w:tc>
        <w:tc>
          <w:tcPr>
            <w:tcW w:w="3440" w:type="dxa"/>
            <w:vAlign w:val="bottom"/>
          </w:tcPr>
          <w:p>
            <w:pPr>
              <w:ind w:left="2580"/>
              <w:spacing w:after="0"/>
              <w:rPr>
                <w:sz w:val="20"/>
                <w:szCs w:val="20"/>
                <w:color w:val="auto"/>
              </w:rPr>
            </w:pPr>
            <w:r>
              <w:rPr>
                <w:rFonts w:ascii="Times New Roman" w:cs="Times New Roman" w:eastAsia="Times New Roman" w:hAnsi="Times New Roman"/>
                <w:sz w:val="16"/>
                <w:szCs w:val="16"/>
                <w:color w:val="auto"/>
                <w:w w:val="99"/>
              </w:rPr>
              <w:t>2012 to 2016</w:t>
            </w:r>
          </w:p>
        </w:tc>
      </w:tr>
      <w:tr>
        <w:trPr>
          <w:trHeight w:val="19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Prima AFP</w:t>
            </w:r>
          </w:p>
        </w:tc>
        <w:tc>
          <w:tcPr>
            <w:tcW w:w="3440" w:type="dxa"/>
            <w:vAlign w:val="bottom"/>
          </w:tcPr>
          <w:p>
            <w:pPr>
              <w:ind w:left="2580"/>
              <w:spacing w:after="0"/>
              <w:rPr>
                <w:sz w:val="20"/>
                <w:szCs w:val="20"/>
                <w:color w:val="auto"/>
              </w:rPr>
            </w:pPr>
            <w:r>
              <w:rPr>
                <w:rFonts w:ascii="Times New Roman" w:cs="Times New Roman" w:eastAsia="Times New Roman" w:hAnsi="Times New Roman"/>
                <w:sz w:val="16"/>
                <w:szCs w:val="16"/>
                <w:color w:val="auto"/>
                <w:w w:val="99"/>
              </w:rPr>
              <w:t>2012 to 2016</w:t>
            </w:r>
          </w:p>
        </w:tc>
      </w:tr>
      <w:tr>
        <w:trPr>
          <w:trHeight w:val="19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Pacífico Peruano Suiza</w:t>
            </w:r>
          </w:p>
        </w:tc>
        <w:tc>
          <w:tcPr>
            <w:tcW w:w="3440" w:type="dxa"/>
            <w:vAlign w:val="bottom"/>
          </w:tcPr>
          <w:p>
            <w:pPr>
              <w:ind w:left="2580"/>
              <w:spacing w:after="0"/>
              <w:rPr>
                <w:sz w:val="20"/>
                <w:szCs w:val="20"/>
                <w:color w:val="auto"/>
              </w:rPr>
            </w:pPr>
            <w:r>
              <w:rPr>
                <w:rFonts w:ascii="Times New Roman" w:cs="Times New Roman" w:eastAsia="Times New Roman" w:hAnsi="Times New Roman"/>
                <w:sz w:val="16"/>
                <w:szCs w:val="16"/>
                <w:color w:val="auto"/>
                <w:w w:val="99"/>
              </w:rPr>
              <w:t>2012 to 2016</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Pacífico Vida</w:t>
            </w:r>
          </w:p>
        </w:tc>
        <w:tc>
          <w:tcPr>
            <w:tcW w:w="3440" w:type="dxa"/>
            <w:vAlign w:val="bottom"/>
          </w:tcPr>
          <w:p>
            <w:pPr>
              <w:ind w:left="2580"/>
              <w:spacing w:after="0"/>
              <w:rPr>
                <w:sz w:val="20"/>
                <w:szCs w:val="20"/>
                <w:color w:val="auto"/>
              </w:rPr>
            </w:pPr>
            <w:r>
              <w:rPr>
                <w:rFonts w:ascii="Times New Roman" w:cs="Times New Roman" w:eastAsia="Times New Roman" w:hAnsi="Times New Roman"/>
                <w:sz w:val="16"/>
                <w:szCs w:val="16"/>
                <w:color w:val="auto"/>
                <w:w w:val="99"/>
              </w:rPr>
              <w:t>2012 to 2016</w:t>
            </w:r>
          </w:p>
        </w:tc>
      </w:tr>
    </w:tbl>
    <w:p>
      <w:pPr>
        <w:spacing w:after="0" w:line="17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At December 31, 2016 Peruvian tax authorities are currently examining BCP’s income tax returns for fiscal 2010.</w:t>
      </w:r>
    </w:p>
    <w:p>
      <w:pPr>
        <w:spacing w:after="0" w:line="203" w:lineRule="exact"/>
        <w:rPr>
          <w:sz w:val="20"/>
          <w:szCs w:val="20"/>
          <w:color w:val="auto"/>
        </w:rPr>
      </w:pPr>
    </w:p>
    <w:p>
      <w:pPr>
        <w:jc w:val="both"/>
        <w:ind w:left="283" w:right="480"/>
        <w:spacing w:after="0" w:line="268" w:lineRule="auto"/>
        <w:rPr>
          <w:sz w:val="20"/>
          <w:szCs w:val="20"/>
          <w:color w:val="auto"/>
        </w:rPr>
      </w:pPr>
      <w:r>
        <w:rPr>
          <w:rFonts w:ascii="Times New Roman" w:cs="Times New Roman" w:eastAsia="Times New Roman" w:hAnsi="Times New Roman"/>
          <w:sz w:val="16"/>
          <w:szCs w:val="16"/>
          <w:color w:val="auto"/>
        </w:rPr>
        <w:t>The Bolivian, Chilean and Colombian tax authorities have the right to review and, if necessary, amend the annual income tax returns filed by the foreign subsidiaries operating in those countries for the last four, three and two fiscal years, respectively, after their filing date. Income tax returns of the subsidiaries below remain to be examined by the respective tax authorities for the following fiscal years:</w:t>
      </w:r>
    </w:p>
    <w:p>
      <w:pPr>
        <w:spacing w:after="0" w:line="157"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Banco de Crédito de Bolivia</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 2014, 2015 and 2016</w:t>
            </w:r>
          </w:p>
        </w:tc>
      </w:tr>
      <w:tr>
        <w:trPr>
          <w:trHeight w:val="19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Credicorp Capital Colombia</w:t>
            </w: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 and 2016</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Inversiones IMT S.A.</w:t>
            </w:r>
          </w:p>
        </w:tc>
        <w:tc>
          <w:tcPr>
            <w:tcW w:w="2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2013, 2014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 and 2016</w:t>
            </w:r>
          </w:p>
        </w:tc>
      </w:tr>
    </w:tbl>
    <w:p>
      <w:pPr>
        <w:spacing w:after="0" w:line="177" w:lineRule="exact"/>
        <w:rPr>
          <w:sz w:val="20"/>
          <w:szCs w:val="20"/>
          <w:color w:val="auto"/>
        </w:rPr>
      </w:pPr>
    </w:p>
    <w:p>
      <w:pPr>
        <w:ind w:left="283" w:right="80"/>
        <w:spacing w:after="0" w:line="263" w:lineRule="auto"/>
        <w:rPr>
          <w:sz w:val="20"/>
          <w:szCs w:val="20"/>
          <w:color w:val="auto"/>
        </w:rPr>
      </w:pPr>
      <w:r>
        <w:rPr>
          <w:rFonts w:ascii="Times New Roman" w:cs="Times New Roman" w:eastAsia="Times New Roman" w:hAnsi="Times New Roman"/>
          <w:sz w:val="16"/>
          <w:szCs w:val="16"/>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2016 and 2015.</w:t>
      </w:r>
    </w:p>
    <w:p>
      <w:pPr>
        <w:spacing w:after="0" w:line="159"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20</w:t>
      </w:r>
      <w:r>
        <w:rPr>
          <w:sz w:val="20"/>
          <w:szCs w:val="20"/>
          <w:color w:val="auto"/>
        </w:rPr>
        <w:tab/>
      </w:r>
      <w:r>
        <w:rPr>
          <w:rFonts w:ascii="Times New Roman" w:cs="Times New Roman" w:eastAsia="Times New Roman" w:hAnsi="Times New Roman"/>
          <w:sz w:val="16"/>
          <w:szCs w:val="16"/>
          <w:b w:val="1"/>
          <w:bCs w:val="1"/>
          <w:color w:val="auto"/>
        </w:rPr>
        <w:t>SHARE-BASED COMPENSATION PLANS</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Stock awards (“equity-settled transaction”) -</w:t>
      </w:r>
    </w:p>
    <w:p>
      <w:pPr>
        <w:spacing w:after="0" w:line="203" w:lineRule="exact"/>
        <w:rPr>
          <w:sz w:val="20"/>
          <w:szCs w:val="20"/>
          <w:color w:val="auto"/>
        </w:rPr>
      </w:pPr>
    </w:p>
    <w:p>
      <w:pPr>
        <w:ind w:left="3" w:right="40"/>
        <w:spacing w:after="0" w:line="268" w:lineRule="auto"/>
        <w:rPr>
          <w:sz w:val="20"/>
          <w:szCs w:val="20"/>
          <w:color w:val="auto"/>
        </w:rPr>
      </w:pPr>
      <w:r>
        <w:rPr>
          <w:rFonts w:ascii="Times New Roman" w:cs="Times New Roman" w:eastAsia="Times New Roman" w:hAnsi="Times New Roman"/>
          <w:sz w:val="16"/>
          <w:szCs w:val="16"/>
          <w:color w:val="auto"/>
        </w:rPr>
        <w:t>As indicated in Note 3(y), on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corresponds to 30 percent of the benefit.</w:t>
      </w:r>
    </w:p>
    <w:p>
      <w:pPr>
        <w:spacing w:after="0" w:line="157" w:lineRule="exact"/>
        <w:rPr>
          <w:sz w:val="20"/>
          <w:szCs w:val="20"/>
          <w:color w:val="auto"/>
        </w:rPr>
      </w:pPr>
    </w:p>
    <w:p>
      <w:pPr>
        <w:ind w:left="3" w:right="120"/>
        <w:spacing w:after="0" w:line="285" w:lineRule="auto"/>
        <w:rPr>
          <w:sz w:val="20"/>
          <w:szCs w:val="20"/>
          <w:color w:val="auto"/>
        </w:rPr>
      </w:pPr>
      <w:r>
        <w:rPr>
          <w:rFonts w:ascii="Times New Roman" w:cs="Times New Roman" w:eastAsia="Times New Roman" w:hAnsi="Times New Roman"/>
          <w:sz w:val="16"/>
          <w:szCs w:val="16"/>
          <w:color w:val="auto"/>
        </w:rPr>
        <w:t>At December 31, 2016, 2015 and 2014, the Group has granted 145,476, 129,091 and 126,750 Credicorp shares, of which 273,587 and 252,778 shares were pending delivery as of December 31, 2016 and 2015, respectively. During those years, the recorded expense amounted to approximately S/94.9 million and S/73.2 million, respectively.</w:t>
      </w:r>
    </w:p>
    <w:p>
      <w:pPr>
        <w:spacing w:after="0" w:line="337"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6"/>
          <w:szCs w:val="16"/>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94" w:name="page95"/>
    <w:bookmarkEnd w:id="94"/>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OFF-BALANCE SHEET ACCOUNTS</w:t>
      </w:r>
    </w:p>
    <w:p>
      <w:pPr>
        <w:spacing w:after="0" w:line="205" w:lineRule="exact"/>
        <w:rPr>
          <w:sz w:val="20"/>
          <w:szCs w:val="20"/>
          <w:color w:val="auto"/>
        </w:rPr>
      </w:pPr>
    </w:p>
    <w:p>
      <w:pPr>
        <w:ind w:left="283" w:hanging="283"/>
        <w:spacing w:after="0"/>
        <w:tabs>
          <w:tab w:leader="none" w:pos="28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consists of the following:</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5" w:lineRule="exact"/>
        <w:rPr>
          <w:rFonts w:ascii="Times New Roman" w:cs="Times New Roman" w:eastAsia="Times New Roman" w:hAnsi="Times New Roman"/>
          <w:sz w:val="16"/>
          <w:szCs w:val="16"/>
          <w:color w:val="auto"/>
        </w:rPr>
      </w:pPr>
    </w:p>
    <w:p>
      <w:pPr>
        <w:ind w:left="283" w:right="422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Contingent credits – indirect loans (b), Note 7(a) </w:t>
      </w:r>
      <w:r>
        <w:rPr>
          <w:rFonts w:ascii="Times New Roman" w:cs="Times New Roman" w:eastAsia="Times New Roman" w:hAnsi="Times New Roman"/>
          <w:sz w:val="16"/>
          <w:szCs w:val="16"/>
          <w:color w:val="auto"/>
        </w:rPr>
        <w:t>Guarantees and standby letters</w:t>
      </w:r>
    </w:p>
    <w:p>
      <w:pPr>
        <w:ind w:left="283" w:right="4640"/>
        <w:spacing w:after="0" w:line="6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 and export letters of credit Responsibilities under credit line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-878840</wp:posOffset>
            </wp:positionV>
            <wp:extent cx="6969125" cy="1225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69125" cy="12255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-633095</wp:posOffset>
            </wp:positionV>
            <wp:extent cx="6969125" cy="130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69125" cy="13017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-372110</wp:posOffset>
            </wp:positionV>
            <wp:extent cx="6969125" cy="1225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69125" cy="122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204"/>
        </w:trPr>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r>
    </w:tbl>
    <w:p>
      <w:pPr>
        <w:spacing w:after="0" w:line="352" w:lineRule="exact"/>
        <w:rPr>
          <w:sz w:val="20"/>
          <w:szCs w:val="20"/>
          <w:color w:val="auto"/>
        </w:rPr>
      </w:pPr>
    </w:p>
    <w:p>
      <w:pPr>
        <w:jc w:val="both"/>
        <w:ind w:left="480"/>
        <w:spacing w:after="0"/>
        <w:tabs>
          <w:tab w:leader="none" w:pos="1860" w:val="left"/>
        </w:tabs>
        <w:rPr>
          <w:sz w:val="20"/>
          <w:szCs w:val="20"/>
          <w:color w:val="auto"/>
        </w:rPr>
      </w:pPr>
      <w:r>
        <w:rPr>
          <w:rFonts w:ascii="Times New Roman" w:cs="Times New Roman" w:eastAsia="Times New Roman" w:hAnsi="Times New Roman"/>
          <w:sz w:val="16"/>
          <w:szCs w:val="16"/>
          <w:color w:val="auto"/>
        </w:rPr>
        <w:t>18,000,311</w:t>
      </w:r>
      <w:r>
        <w:rPr>
          <w:sz w:val="20"/>
          <w:szCs w:val="20"/>
          <w:color w:val="auto"/>
        </w:rPr>
        <w:tab/>
      </w:r>
      <w:r>
        <w:rPr>
          <w:rFonts w:ascii="Times New Roman" w:cs="Times New Roman" w:eastAsia="Times New Roman" w:hAnsi="Times New Roman"/>
          <w:sz w:val="16"/>
          <w:szCs w:val="16"/>
          <w:color w:val="auto"/>
        </w:rPr>
        <w:t>17,415,674</w:t>
      </w:r>
    </w:p>
    <w:p>
      <w:pPr>
        <w:spacing w:after="0" w:line="26" w:lineRule="exact"/>
        <w:rPr>
          <w:sz w:val="20"/>
          <w:szCs w:val="20"/>
          <w:color w:val="auto"/>
        </w:rPr>
      </w:pPr>
    </w:p>
    <w:p>
      <w:pPr>
        <w:jc w:val="both"/>
        <w:ind w:left="560"/>
        <w:spacing w:after="0"/>
        <w:tabs>
          <w:tab w:leader="none" w:pos="1940" w:val="left"/>
        </w:tabs>
        <w:rPr>
          <w:sz w:val="20"/>
          <w:szCs w:val="20"/>
          <w:color w:val="auto"/>
        </w:rPr>
      </w:pPr>
      <w:r>
        <w:rPr>
          <w:rFonts w:ascii="Times New Roman" w:cs="Times New Roman" w:eastAsia="Times New Roman" w:hAnsi="Times New Roman"/>
          <w:sz w:val="16"/>
          <w:szCs w:val="16"/>
          <w:color w:val="auto"/>
        </w:rPr>
        <w:t>1,831,674</w:t>
      </w:r>
      <w:r>
        <w:rPr>
          <w:sz w:val="20"/>
          <w:szCs w:val="20"/>
          <w:color w:val="auto"/>
        </w:rPr>
        <w:tab/>
      </w:r>
      <w:r>
        <w:rPr>
          <w:rFonts w:ascii="Times New Roman" w:cs="Times New Roman" w:eastAsia="Times New Roman" w:hAnsi="Times New Roman"/>
          <w:sz w:val="16"/>
          <w:szCs w:val="16"/>
          <w:color w:val="auto"/>
        </w:rPr>
        <w:t>1,589,006</w:t>
      </w:r>
    </w:p>
    <w:p>
      <w:pPr>
        <w:spacing w:after="0" w:line="21" w:lineRule="exact"/>
        <w:rPr>
          <w:sz w:val="20"/>
          <w:szCs w:val="20"/>
          <w:color w:val="auto"/>
        </w:rPr>
      </w:pPr>
    </w:p>
    <w:p>
      <w:pPr>
        <w:jc w:val="both"/>
        <w:ind w:left="480"/>
        <w:spacing w:after="0"/>
        <w:tabs>
          <w:tab w:leader="none" w:pos="1860" w:val="left"/>
        </w:tabs>
        <w:rPr>
          <w:sz w:val="20"/>
          <w:szCs w:val="20"/>
          <w:color w:val="auto"/>
        </w:rPr>
      </w:pPr>
      <w:r>
        <w:rPr>
          <w:rFonts w:ascii="Times New Roman" w:cs="Times New Roman" w:eastAsia="Times New Roman" w:hAnsi="Times New Roman"/>
          <w:sz w:val="16"/>
          <w:szCs w:val="16"/>
          <w:color w:val="auto"/>
        </w:rPr>
        <w:t>19,831,985</w:t>
      </w:r>
      <w:r>
        <w:rPr>
          <w:sz w:val="20"/>
          <w:szCs w:val="20"/>
          <w:color w:val="auto"/>
        </w:rPr>
        <w:tab/>
      </w:r>
      <w:r>
        <w:rPr>
          <w:rFonts w:ascii="Times New Roman" w:cs="Times New Roman" w:eastAsia="Times New Roman" w:hAnsi="Times New Roman"/>
          <w:sz w:val="16"/>
          <w:szCs w:val="16"/>
          <w:color w:val="auto"/>
        </w:rPr>
        <w:t>19,004,680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166560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191" w:lineRule="exact"/>
        <w:rPr>
          <w:sz w:val="20"/>
          <w:szCs w:val="20"/>
          <w:color w:val="auto"/>
        </w:rPr>
      </w:pPr>
    </w:p>
    <w:p>
      <w:pPr>
        <w:jc w:val="both"/>
        <w:ind w:left="480"/>
        <w:spacing w:after="0"/>
        <w:tabs>
          <w:tab w:leader="none" w:pos="1860" w:val="left"/>
        </w:tabs>
        <w:rPr>
          <w:sz w:val="20"/>
          <w:szCs w:val="20"/>
          <w:color w:val="auto"/>
        </w:rPr>
      </w:pPr>
      <w:r>
        <w:rPr>
          <w:rFonts w:ascii="Times New Roman" w:cs="Times New Roman" w:eastAsia="Times New Roman" w:hAnsi="Times New Roman"/>
          <w:sz w:val="16"/>
          <w:szCs w:val="16"/>
          <w:color w:val="auto"/>
        </w:rPr>
        <w:t>25,812,963</w:t>
      </w:r>
      <w:r>
        <w:rPr>
          <w:sz w:val="20"/>
          <w:szCs w:val="20"/>
          <w:color w:val="auto"/>
        </w:rPr>
        <w:tab/>
      </w:r>
      <w:r>
        <w:rPr>
          <w:rFonts w:ascii="Times New Roman" w:cs="Times New Roman" w:eastAsia="Times New Roman" w:hAnsi="Times New Roman"/>
          <w:sz w:val="16"/>
          <w:szCs w:val="16"/>
          <w:color w:val="auto"/>
        </w:rPr>
        <w:t>23,002,691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166560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7823" w:space="720"/>
            <w:col w:w="2880"/>
          </w:cols>
          <w:pgMar w:left="237" w:top="822" w:right="239" w:bottom="1440" w:gutter="0" w:footer="0" w:header="0"/>
        </w:sectPr>
      </w:pPr>
    </w:p>
    <w:p>
      <w:pPr>
        <w:ind w:left="283"/>
        <w:spacing w:after="0"/>
        <w:rPr>
          <w:sz w:val="20"/>
          <w:szCs w:val="20"/>
          <w:color w:val="auto"/>
        </w:rPr>
      </w:pPr>
      <w:r>
        <w:rPr>
          <w:rFonts w:ascii="Times New Roman" w:cs="Times New Roman" w:eastAsia="Times New Roman" w:hAnsi="Times New Roman"/>
          <w:sz w:val="16"/>
          <w:szCs w:val="16"/>
          <w:color w:val="auto"/>
        </w:rPr>
        <w:t>Reference value of operations with derivatives are recorded in off-balance sheet accounts in the committed currency, as shown in note 12 (b).</w:t>
      </w:r>
    </w:p>
    <w:p>
      <w:pPr>
        <w:spacing w:after="0" w:line="203" w:lineRule="exact"/>
        <w:rPr>
          <w:sz w:val="20"/>
          <w:szCs w:val="20"/>
          <w:color w:val="auto"/>
        </w:rPr>
      </w:pPr>
    </w:p>
    <w:p>
      <w:pPr>
        <w:ind w:left="283" w:hanging="283"/>
        <w:spacing w:after="0" w:line="285" w:lineRule="auto"/>
        <w:tabs>
          <w:tab w:leader="none" w:pos="28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normal course of its business, the Group’s banking subsidiaries are party to transactions with off-balance sheet risk. These transactions expose them to credit risk in addition to the amounts recognized in the consolidated statement of financial position.</w:t>
      </w:r>
    </w:p>
    <w:p>
      <w:pPr>
        <w:spacing w:after="0" w:line="143" w:lineRule="exact"/>
        <w:rPr>
          <w:rFonts w:ascii="Times New Roman" w:cs="Times New Roman" w:eastAsia="Times New Roman" w:hAnsi="Times New Roman"/>
          <w:sz w:val="16"/>
          <w:szCs w:val="16"/>
          <w:color w:val="auto"/>
        </w:rPr>
      </w:pPr>
    </w:p>
    <w:p>
      <w:pPr>
        <w:ind w:left="283" w:right="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for contingent transactions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commitments and conditional obligations as it does for on-balance sheet instruments (Note 7(a)), including the requirement to obtain collateral when it is deemed necessary.</w:t>
      </w:r>
    </w:p>
    <w:p>
      <w:pPr>
        <w:spacing w:after="0" w:line="157" w:lineRule="exact"/>
        <w:rPr>
          <w:rFonts w:ascii="Times New Roman" w:cs="Times New Roman" w:eastAsia="Times New Roman" w:hAnsi="Times New Roman"/>
          <w:sz w:val="16"/>
          <w:szCs w:val="16"/>
          <w:color w:val="auto"/>
        </w:rPr>
      </w:pPr>
    </w:p>
    <w:p>
      <w:pPr>
        <w:ind w:left="283" w:right="7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43" w:lineRule="exact"/>
        <w:rPr>
          <w:rFonts w:ascii="Times New Roman" w:cs="Times New Roman" w:eastAsia="Times New Roman" w:hAnsi="Times New Roman"/>
          <w:sz w:val="16"/>
          <w:szCs w:val="16"/>
          <w:color w:val="auto"/>
        </w:rPr>
      </w:pPr>
    </w:p>
    <w:p>
      <w:pPr>
        <w:ind w:left="283" w:hanging="283"/>
        <w:spacing w:after="0" w:line="285" w:lineRule="auto"/>
        <w:tabs>
          <w:tab w:leader="none" w:pos="28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Lines of credit conceded include consumer loans and other consumer loan facilities (credit card receivables) granted to clients and are cancelable upon related notice to the customer.</w:t>
      </w:r>
    </w:p>
    <w:p>
      <w:pPr>
        <w:spacing w:after="0" w:line="33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2" w:right="2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12"/>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22</w:t>
            </w:r>
          </w:p>
        </w:tc>
        <w:tc>
          <w:tcPr>
            <w:tcW w:w="6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AND SIMILAR INCOME AND INTEREST AND SIMILAR EXPENSE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2"/>
          </w:tcPr>
          <w:p>
            <w:pPr>
              <w:ind w:left="62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62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 and similar income</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on loans</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9,479,867</w:t>
            </w: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8,706,372</w:t>
            </w:r>
          </w:p>
        </w:tc>
        <w:tc>
          <w:tcPr>
            <w:tcW w:w="220" w:type="dxa"/>
            <w:vAlign w:val="bottom"/>
          </w:tcPr>
          <w:p>
            <w:pPr>
              <w:spacing w:after="0"/>
              <w:rPr>
                <w:sz w:val="16"/>
                <w:szCs w:val="16"/>
                <w:color w:val="auto"/>
              </w:rPr>
            </w:pP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7,667,485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on available-for-sale investments</w:t>
            </w: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1,018,470</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853,365</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690,605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on due from banks</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48,626</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32,818</w:t>
            </w: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52,243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received</w:t>
            </w: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51,831</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55,594</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on trading securities</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86,568</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68,538</w:t>
            </w: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70,542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Fluctuation for derivative financial instruments</w:t>
            </w: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44,500</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207,938</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interest and similar income</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87,693</w:t>
            </w:r>
          </w:p>
        </w:tc>
        <w:tc>
          <w:tcPr>
            <w:tcW w:w="56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67,402</w:t>
            </w: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37,644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10,817,555</w:t>
            </w: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9,992,027</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8,600,866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 and similar expense</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on deposits and obligations</w:t>
            </w: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(1,062,751)</w:t>
            </w:r>
          </w:p>
        </w:tc>
        <w:tc>
          <w:tcPr>
            <w:tcW w:w="560" w:type="dxa"/>
            <w:vAlign w:val="bottom"/>
          </w:tcPr>
          <w:p>
            <w:pPr>
              <w:spacing w:after="0"/>
              <w:rPr>
                <w:sz w:val="16"/>
                <w:szCs w:val="16"/>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(859,797)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(831,350)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on bonds and notes issued</w:t>
            </w: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(805,351)</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(753,174)</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on due to banks and correspondents</w:t>
            </w: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(822,514)</w:t>
            </w:r>
          </w:p>
        </w:tc>
        <w:tc>
          <w:tcPr>
            <w:tcW w:w="560" w:type="dxa"/>
            <w:vAlign w:val="bottom"/>
          </w:tcPr>
          <w:p>
            <w:pPr>
              <w:spacing w:after="0"/>
              <w:rPr>
                <w:sz w:val="16"/>
                <w:szCs w:val="16"/>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(758,396)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(420,617)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interest and similar expense</w:t>
            </w: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(224,098)</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(155,766)</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6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(2,914,714</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(2,527,133</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(2,191,062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79"/>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23</w:t>
            </w:r>
          </w:p>
        </w:tc>
        <w:tc>
          <w:tcPr>
            <w:tcW w:w="6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COMMISSIONS AND FEES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2"/>
          </w:tcPr>
          <w:p>
            <w:pPr>
              <w:ind w:left="62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62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300" w:type="dxa"/>
            <w:vAlign w:val="bottom"/>
            <w:gridSpan w:val="3"/>
          </w:tcPr>
          <w:p>
            <w:pPr>
              <w:spacing w:after="0"/>
              <w:rPr>
                <w:sz w:val="15"/>
                <w:szCs w:val="15"/>
                <w:color w:val="auto"/>
              </w:rPr>
            </w:pPr>
          </w:p>
        </w:tc>
        <w:tc>
          <w:tcPr>
            <w:tcW w:w="10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Maintenance of accounts, transfers and credit and debit card services</w:t>
            </w: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1,146,082</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1,128,067</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1,236,722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Funds management</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467,558</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476,277</w:t>
            </w: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452,956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loan and foreign trade fees</w:t>
            </w: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260,704</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214,501</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195,565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Collection services</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331,885</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344,375</w:t>
            </w: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262,689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Commissions for banking services</w:t>
            </w: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202,863</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215,478</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117,634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Brokerage, securities and custody services</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166,581</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70,437</w:t>
            </w: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137,159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6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195,888</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195,056</w:t>
            </w: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119,104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26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2,771,561</w:t>
            </w:r>
          </w:p>
        </w:tc>
        <w:tc>
          <w:tcPr>
            <w:tcW w:w="24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2,644,191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2,521,829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6"/>
                <w:szCs w:val="16"/>
                <w:color w:val="auto"/>
              </w:rPr>
              <w:t>- 97 -</w:t>
            </w: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96" w:name="page97"/>
    <w:bookmarkEnd w:id="96"/>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24</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NET PREMIUMS EARNED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87"/>
        </w:trPr>
        <w:tc>
          <w:tcPr>
            <w:tcW w:w="5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9"/>
        </w:trPr>
        <w:tc>
          <w:tcPr>
            <w:tcW w:w="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Premiums ceded</w:t>
            </w:r>
          </w:p>
        </w:tc>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Assumed from</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193"/>
        </w:trPr>
        <w:tc>
          <w:tcPr>
            <w:tcW w:w="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 reinsurers, net</w:t>
            </w:r>
          </w:p>
        </w:tc>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Net premiums</w:t>
            </w:r>
          </w:p>
        </w:tc>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assumed net</w:t>
            </w:r>
          </w:p>
        </w:tc>
      </w:tr>
      <w:tr>
        <w:trPr>
          <w:trHeight w:val="212"/>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Gross premiums (*)</w:t>
            </w:r>
          </w:p>
        </w:tc>
        <w:tc>
          <w:tcPr>
            <w:tcW w:w="1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companies, net</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earned</w:t>
            </w:r>
          </w:p>
        </w:tc>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premiums</w:t>
            </w:r>
          </w:p>
        </w:tc>
      </w:tr>
      <w:tr>
        <w:trPr>
          <w:trHeight w:val="186"/>
        </w:trPr>
        <w:tc>
          <w:tcPr>
            <w:tcW w:w="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6"/>
                <w:szCs w:val="16"/>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0" w:type="dxa"/>
            <w:vAlign w:val="bottom"/>
          </w:tcPr>
          <w:p>
            <w:pPr>
              <w:spacing w:after="0"/>
              <w:rPr>
                <w:sz w:val="16"/>
                <w:szCs w:val="16"/>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Life 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876,315</w:t>
            </w:r>
          </w:p>
        </w:tc>
        <w:tc>
          <w:tcPr>
            <w:tcW w:w="24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(37,725)</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838,590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insurance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415,152</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(10,011)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405,329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General 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1,005,426</w:t>
            </w: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(455,850)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2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555,196</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2,296,893</w:t>
            </w:r>
          </w:p>
        </w:tc>
        <w:tc>
          <w:tcPr>
            <w:tcW w:w="2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(503,586</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1,799,115</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Life insurance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857,576</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(36,971)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820,605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Health 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388,002</w:t>
            </w:r>
          </w:p>
        </w:tc>
        <w:tc>
          <w:tcPr>
            <w:tcW w:w="24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(9,186)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379,516</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insurance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948,177</w:t>
            </w:r>
          </w:p>
        </w:tc>
        <w:tc>
          <w:tcPr>
            <w:tcW w:w="2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(423,955)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9,635</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533,857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2,193,755</w:t>
            </w:r>
          </w:p>
        </w:tc>
        <w:tc>
          <w:tcPr>
            <w:tcW w:w="24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(470,112</w:t>
            </w:r>
          </w:p>
        </w:tc>
        <w:tc>
          <w:tcPr>
            <w:tcW w:w="2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22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1,733,978</w:t>
            </w:r>
          </w:p>
        </w:tc>
        <w:tc>
          <w:tcPr>
            <w:tcW w:w="22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Life 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671,380</w:t>
            </w:r>
          </w:p>
        </w:tc>
        <w:tc>
          <w:tcPr>
            <w:tcW w:w="24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(33,626)</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637,754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insurance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1,078,211</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(8,426)</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1,070,899</w:t>
            </w:r>
          </w:p>
        </w:tc>
        <w:tc>
          <w:tcPr>
            <w:tcW w:w="2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General 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909,207</w:t>
            </w: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(450,964)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22,770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481,013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2,658,798</w:t>
            </w:r>
          </w:p>
        </w:tc>
        <w:tc>
          <w:tcPr>
            <w:tcW w:w="2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(493,016</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23,884</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2,189,666</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3" w:hanging="283"/>
        <w:spacing w:after="0"/>
        <w:tabs>
          <w:tab w:leader="none" w:pos="28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variation of the unearned premiums and other technical reserves.</w:t>
      </w:r>
    </w:p>
    <w:p>
      <w:pPr>
        <w:spacing w:after="0" w:line="396" w:lineRule="exact"/>
        <w:rPr>
          <w:rFonts w:ascii="Times New Roman" w:cs="Times New Roman" w:eastAsia="Times New Roman" w:hAnsi="Times New Roman"/>
          <w:sz w:val="16"/>
          <w:szCs w:val="16"/>
          <w:color w:val="auto"/>
        </w:rPr>
      </w:pPr>
    </w:p>
    <w:p>
      <w:pPr>
        <w:ind w:left="5643" w:hanging="94"/>
        <w:spacing w:after="0"/>
        <w:tabs>
          <w:tab w:leader="none" w:pos="5643"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2"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“Premiums ceded to reinsurers, net” includes: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9"/>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6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24"/>
                <w:szCs w:val="24"/>
                <w:color w:val="auto"/>
              </w:rPr>
            </w:pPr>
          </w:p>
        </w:tc>
      </w:tr>
      <w:tr>
        <w:trPr>
          <w:trHeight w:val="186"/>
        </w:trPr>
        <w:tc>
          <w:tcPr>
            <w:tcW w:w="5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60" w:type="dxa"/>
            <w:vAlign w:val="bottom"/>
          </w:tcPr>
          <w:p>
            <w:pPr>
              <w:spacing w:after="0"/>
              <w:rPr>
                <w:sz w:val="16"/>
                <w:szCs w:val="16"/>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0" w:type="dxa"/>
            <w:vAlign w:val="bottom"/>
          </w:tcPr>
          <w:p>
            <w:pPr>
              <w:spacing w:after="0"/>
              <w:rPr>
                <w:sz w:val="16"/>
                <w:szCs w:val="16"/>
                <w:color w:val="auto"/>
              </w:rPr>
            </w:pPr>
          </w:p>
        </w:tc>
      </w:tr>
      <w:tr>
        <w:trPr>
          <w:trHeight w:val="193"/>
        </w:trPr>
        <w:tc>
          <w:tcPr>
            <w:tcW w:w="58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Premiums ceded for automatic contracts (mainly excess of loss), note 9(b)</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(201,892)</w:t>
            </w:r>
          </w:p>
        </w:tc>
        <w:tc>
          <w:tcPr>
            <w:tcW w:w="12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(145,618)</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(143,041)</w:t>
            </w:r>
          </w:p>
        </w:tc>
      </w:tr>
      <w:tr>
        <w:trPr>
          <w:trHeight w:val="193"/>
        </w:trPr>
        <w:tc>
          <w:tcPr>
            <w:tcW w:w="58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Premiums ceded for facultative contracts, note 9(b)</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(292,555)</w:t>
            </w:r>
          </w:p>
        </w:tc>
        <w:tc>
          <w:tcPr>
            <w:tcW w:w="12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(331,329)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(314,624)</w:t>
            </w:r>
          </w:p>
        </w:tc>
      </w:tr>
      <w:tr>
        <w:trPr>
          <w:trHeight w:val="205"/>
        </w:trPr>
        <w:tc>
          <w:tcPr>
            <w:tcW w:w="58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variation for unearned premiums ceded reserves, note 9(b)</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(9,139)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(35,351)</w:t>
            </w:r>
          </w:p>
        </w:tc>
      </w:tr>
      <w:tr>
        <w:trPr>
          <w:trHeight w:val="185"/>
        </w:trPr>
        <w:tc>
          <w:tcPr>
            <w:tcW w:w="5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(503,586</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(470,112</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(493,016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b)</w:t>
        <w:tab/>
        <w:t>Gross premiums earned by insurance type and their participation in total gross premiums are described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0" w:type="dxa"/>
            <w:vAlign w:val="bottom"/>
            <w:gridSpan w:val="2"/>
          </w:tcPr>
          <w:p>
            <w:pPr>
              <w:ind w:left="12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100" w:type="dxa"/>
            <w:vAlign w:val="bottom"/>
            <w:tcBorders>
              <w:top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100" w:type="dxa"/>
            <w:vAlign w:val="bottom"/>
            <w:tcBorders>
              <w:top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Life insurance (i)</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876,315</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38.16</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857,576</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671,380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Health insurance (ii)</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415,152</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18.07</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388,002</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22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1,078,211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40.55</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insurance (iii)</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1,005,426</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43.77</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948,177</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909,207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34.20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2,296,893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2,193,755</w:t>
            </w:r>
          </w:p>
        </w:tc>
        <w:tc>
          <w:tcPr>
            <w:tcW w:w="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2,658,798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- 99 -</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4" w:right="219" w:bottom="1440" w:gutter="0" w:footer="0" w:header="0"/>
        </w:sectPr>
      </w:pPr>
    </w:p>
    <w:bookmarkStart w:id="98" w:name="page99"/>
    <w:bookmarkEnd w:id="98"/>
    <w:p>
      <w:pPr>
        <w:spacing w:after="0"/>
        <w:tabs>
          <w:tab w:leader="none" w:pos="280" w:val="left"/>
        </w:tabs>
        <w:rPr>
          <w:sz w:val="20"/>
          <w:szCs w:val="20"/>
          <w:color w:val="auto"/>
        </w:rPr>
      </w:pPr>
      <w:r>
        <w:rPr>
          <w:rFonts w:ascii="Times New Roman" w:cs="Times New Roman" w:eastAsia="Times New Roman" w:hAnsi="Times New Roman"/>
          <w:sz w:val="16"/>
          <w:szCs w:val="16"/>
          <w:color w:val="auto"/>
        </w:rPr>
        <w:t>(i)</w:t>
        <w:tab/>
        <w:t>The breakdown of life insurance gross premiums earned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3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4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100" w:type="dxa"/>
            <w:vAlign w:val="bottom"/>
            <w:tcBorders>
              <w:top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Credit life</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366,623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41.83</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343,643</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271,269</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40.40</w:t>
            </w:r>
          </w:p>
        </w:tc>
        <w:tc>
          <w:tcPr>
            <w:tcW w:w="80" w:type="dxa"/>
            <w:vAlign w:val="bottom"/>
            <w:shd w:val="clear" w:color="auto" w:fill="CCEEFF"/>
          </w:tcPr>
          <w:p>
            <w:pPr>
              <w:spacing w:after="0"/>
              <w:rPr>
                <w:sz w:val="16"/>
                <w:szCs w:val="16"/>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Group life</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118,634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13.54</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187,857</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22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168,912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25.16</w:t>
            </w:r>
          </w:p>
        </w:tc>
        <w:tc>
          <w:tcPr>
            <w:tcW w:w="80" w:type="dxa"/>
            <w:vAlign w:val="bottom"/>
          </w:tcPr>
          <w:p>
            <w:pPr>
              <w:spacing w:after="0"/>
              <w:rPr>
                <w:sz w:val="16"/>
                <w:szCs w:val="16"/>
                <w:color w:val="auto"/>
              </w:rPr>
            </w:pPr>
          </w:p>
        </w:tc>
      </w:tr>
      <w:tr>
        <w:trPr>
          <w:trHeight w:val="19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Retirement, disability and survival (*)</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214,310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24.46</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116,251</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2,344</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0.35</w:t>
            </w:r>
          </w:p>
        </w:tc>
        <w:tc>
          <w:tcPr>
            <w:tcW w:w="80" w:type="dxa"/>
            <w:vAlign w:val="bottom"/>
            <w:shd w:val="clear" w:color="auto" w:fill="CCEEFF"/>
          </w:tcPr>
          <w:p>
            <w:pPr>
              <w:spacing w:after="0"/>
              <w:rPr>
                <w:sz w:val="16"/>
                <w:szCs w:val="16"/>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Annuities</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28,799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16,853</w:t>
            </w:r>
          </w:p>
        </w:tc>
        <w:tc>
          <w:tcPr>
            <w:tcW w:w="3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1.96</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10,194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6"/>
                <w:szCs w:val="16"/>
                <w:color w:val="auto"/>
              </w:rPr>
            </w:pPr>
          </w:p>
        </w:tc>
      </w:tr>
      <w:tr>
        <w:trPr>
          <w:trHeight w:val="205"/>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Individual life and personal accident (**)</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147,949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16.88</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192,972</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218,661</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32.57</w:t>
            </w:r>
          </w:p>
        </w:tc>
        <w:tc>
          <w:tcPr>
            <w:tcW w:w="80" w:type="dxa"/>
            <w:vAlign w:val="bottom"/>
            <w:shd w:val="clear" w:color="auto" w:fill="CCEEFF"/>
          </w:tcPr>
          <w:p>
            <w:pPr>
              <w:spacing w:after="0"/>
              <w:rPr>
                <w:sz w:val="17"/>
                <w:szCs w:val="17"/>
                <w:color w:val="auto"/>
              </w:rPr>
            </w:pPr>
          </w:p>
        </w:tc>
      </w:tr>
      <w:tr>
        <w:trPr>
          <w:trHeight w:val="185"/>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life insurance gross premiums</w:t>
            </w:r>
          </w:p>
        </w:tc>
        <w:tc>
          <w:tcPr>
            <w:tcW w:w="6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857,576</w:t>
            </w:r>
          </w:p>
        </w:tc>
        <w:tc>
          <w:tcPr>
            <w:tcW w:w="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77" w:lineRule="exact"/>
        <w:rPr>
          <w:sz w:val="20"/>
          <w:szCs w:val="20"/>
          <w:color w:val="auto"/>
        </w:rPr>
      </w:pPr>
    </w:p>
    <w:p>
      <w:pPr>
        <w:ind w:right="4680" w:firstLine="7"/>
        <w:spacing w:after="0" w:line="285" w:lineRule="auto"/>
        <w:tabs>
          <w:tab w:leader="none" w:pos="38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includes Complementary Work Risk Insurance (SCTR from its Spanish acronym) (**) This item includes Unit-Linked insurance contracts</w:t>
      </w:r>
    </w:p>
    <w:p>
      <w:pPr>
        <w:spacing w:after="0" w:line="143" w:lineRule="exact"/>
        <w:rPr>
          <w:sz w:val="20"/>
          <w:szCs w:val="20"/>
          <w:color w:val="auto"/>
        </w:rPr>
      </w:pPr>
    </w:p>
    <w:p>
      <w:pPr>
        <w:ind w:left="400" w:right="60" w:hanging="393"/>
        <w:spacing w:after="0" w:line="285" w:lineRule="auto"/>
        <w:tabs>
          <w:tab w:leader="none" w:pos="4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 insurance gross premiums includes medical assistance which amounts to S/371.2 million at December 31, 2016, (S/348.8 and S/1,052.3 million in 2015 and 2014, respectively) and represents 89.42 percent of this line of business at 2016 (89.9 and 97.6 percent at 2015 and 2014, respectively).</w:t>
      </w:r>
    </w:p>
    <w:p>
      <w:pPr>
        <w:spacing w:after="0" w:line="336" w:lineRule="exact"/>
        <w:rPr>
          <w:rFonts w:ascii="Times New Roman" w:cs="Times New Roman" w:eastAsia="Times New Roman" w:hAnsi="Times New Roman"/>
          <w:sz w:val="16"/>
          <w:szCs w:val="16"/>
          <w:color w:val="auto"/>
        </w:rPr>
      </w:pPr>
    </w:p>
    <w:p>
      <w:pPr>
        <w:ind w:left="5320" w:hanging="95"/>
        <w:spacing w:after="0"/>
        <w:tabs>
          <w:tab w:leader="none" w:pos="532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80"/>
          </w:cols>
          <w:pgMar w:left="520" w:top="824"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color w:val="auto"/>
        </w:rPr>
        <w:t>(iii) General insurance gross premiums consists of the following:</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720" w:type="dxa"/>
            <w:vAlign w:val="bottom"/>
          </w:tcPr>
          <w:p>
            <w:pPr>
              <w:spacing w:after="0"/>
              <w:rPr>
                <w:sz w:val="16"/>
                <w:szCs w:val="16"/>
                <w:color w:val="auto"/>
              </w:rPr>
            </w:pPr>
          </w:p>
        </w:tc>
        <w:tc>
          <w:tcPr>
            <w:tcW w:w="1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4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94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00" w:type="dxa"/>
            <w:vAlign w:val="bottom"/>
          </w:tcPr>
          <w:p>
            <w:pPr>
              <w:spacing w:after="0"/>
              <w:rPr>
                <w:sz w:val="16"/>
                <w:szCs w:val="16"/>
                <w:color w:val="auto"/>
              </w:rPr>
            </w:pPr>
          </w:p>
        </w:tc>
      </w:tr>
      <w:tr>
        <w:trPr>
          <w:trHeight w:val="19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Automobile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335,790</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33.39</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319,130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338,378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37.22</w:t>
            </w:r>
          </w:p>
        </w:tc>
      </w:tr>
      <w:tr>
        <w:trPr>
          <w:trHeight w:val="19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Fire and allied lines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274,206</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27.27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212,197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163,984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18.04</w:t>
            </w:r>
          </w:p>
        </w:tc>
      </w:tr>
      <w:tr>
        <w:trPr>
          <w:trHeight w:val="19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Technical lines (*)</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70,640</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7.03</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74,182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7.82</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73,683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8.10</w:t>
            </w:r>
          </w:p>
        </w:tc>
      </w:tr>
      <w:tr>
        <w:trPr>
          <w:trHeight w:val="19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Third party liability</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42,968</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41,815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4.41</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64,462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7.09</w:t>
            </w:r>
          </w:p>
        </w:tc>
      </w:tr>
      <w:tr>
        <w:trPr>
          <w:trHeight w:val="19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Aviation</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55,149</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5.49</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64,380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6.79</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47,689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5.25</w:t>
            </w:r>
          </w:p>
        </w:tc>
      </w:tr>
      <w:tr>
        <w:trPr>
          <w:trHeight w:val="19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Theft and robbery</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79,588</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7.92</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73,305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7.73</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67,446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7.42</w:t>
            </w:r>
          </w:p>
        </w:tc>
      </w:tr>
      <w:tr>
        <w:trPr>
          <w:trHeight w:val="19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Transport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51,697</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5.14</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61,424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6.48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48,825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5.37</w:t>
            </w:r>
          </w:p>
        </w:tc>
      </w:tr>
      <w:tr>
        <w:trPr>
          <w:trHeight w:val="19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SOAT (Mandatory automobile line)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20,830</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23,608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28,381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w:t>
            </w:r>
          </w:p>
        </w:tc>
      </w:tr>
      <w:tr>
        <w:trPr>
          <w:trHeight w:val="19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Marine Hull</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27,954</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21,851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2.30</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17,671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r>
      <w:tr>
        <w:trPr>
          <w:trHeight w:val="205"/>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46,604</w:t>
            </w:r>
          </w:p>
        </w:tc>
        <w:tc>
          <w:tcPr>
            <w:tcW w:w="3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4.64</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56,285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58,688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w:t>
            </w:r>
          </w:p>
        </w:tc>
      </w:tr>
      <w:tr>
        <w:trPr>
          <w:trHeight w:val="185"/>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life insurance gross premiums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1,005,426</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948,177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909,207</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77" w:lineRule="exact"/>
        <w:rPr>
          <w:sz w:val="20"/>
          <w:szCs w:val="20"/>
          <w:color w:val="auto"/>
        </w:rPr>
      </w:pPr>
    </w:p>
    <w:p>
      <w:pPr>
        <w:ind w:left="580" w:right="200" w:hanging="283"/>
        <w:spacing w:after="0" w:line="285" w:lineRule="auto"/>
        <w:tabs>
          <w:tab w:leader="none" w:pos="5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lines include Contractor’s All Risk (CAR), Machinery breakdown, All Risk (EAR), Electronic equipment (EE), All Risk Contractor’s Equipment ( ARCE).</w:t>
      </w:r>
    </w:p>
    <w:p>
      <w:pPr>
        <w:spacing w:after="0" w:line="336" w:lineRule="exact"/>
        <w:rPr>
          <w:rFonts w:ascii="Times New Roman" w:cs="Times New Roman" w:eastAsia="Times New Roman" w:hAnsi="Times New Roman"/>
          <w:sz w:val="16"/>
          <w:szCs w:val="16"/>
          <w:color w:val="auto"/>
        </w:rPr>
      </w:pPr>
    </w:p>
    <w:p>
      <w:pPr>
        <w:ind w:left="5320" w:hanging="95"/>
        <w:spacing w:after="0"/>
        <w:tabs>
          <w:tab w:leader="none" w:pos="532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20"/>
          </w:cols>
          <w:pgMar w:left="520" w:top="824" w:right="459" w:bottom="1440" w:gutter="0" w:footer="0" w:header="0"/>
        </w:sectPr>
      </w:pPr>
    </w:p>
    <w:bookmarkStart w:id="100" w:name="page101"/>
    <w:bookmarkEnd w:id="100"/>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25</w:t>
      </w:r>
      <w:r>
        <w:rPr>
          <w:sz w:val="20"/>
          <w:szCs w:val="20"/>
          <w:color w:val="auto"/>
        </w:rPr>
        <w:tab/>
      </w:r>
      <w:r>
        <w:rPr>
          <w:rFonts w:ascii="Times New Roman" w:cs="Times New Roman" w:eastAsia="Times New Roman" w:hAnsi="Times New Roman"/>
          <w:sz w:val="16"/>
          <w:szCs w:val="16"/>
          <w:b w:val="1"/>
          <w:bCs w:val="1"/>
          <w:color w:val="auto"/>
        </w:rPr>
        <w:t>NET CLAIMS INCURRED FOR LIFE, PROPERTY AND CASUALTY AND HEALTH INSURANCE CONTRACTS,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
          </w:tcPr>
          <w:p>
            <w:pPr>
              <w:ind w:left="50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Life</w:t>
            </w: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General</w:t>
            </w:r>
          </w:p>
        </w:tc>
        <w:tc>
          <w:tcPr>
            <w:tcW w:w="14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Health</w:t>
            </w: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36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6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claims, note 16(b)</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618,274</w:t>
            </w:r>
          </w:p>
        </w:tc>
        <w:tc>
          <w:tcPr>
            <w:tcW w:w="16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351,227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274,902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1,244,403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Ceded claims, note 9(b)</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(28,128)</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(106,450)</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(10,920)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(145,498)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insurance claims</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590,146</w:t>
            </w: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244,777</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263,982</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1,098,905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
          </w:tcPr>
          <w:p>
            <w:pPr>
              <w:ind w:left="5060"/>
              <w:spacing w:after="0"/>
              <w:rPr>
                <w:sz w:val="20"/>
                <w:szCs w:val="20"/>
                <w:color w:val="auto"/>
              </w:rPr>
            </w:pPr>
            <w:r>
              <w:rPr>
                <w:rFonts w:ascii="Times New Roman" w:cs="Times New Roman" w:eastAsia="Times New Roman" w:hAnsi="Times New Roman"/>
                <w:sz w:val="16"/>
                <w:szCs w:val="16"/>
                <w:b w:val="1"/>
                <w:bCs w:val="1"/>
                <w:color w:val="auto"/>
              </w:rPr>
              <w:t>2015</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Life</w:t>
            </w: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General</w:t>
            </w:r>
          </w:p>
        </w:tc>
        <w:tc>
          <w:tcPr>
            <w:tcW w:w="14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Health</w:t>
            </w: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36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6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claims, note 16(b)</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546,645</w:t>
            </w:r>
          </w:p>
        </w:tc>
        <w:tc>
          <w:tcPr>
            <w:tcW w:w="16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341,470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263,438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1,151,553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Ceded claims, note 9(b)</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(26,490)</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(85,109)</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(8,295)</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(119,894)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insurance claims</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520,155</w:t>
            </w: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256,361</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255,143</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1,031,659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
          </w:tcPr>
          <w:p>
            <w:pPr>
              <w:ind w:left="5060"/>
              <w:spacing w:after="0"/>
              <w:rPr>
                <w:sz w:val="20"/>
                <w:szCs w:val="20"/>
                <w:color w:val="auto"/>
              </w:rPr>
            </w:pPr>
            <w:r>
              <w:rPr>
                <w:rFonts w:ascii="Times New Roman" w:cs="Times New Roman" w:eastAsia="Times New Roman" w:hAnsi="Times New Roman"/>
                <w:sz w:val="16"/>
                <w:szCs w:val="16"/>
                <w:b w:val="1"/>
                <w:bCs w:val="1"/>
                <w:color w:val="auto"/>
              </w:rPr>
              <w:t>2014</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Life</w:t>
            </w: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General</w:t>
            </w:r>
          </w:p>
        </w:tc>
        <w:tc>
          <w:tcPr>
            <w:tcW w:w="14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Health</w:t>
            </w: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36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6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claims, note 16(b)</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351,445</w:t>
            </w:r>
          </w:p>
        </w:tc>
        <w:tc>
          <w:tcPr>
            <w:tcW w:w="16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337,864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834,296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1,523,605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Ceded claims, note 9(b)</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(24,091)</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(67,108)</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(5,673)</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(96,872)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insurance claims</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327,354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270,756</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828,623</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1,426,733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26</w:t>
            </w:r>
          </w:p>
        </w:tc>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SALARIES AND EMPLOYEES BENEFITS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gridSpan w:val="2"/>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w:t>
            </w:r>
          </w:p>
        </w:tc>
        <w:tc>
          <w:tcPr>
            <w:tcW w:w="5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1,622,065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1,594,538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1,410,351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Vacations, medical assistance and others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295,404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301,478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391,483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5"/>
              </w:rPr>
              <w:t>Bonuses</w:t>
            </w:r>
          </w:p>
        </w:tc>
        <w:tc>
          <w:tcPr>
            <w:tcW w:w="5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233,163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221,654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258,146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Additional participation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200,120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160,336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147,265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Worders’ profit sharing</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194,851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230,701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146,304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Social security</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172,090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172,909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131,573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indemnities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130,179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123,552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125,681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Share-based payment plans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94,871</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73,150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62,628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0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2,942,743</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2,878,318</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2,673,431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ind w:left="4940"/>
              <w:spacing w:after="0"/>
              <w:rPr>
                <w:sz w:val="20"/>
                <w:szCs w:val="20"/>
                <w:color w:val="auto"/>
              </w:rPr>
            </w:pPr>
            <w:r>
              <w:rPr>
                <w:rFonts w:ascii="Times New Roman" w:cs="Times New Roman" w:eastAsia="Times New Roman" w:hAnsi="Times New Roman"/>
                <w:sz w:val="16"/>
                <w:szCs w:val="16"/>
                <w:color w:val="auto"/>
              </w:rPr>
              <w:t>- 102 -</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101" w:name="page102"/>
    <w:bookmarkEnd w:id="101"/>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27</w:t>
            </w:r>
          </w:p>
        </w:tc>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ADMINISTRATIVE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80" w:type="dxa"/>
            <w:vAlign w:val="bottom"/>
            <w:gridSpan w:val="2"/>
          </w:tcPr>
          <w:p>
            <w:pPr>
              <w:ind w:left="65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50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2015</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0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Repair and maintenance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423,219</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387,222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329,018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w w:val="93"/>
              </w:rPr>
              <w:t>Publicity</w:t>
            </w:r>
          </w:p>
        </w:tc>
        <w:tc>
          <w:tcPr>
            <w:tcW w:w="6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300,401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273,881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and contributions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270,932</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249,474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201,782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6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226,301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214,012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202,323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Consulting and professional fees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183,751</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177,145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175,868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Transport and communications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188,444</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195,118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200,207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501,630</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498,950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553,168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52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2,094,678</w:t>
            </w:r>
          </w:p>
        </w:tc>
        <w:tc>
          <w:tcPr>
            <w:tcW w:w="240" w:type="dxa"/>
            <w:vAlign w:val="bottom"/>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1,995,802</w:t>
            </w:r>
          </w:p>
        </w:tc>
        <w:tc>
          <w:tcPr>
            <w:tcW w:w="2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1,930,483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3" w:right="280" w:hanging="283"/>
        <w:spacing w:after="0" w:line="285" w:lineRule="auto"/>
        <w:tabs>
          <w:tab w:leader="none" w:pos="28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is made up mainly of security and protection, cleaning service, entertainment expenses, light and water, insurance expenses, subscription expenses, Agentes BCP commission expenses, Reniec expenses, among others.</w:t>
      </w:r>
    </w:p>
    <w:p>
      <w:pPr>
        <w:spacing w:after="0" w:line="141"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28</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OTHER INCOME AND EXPENSES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This item consists of the following:</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20" w:type="dxa"/>
            <w:vAlign w:val="bottom"/>
            <w:gridSpan w:val="2"/>
          </w:tcPr>
          <w:p>
            <w:pPr>
              <w:ind w:left="66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medical services and sale of medicines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136,919</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133,828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460,883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rental income</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37,324</w:t>
            </w: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26,357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profit from sale of seized and recovered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4,195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Recoveries of other accounts receivable and other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1,481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Others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164,180</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159,805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155,282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income</w:t>
            </w: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344,460</w:t>
            </w: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325,666</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639,572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Commissions from insurance activities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272,949</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231,521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262,692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Sundry technical insurance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102,670</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95,857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75,917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Expenses on improvements in building for rent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43,775</w:t>
            </w: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45,266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38,065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due to operational risk</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37,407</w:t>
            </w: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21,439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Administrative and tax penalties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16,374</w:t>
            </w: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5,581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sundry risks, note 12(d)</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28,093</w:t>
            </w: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38,248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70,094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Put option write on non-controlling interests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8,972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52,625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other accounts receivable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12,516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profit from sale of seized and recovered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medical services and sale of medicines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310,164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6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86,252</w:t>
            </w:r>
          </w:p>
        </w:tc>
        <w:tc>
          <w:tcPr>
            <w:tcW w:w="6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74,189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97,972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expenses</w:t>
            </w: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609,075</w:t>
            </w: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534,372</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932,920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rPr>
              <w:t>- 103 -</w:t>
            </w: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3"/>
          </w:cols>
          <w:pgMar w:left="237" w:top="822" w:right="219" w:bottom="1440" w:gutter="0" w:footer="0" w:header="0"/>
        </w:sectPr>
      </w:pPr>
    </w:p>
    <w:bookmarkStart w:id="102" w:name="page103"/>
    <w:bookmarkEnd w:id="102"/>
    <w:p>
      <w:pPr>
        <w:ind w:left="283" w:right="100" w:hanging="283"/>
        <w:spacing w:after="0" w:line="263" w:lineRule="auto"/>
        <w:tabs>
          <w:tab w:leader="none" w:pos="28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comprises cash overages, refund for payment protection insurance made to us by Pacífico Vida, liquidation for sale of shares of Credicorp, use of trade name BCP Bolivia, penalty for breach of contract, commissions for recovery in civil and judicial lawsuits of Personal Credits and Credit Card products, collection of commission for leasing clients for relocation, vehicle taxes, municipal property taxes, fines and penalties related to leasing product, improvements in process of negotiation of shared services with Group companies, among others.</w:t>
      </w:r>
    </w:p>
    <w:p>
      <w:pPr>
        <w:spacing w:after="0" w:line="159"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29</w:t>
      </w:r>
      <w:r>
        <w:rPr>
          <w:sz w:val="20"/>
          <w:szCs w:val="20"/>
          <w:color w:val="auto"/>
        </w:rPr>
        <w:tab/>
      </w:r>
      <w:r>
        <w:rPr>
          <w:rFonts w:ascii="Times New Roman" w:cs="Times New Roman" w:eastAsia="Times New Roman" w:hAnsi="Times New Roman"/>
          <w:sz w:val="16"/>
          <w:szCs w:val="16"/>
          <w:b w:val="1"/>
          <w:bCs w:val="1"/>
          <w:color w:val="auto"/>
        </w:rPr>
        <w:t>EARNINGS PER SHARE</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net earnings per ordinary share were determined over the net income attributable to equity holders of the Group as follows:</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gridSpan w:val="2"/>
          </w:tcPr>
          <w:p>
            <w:pPr>
              <w:ind w:left="67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500" w:type="dxa"/>
            <w:vAlign w:val="bottom"/>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08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equity holders of Credicorp (in thousands of soles)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3,514,582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3,092,303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2,387,852</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stock</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Ordinary stock, note 18(a)</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94,382,317</w:t>
            </w: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94,382,317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94,382,317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 treasury stock</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(14,903,833)</w:t>
            </w: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(14,894,664)</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(14,892,821)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Acquisition of treasury stock, net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(8,778)</w:t>
            </w:r>
          </w:p>
        </w:tc>
        <w:tc>
          <w:tcPr>
            <w:tcW w:w="4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(6,877)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11,027</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7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for basic earnings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79,469,706</w:t>
            </w: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79,480,776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79,500,523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Plus - dilution effect - stock awards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143,903</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128,373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173,536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adjusted for the effect of dilution</w:t>
            </w: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79,613,609</w:t>
            </w:r>
          </w:p>
        </w:tc>
        <w:tc>
          <w:tcPr>
            <w:tcW w:w="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79,609,149</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79,674,059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080" w:type="dxa"/>
            <w:vAlign w:val="bottom"/>
            <w:gridSpan w:val="2"/>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Basic earnings per share (in soles)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38.91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share (in soles)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38.84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29.97</w:t>
            </w:r>
          </w:p>
        </w:tc>
        <w:tc>
          <w:tcPr>
            <w:tcW w:w="0" w:type="dxa"/>
            <w:vAlign w:val="bottom"/>
          </w:tcPr>
          <w:p>
            <w:pPr>
              <w:spacing w:after="0"/>
              <w:rPr>
                <w:sz w:val="1"/>
                <w:szCs w:val="1"/>
                <w:color w:val="auto"/>
              </w:rPr>
            </w:pPr>
          </w:p>
        </w:tc>
      </w:tr>
      <w:tr>
        <w:trPr>
          <w:trHeight w:val="386"/>
        </w:trPr>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30</w:t>
            </w: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SEGMENTS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For management purposes, the Group is organized into four reportable segments based on products and services as follows:</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Banking -</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Principally handling loans, credit facilities, deposits and current accounts.</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Insurance -</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Principally comprising the issue of insurance policies to cover losses in commercial property, transportation, marine vessels, automobile, life, health and pension funds. .</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Pension funds -</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Providing services of private pension fund management to affiliated pensioners.</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Investment banking -</w:t>
      </w:r>
    </w:p>
    <w:p>
      <w:pPr>
        <w:spacing w:after="0" w:line="203" w:lineRule="exact"/>
        <w:rPr>
          <w:sz w:val="20"/>
          <w:szCs w:val="20"/>
          <w:color w:val="auto"/>
        </w:rPr>
      </w:pPr>
    </w:p>
    <w:p>
      <w:pPr>
        <w:jc w:val="both"/>
        <w:ind w:left="3" w:right="340"/>
        <w:spacing w:after="0" w:line="268" w:lineRule="auto"/>
        <w:rPr>
          <w:sz w:val="20"/>
          <w:szCs w:val="20"/>
          <w:color w:val="auto"/>
        </w:rPr>
      </w:pPr>
      <w:r>
        <w:rPr>
          <w:rFonts w:ascii="Times New Roman" w:cs="Times New Roman" w:eastAsia="Times New Roman" w:hAnsi="Times New Roman"/>
          <w:sz w:val="16"/>
          <w:szCs w:val="16"/>
          <w:color w:val="auto"/>
        </w:rPr>
        <w:t>Provide investment brokerage and management to a broad and diverse clientele, which includes corporations, institutional investors, governments and foundations. Also the structuring, and placement of issues in the primary market, as well as well as the execution and negotiation of operations in the secondary market. Additionally, it structures securitization processes for companies and manages mutual funds.</w:t>
      </w:r>
    </w:p>
    <w:p>
      <w:pPr>
        <w:spacing w:after="0" w:line="35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03" w:name="page104"/>
    <w:bookmarkEnd w:id="103"/>
    <w:p>
      <w:pPr>
        <w:spacing w:after="0" w:line="285" w:lineRule="auto"/>
        <w:rPr>
          <w:sz w:val="20"/>
          <w:szCs w:val="20"/>
          <w:color w:val="auto"/>
        </w:rPr>
      </w:pPr>
      <w:r>
        <w:rPr>
          <w:rFonts w:ascii="Times New Roman" w:cs="Times New Roman" w:eastAsia="Times New Roman" w:hAnsi="Times New Roman"/>
          <w:sz w:val="16"/>
          <w:szCs w:val="16"/>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Transfer prices used between operating segments are on an arm’s length basis in a manner similar to transactions with third parties.</w:t>
      </w:r>
    </w:p>
    <w:p>
      <w:pPr>
        <w:spacing w:after="0" w:line="203"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6"/>
          <w:szCs w:val="16"/>
          <w:color w:val="auto"/>
        </w:rPr>
        <w:t>No revenue from transactions with a single external customer or counterparty amounted to 10 percent or more of the Group’s total revenue at December 31, 2016, 2015 and 2014.</w:t>
      </w:r>
    </w:p>
    <w:p>
      <w:pPr>
        <w:spacing w:after="0" w:line="3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00"/>
          </w:cols>
          <w:pgMar w:left="240" w:top="824" w:right="459" w:bottom="1440" w:gutter="0" w:footer="0" w:header="0"/>
        </w:sectPr>
      </w:pPr>
    </w:p>
    <w:bookmarkStart w:id="104" w:name="page105"/>
    <w:bookmarkEnd w:id="104"/>
    <w:p>
      <w:pPr>
        <w:ind w:left="283" w:right="100" w:hanging="283"/>
        <w:spacing w:after="0" w:line="285" w:lineRule="auto"/>
        <w:tabs>
          <w:tab w:leader="none" w:pos="28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shows (in millions of soles) a breakdown of the Group’s external income, operating income and non-current assets; classified by location of customers and assets, respectively for the years ended December 31, 2016, 2015 and 2014:</w:t>
      </w:r>
    </w:p>
    <w:p>
      <w:pPr>
        <w:spacing w:after="0" w:line="12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Allowance for</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Impairment of</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Income before</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 income</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loan losses,</w:t>
            </w: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Exchange</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expenditures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2016</w:t>
            </w:r>
          </w:p>
        </w:tc>
        <w:tc>
          <w:tcPr>
            <w:tcW w:w="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net of</w:t>
            </w: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and</w:t>
            </w: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 for</w:t>
            </w:r>
          </w:p>
        </w:tc>
        <w:tc>
          <w:tcPr>
            <w:tcW w:w="104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difference and</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and income</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5"/>
              </w:rPr>
              <w:t>Net profit</w:t>
            </w:r>
          </w:p>
        </w:tc>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intangibles and</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2"/>
              </w:rPr>
              <w:t>Total assets</w:t>
            </w: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80" w:type="dxa"/>
            <w:vAlign w:val="bottom"/>
            <w:gridSpan w:val="2"/>
            <w:vMerge w:val="continue"/>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sale assets</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tax</w:t>
            </w:r>
          </w:p>
        </w:tc>
        <w:tc>
          <w:tcPr>
            <w:tcW w:w="740" w:type="dxa"/>
            <w:vAlign w:val="bottom"/>
            <w:gridSpan w:val="2"/>
            <w:vMerge w:val="continue"/>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720" w:type="dxa"/>
            <w:vAlign w:val="bottom"/>
            <w:gridSpan w:val="2"/>
            <w:vMerge w:val="continue"/>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Banking</w:t>
            </w:r>
          </w:p>
        </w:tc>
        <w:tc>
          <w:tcPr>
            <w:tcW w:w="98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14,409</w:t>
            </w:r>
          </w:p>
        </w:tc>
        <w:tc>
          <w:tcPr>
            <w:tcW w:w="8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7,964</w:t>
            </w:r>
          </w:p>
        </w:tc>
        <w:tc>
          <w:tcPr>
            <w:tcW w:w="980" w:type="dxa"/>
            <w:vAlign w:val="bottom"/>
            <w:gridSpan w:val="2"/>
            <w:shd w:val="clear" w:color="auto" w:fill="CCEEFF"/>
          </w:tcPr>
          <w:p>
            <w:pPr>
              <w:jc w:val="right"/>
              <w:ind w:right="102"/>
              <w:spacing w:after="0" w:line="133" w:lineRule="exact"/>
              <w:rPr>
                <w:sz w:val="20"/>
                <w:szCs w:val="20"/>
                <w:color w:val="auto"/>
              </w:rPr>
            </w:pPr>
            <w:r>
              <w:rPr>
                <w:rFonts w:ascii="Times New Roman" w:cs="Times New Roman" w:eastAsia="Times New Roman" w:hAnsi="Times New Roman"/>
                <w:sz w:val="13"/>
                <w:szCs w:val="13"/>
                <w:color w:val="auto"/>
              </w:rPr>
              <w:t>(1,785)</w:t>
            </w:r>
          </w:p>
        </w:tc>
        <w:tc>
          <w:tcPr>
            <w:tcW w:w="96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(322)</w:t>
            </w:r>
          </w:p>
        </w:tc>
        <w:tc>
          <w:tcPr>
            <w:tcW w:w="960" w:type="dxa"/>
            <w:vAlign w:val="bottom"/>
            <w:gridSpan w:val="2"/>
            <w:shd w:val="clear" w:color="auto" w:fill="CCEEFF"/>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104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11,055</w:t>
            </w:r>
          </w:p>
        </w:tc>
        <w:tc>
          <w:tcPr>
            <w:tcW w:w="8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(1,050)</w:t>
            </w: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10,005</w:t>
            </w:r>
          </w:p>
        </w:tc>
        <w:tc>
          <w:tcPr>
            <w:tcW w:w="10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325</w:t>
            </w:r>
          </w:p>
        </w:tc>
        <w:tc>
          <w:tcPr>
            <w:tcW w:w="7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182,217</w:t>
            </w:r>
          </w:p>
        </w:tc>
        <w:tc>
          <w:tcPr>
            <w:tcW w:w="640" w:type="dxa"/>
            <w:vAlign w:val="bottom"/>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130,132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Insurance</w:t>
            </w:r>
          </w:p>
        </w:tc>
        <w:tc>
          <w:tcPr>
            <w:tcW w:w="98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2,685</w:t>
            </w:r>
          </w:p>
        </w:tc>
        <w:tc>
          <w:tcPr>
            <w:tcW w:w="8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700</w:t>
            </w:r>
          </w:p>
        </w:tc>
        <w:tc>
          <w:tcPr>
            <w:tcW w:w="9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(45)</w:t>
            </w:r>
          </w:p>
        </w:tc>
        <w:tc>
          <w:tcPr>
            <w:tcW w:w="960" w:type="dxa"/>
            <w:vAlign w:val="bottom"/>
            <w:gridSpan w:val="2"/>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530</w:t>
            </w:r>
          </w:p>
        </w:tc>
        <w:tc>
          <w:tcPr>
            <w:tcW w:w="8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(55)</w:t>
            </w:r>
          </w:p>
        </w:tc>
        <w:tc>
          <w:tcPr>
            <w:tcW w:w="7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475</w:t>
            </w:r>
          </w:p>
        </w:tc>
        <w:tc>
          <w:tcPr>
            <w:tcW w:w="10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44</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11,361</w:t>
            </w:r>
          </w:p>
        </w:tc>
        <w:tc>
          <w:tcPr>
            <w:tcW w:w="64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7,826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Pension funds</w:t>
            </w:r>
          </w:p>
        </w:tc>
        <w:tc>
          <w:tcPr>
            <w:tcW w:w="98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5</w:t>
            </w:r>
          </w:p>
        </w:tc>
        <w:tc>
          <w:tcPr>
            <w:tcW w:w="8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9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226</w:t>
            </w:r>
          </w:p>
        </w:tc>
        <w:tc>
          <w:tcPr>
            <w:tcW w:w="8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(70)</w:t>
            </w: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156</w:t>
            </w:r>
          </w:p>
        </w:tc>
        <w:tc>
          <w:tcPr>
            <w:tcW w:w="10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8</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884</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Investments banking</w:t>
            </w:r>
          </w:p>
        </w:tc>
        <w:tc>
          <w:tcPr>
            <w:tcW w:w="98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8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w:t>
            </w:r>
          </w:p>
        </w:tc>
        <w:tc>
          <w:tcPr>
            <w:tcW w:w="9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(22)</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247</w:t>
            </w:r>
          </w:p>
        </w:tc>
        <w:tc>
          <w:tcPr>
            <w:tcW w:w="8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(34)</w:t>
            </w:r>
          </w:p>
        </w:tc>
        <w:tc>
          <w:tcPr>
            <w:tcW w:w="7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213</w:t>
            </w:r>
          </w:p>
        </w:tc>
        <w:tc>
          <w:tcPr>
            <w:tcW w:w="10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9</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4,540</w:t>
            </w:r>
          </w:p>
        </w:tc>
        <w:tc>
          <w:tcPr>
            <w:tcW w:w="64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2,476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eliminations</w:t>
            </w:r>
          </w:p>
        </w:tc>
        <w:tc>
          <w:tcPr>
            <w:tcW w:w="98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(305)</w:t>
            </w:r>
          </w:p>
        </w:tc>
        <w:tc>
          <w:tcPr>
            <w:tcW w:w="8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(64)</w:t>
            </w:r>
          </w:p>
        </w:tc>
        <w:tc>
          <w:tcPr>
            <w:tcW w:w="98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2"/>
              <w:spacing w:after="0" w:line="145" w:lineRule="exact"/>
              <w:rPr>
                <w:sz w:val="20"/>
                <w:szCs w:val="20"/>
                <w:color w:val="auto"/>
              </w:rPr>
            </w:pPr>
            <w:r>
              <w:rPr>
                <w:rFonts w:ascii="Times New Roman" w:cs="Times New Roman" w:eastAsia="Times New Roman" w:hAnsi="Times New Roman"/>
                <w:sz w:val="13"/>
                <w:szCs w:val="13"/>
                <w:color w:val="auto"/>
              </w:rPr>
              <w:t>3</w:t>
            </w:r>
          </w:p>
        </w:tc>
        <w:tc>
          <w:tcPr>
            <w:tcW w:w="8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(7,106)</w:t>
            </w:r>
          </w:p>
        </w:tc>
        <w:tc>
          <w:tcPr>
            <w:tcW w:w="820" w:type="dxa"/>
            <w:vAlign w:val="bottom"/>
            <w:gridSpan w:val="2"/>
            <w:shd w:val="clear" w:color="auto" w:fill="CCEEFF"/>
          </w:tcPr>
          <w:p>
            <w:pPr>
              <w:jc w:val="right"/>
              <w:ind w:right="82"/>
              <w:spacing w:after="0" w:line="145" w:lineRule="exact"/>
              <w:rPr>
                <w:sz w:val="20"/>
                <w:szCs w:val="20"/>
                <w:color w:val="auto"/>
              </w:rPr>
            </w:pPr>
            <w:r>
              <w:rPr>
                <w:rFonts w:ascii="Times New Roman" w:cs="Times New Roman" w:eastAsia="Times New Roman" w:hAnsi="Times New Roman"/>
                <w:sz w:val="13"/>
                <w:szCs w:val="13"/>
                <w:color w:val="auto"/>
              </w:rPr>
              <w:t>(133)</w:t>
            </w:r>
          </w:p>
        </w:tc>
        <w:tc>
          <w:tcPr>
            <w:tcW w:w="74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(7,239)</w:t>
            </w:r>
          </w:p>
        </w:tc>
        <w:tc>
          <w:tcPr>
            <w:tcW w:w="10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(42,567)</w:t>
            </w:r>
          </w:p>
        </w:tc>
        <w:tc>
          <w:tcPr>
            <w:tcW w:w="720" w:type="dxa"/>
            <w:vAlign w:val="bottom"/>
            <w:gridSpan w:val="4"/>
            <w:shd w:val="clear" w:color="auto" w:fill="CCEEFF"/>
          </w:tcPr>
          <w:p>
            <w:pPr>
              <w:ind w:left="300"/>
              <w:spacing w:after="0" w:line="145" w:lineRule="exact"/>
              <w:rPr>
                <w:sz w:val="20"/>
                <w:szCs w:val="20"/>
                <w:color w:val="auto"/>
              </w:rPr>
            </w:pPr>
            <w:r>
              <w:rPr>
                <w:rFonts w:ascii="Times New Roman" w:cs="Times New Roman" w:eastAsia="Times New Roman" w:hAnsi="Times New Roman"/>
                <w:sz w:val="13"/>
                <w:szCs w:val="13"/>
                <w:color w:val="auto"/>
              </w:rPr>
              <w:t>(4,393)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consolidated</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16,819</w:t>
            </w:r>
          </w:p>
        </w:tc>
        <w:tc>
          <w:tcPr>
            <w:tcW w:w="1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8,603</w:t>
            </w:r>
          </w:p>
        </w:tc>
        <w:tc>
          <w:tcPr>
            <w:tcW w:w="1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(1,785</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(407</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4,952</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(1,342</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3,610</w:t>
            </w: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386</w:t>
            </w:r>
          </w:p>
        </w:tc>
        <w:tc>
          <w:tcPr>
            <w:tcW w:w="1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156,435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136,319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Allowance for</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Deprxeciation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Impairment of</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Income before</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 income</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loan losses,</w:t>
            </w: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Exchange</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expenditures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2015</w:t>
            </w:r>
          </w:p>
        </w:tc>
        <w:tc>
          <w:tcPr>
            <w:tcW w:w="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net of</w:t>
            </w: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and</w:t>
            </w: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 for</w:t>
            </w:r>
          </w:p>
        </w:tc>
        <w:tc>
          <w:tcPr>
            <w:tcW w:w="104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difference and</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and income</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5"/>
              </w:rPr>
              <w:t>Net profit</w:t>
            </w:r>
          </w:p>
        </w:tc>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intangibles and</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2"/>
              </w:rPr>
              <w:t>Total assets</w:t>
            </w: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80" w:type="dxa"/>
            <w:vAlign w:val="bottom"/>
            <w:gridSpan w:val="2"/>
            <w:vMerge w:val="continue"/>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sale assets</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tax</w:t>
            </w:r>
          </w:p>
        </w:tc>
        <w:tc>
          <w:tcPr>
            <w:tcW w:w="740" w:type="dxa"/>
            <w:vAlign w:val="bottom"/>
            <w:gridSpan w:val="2"/>
            <w:vMerge w:val="continue"/>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720" w:type="dxa"/>
            <w:vAlign w:val="bottom"/>
            <w:gridSpan w:val="2"/>
            <w:vMerge w:val="continue"/>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Banking</w:t>
            </w:r>
          </w:p>
        </w:tc>
        <w:tc>
          <w:tcPr>
            <w:tcW w:w="98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13,045</w:t>
            </w:r>
          </w:p>
        </w:tc>
        <w:tc>
          <w:tcPr>
            <w:tcW w:w="8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7,366</w:t>
            </w:r>
          </w:p>
        </w:tc>
        <w:tc>
          <w:tcPr>
            <w:tcW w:w="980" w:type="dxa"/>
            <w:vAlign w:val="bottom"/>
            <w:gridSpan w:val="2"/>
            <w:shd w:val="clear" w:color="auto" w:fill="CCEEFF"/>
          </w:tcPr>
          <w:p>
            <w:pPr>
              <w:jc w:val="right"/>
              <w:ind w:right="102"/>
              <w:spacing w:after="0" w:line="133" w:lineRule="exact"/>
              <w:rPr>
                <w:sz w:val="20"/>
                <w:szCs w:val="20"/>
                <w:color w:val="auto"/>
              </w:rPr>
            </w:pPr>
            <w:r>
              <w:rPr>
                <w:rFonts w:ascii="Times New Roman" w:cs="Times New Roman" w:eastAsia="Times New Roman" w:hAnsi="Times New Roman"/>
                <w:sz w:val="13"/>
                <w:szCs w:val="13"/>
                <w:color w:val="auto"/>
              </w:rPr>
              <w:t>(1,896)</w:t>
            </w:r>
          </w:p>
        </w:tc>
        <w:tc>
          <w:tcPr>
            <w:tcW w:w="96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(330)</w:t>
            </w:r>
          </w:p>
        </w:tc>
        <w:tc>
          <w:tcPr>
            <w:tcW w:w="960" w:type="dxa"/>
            <w:vAlign w:val="bottom"/>
            <w:gridSpan w:val="2"/>
            <w:shd w:val="clear" w:color="auto" w:fill="CCEEFF"/>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(31)</w:t>
            </w:r>
          </w:p>
        </w:tc>
        <w:tc>
          <w:tcPr>
            <w:tcW w:w="104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3,786</w:t>
            </w:r>
          </w:p>
        </w:tc>
        <w:tc>
          <w:tcPr>
            <w:tcW w:w="8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(948)</w:t>
            </w: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2,838</w:t>
            </w:r>
          </w:p>
        </w:tc>
        <w:tc>
          <w:tcPr>
            <w:tcW w:w="10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281</w:t>
            </w:r>
          </w:p>
        </w:tc>
        <w:tc>
          <w:tcPr>
            <w:tcW w:w="7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146,496</w:t>
            </w:r>
          </w:p>
        </w:tc>
        <w:tc>
          <w:tcPr>
            <w:tcW w:w="640" w:type="dxa"/>
            <w:vAlign w:val="bottom"/>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134,808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Insurance</w:t>
            </w:r>
          </w:p>
        </w:tc>
        <w:tc>
          <w:tcPr>
            <w:tcW w:w="98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2,268</w:t>
            </w:r>
          </w:p>
        </w:tc>
        <w:tc>
          <w:tcPr>
            <w:tcW w:w="8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702</w:t>
            </w:r>
          </w:p>
        </w:tc>
        <w:tc>
          <w:tcPr>
            <w:tcW w:w="9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(37)</w:t>
            </w:r>
          </w:p>
        </w:tc>
        <w:tc>
          <w:tcPr>
            <w:tcW w:w="960" w:type="dxa"/>
            <w:vAlign w:val="bottom"/>
            <w:gridSpan w:val="2"/>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10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410</w:t>
            </w:r>
          </w:p>
        </w:tc>
        <w:tc>
          <w:tcPr>
            <w:tcW w:w="8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(60)</w:t>
            </w:r>
          </w:p>
        </w:tc>
        <w:tc>
          <w:tcPr>
            <w:tcW w:w="7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350</w:t>
            </w:r>
          </w:p>
        </w:tc>
        <w:tc>
          <w:tcPr>
            <w:tcW w:w="10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120</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9,326</w:t>
            </w:r>
          </w:p>
        </w:tc>
        <w:tc>
          <w:tcPr>
            <w:tcW w:w="64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7,463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Pension funds</w:t>
            </w:r>
          </w:p>
        </w:tc>
        <w:tc>
          <w:tcPr>
            <w:tcW w:w="98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402</w:t>
            </w:r>
          </w:p>
        </w:tc>
        <w:tc>
          <w:tcPr>
            <w:tcW w:w="8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(19)</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226</w:t>
            </w:r>
          </w:p>
        </w:tc>
        <w:tc>
          <w:tcPr>
            <w:tcW w:w="8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(64)</w:t>
            </w: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162</w:t>
            </w:r>
          </w:p>
        </w:tc>
        <w:tc>
          <w:tcPr>
            <w:tcW w:w="10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9</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Investments banking</w:t>
            </w:r>
          </w:p>
        </w:tc>
        <w:tc>
          <w:tcPr>
            <w:tcW w:w="98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492</w:t>
            </w:r>
          </w:p>
        </w:tc>
        <w:tc>
          <w:tcPr>
            <w:tcW w:w="80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w:t>
            </w:r>
          </w:p>
        </w:tc>
        <w:tc>
          <w:tcPr>
            <w:tcW w:w="98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82"/>
              <w:spacing w:after="0" w:line="145" w:lineRule="exact"/>
              <w:rPr>
                <w:sz w:val="20"/>
                <w:szCs w:val="20"/>
                <w:color w:val="auto"/>
              </w:rPr>
            </w:pPr>
            <w:r>
              <w:rPr>
                <w:rFonts w:ascii="Times New Roman" w:cs="Times New Roman" w:eastAsia="Times New Roman" w:hAnsi="Times New Roman"/>
                <w:sz w:val="13"/>
                <w:szCs w:val="13"/>
                <w:color w:val="auto"/>
              </w:rPr>
              <w:t>(20)</w:t>
            </w:r>
          </w:p>
        </w:tc>
        <w:tc>
          <w:tcPr>
            <w:tcW w:w="8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4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7</w:t>
            </w:r>
          </w:p>
        </w:tc>
        <w:tc>
          <w:tcPr>
            <w:tcW w:w="820" w:type="dxa"/>
            <w:vAlign w:val="bottom"/>
            <w:gridSpan w:val="2"/>
          </w:tcPr>
          <w:p>
            <w:pPr>
              <w:jc w:val="right"/>
              <w:ind w:right="82"/>
              <w:spacing w:after="0" w:line="145" w:lineRule="exact"/>
              <w:rPr>
                <w:sz w:val="20"/>
                <w:szCs w:val="20"/>
                <w:color w:val="auto"/>
              </w:rPr>
            </w:pPr>
            <w:r>
              <w:rPr>
                <w:rFonts w:ascii="Times New Roman" w:cs="Times New Roman" w:eastAsia="Times New Roman" w:hAnsi="Times New Roman"/>
                <w:sz w:val="13"/>
                <w:szCs w:val="13"/>
                <w:color w:val="auto"/>
              </w:rPr>
              <w:t>(13)</w:t>
            </w:r>
          </w:p>
        </w:tc>
        <w:tc>
          <w:tcPr>
            <w:tcW w:w="7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(6)</w:t>
            </w:r>
          </w:p>
        </w:tc>
        <w:tc>
          <w:tcPr>
            <w:tcW w:w="10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15</w:t>
            </w:r>
          </w:p>
        </w:tc>
        <w:tc>
          <w:tcPr>
            <w:tcW w:w="7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2,837</w:t>
            </w:r>
          </w:p>
        </w:tc>
        <w:tc>
          <w:tcPr>
            <w:tcW w:w="64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2,086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elimination</w:t>
            </w:r>
          </w:p>
        </w:tc>
        <w:tc>
          <w:tcPr>
            <w:tcW w:w="98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(489)</w:t>
            </w:r>
          </w:p>
        </w:tc>
        <w:tc>
          <w:tcPr>
            <w:tcW w:w="80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100</w:t>
            </w:r>
          </w:p>
        </w:tc>
        <w:tc>
          <w:tcPr>
            <w:tcW w:w="98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15</w:t>
            </w:r>
          </w:p>
        </w:tc>
        <w:tc>
          <w:tcPr>
            <w:tcW w:w="960" w:type="dxa"/>
            <w:vAlign w:val="bottom"/>
            <w:gridSpan w:val="2"/>
            <w:shd w:val="clear" w:color="auto" w:fill="CCEEFF"/>
          </w:tcPr>
          <w:p>
            <w:pPr>
              <w:jc w:val="right"/>
              <w:ind w:right="122"/>
              <w:spacing w:after="0" w:line="145" w:lineRule="exact"/>
              <w:rPr>
                <w:sz w:val="20"/>
                <w:szCs w:val="20"/>
                <w:color w:val="auto"/>
              </w:rPr>
            </w:pPr>
            <w:r>
              <w:rPr>
                <w:rFonts w:ascii="Times New Roman" w:cs="Times New Roman" w:eastAsia="Times New Roman" w:hAnsi="Times New Roman"/>
                <w:sz w:val="13"/>
                <w:szCs w:val="13"/>
                <w:color w:val="auto"/>
              </w:rPr>
              <w:t>10</w:t>
            </w:r>
          </w:p>
        </w:tc>
        <w:tc>
          <w:tcPr>
            <w:tcW w:w="8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(115)</w:t>
            </w:r>
          </w:p>
        </w:tc>
        <w:tc>
          <w:tcPr>
            <w:tcW w:w="820" w:type="dxa"/>
            <w:vAlign w:val="bottom"/>
            <w:gridSpan w:val="2"/>
            <w:shd w:val="clear" w:color="auto" w:fill="CCEEFF"/>
          </w:tcPr>
          <w:p>
            <w:pPr>
              <w:jc w:val="right"/>
              <w:ind w:right="82"/>
              <w:spacing w:after="0" w:line="145" w:lineRule="exact"/>
              <w:rPr>
                <w:sz w:val="20"/>
                <w:szCs w:val="20"/>
                <w:color w:val="auto"/>
              </w:rPr>
            </w:pPr>
            <w:r>
              <w:rPr>
                <w:rFonts w:ascii="Times New Roman" w:cs="Times New Roman" w:eastAsia="Times New Roman" w:hAnsi="Times New Roman"/>
                <w:sz w:val="13"/>
                <w:szCs w:val="13"/>
                <w:color w:val="auto"/>
              </w:rPr>
              <w:t>(66)</w:t>
            </w:r>
          </w:p>
        </w:tc>
        <w:tc>
          <w:tcPr>
            <w:tcW w:w="74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(181)</w:t>
            </w:r>
          </w:p>
        </w:tc>
        <w:tc>
          <w:tcPr>
            <w:tcW w:w="10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(4,060)</w:t>
            </w:r>
          </w:p>
        </w:tc>
        <w:tc>
          <w:tcPr>
            <w:tcW w:w="720" w:type="dxa"/>
            <w:vAlign w:val="bottom"/>
            <w:gridSpan w:val="4"/>
            <w:shd w:val="clear" w:color="auto" w:fill="CCEEFF"/>
          </w:tcPr>
          <w:p>
            <w:pPr>
              <w:ind w:left="300"/>
              <w:spacing w:after="0" w:line="145" w:lineRule="exact"/>
              <w:rPr>
                <w:sz w:val="20"/>
                <w:szCs w:val="20"/>
                <w:color w:val="auto"/>
              </w:rPr>
            </w:pPr>
            <w:r>
              <w:rPr>
                <w:rFonts w:ascii="Times New Roman" w:cs="Times New Roman" w:eastAsia="Times New Roman" w:hAnsi="Times New Roman"/>
                <w:sz w:val="13"/>
                <w:szCs w:val="13"/>
                <w:color w:val="auto"/>
              </w:rPr>
              <w:t>(5,890)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consolidated</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15,718</w:t>
            </w:r>
          </w:p>
        </w:tc>
        <w:tc>
          <w:tcPr>
            <w:tcW w:w="1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8,167</w:t>
            </w:r>
          </w:p>
        </w:tc>
        <w:tc>
          <w:tcPr>
            <w:tcW w:w="1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(1,881</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(396</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4,314</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(1,151</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3,163</w:t>
            </w: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425</w:t>
            </w:r>
          </w:p>
        </w:tc>
        <w:tc>
          <w:tcPr>
            <w:tcW w:w="1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155,480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138,753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Allowance for</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Impairment of</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Income before</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 income</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loan losses,</w:t>
            </w: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Exchange</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expenditures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2014</w:t>
            </w:r>
          </w:p>
        </w:tc>
        <w:tc>
          <w:tcPr>
            <w:tcW w:w="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net of</w:t>
            </w: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and</w:t>
            </w: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 for</w:t>
            </w:r>
          </w:p>
        </w:tc>
        <w:tc>
          <w:tcPr>
            <w:tcW w:w="104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difference and</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and income</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5"/>
              </w:rPr>
              <w:t>Net profit</w:t>
            </w:r>
          </w:p>
        </w:tc>
        <w:tc>
          <w:tcPr>
            <w:tcW w:w="1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intangibles and</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2"/>
              </w:rPr>
              <w:t>Total assets</w:t>
            </w: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80" w:type="dxa"/>
            <w:vAlign w:val="bottom"/>
            <w:gridSpan w:val="2"/>
            <w:vMerge w:val="continue"/>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sale assets</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tax</w:t>
            </w:r>
          </w:p>
        </w:tc>
        <w:tc>
          <w:tcPr>
            <w:tcW w:w="740" w:type="dxa"/>
            <w:vAlign w:val="bottom"/>
            <w:gridSpan w:val="2"/>
            <w:vMerge w:val="continue"/>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720" w:type="dxa"/>
            <w:vAlign w:val="bottom"/>
            <w:gridSpan w:val="2"/>
            <w:vMerge w:val="continue"/>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Banking</w:t>
            </w:r>
          </w:p>
        </w:tc>
        <w:tc>
          <w:tcPr>
            <w:tcW w:w="98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11,540</w:t>
            </w:r>
          </w:p>
        </w:tc>
        <w:tc>
          <w:tcPr>
            <w:tcW w:w="8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6,070</w:t>
            </w:r>
          </w:p>
        </w:tc>
        <w:tc>
          <w:tcPr>
            <w:tcW w:w="980" w:type="dxa"/>
            <w:vAlign w:val="bottom"/>
            <w:gridSpan w:val="2"/>
            <w:shd w:val="clear" w:color="auto" w:fill="CCEEFF"/>
          </w:tcPr>
          <w:p>
            <w:pPr>
              <w:jc w:val="right"/>
              <w:ind w:right="102"/>
              <w:spacing w:after="0" w:line="133" w:lineRule="exact"/>
              <w:rPr>
                <w:sz w:val="20"/>
                <w:szCs w:val="20"/>
                <w:color w:val="auto"/>
              </w:rPr>
            </w:pPr>
            <w:r>
              <w:rPr>
                <w:rFonts w:ascii="Times New Roman" w:cs="Times New Roman" w:eastAsia="Times New Roman" w:hAnsi="Times New Roman"/>
                <w:sz w:val="13"/>
                <w:szCs w:val="13"/>
                <w:color w:val="auto"/>
              </w:rPr>
              <w:t>(1,716)</w:t>
            </w:r>
          </w:p>
        </w:tc>
        <w:tc>
          <w:tcPr>
            <w:tcW w:w="96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(340)</w:t>
            </w:r>
          </w:p>
        </w:tc>
        <w:tc>
          <w:tcPr>
            <w:tcW w:w="960" w:type="dxa"/>
            <w:vAlign w:val="bottom"/>
            <w:gridSpan w:val="2"/>
            <w:shd w:val="clear" w:color="auto" w:fill="CCEEFF"/>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(8)</w:t>
            </w:r>
          </w:p>
        </w:tc>
        <w:tc>
          <w:tcPr>
            <w:tcW w:w="104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2,801</w:t>
            </w:r>
          </w:p>
        </w:tc>
        <w:tc>
          <w:tcPr>
            <w:tcW w:w="8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(681)</w:t>
            </w: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2,120</w:t>
            </w:r>
          </w:p>
        </w:tc>
        <w:tc>
          <w:tcPr>
            <w:tcW w:w="10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381</w:t>
            </w:r>
          </w:p>
        </w:tc>
        <w:tc>
          <w:tcPr>
            <w:tcW w:w="72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124,551</w:t>
            </w:r>
          </w:p>
        </w:tc>
        <w:tc>
          <w:tcPr>
            <w:tcW w:w="640" w:type="dxa"/>
            <w:vAlign w:val="bottom"/>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115,332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Insurance</w:t>
            </w:r>
          </w:p>
        </w:tc>
        <w:tc>
          <w:tcPr>
            <w:tcW w:w="98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2,674</w:t>
            </w:r>
          </w:p>
        </w:tc>
        <w:tc>
          <w:tcPr>
            <w:tcW w:w="8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1,002</w:t>
            </w:r>
          </w:p>
        </w:tc>
        <w:tc>
          <w:tcPr>
            <w:tcW w:w="9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(55)</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232</w:t>
            </w:r>
          </w:p>
        </w:tc>
        <w:tc>
          <w:tcPr>
            <w:tcW w:w="8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7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206</w:t>
            </w:r>
          </w:p>
        </w:tc>
        <w:tc>
          <w:tcPr>
            <w:tcW w:w="10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132</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8,653</w:t>
            </w:r>
          </w:p>
        </w:tc>
        <w:tc>
          <w:tcPr>
            <w:tcW w:w="64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6,837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Pension funds</w:t>
            </w:r>
          </w:p>
        </w:tc>
        <w:tc>
          <w:tcPr>
            <w:tcW w:w="98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391</w:t>
            </w:r>
          </w:p>
        </w:tc>
        <w:tc>
          <w:tcPr>
            <w:tcW w:w="8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221</w:t>
            </w:r>
          </w:p>
        </w:tc>
        <w:tc>
          <w:tcPr>
            <w:tcW w:w="8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(67)</w:t>
            </w:r>
          </w:p>
        </w:tc>
        <w:tc>
          <w:tcPr>
            <w:tcW w:w="7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153</w:t>
            </w:r>
          </w:p>
        </w:tc>
        <w:tc>
          <w:tcPr>
            <w:tcW w:w="10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9</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913</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317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Investment banking</w:t>
            </w:r>
          </w:p>
        </w:tc>
        <w:tc>
          <w:tcPr>
            <w:tcW w:w="98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416</w:t>
            </w:r>
          </w:p>
        </w:tc>
        <w:tc>
          <w:tcPr>
            <w:tcW w:w="8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4</w:t>
            </w:r>
          </w:p>
        </w:tc>
        <w:tc>
          <w:tcPr>
            <w:tcW w:w="98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(18)</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74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(18)</w:t>
            </w:r>
          </w:p>
        </w:tc>
        <w:tc>
          <w:tcPr>
            <w:tcW w:w="10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7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3,467</w:t>
            </w:r>
          </w:p>
        </w:tc>
        <w:tc>
          <w:tcPr>
            <w:tcW w:w="64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2,568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Total elimination</w:t>
            </w:r>
          </w:p>
        </w:tc>
        <w:tc>
          <w:tcPr>
            <w:tcW w:w="98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(395)</w:t>
            </w:r>
          </w:p>
        </w:tc>
        <w:tc>
          <w:tcPr>
            <w:tcW w:w="80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97</w:t>
            </w:r>
          </w:p>
        </w:tc>
        <w:tc>
          <w:tcPr>
            <w:tcW w:w="98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(40)</w:t>
            </w:r>
          </w:p>
        </w:tc>
        <w:tc>
          <w:tcPr>
            <w:tcW w:w="820" w:type="dxa"/>
            <w:vAlign w:val="bottom"/>
            <w:gridSpan w:val="2"/>
            <w:shd w:val="clear" w:color="auto" w:fill="CCEEFF"/>
          </w:tcPr>
          <w:p>
            <w:pPr>
              <w:jc w:val="right"/>
              <w:ind w:right="122"/>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(40)</w:t>
            </w:r>
          </w:p>
        </w:tc>
        <w:tc>
          <w:tcPr>
            <w:tcW w:w="10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(2,750)</w:t>
            </w:r>
          </w:p>
        </w:tc>
        <w:tc>
          <w:tcPr>
            <w:tcW w:w="720" w:type="dxa"/>
            <w:vAlign w:val="bottom"/>
            <w:gridSpan w:val="4"/>
            <w:shd w:val="clear" w:color="auto" w:fill="CCEEFF"/>
          </w:tcPr>
          <w:p>
            <w:pPr>
              <w:ind w:left="300"/>
              <w:spacing w:after="0" w:line="145" w:lineRule="exact"/>
              <w:rPr>
                <w:sz w:val="20"/>
                <w:szCs w:val="20"/>
                <w:color w:val="auto"/>
              </w:rPr>
            </w:pPr>
            <w:r>
              <w:rPr>
                <w:rFonts w:ascii="Times New Roman" w:cs="Times New Roman" w:eastAsia="Times New Roman" w:hAnsi="Times New Roman"/>
                <w:sz w:val="13"/>
                <w:szCs w:val="13"/>
                <w:color w:val="auto"/>
              </w:rPr>
              <w:t>(4,846)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consolidated</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14,626</w:t>
            </w:r>
          </w:p>
        </w:tc>
        <w:tc>
          <w:tcPr>
            <w:tcW w:w="1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7,173</w:t>
            </w:r>
          </w:p>
        </w:tc>
        <w:tc>
          <w:tcPr>
            <w:tcW w:w="1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(1,716</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(434</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3,217</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(796</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2,421</w:t>
            </w: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549</w:t>
            </w:r>
          </w:p>
        </w:tc>
        <w:tc>
          <w:tcPr>
            <w:tcW w:w="1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134,834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120,208</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05" w:name="page106"/>
    <w:bookmarkEnd w:id="105"/>
    <w:p>
      <w:pPr>
        <w:ind w:left="283" w:right="140" w:hanging="283"/>
        <w:spacing w:after="0" w:line="285" w:lineRule="auto"/>
        <w:tabs>
          <w:tab w:leader="none" w:pos="28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folowing table presents (in millions of Soles) the distribution of the external revenue, operating revenue and non-current assets of the Group; all assigned based on the loacation of the clients and assets, respectively, at December 31, 2016, 2015 and 2014:</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At December 31, 2014</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9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Total non</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4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Total non</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940" w:type="dxa"/>
            <w:vAlign w:val="bottom"/>
            <w:gridSpan w:val="3"/>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Total non</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78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4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b w:val="1"/>
                <w:bCs w:val="1"/>
                <w:color w:val="auto"/>
              </w:rPr>
              <w:t>current</w:t>
            </w:r>
          </w:p>
        </w:tc>
        <w:tc>
          <w:tcPr>
            <w:tcW w:w="78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40" w:type="dxa"/>
            <w:vAlign w:val="bottom"/>
            <w:gridSpan w:val="3"/>
          </w:tcPr>
          <w:p>
            <w:pPr>
              <w:ind w:left="120"/>
              <w:spacing w:after="0" w:line="133"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assets (***)</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assets (***)</w:t>
            </w: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Perú</w:t>
            </w:r>
          </w:p>
        </w:tc>
        <w:tc>
          <w:tcPr>
            <w:tcW w:w="7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15,801</w:t>
            </w:r>
          </w:p>
        </w:tc>
        <w:tc>
          <w:tcPr>
            <w:tcW w:w="8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8,180</w:t>
            </w:r>
          </w:p>
        </w:tc>
        <w:tc>
          <w:tcPr>
            <w:tcW w:w="9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3,368</w:t>
            </w: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123,684</w:t>
            </w:r>
          </w:p>
        </w:tc>
        <w:tc>
          <w:tcPr>
            <w:tcW w:w="8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14,091</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7,615</w:t>
            </w:r>
          </w:p>
        </w:tc>
        <w:tc>
          <w:tcPr>
            <w:tcW w:w="8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3,183</w:t>
            </w: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126,759</w:t>
            </w:r>
          </w:p>
        </w:tc>
        <w:tc>
          <w:tcPr>
            <w:tcW w:w="8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13,331</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6,596</w:t>
            </w:r>
          </w:p>
        </w:tc>
        <w:tc>
          <w:tcPr>
            <w:tcW w:w="9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3,607</w:t>
            </w:r>
          </w:p>
        </w:tc>
        <w:tc>
          <w:tcPr>
            <w:tcW w:w="68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109,952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Panama</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427</w:t>
            </w: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147</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78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5,943</w:t>
            </w:r>
          </w:p>
        </w:tc>
        <w:tc>
          <w:tcPr>
            <w:tcW w:w="86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761</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38</w:t>
            </w:r>
          </w:p>
        </w:tc>
        <w:tc>
          <w:tcPr>
            <w:tcW w:w="84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6,128</w:t>
            </w:r>
          </w:p>
        </w:tc>
        <w:tc>
          <w:tcPr>
            <w:tcW w:w="86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666</w:t>
            </w:r>
          </w:p>
        </w:tc>
        <w:tc>
          <w:tcPr>
            <w:tcW w:w="7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109</w:t>
            </w:r>
          </w:p>
        </w:tc>
        <w:tc>
          <w:tcPr>
            <w:tcW w:w="9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5,233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Cayman Islands</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143</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1,371</w:t>
            </w:r>
          </w:p>
        </w:tc>
        <w:tc>
          <w:tcPr>
            <w:tcW w:w="8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490</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130</w:t>
            </w:r>
          </w:p>
        </w:tc>
        <w:tc>
          <w:tcPr>
            <w:tcW w:w="8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w:t>
            </w: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3,019</w:t>
            </w:r>
          </w:p>
        </w:tc>
        <w:tc>
          <w:tcPr>
            <w:tcW w:w="8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304</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116</w:t>
            </w:r>
          </w:p>
        </w:tc>
        <w:tc>
          <w:tcPr>
            <w:tcW w:w="9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w:t>
            </w:r>
          </w:p>
        </w:tc>
        <w:tc>
          <w:tcPr>
            <w:tcW w:w="68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2,617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Bolivia</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712</w:t>
            </w: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1"/>
                <w:szCs w:val="11"/>
                <w:color w:val="auto"/>
              </w:rPr>
            </w:pPr>
          </w:p>
        </w:tc>
        <w:tc>
          <w:tcPr>
            <w:tcW w:w="78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7,401</w:t>
            </w:r>
          </w:p>
        </w:tc>
        <w:tc>
          <w:tcPr>
            <w:tcW w:w="86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487</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267</w:t>
            </w:r>
          </w:p>
        </w:tc>
        <w:tc>
          <w:tcPr>
            <w:tcW w:w="84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84</w:t>
            </w:r>
          </w:p>
        </w:tc>
        <w:tc>
          <w:tcPr>
            <w:tcW w:w="78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6,693</w:t>
            </w:r>
          </w:p>
        </w:tc>
        <w:tc>
          <w:tcPr>
            <w:tcW w:w="86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414</w:t>
            </w:r>
          </w:p>
        </w:tc>
        <w:tc>
          <w:tcPr>
            <w:tcW w:w="7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214</w:t>
            </w:r>
          </w:p>
        </w:tc>
        <w:tc>
          <w:tcPr>
            <w:tcW w:w="9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74</w:t>
            </w:r>
          </w:p>
        </w:tc>
        <w:tc>
          <w:tcPr>
            <w:tcW w:w="68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4,765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Colombia</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36</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1,397</w:t>
            </w:r>
          </w:p>
        </w:tc>
        <w:tc>
          <w:tcPr>
            <w:tcW w:w="8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219</w:t>
            </w:r>
          </w:p>
        </w:tc>
        <w:tc>
          <w:tcPr>
            <w:tcW w:w="7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8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175</w:t>
            </w: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1,500</w:t>
            </w:r>
          </w:p>
        </w:tc>
        <w:tc>
          <w:tcPr>
            <w:tcW w:w="8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232</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203</w:t>
            </w:r>
          </w:p>
        </w:tc>
        <w:tc>
          <w:tcPr>
            <w:tcW w:w="68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1,801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United States of America</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w:t>
            </w:r>
          </w:p>
        </w:tc>
        <w:tc>
          <w:tcPr>
            <w:tcW w:w="86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32</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17</w:t>
            </w:r>
          </w:p>
        </w:tc>
        <w:tc>
          <w:tcPr>
            <w:tcW w:w="84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w:t>
            </w:r>
          </w:p>
        </w:tc>
        <w:tc>
          <w:tcPr>
            <w:tcW w:w="86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7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16</w:t>
            </w:r>
          </w:p>
        </w:tc>
        <w:tc>
          <w:tcPr>
            <w:tcW w:w="940" w:type="dxa"/>
            <w:vAlign w:val="bottom"/>
            <w:gridSpan w:val="3"/>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Chile</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(4)</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914</w:t>
            </w:r>
          </w:p>
        </w:tc>
        <w:tc>
          <w:tcPr>
            <w:tcW w:w="86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(132)</w:t>
            </w:r>
          </w:p>
        </w:tc>
        <w:tc>
          <w:tcPr>
            <w:tcW w:w="7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8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142</w:t>
            </w:r>
          </w:p>
        </w:tc>
        <w:tc>
          <w:tcPr>
            <w:tcW w:w="78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541</w:t>
            </w:r>
          </w:p>
        </w:tc>
        <w:tc>
          <w:tcPr>
            <w:tcW w:w="8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49</w:t>
            </w:r>
          </w:p>
        </w:tc>
        <w:tc>
          <w:tcPr>
            <w:tcW w:w="7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94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243</w:t>
            </w:r>
          </w:p>
        </w:tc>
        <w:tc>
          <w:tcPr>
            <w:tcW w:w="68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684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Total elimination</w:t>
            </w:r>
          </w:p>
        </w:tc>
        <w:tc>
          <w:tcPr>
            <w:tcW w:w="7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(305)</w:t>
            </w:r>
          </w:p>
        </w:tc>
        <w:tc>
          <w:tcPr>
            <w:tcW w:w="8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(64)</w:t>
            </w:r>
          </w:p>
        </w:tc>
        <w:tc>
          <w:tcPr>
            <w:tcW w:w="9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(156)</w:t>
            </w:r>
          </w:p>
        </w:tc>
        <w:tc>
          <w:tcPr>
            <w:tcW w:w="78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(4,393)</w:t>
            </w:r>
          </w:p>
        </w:tc>
        <w:tc>
          <w:tcPr>
            <w:tcW w:w="86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(230)</w:t>
            </w:r>
          </w:p>
        </w:tc>
        <w:tc>
          <w:tcPr>
            <w:tcW w:w="7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100</w:t>
            </w:r>
          </w:p>
        </w:tc>
        <w:tc>
          <w:tcPr>
            <w:tcW w:w="84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(17)</w:t>
            </w:r>
          </w:p>
        </w:tc>
        <w:tc>
          <w:tcPr>
            <w:tcW w:w="78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(5,890)</w:t>
            </w:r>
          </w:p>
        </w:tc>
        <w:tc>
          <w:tcPr>
            <w:tcW w:w="86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(395)</w:t>
            </w: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97</w:t>
            </w:r>
          </w:p>
        </w:tc>
        <w:tc>
          <w:tcPr>
            <w:tcW w:w="94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(18)</w:t>
            </w:r>
          </w:p>
        </w:tc>
        <w:tc>
          <w:tcPr>
            <w:tcW w:w="68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(4,846)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consolidado</w:t>
            </w:r>
          </w:p>
        </w:tc>
        <w:tc>
          <w:tcPr>
            <w:tcW w:w="5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16,819</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8,603</w:t>
            </w: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3,512</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136,319</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15,718</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8,167</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3,572</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138,753</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14,626</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7,173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4,115</w:t>
            </w: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120,208</w:t>
            </w: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83" w:hanging="483"/>
        <w:spacing w:after="0"/>
        <w:tabs>
          <w:tab w:leader="none" w:pos="483"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total interest and similar income, other income and net premiums earned from insurance activities.</w:t>
      </w:r>
    </w:p>
    <w:p>
      <w:pPr>
        <w:spacing w:after="0" w:line="26" w:lineRule="exact"/>
        <w:rPr>
          <w:sz w:val="20"/>
          <w:szCs w:val="20"/>
          <w:color w:val="auto"/>
        </w:rPr>
      </w:pPr>
    </w:p>
    <w:p>
      <w:pPr>
        <w:ind w:left="483" w:hanging="483"/>
        <w:spacing w:after="0"/>
        <w:tabs>
          <w:tab w:leader="none" w:pos="48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includes the net interest income from banking activities and the amount of the net premiums earned, less insurance claims.</w:t>
      </w:r>
    </w:p>
    <w:p>
      <w:pPr>
        <w:spacing w:after="0" w:line="9" w:lineRule="exact"/>
        <w:rPr>
          <w:sz w:val="20"/>
          <w:szCs w:val="20"/>
          <w:color w:val="auto"/>
        </w:rPr>
      </w:pPr>
    </w:p>
    <w:p>
      <w:pPr>
        <w:ind w:left="483" w:hanging="483"/>
        <w:spacing w:after="0"/>
        <w:tabs>
          <w:tab w:leader="none" w:pos="483"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assets consist of property, furniture and equipment, intangible assets, and goodwill, net.</w:t>
      </w:r>
    </w:p>
    <w:p>
      <w:pPr>
        <w:spacing w:after="0" w:line="380" w:lineRule="exact"/>
        <w:rPr>
          <w:rFonts w:ascii="Times New Roman" w:cs="Times New Roman" w:eastAsia="Times New Roman" w:hAnsi="Times New Roman"/>
          <w:sz w:val="16"/>
          <w:szCs w:val="16"/>
          <w:color w:val="auto"/>
        </w:rPr>
      </w:pPr>
    </w:p>
    <w:p>
      <w:pPr>
        <w:ind w:left="5603" w:hanging="95"/>
        <w:spacing w:after="0"/>
        <w:tabs>
          <w:tab w:leader="none" w:pos="5603"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06" w:name="page107"/>
    <w:bookmarkEnd w:id="106"/>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31</w:t>
      </w:r>
      <w:r>
        <w:rPr>
          <w:sz w:val="20"/>
          <w:szCs w:val="20"/>
          <w:color w:val="auto"/>
        </w:rPr>
        <w:tab/>
      </w:r>
      <w:r>
        <w:rPr>
          <w:rFonts w:ascii="Times New Roman" w:cs="Times New Roman" w:eastAsia="Times New Roman" w:hAnsi="Times New Roman"/>
          <w:sz w:val="16"/>
          <w:szCs w:val="16"/>
          <w:b w:val="1"/>
          <w:bCs w:val="1"/>
          <w:color w:val="auto"/>
        </w:rPr>
        <w:t>SUBSIDIARIES WITH MATERIAL NON-CONTROLLING INTEREST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information of subsidiaries that have material non-controlling interest.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Proportion of equity interest held by non-controlling interests: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and</w:t>
            </w:r>
          </w:p>
        </w:tc>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 interest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 and</w:t>
            </w:r>
          </w:p>
        </w:tc>
        <w:tc>
          <w:tcPr>
            <w:tcW w:w="0" w:type="dxa"/>
            <w:vAlign w:val="bottom"/>
          </w:tcPr>
          <w:p>
            <w:pPr>
              <w:spacing w:after="0"/>
              <w:rPr>
                <w:sz w:val="1"/>
                <w:szCs w:val="1"/>
                <w:color w:val="auto"/>
              </w:rPr>
            </w:pPr>
          </w:p>
        </w:tc>
      </w:tr>
      <w:tr>
        <w:trPr>
          <w:trHeight w:val="212"/>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Credicorp Capital Colombia</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Colombia</w:t>
            </w:r>
          </w:p>
        </w:tc>
        <w:tc>
          <w:tcPr>
            <w:tcW w:w="12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Inversiones IMT S.A.</w:t>
            </w: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Chile</w:t>
            </w: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39.40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financial information of these subsidiaries. This information is based on amounts before inter-company eliminations:</w:t>
      </w:r>
    </w:p>
    <w:p>
      <w:pPr>
        <w:spacing w:after="0" w:line="213" w:lineRule="exact"/>
        <w:rPr>
          <w:sz w:val="20"/>
          <w:szCs w:val="20"/>
          <w:color w:val="auto"/>
        </w:rPr>
      </w:pPr>
    </w:p>
    <w:tbl>
      <w:tblPr>
        <w:tblLayout w:type="fixed"/>
        <w:tblInd w:w="6520" w:type="dxa"/>
        <w:tblCellMar>
          <w:top w:w="0" w:type="dxa"/>
          <w:left w:w="0" w:type="dxa"/>
          <w:bottom w:w="0" w:type="dxa"/>
          <w:right w:w="0" w:type="dxa"/>
        </w:tblCellMar>
      </w:tblPr>
      <w:tr>
        <w:trPr>
          <w:trHeight w:val="21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7"/>
        </w:trPr>
        <w:tc>
          <w:tcPr>
            <w:tcW w:w="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top w:val="single" w:sz="8" w:color="auto"/>
            </w:tcBorders>
            <w:gridSpan w:val="3"/>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Credicorp</w:t>
            </w:r>
          </w:p>
        </w:tc>
        <w:tc>
          <w:tcPr>
            <w:tcW w:w="1020" w:type="dxa"/>
            <w:vAlign w:val="bottom"/>
            <w:tcBorders>
              <w:top w:val="single" w:sz="8" w:color="auto"/>
            </w:tcBorders>
          </w:tcPr>
          <w:p>
            <w:pPr>
              <w:spacing w:after="0"/>
              <w:rPr>
                <w:sz w:val="14"/>
                <w:szCs w:val="14"/>
                <w:color w:val="auto"/>
              </w:rPr>
            </w:pPr>
          </w:p>
        </w:tc>
      </w:tr>
      <w:tr>
        <w:trPr>
          <w:trHeight w:val="193"/>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Credicorp</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20" w:type="dxa"/>
            <w:vAlign w:val="bottom"/>
          </w:tcPr>
          <w:p>
            <w:pPr>
              <w:spacing w:after="0"/>
              <w:rPr>
                <w:sz w:val="16"/>
                <w:szCs w:val="16"/>
                <w:color w:val="auto"/>
              </w:rPr>
            </w:pPr>
          </w:p>
        </w:tc>
      </w:tr>
      <w:tr>
        <w:trPr>
          <w:trHeight w:val="193"/>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c>
          <w:tcPr>
            <w:tcW w:w="24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Colombia</w:t>
            </w: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r>
      <w:tr>
        <w:trPr>
          <w:trHeight w:val="212"/>
        </w:trPr>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Colombia S.A.</w:t>
            </w:r>
          </w:p>
        </w:tc>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w:t>
            </w: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r>
      <w:tr>
        <w:trPr>
          <w:trHeight w:val="186"/>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6"/>
                <w:szCs w:val="16"/>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Summarized statement of financial position</w:t>
            </w: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for repurchase agreements and securities financing</w:t>
            </w:r>
          </w:p>
        </w:tc>
        <w:tc>
          <w:tcPr>
            <w:tcW w:w="2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205,397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824,876</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79,298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at fair value through profit or loss and available for sale</w:t>
            </w:r>
          </w:p>
        </w:tc>
        <w:tc>
          <w:tcPr>
            <w:tcW w:w="2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1,171,307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260,999</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647,539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65,728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119,796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725,254</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271,077</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638,886</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net equity</w:t>
            </w: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for repurchase agreements and securities lending</w:t>
            </w:r>
          </w:p>
        </w:tc>
        <w:tc>
          <w:tcPr>
            <w:tcW w:w="2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1,037,625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458,516</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1,347,455</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98,159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Financial liabilities at fair value through profit or loss</w:t>
            </w:r>
          </w:p>
        </w:tc>
        <w:tc>
          <w:tcPr>
            <w:tcW w:w="2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203,468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105,087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381,888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128,955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435,572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equity</w:t>
            </w:r>
          </w:p>
        </w:tc>
        <w:tc>
          <w:tcPr>
            <w:tcW w:w="14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150,320</w:t>
            </w:r>
          </w:p>
        </w:tc>
        <w:tc>
          <w:tcPr>
            <w:tcW w:w="24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147,104</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267,082</w:t>
            </w:r>
          </w:p>
        </w:tc>
        <w:tc>
          <w:tcPr>
            <w:tcW w:w="2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250,182</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2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97,655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97,027</w:t>
            </w: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- 108 -</w:t>
            </w: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107" w:name="page108"/>
    <w:bookmarkEnd w:id="107"/>
    <w:p>
      <w:pPr>
        <w:spacing w:after="0" w:line="1" w:lineRule="exact"/>
        <w:rPr>
          <w:sz w:val="20"/>
          <w:szCs w:val="20"/>
          <w:color w:val="auto"/>
        </w:rPr>
      </w:pPr>
    </w:p>
    <w:tbl>
      <w:tblPr>
        <w:tblLayout w:type="fixed"/>
        <w:tblInd w:w="4703" w:type="dxa"/>
        <w:tblCellMar>
          <w:top w:w="0" w:type="dxa"/>
          <w:left w:w="0" w:type="dxa"/>
          <w:bottom w:w="0" w:type="dxa"/>
          <w:right w:w="0" w:type="dxa"/>
        </w:tblCellMar>
      </w:tblP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67"/>
        </w:trPr>
        <w:tc>
          <w:tcPr>
            <w:tcW w:w="20" w:type="dxa"/>
            <w:vAlign w:val="bottom"/>
          </w:tcPr>
          <w:p>
            <w:pPr>
              <w:spacing w:after="0"/>
              <w:rPr>
                <w:sz w:val="14"/>
                <w:szCs w:val="14"/>
                <w:color w:val="auto"/>
              </w:rPr>
            </w:pPr>
          </w:p>
        </w:tc>
        <w:tc>
          <w:tcPr>
            <w:tcW w:w="11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gridSpan w:val="3"/>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Credicorp</w:t>
            </w:r>
          </w:p>
        </w:tc>
        <w:tc>
          <w:tcPr>
            <w:tcW w:w="900" w:type="dxa"/>
            <w:vAlign w:val="bottom"/>
            <w:tcBorders>
              <w:top w:val="single" w:sz="8" w:color="auto"/>
            </w:tcBorders>
          </w:tcPr>
          <w:p>
            <w:pPr>
              <w:spacing w:after="0"/>
              <w:rPr>
                <w:sz w:val="14"/>
                <w:szCs w:val="14"/>
                <w:color w:val="auto"/>
              </w:rPr>
            </w:pPr>
          </w:p>
        </w:tc>
      </w:tr>
      <w:tr>
        <w:trPr>
          <w:trHeight w:val="193"/>
        </w:trPr>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r>
      <w:tr>
        <w:trPr>
          <w:trHeight w:val="212"/>
        </w:trPr>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Colombia</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Colombia</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c>
          <w:tcPr>
            <w:tcW w:w="2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Colombia</w:t>
            </w: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r>
      <w:tr>
        <w:trPr>
          <w:trHeight w:val="186"/>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6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Summarized statement of profit or loss</w:t>
            </w: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199,239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141,433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204,128</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112,753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230,148</w:t>
            </w: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26,946</w:t>
            </w:r>
          </w:p>
        </w:tc>
      </w:tr>
      <w:tr>
        <w:trPr>
          <w:trHeight w:val="20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(161,054)</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(109,188)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(172,653)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(175,646)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(194,867)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(96,129)</w:t>
            </w:r>
          </w:p>
        </w:tc>
      </w:tr>
      <w:tr>
        <w:trPr>
          <w:trHeight w:val="18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38,185</w:t>
            </w:r>
          </w:p>
        </w:tc>
        <w:tc>
          <w:tcPr>
            <w:tcW w:w="26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32,245</w:t>
            </w:r>
          </w:p>
        </w:tc>
        <w:tc>
          <w:tcPr>
            <w:tcW w:w="2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31,475</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(62,893)</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35,281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(69,183)</w:t>
            </w:r>
          </w:p>
        </w:tc>
        <w:tc>
          <w:tcPr>
            <w:tcW w:w="120" w:type="dxa"/>
            <w:vAlign w:val="bottom"/>
          </w:tcPr>
          <w:p>
            <w:pPr>
              <w:spacing w:after="0"/>
              <w:rPr>
                <w:sz w:val="16"/>
                <w:szCs w:val="16"/>
                <w:color w:val="auto"/>
              </w:rPr>
            </w:pPr>
          </w:p>
        </w:tc>
      </w:tr>
      <w:tr>
        <w:trPr>
          <w:trHeight w:val="20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(14,032)</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(8,581)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(13,120)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(5,713)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(13,105)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r>
      <w:tr>
        <w:trPr>
          <w:trHeight w:val="185"/>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profit (loss) for the year</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24,153</w:t>
            </w:r>
          </w:p>
        </w:tc>
        <w:tc>
          <w:tcPr>
            <w:tcW w:w="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23,664</w:t>
            </w:r>
          </w:p>
        </w:tc>
        <w:tc>
          <w:tcPr>
            <w:tcW w:w="2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18,355</w:t>
            </w:r>
          </w:p>
        </w:tc>
        <w:tc>
          <w:tcPr>
            <w:tcW w:w="2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(68,606</w:t>
            </w:r>
          </w:p>
        </w:tc>
        <w:tc>
          <w:tcPr>
            <w:tcW w:w="2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22,176</w:t>
            </w:r>
          </w:p>
        </w:tc>
        <w:tc>
          <w:tcPr>
            <w:tcW w:w="2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(72,907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Attributable to non-controlling interest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2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2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(15,013</w:t>
            </w:r>
          </w:p>
        </w:tc>
        <w:tc>
          <w:tcPr>
            <w:tcW w:w="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w:t>
            </w:r>
          </w:p>
        </w:tc>
        <w:tc>
          <w:tcPr>
            <w:tcW w:w="2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77" w:lineRule="exact"/>
        <w:rPr>
          <w:sz w:val="20"/>
          <w:szCs w:val="20"/>
          <w:color w:val="auto"/>
        </w:rPr>
      </w:pPr>
    </w:p>
    <w:p>
      <w:pPr>
        <w:ind w:left="3" w:right="20" w:hanging="3"/>
        <w:spacing w:after="0" w:line="268" w:lineRule="auto"/>
        <w:tabs>
          <w:tab w:leader="none" w:pos="23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Credicorp Capital Colombia and Inversiones IMT S.A are controlled by the Group through its subsidiaries Credicorp Capital Holding Colombia S.A.S. and Credicorp Capital Holding Chile S.A. In this sense, Credicorp Capital Holding Colombia S.A.S. and Credicorp Capital Holding Chile S.A.have recorded the intangibles, goodwill and non-controlling interest identified as a consequence of the acquisition of these subsidiaries.</w:t>
      </w:r>
    </w:p>
    <w:p>
      <w:pPr>
        <w:spacing w:after="0" w:line="167" w:lineRule="exact"/>
        <w:rPr>
          <w:sz w:val="20"/>
          <w:szCs w:val="20"/>
          <w:color w:val="auto"/>
        </w:rPr>
      </w:pPr>
    </w:p>
    <w:tbl>
      <w:tblPr>
        <w:tblLayout w:type="fixed"/>
        <w:tblInd w:w="4703" w:type="dxa"/>
        <w:tblCellMar>
          <w:top w:w="0" w:type="dxa"/>
          <w:left w:w="0" w:type="dxa"/>
          <w:bottom w:w="0" w:type="dxa"/>
          <w:right w:w="0" w:type="dxa"/>
        </w:tblCellMar>
      </w:tblP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67"/>
        </w:trPr>
        <w:tc>
          <w:tcPr>
            <w:tcW w:w="20" w:type="dxa"/>
            <w:vAlign w:val="bottom"/>
          </w:tcPr>
          <w:p>
            <w:pPr>
              <w:spacing w:after="0"/>
              <w:rPr>
                <w:sz w:val="14"/>
                <w:szCs w:val="14"/>
                <w:color w:val="auto"/>
              </w:rPr>
            </w:pPr>
          </w:p>
        </w:tc>
        <w:tc>
          <w:tcPr>
            <w:tcW w:w="11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gridSpan w:val="3"/>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Credicorp</w:t>
            </w:r>
          </w:p>
        </w:tc>
        <w:tc>
          <w:tcPr>
            <w:tcW w:w="900" w:type="dxa"/>
            <w:vAlign w:val="bottom"/>
            <w:tcBorders>
              <w:top w:val="single" w:sz="8" w:color="auto"/>
            </w:tcBorders>
          </w:tcPr>
          <w:p>
            <w:pPr>
              <w:spacing w:after="0"/>
              <w:rPr>
                <w:sz w:val="14"/>
                <w:szCs w:val="14"/>
                <w:color w:val="auto"/>
              </w:rPr>
            </w:pPr>
          </w:p>
        </w:tc>
      </w:tr>
      <w:tr>
        <w:trPr>
          <w:trHeight w:val="193"/>
        </w:trPr>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tcPr>
          <w:p>
            <w:pPr>
              <w:spacing w:after="0"/>
              <w:rPr>
                <w:sz w:val="16"/>
                <w:szCs w:val="16"/>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tcPr>
          <w:p>
            <w:pPr>
              <w:spacing w:after="0"/>
              <w:rPr>
                <w:sz w:val="16"/>
                <w:szCs w:val="16"/>
                <w:color w:val="auto"/>
              </w:rPr>
            </w:pPr>
          </w:p>
        </w:tc>
      </w:tr>
      <w:tr>
        <w:trPr>
          <w:trHeight w:val="193"/>
        </w:trPr>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Colombia</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Colombia</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Colombia</w:t>
            </w: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Inversiones</w:t>
            </w:r>
          </w:p>
        </w:tc>
      </w:tr>
      <w:tr>
        <w:trPr>
          <w:trHeight w:val="212"/>
        </w:trPr>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S.A.</w:t>
            </w: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c>
          <w:tcPr>
            <w:tcW w:w="2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w:t>
            </w: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IMT S.A</w:t>
            </w:r>
          </w:p>
        </w:tc>
      </w:tr>
      <w:tr>
        <w:trPr>
          <w:trHeight w:val="186"/>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6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 statement summarized</w:t>
            </w: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33,817</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14,389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120,944</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76,534</w:t>
            </w: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960</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(26,616)</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63,932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(5,784)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(27,757)</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(778,016)</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11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(16,778)</w:t>
            </w:r>
          </w:p>
        </w:tc>
        <w:tc>
          <w:tcPr>
            <w:tcW w:w="11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(92,573)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(98,866)</w:t>
            </w: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503,959</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115,160</w:t>
            </w:r>
          </w:p>
        </w:tc>
        <w:tc>
          <w:tcPr>
            <w:tcW w:w="2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(50,089</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(273,097</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 w:right="220"/>
        <w:spacing w:after="0" w:line="268" w:lineRule="auto"/>
        <w:rPr>
          <w:sz w:val="20"/>
          <w:szCs w:val="20"/>
          <w:color w:val="auto"/>
        </w:rPr>
      </w:pPr>
      <w:r>
        <w:rPr>
          <w:rFonts w:ascii="Times New Roman" w:cs="Times New Roman" w:eastAsia="Times New Roman" w:hAnsi="Times New Roman"/>
          <w:sz w:val="16"/>
          <w:szCs w:val="16"/>
          <w:color w:val="auto"/>
        </w:rPr>
        <w:t>Credicorp and its subsidiaries render management services for investment funds and trusts whose assets are not included in its consolidated financial statements. Management has analyzed the nature of investment funds and trusts and concluded that none of them qualifies as a structured entity in accordance with the requirements of IFRS 12 "Disclosure of Interests in Other Entities", so it has not been necessary to incorporate additional disclosures as indicated in Note 34.8 in relation thereto.</w:t>
      </w:r>
    </w:p>
    <w:p>
      <w:pPr>
        <w:spacing w:after="0" w:line="35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34" w:right="219" w:bottom="1440" w:gutter="0" w:footer="0" w:header="0"/>
        </w:sectPr>
      </w:pPr>
    </w:p>
    <w:bookmarkStart w:id="108" w:name="page109"/>
    <w:bookmarkEnd w:id="108"/>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32</w:t>
      </w:r>
      <w:r>
        <w:rPr>
          <w:sz w:val="20"/>
          <w:szCs w:val="20"/>
          <w:color w:val="auto"/>
        </w:rPr>
        <w:tab/>
      </w:r>
      <w:r>
        <w:rPr>
          <w:rFonts w:ascii="Times New Roman" w:cs="Times New Roman" w:eastAsia="Times New Roman" w:hAnsi="Times New Roman"/>
          <w:sz w:val="16"/>
          <w:szCs w:val="16"/>
          <w:b w:val="1"/>
          <w:bCs w:val="1"/>
          <w:color w:val="auto"/>
        </w:rPr>
        <w:t>TRANSACTIONS WITH RELATED PARTIES</w:t>
      </w:r>
    </w:p>
    <w:p>
      <w:pPr>
        <w:spacing w:after="0" w:line="205" w:lineRule="exact"/>
        <w:rPr>
          <w:sz w:val="20"/>
          <w:szCs w:val="20"/>
          <w:color w:val="auto"/>
        </w:rPr>
      </w:pPr>
    </w:p>
    <w:p>
      <w:pPr>
        <w:ind w:left="283" w:right="340" w:hanging="283"/>
        <w:spacing w:after="0" w:line="268" w:lineRule="auto"/>
        <w:tabs>
          <w:tab w:leader="none" w:pos="283"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consolidated financial statements at December 31, 2016 and 2015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57"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shows the main transactions with related parties as of December 31, 2016 and 2015:</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8400" w:type="dxa"/>
            <w:vAlign w:val="bottom"/>
            <w:gridSpan w:val="2"/>
          </w:tcPr>
          <w:p>
            <w:pPr>
              <w:ind w:left="78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r>
      <w:tr>
        <w:trPr>
          <w:trHeight w:val="204"/>
        </w:trPr>
        <w:tc>
          <w:tcPr>
            <w:tcW w:w="78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7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loans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1,181,648</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1,536,749</w:t>
            </w:r>
          </w:p>
        </w:tc>
      </w:tr>
      <w:tr>
        <w:trPr>
          <w:trHeight w:val="193"/>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Available-for-sale investments and trading securities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433,517</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368,438</w:t>
            </w:r>
          </w:p>
        </w:tc>
      </w:tr>
      <w:tr>
        <w:trPr>
          <w:trHeight w:val="193"/>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264,564</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285,763</w:t>
            </w:r>
          </w:p>
        </w:tc>
      </w:tr>
      <w:tr>
        <w:trPr>
          <w:trHeight w:val="193"/>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Contingent credits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236,106</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234,287</w:t>
            </w:r>
          </w:p>
        </w:tc>
      </w:tr>
      <w:tr>
        <w:trPr>
          <w:trHeight w:val="193"/>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related to loans – income</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28,872</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63,821</w:t>
            </w:r>
          </w:p>
        </w:tc>
      </w:tr>
      <w:tr>
        <w:trPr>
          <w:trHeight w:val="193"/>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expenses related to deposits – expense</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8,001</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11,649</w:t>
            </w:r>
          </w:p>
        </w:tc>
      </w:tr>
      <w:tr>
        <w:trPr>
          <w:trHeight w:val="193"/>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9,098</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6,523</w:t>
            </w:r>
          </w:p>
        </w:tc>
      </w:tr>
      <w:tr>
        <w:trPr>
          <w:trHeight w:val="210"/>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Derivatives at fair value</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1,074</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2,499</w:t>
            </w:r>
          </w:p>
        </w:tc>
      </w:tr>
    </w:tbl>
    <w:p>
      <w:pPr>
        <w:spacing w:after="0" w:line="161" w:lineRule="exact"/>
        <w:rPr>
          <w:sz w:val="20"/>
          <w:szCs w:val="20"/>
          <w:color w:val="auto"/>
        </w:rPr>
      </w:pPr>
    </w:p>
    <w:p>
      <w:pPr>
        <w:ind w:left="283" w:right="160" w:hanging="283"/>
        <w:spacing w:after="0" w:line="263" w:lineRule="auto"/>
        <w:tabs>
          <w:tab w:leader="none" w:pos="283"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transactions with related parties are made in accordance with normal market conditions available to other customers. At December 31, 2016, direct loans to related companies are secured by collaterals, had maturities between January 2017 and September 2026 at an annual average interest rate of 5.76 percent (at December 31, 2015 they had maturities between January 2016 and October 2023 and bore an annual average interest rate of 7.07 percent). Also, at December 31, 2016 and 2015, the Group maintains an allowance for loan losses to related parties amounting to S/1.6 million and S/2.7 million, respectively.</w:t>
      </w:r>
    </w:p>
    <w:p>
      <w:pPr>
        <w:spacing w:after="0" w:line="160" w:lineRule="exact"/>
        <w:rPr>
          <w:rFonts w:ascii="Times New Roman" w:cs="Times New Roman" w:eastAsia="Times New Roman" w:hAnsi="Times New Roman"/>
          <w:sz w:val="16"/>
          <w:szCs w:val="16"/>
          <w:color w:val="auto"/>
        </w:rPr>
      </w:pPr>
    </w:p>
    <w:p>
      <w:pPr>
        <w:ind w:left="283" w:right="60" w:hanging="283"/>
        <w:spacing w:after="0" w:line="263" w:lineRule="auto"/>
        <w:tabs>
          <w:tab w:leader="none" w:pos="283"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2016 and 2015,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2016 and 2015, direct loans to employees, directors, key management and family members amounted to S/1015.9 and S/1037.5 million, respectively; they are repaid monthly and earn interest at market rates.</w:t>
      </w:r>
    </w:p>
    <w:p>
      <w:pPr>
        <w:spacing w:after="0" w:line="160"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loans to the Group’s directors and key personnel that have been secured with shares of Credicorp or of other Group subsidiaries.</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key executives’ compensation (including the related income taxes assumed by the Group) as of December 31, 2016, 2015 and 2014 was as follows:</w:t>
      </w:r>
    </w:p>
    <w:p>
      <w:pPr>
        <w:spacing w:after="0" w:line="213" w:lineRule="exact"/>
        <w:rPr>
          <w:sz w:val="20"/>
          <w:szCs w:val="20"/>
          <w:color w:val="auto"/>
        </w:rPr>
      </w:pPr>
    </w:p>
    <w:tbl>
      <w:tblPr>
        <w:tblLayout w:type="fixed"/>
        <w:tblInd w:w="283" w:type="dxa"/>
        <w:tblCellMar>
          <w:top w:w="0" w:type="dxa"/>
          <w:left w:w="0" w:type="dxa"/>
          <w:bottom w:w="0" w:type="dxa"/>
          <w:right w:w="0" w:type="dxa"/>
        </w:tblCellMar>
      </w:tblPr>
      <w:tr>
        <w:trPr>
          <w:trHeight w:val="212"/>
        </w:trPr>
        <w:tc>
          <w:tcPr>
            <w:tcW w:w="6860" w:type="dxa"/>
            <w:vAlign w:val="bottom"/>
            <w:gridSpan w:val="2"/>
          </w:tcPr>
          <w:p>
            <w:pPr>
              <w:ind w:left="61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r>
      <w:tr>
        <w:trPr>
          <w:trHeight w:val="204"/>
        </w:trPr>
        <w:tc>
          <w:tcPr>
            <w:tcW w:w="618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r>
      <w:tr>
        <w:trPr>
          <w:trHeight w:val="175"/>
        </w:trPr>
        <w:tc>
          <w:tcPr>
            <w:tcW w:w="6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29,855</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24,587</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15,168</w:t>
            </w:r>
          </w:p>
        </w:tc>
      </w:tr>
      <w:tr>
        <w:trPr>
          <w:trHeight w:val="205"/>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6,045</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6,692</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5,457</w:t>
            </w:r>
          </w:p>
        </w:tc>
      </w:tr>
      <w:tr>
        <w:trPr>
          <w:trHeight w:val="185"/>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7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Additionally, approximately S/18.3 million of stock awards vested at December 31, 2016 (S/16.1 million and S/15.1 million at December 31, 2015 and 2014, respectively).</w:t>
      </w:r>
    </w:p>
    <w:p>
      <w:pPr>
        <w:spacing w:after="0" w:line="2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related income tax is assumed by the Group.</w:t>
      </w:r>
    </w:p>
    <w:p>
      <w:pPr>
        <w:spacing w:after="0" w:line="380" w:lineRule="exact"/>
        <w:rPr>
          <w:sz w:val="20"/>
          <w:szCs w:val="20"/>
          <w:color w:val="auto"/>
        </w:rPr>
      </w:pPr>
    </w:p>
    <w:p>
      <w:pPr>
        <w:jc w:val="center"/>
        <w:ind w:right="-102"/>
        <w:spacing w:after="0"/>
        <w:rPr>
          <w:sz w:val="20"/>
          <w:szCs w:val="20"/>
          <w:color w:val="auto"/>
        </w:rPr>
      </w:pPr>
      <w:r>
        <w:rPr>
          <w:rFonts w:ascii="Times New Roman" w:cs="Times New Roman" w:eastAsia="Times New Roman" w:hAnsi="Times New Roman"/>
          <w:sz w:val="16"/>
          <w:szCs w:val="16"/>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43"/>
          </w:cols>
          <w:pgMar w:left="237" w:top="822" w:right="319" w:bottom="1440" w:gutter="0" w:footer="0" w:header="0"/>
        </w:sectPr>
      </w:pPr>
    </w:p>
    <w:bookmarkStart w:id="109" w:name="page110"/>
    <w:bookmarkEnd w:id="109"/>
    <w:p>
      <w:pPr>
        <w:ind w:left="283" w:right="400" w:hanging="283"/>
        <w:spacing w:after="0" w:line="285" w:lineRule="auto"/>
        <w:tabs>
          <w:tab w:leader="none" w:pos="283"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2015 and 2014 the Group holds interests in various mutual funds and hedge funds managed by certain of the Group’s Subsidiaries; those interests are classified as trading securities or available-for-sale investments. The detail is the following:</w:t>
      </w:r>
    </w:p>
    <w:p>
      <w:pPr>
        <w:spacing w:after="0" w:line="15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8500" w:type="dxa"/>
            <w:vAlign w:val="bottom"/>
            <w:gridSpan w:val="2"/>
          </w:tcPr>
          <w:p>
            <w:pPr>
              <w:ind w:left="78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Held-for-trading and available-for-sale investments</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Mutual funds - U.S. dollars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26,850</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11,067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 – Bolivianos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11,735</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59,024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Mutual funds - Chilean pesos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1,899</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 – Soles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1,254</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41,738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5240"/>
              <w:spacing w:after="0"/>
              <w:rPr>
                <w:sz w:val="20"/>
                <w:szCs w:val="20"/>
                <w:color w:val="auto"/>
              </w:rPr>
            </w:pPr>
            <w:r>
              <w:rPr>
                <w:rFonts w:ascii="Times New Roman" w:cs="Times New Roman" w:eastAsia="Times New Roman" w:hAnsi="Times New Roman"/>
                <w:sz w:val="16"/>
                <w:szCs w:val="16"/>
                <w:color w:val="auto"/>
              </w:rPr>
              <w:t>- 111 -</w:t>
            </w: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4" w:right="219" w:bottom="1440" w:gutter="0" w:footer="0" w:header="0"/>
        </w:sectPr>
      </w:pPr>
    </w:p>
    <w:bookmarkStart w:id="110" w:name="page111"/>
    <w:bookmarkEnd w:id="110"/>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33</w:t>
      </w:r>
      <w:r>
        <w:rPr>
          <w:sz w:val="20"/>
          <w:szCs w:val="20"/>
          <w:color w:val="auto"/>
        </w:rPr>
        <w:tab/>
      </w:r>
      <w:r>
        <w:rPr>
          <w:rFonts w:ascii="Times New Roman" w:cs="Times New Roman" w:eastAsia="Times New Roman" w:hAnsi="Times New Roman"/>
          <w:sz w:val="16"/>
          <w:szCs w:val="16"/>
          <w:b w:val="1"/>
          <w:bCs w:val="1"/>
          <w:color w:val="auto"/>
        </w:rPr>
        <w:t>FINANCIAL INSTRUMENTS CLASSIFICATION</w:t>
      </w:r>
    </w:p>
    <w:p>
      <w:pPr>
        <w:spacing w:after="0" w:line="205"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The table below shows the carrying amounts of the financial assets and liabilities captions in the consolidated statement of financial position, by categories as defined under IAS 39: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Al 31 de diciembre de 2015</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top w:val="single" w:sz="8" w:color="auto"/>
            </w:tcBorders>
            <w:gridSpan w:val="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Financial assets and</w:t>
            </w:r>
          </w:p>
        </w:tc>
        <w:tc>
          <w:tcPr>
            <w:tcW w:w="7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Borders>
              <w:top w:val="single" w:sz="8" w:color="auto"/>
            </w:tcBorders>
            <w:gridSpan w:val="5"/>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Financial assets and</w:t>
            </w:r>
          </w:p>
        </w:tc>
        <w:tc>
          <w:tcPr>
            <w:tcW w:w="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40" w:type="dxa"/>
            <w:vAlign w:val="bottom"/>
            <w:gridSpan w:val="5"/>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measured at</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measured at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fair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Liabilities at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at</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6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Designated</w:t>
            </w:r>
          </w:p>
        </w:tc>
        <w:tc>
          <w:tcPr>
            <w:tcW w:w="60" w:type="dxa"/>
            <w:vAlign w:val="bottom"/>
            <w:vMerge w:val="restart"/>
          </w:tcPr>
          <w:p>
            <w:pPr>
              <w:spacing w:after="0"/>
              <w:rPr>
                <w:sz w:val="8"/>
                <w:szCs w:val="8"/>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Loans and</w:t>
            </w:r>
          </w:p>
        </w:tc>
        <w:tc>
          <w:tcPr>
            <w:tcW w:w="820" w:type="dxa"/>
            <w:vAlign w:val="bottom"/>
            <w:gridSpan w:val="3"/>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6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Designated</w:t>
            </w:r>
          </w:p>
        </w:tc>
        <w:tc>
          <w:tcPr>
            <w:tcW w:w="40" w:type="dxa"/>
            <w:vAlign w:val="bottom"/>
            <w:vMerge w:val="restart"/>
          </w:tcPr>
          <w:p>
            <w:pPr>
              <w:spacing w:after="0"/>
              <w:rPr>
                <w:sz w:val="8"/>
                <w:szCs w:val="8"/>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Loans and</w:t>
            </w:r>
          </w:p>
        </w:tc>
        <w:tc>
          <w:tcPr>
            <w:tcW w:w="78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trading or</w:t>
            </w:r>
          </w:p>
        </w:tc>
        <w:tc>
          <w:tcPr>
            <w:tcW w:w="6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7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held-to-</w:t>
            </w:r>
          </w:p>
        </w:tc>
        <w:tc>
          <w:tcPr>
            <w:tcW w:w="86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trading or</w:t>
            </w:r>
          </w:p>
        </w:tc>
        <w:tc>
          <w:tcPr>
            <w:tcW w:w="66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7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held-to-</w:t>
            </w:r>
          </w:p>
        </w:tc>
        <w:tc>
          <w:tcPr>
            <w:tcW w:w="90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at inception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for-sale</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0" w:type="dxa"/>
            <w:vAlign w:val="bottom"/>
            <w:gridSpan w:val="3"/>
            <w:vMerge w:val="continue"/>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at inception</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for-sale</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jc w:val="right"/>
              <w:ind w:right="236"/>
              <w:spacing w:after="0" w:line="125" w:lineRule="exact"/>
              <w:rPr>
                <w:sz w:val="20"/>
                <w:szCs w:val="20"/>
                <w:color w:val="auto"/>
              </w:rPr>
            </w:pPr>
            <w:r>
              <w:rPr>
                <w:rFonts w:ascii="Times New Roman" w:cs="Times New Roman" w:eastAsia="Times New Roman" w:hAnsi="Times New Roman"/>
                <w:sz w:val="13"/>
                <w:szCs w:val="13"/>
                <w:b w:val="1"/>
                <w:bCs w:val="1"/>
                <w:color w:val="auto"/>
                <w:w w:val="92"/>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Cash and due</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16,645,769</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16,645,769</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22,391,744</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22,391,744</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from banks</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Cash</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collateral,</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reverse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repurchase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agreements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and securities</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10,919,624</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10,919,624</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11,026,698</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11,026,698</w:t>
            </w: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borrowings</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Trading</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4,015,019</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4,015,019</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2,323,096</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2,323,096</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securities</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Available-for-</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sale</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18,685,667</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18,685,667</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18,768,921</w:t>
            </w:r>
          </w:p>
        </w:tc>
        <w:tc>
          <w:tcPr>
            <w:tcW w:w="6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18,768,921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investments</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Held-to-</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maturity</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5,118,420</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5,118,420</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3,582,129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3,582,129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Loans, net</w:t>
            </w:r>
          </w:p>
        </w:tc>
        <w:tc>
          <w:tcPr>
            <w:tcW w:w="6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90,561,768</w:t>
            </w:r>
          </w:p>
        </w:tc>
        <w:tc>
          <w:tcPr>
            <w:tcW w:w="82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90,561,768</w:t>
            </w:r>
          </w:p>
        </w:tc>
        <w:tc>
          <w:tcPr>
            <w:tcW w:w="68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86,488,162</w:t>
            </w:r>
          </w:p>
        </w:tc>
        <w:tc>
          <w:tcPr>
            <w:tcW w:w="7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86,488,162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Financial</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assets</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designated at</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fair value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through profit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459,099</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459,099</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350,328</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350,328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 loss</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Premiums and</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other policies</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643,224</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643,224</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648,017</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648,017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receivable</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Accounts</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receivable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from</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reinsurers and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454,187</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454,187</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457,189</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457,189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coinsurers</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Due from</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customers on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491,139</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491,139</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222,496</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222,496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acceptances</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Other assets,</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 12</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942,602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1,286,082</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2,228,684</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1,475,516</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1,769,789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3,245,305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4,957,621</w:t>
            </w:r>
          </w:p>
        </w:tc>
        <w:tc>
          <w:tcPr>
            <w:tcW w:w="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459,099</w:t>
            </w:r>
          </w:p>
        </w:tc>
        <w:tc>
          <w:tcPr>
            <w:tcW w:w="6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121,001,793</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18,685,667</w:t>
            </w:r>
          </w:p>
        </w:tc>
        <w:tc>
          <w:tcPr>
            <w:tcW w:w="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5,118,420</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150,222,600</w:t>
            </w:r>
          </w:p>
        </w:tc>
        <w:tc>
          <w:tcPr>
            <w:tcW w:w="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3,798,612</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350,328</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123,004,095</w:t>
            </w:r>
          </w:p>
        </w:tc>
        <w:tc>
          <w:tcPr>
            <w:tcW w:w="8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18,768,921</w:t>
            </w:r>
          </w:p>
        </w:tc>
        <w:tc>
          <w:tcPr>
            <w:tcW w:w="6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3,582,129</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149,504,085</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78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Deposits and</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85,916,387</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85,916,387</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88,606,633</w:t>
            </w:r>
          </w:p>
        </w:tc>
        <w:tc>
          <w:tcPr>
            <w:tcW w:w="80" w:type="dxa"/>
            <w:vAlign w:val="bottom"/>
          </w:tcPr>
          <w:p>
            <w:pPr>
              <w:spacing w:after="0"/>
              <w:rPr>
                <w:sz w:val="9"/>
                <w:szCs w:val="9"/>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88,606,633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obligations</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Payables from</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repurchase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agreements</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and security</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15,127,999</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15,127,999</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14,599,750</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14,599,750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lendings</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Due to banks</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and</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7,493,916</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7,493,916</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7,762,497</w:t>
            </w:r>
          </w:p>
        </w:tc>
        <w:tc>
          <w:tcPr>
            <w:tcW w:w="8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7,762,497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9"/>
              </w:rPr>
              <w:t>correspondents</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Bankers’</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acceptances</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491,139</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491,139</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222,496</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222,496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Financial</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liabilities at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fair value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through profit</w:t>
            </w: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209,520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209,520</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47,737</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47,737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 loss</w:t>
            </w:r>
          </w:p>
        </w:tc>
        <w:tc>
          <w:tcPr>
            <w:tcW w:w="7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Accounts</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payable to</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reinsurers and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233,892</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233,892</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241,847</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241,847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coinsurers</w:t>
            </w: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Bonds and</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8,412,515</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7,527,088</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15,939,603</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8,535,401</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7,752,561</w:t>
            </w:r>
          </w:p>
        </w:tc>
        <w:tc>
          <w:tcPr>
            <w:tcW w:w="80" w:type="dxa"/>
            <w:vAlign w:val="bottom"/>
          </w:tcPr>
          <w:p>
            <w:pPr>
              <w:spacing w:after="0"/>
              <w:rPr>
                <w:sz w:val="9"/>
                <w:szCs w:val="9"/>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16,287,962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notes issued</w:t>
            </w: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w w:val="98"/>
              </w:rPr>
              <w:t>liabilities, note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673,015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2,540,980</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3,213,995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942,521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2,707,563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3,650,084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9,295,050</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119,331,401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128,626,451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9,525,659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121,893,347</w:t>
            </w:r>
          </w:p>
        </w:tc>
        <w:tc>
          <w:tcPr>
            <w:tcW w:w="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131,419,006</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500"/>
          </w:cols>
          <w:pgMar w:left="240" w:top="822" w:right="159" w:bottom="1440" w:gutter="0" w:footer="0" w:header="0"/>
        </w:sectPr>
      </w:pPr>
    </w:p>
    <w:bookmarkStart w:id="111" w:name="page112"/>
    <w:bookmarkEnd w:id="111"/>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34</w:t>
      </w:r>
      <w:r>
        <w:rPr>
          <w:sz w:val="20"/>
          <w:szCs w:val="20"/>
          <w:color w:val="auto"/>
        </w:rPr>
        <w:tab/>
      </w:r>
      <w:r>
        <w:rPr>
          <w:rFonts w:ascii="Times New Roman" w:cs="Times New Roman" w:eastAsia="Times New Roman" w:hAnsi="Times New Roman"/>
          <w:sz w:val="16"/>
          <w:szCs w:val="16"/>
          <w:b w:val="1"/>
          <w:bCs w:val="1"/>
          <w:color w:val="auto"/>
        </w:rPr>
        <w:t>FINANCIAL RISK MANAGEMENT</w:t>
      </w:r>
    </w:p>
    <w:p>
      <w:pPr>
        <w:spacing w:after="0" w:line="205"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6"/>
          <w:szCs w:val="16"/>
          <w:color w:val="auto"/>
        </w:rPr>
        <w:t>The Group’s activities involve principally the use of financial instruments, including derivatives. The Group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57" w:lineRule="exact"/>
        <w:rPr>
          <w:sz w:val="20"/>
          <w:szCs w:val="20"/>
          <w:color w:val="auto"/>
        </w:rPr>
      </w:pPr>
    </w:p>
    <w:p>
      <w:pPr>
        <w:ind w:left="3" w:right="100"/>
        <w:spacing w:after="0" w:line="285" w:lineRule="auto"/>
        <w:rPr>
          <w:sz w:val="20"/>
          <w:szCs w:val="20"/>
          <w:color w:val="auto"/>
        </w:rPr>
      </w:pPr>
      <w:r>
        <w:rPr>
          <w:rFonts w:ascii="Times New Roman" w:cs="Times New Roman" w:eastAsia="Times New Roman" w:hAnsi="Times New Roman"/>
          <w:sz w:val="16"/>
          <w:szCs w:val="16"/>
          <w:color w:val="auto"/>
        </w:rPr>
        <w:t>The Group also seeks to raise its margins, through lending to commercial and retail borrowers with a range of credit products. Such exposures involve not just on-balance sheet loans and advances; the Group also enters into guarantees and other commitments such as letters of credit and performance bonds.</w:t>
      </w:r>
    </w:p>
    <w:p>
      <w:pPr>
        <w:spacing w:after="0" w:line="143" w:lineRule="exact"/>
        <w:rPr>
          <w:sz w:val="20"/>
          <w:szCs w:val="20"/>
          <w:color w:val="auto"/>
        </w:rPr>
      </w:pPr>
    </w:p>
    <w:p>
      <w:pPr>
        <w:ind w:left="3"/>
        <w:spacing w:after="0" w:line="285" w:lineRule="auto"/>
        <w:rPr>
          <w:sz w:val="20"/>
          <w:szCs w:val="20"/>
          <w:color w:val="auto"/>
        </w:rPr>
      </w:pPr>
      <w:r>
        <w:rPr>
          <w:rFonts w:ascii="Times New Roman" w:cs="Times New Roman" w:eastAsia="Times New Roman" w:hAnsi="Times New Roman"/>
          <w:sz w:val="16"/>
          <w:szCs w:val="16"/>
          <w:color w:val="auto"/>
        </w:rPr>
        <w:t>The Group also trades in financial instruments where it takes positions in traded and over-the-counter instruments, including derivatives, to take advantage of market movements in equities, bonds, currencies and interest rates.</w:t>
      </w:r>
    </w:p>
    <w:p>
      <w:pPr>
        <w:spacing w:after="0" w:line="143"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6"/>
          <w:szCs w:val="16"/>
          <w:color w:val="auto"/>
        </w:rPr>
        <w:t>In this sense, risk is inherent to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principally, to operating risk, credit risk, liquidity risk and market risk, strategic risk and insurance technical risk.</w:t>
      </w:r>
    </w:p>
    <w:p>
      <w:pPr>
        <w:spacing w:after="0" w:line="157" w:lineRule="exact"/>
        <w:rPr>
          <w:sz w:val="20"/>
          <w:szCs w:val="20"/>
          <w:color w:val="auto"/>
        </w:rPr>
      </w:pPr>
    </w:p>
    <w:p>
      <w:pPr>
        <w:ind w:left="283" w:hanging="283"/>
        <w:spacing w:after="0"/>
        <w:tabs>
          <w:tab w:leader="none" w:pos="283"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management structure -</w:t>
      </w:r>
    </w:p>
    <w:p>
      <w:pPr>
        <w:spacing w:after="0" w:line="202" w:lineRule="exact"/>
        <w:rPr>
          <w:rFonts w:ascii="Times New Roman" w:cs="Times New Roman" w:eastAsia="Times New Roman" w:hAnsi="Times New Roman"/>
          <w:sz w:val="16"/>
          <w:szCs w:val="16"/>
          <w:color w:val="auto"/>
        </w:rPr>
      </w:pPr>
    </w:p>
    <w:p>
      <w:pPr>
        <w:ind w:left="283" w:right="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Group and of each subsidiary is ultimately responsible for identifying and controlling risks; however, there are separate independent bodies in the major subsidiaries responsible for managing and monitoring risks, as further explained below:</w:t>
      </w:r>
    </w:p>
    <w:p>
      <w:pPr>
        <w:spacing w:after="0" w:line="143"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of Directors Credicorp -</w:t>
      </w:r>
    </w:p>
    <w:p>
      <w:pPr>
        <w:spacing w:after="0" w:line="202" w:lineRule="exact"/>
        <w:rPr>
          <w:rFonts w:ascii="Times New Roman" w:cs="Times New Roman" w:eastAsia="Times New Roman" w:hAnsi="Times New Roman"/>
          <w:sz w:val="16"/>
          <w:szCs w:val="16"/>
          <w:color w:val="auto"/>
        </w:rPr>
      </w:pPr>
    </w:p>
    <w:p>
      <w:pPr>
        <w:ind w:left="563" w:right="4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is responsible for the overall risk management approach and for the approval of the policies and strategies currently in place. The Board encourages a risk management culture within the Group, it oversees the corporate internal control in place, ensures performance of the compliance function in the Group and approves the Group’s risk appetite and tolerance.</w:t>
      </w:r>
    </w:p>
    <w:p>
      <w:pPr>
        <w:spacing w:after="0" w:line="157"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of Group Companies -</w:t>
      </w:r>
    </w:p>
    <w:p>
      <w:pPr>
        <w:spacing w:after="0" w:line="202" w:lineRule="exact"/>
        <w:rPr>
          <w:rFonts w:ascii="Times New Roman" w:cs="Times New Roman" w:eastAsia="Times New Roman" w:hAnsi="Times New Roman"/>
          <w:sz w:val="16"/>
          <w:szCs w:val="16"/>
          <w:color w:val="auto"/>
        </w:rPr>
      </w:pPr>
    </w:p>
    <w:p>
      <w:pPr>
        <w:ind w:left="583" w:right="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each of the main Group companies is responsible for the risk management of the subsidiary and approval of the policies and guidelines for risk management. Each subsidiary’s Board establishes an organization culture that promotes risk management within the Subsidiary, oversees the corporate internal control, and ensures performance of the compliance function of the subsidiary.</w:t>
      </w:r>
    </w:p>
    <w:p>
      <w:pPr>
        <w:spacing w:after="0" w:line="157" w:lineRule="exact"/>
        <w:rPr>
          <w:rFonts w:ascii="Times New Roman" w:cs="Times New Roman" w:eastAsia="Times New Roman" w:hAnsi="Times New Roman"/>
          <w:sz w:val="16"/>
          <w:szCs w:val="16"/>
          <w:color w:val="auto"/>
        </w:rPr>
      </w:pPr>
    </w:p>
    <w:p>
      <w:pPr>
        <w:ind w:left="583" w:right="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it is charged with approving the risk appetite and tolerance of each subsidiary as well as the business objectives and plans; securing an adequate solvency position and establishing an adequate system of incentives that promotes adequate entity-wide risk management practices.</w:t>
      </w:r>
    </w:p>
    <w:p>
      <w:pPr>
        <w:spacing w:after="0" w:line="143"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Committee -</w:t>
      </w:r>
    </w:p>
    <w:p>
      <w:pPr>
        <w:spacing w:after="0" w:line="202" w:lineRule="exact"/>
        <w:rPr>
          <w:rFonts w:ascii="Times New Roman" w:cs="Times New Roman" w:eastAsia="Times New Roman" w:hAnsi="Times New Roman"/>
          <w:sz w:val="16"/>
          <w:szCs w:val="16"/>
          <w:color w:val="auto"/>
        </w:rPr>
      </w:pPr>
    </w:p>
    <w:p>
      <w:pPr>
        <w:ind w:left="583" w:right="1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Board of Credicorp in risk management decision-making. This Committee establishes the policies for monitoring the risk appetite and tolerance at the subsidiary level; the degree of exposure to a given risk, solvency rates, risk management performance metrics and other corporate measures to control, monitor and mitigate risks and overseeing the internal control system in place.</w:t>
      </w:r>
    </w:p>
    <w:p>
      <w:pPr>
        <w:spacing w:after="0" w:line="350" w:lineRule="exact"/>
        <w:rPr>
          <w:rFonts w:ascii="Times New Roman" w:cs="Times New Roman" w:eastAsia="Times New Roman" w:hAnsi="Times New Roman"/>
          <w:sz w:val="16"/>
          <w:szCs w:val="16"/>
          <w:color w:val="auto"/>
        </w:rPr>
      </w:pPr>
    </w:p>
    <w:p>
      <w:pPr>
        <w:ind w:left="5603" w:hanging="92"/>
        <w:spacing w:after="0"/>
        <w:tabs>
          <w:tab w:leader="none" w:pos="5603"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2" w:right="239" w:bottom="1440" w:gutter="0" w:footer="0" w:header="0"/>
        </w:sectPr>
      </w:pPr>
    </w:p>
    <w:bookmarkStart w:id="112" w:name="page113"/>
    <w:bookmarkEnd w:id="112"/>
    <w:p>
      <w:pPr>
        <w:ind w:right="380"/>
        <w:spacing w:after="0" w:line="285" w:lineRule="auto"/>
        <w:rPr>
          <w:sz w:val="20"/>
          <w:szCs w:val="20"/>
          <w:color w:val="auto"/>
        </w:rPr>
      </w:pPr>
      <w:r>
        <w:rPr>
          <w:rFonts w:ascii="Times New Roman" w:cs="Times New Roman" w:eastAsia="Times New Roman" w:hAnsi="Times New Roman"/>
          <w:sz w:val="16"/>
          <w:szCs w:val="16"/>
          <w:color w:val="auto"/>
        </w:rPr>
        <w:t>The Risk Committee is presided by a Board member of Credicorp, it is also consists of a second member of the Board of Credicorp, a Board member of BCP, the General Manager of BCP, the Central Manager of Planning and Finance of BCP, the Central Risk Manager of BCP and the Manager of Risk Management of BCP.</w:t>
      </w:r>
    </w:p>
    <w:p>
      <w:pPr>
        <w:spacing w:after="0" w:line="143"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In addition to effectively managing all the risks, the Risk Committee is supported by the following committees which report on a monthly basis all relevant changes or issues relating to the risks being managed: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Risk Committee (Retail and Non-Retail) -</w:t>
      </w:r>
    </w:p>
    <w:p>
      <w:pPr>
        <w:spacing w:after="0" w:line="2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Credit Risk Committee is responsible for reviewing the tolerance level, limits of exposure, the objective, guidelines and policies for managing credit risk, the delegation of authority and the supervision and establishment of autonomy for taking credit risks and the metrics for measuring performance incorporating risk variables. Also, it is responsible for approving the methodologies, models, parameters, processes, and manuals to identify, measure, treat, monitor, control and report all the market risks to which the Group is exposed. Furthermore, it proposes the approval of any changes to the functions described above and reports any finding to the Risk Committee.</w:t>
      </w:r>
    </w:p>
    <w:p>
      <w:pPr>
        <w:spacing w:after="0" w:line="16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There are two committees assigned to reviewing the various portfolio risks: Retail Risks and Non-Retail Risks. The Credit Risk Committees mainly consists of the Chief Risk Executive, the Manager of the Credit Division and the Manager of the Risk Management Area, and the Manager of the Division of Retail Banking Risks, as appropriate to their position.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Treasury and ALM Risk Committee -</w:t>
      </w:r>
    </w:p>
    <w:p>
      <w:pPr>
        <w:spacing w:after="0" w:line="20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The Treasury and ALM Risk Committee is responsible for reviewing the tolerance level, limits of exposure, the objective, guidelines and policies for managing the market risk and liquidity risk, the delegation of authority and the supervision and establishment of autonomy for taking market risks, and the metrics for measuring performance incorporating risk variables. It is also responsible for approving the methodologies, models, parameters, processes and manuals to identify, measure, treat, monitor, control and report all the market risks to which the Group is exposed. Furthermore, it proposes the approval of any changes in the functions described above and reports any finding to the Risk Committee.</w:t>
      </w:r>
    </w:p>
    <w:p>
      <w:pPr>
        <w:spacing w:after="0" w:line="164"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6"/>
          <w:szCs w:val="16"/>
          <w:color w:val="auto"/>
        </w:rPr>
        <w:t>The Treasury and ALM Risk Committee principally consists of the Chief risk executive, the Manager of the Risk Management Area, the Market Risk Manager, the Manager of the Treasury Risk Area and the Manager of the Treasury Division.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Operational Risk Committee -</w:t>
      </w:r>
    </w:p>
    <w:p>
      <w:pPr>
        <w:spacing w:after="0" w:line="2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Operational Risk Committee is responsible for reviewing the tolerance level, limits of exposure, the objective, guidelines and policies for managing operational risks and the mechanisms for implementing corrective actions. It is also responsible for approving: (i) the standard methodology for measuring operational risks, (ii) the taxonomy of operational risks and controls and (iii) all the critical processes of the Group. Furthermore, it proposes the approval of any changes to the functions described above and reports any finding to the Risk Committee.</w:t>
      </w:r>
    </w:p>
    <w:p>
      <w:pPr>
        <w:spacing w:after="0" w:line="161"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6"/>
          <w:szCs w:val="16"/>
          <w:color w:val="auto"/>
        </w:rPr>
        <w:t>The Operational Risk Committee is mainly composed of the Chief Risk Executive, the Manager of the Risk Management Area, the Manager of the Internal Audit Division, the Manager of the Operational Risk Management Department and Insurance Management Division.</w:t>
      </w:r>
    </w:p>
    <w:p>
      <w:pPr>
        <w:spacing w:after="0" w:line="33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16510</wp:posOffset>
            </wp:positionV>
            <wp:extent cx="726122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840"/>
          </w:cols>
          <w:pgMar w:left="800" w:top="824" w:right="259" w:bottom="1440" w:gutter="0" w:footer="0" w:header="0"/>
        </w:sectPr>
      </w:pPr>
    </w:p>
    <w:bookmarkStart w:id="113" w:name="page114"/>
    <w:bookmarkEnd w:id="113"/>
    <w:p>
      <w:pPr>
        <w:ind w:left="293" w:hanging="293"/>
        <w:spacing w:after="0"/>
        <w:tabs>
          <w:tab w:leader="none" w:pos="29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Central Risk Management -</w:t>
      </w:r>
    </w:p>
    <w:p>
      <w:pPr>
        <w:spacing w:after="0" w:line="202" w:lineRule="exact"/>
        <w:rPr>
          <w:rFonts w:ascii="Times New Roman" w:cs="Times New Roman" w:eastAsia="Times New Roman" w:hAnsi="Times New Roman"/>
          <w:sz w:val="16"/>
          <w:szCs w:val="16"/>
          <w:color w:val="auto"/>
        </w:rPr>
      </w:pPr>
    </w:p>
    <w:p>
      <w:pPr>
        <w:ind w:left="273" w:right="1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Central Risk Management is responsible for implementing policies, procedures, methodologies and actions to identify, measure, monitor, mitigate, report and control the different types of risks to which the Group is exposed. Also, it participates in the design and definition of the strategic plans of the business units to ensure that they are framed within the risk appetite metrics approved by the Group’s Board of Directors.</w:t>
      </w:r>
    </w:p>
    <w:p>
      <w:pPr>
        <w:spacing w:after="0" w:line="157" w:lineRule="exact"/>
        <w:rPr>
          <w:rFonts w:ascii="Times New Roman" w:cs="Times New Roman" w:eastAsia="Times New Roman" w:hAnsi="Times New Roman"/>
          <w:sz w:val="16"/>
          <w:szCs w:val="16"/>
          <w:color w:val="auto"/>
        </w:rPr>
      </w:pPr>
    </w:p>
    <w:p>
      <w:pPr>
        <w:ind w:left="273" w:right="6560"/>
        <w:spacing w:after="0" w:line="5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Central Risk Management is divided into the following areas: Credit Division -</w:t>
      </w:r>
    </w:p>
    <w:p>
      <w:pPr>
        <w:ind w:left="273" w:right="1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Division is responsible for ensuring the quality of the wholesale banking portfolio in accordance with the Group's risk strategy and appetite on the basis of an effective management of the lending process relying on well-defined lending policies and highly trained personnel with best lending practices.</w:t>
      </w:r>
    </w:p>
    <w:p>
      <w:pPr>
        <w:spacing w:after="0" w:line="143" w:lineRule="exact"/>
        <w:rPr>
          <w:rFonts w:ascii="Times New Roman" w:cs="Times New Roman" w:eastAsia="Times New Roman" w:hAnsi="Times New Roman"/>
          <w:sz w:val="16"/>
          <w:szCs w:val="16"/>
          <w:color w:val="auto"/>
        </w:rPr>
      </w:pPr>
    </w:p>
    <w:p>
      <w:pPr>
        <w:ind w:left="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Management Division -</w:t>
      </w:r>
    </w:p>
    <w:p>
      <w:pPr>
        <w:spacing w:after="0" w:line="202" w:lineRule="exact"/>
        <w:rPr>
          <w:rFonts w:ascii="Times New Roman" w:cs="Times New Roman" w:eastAsia="Times New Roman" w:hAnsi="Times New Roman"/>
          <w:sz w:val="16"/>
          <w:szCs w:val="16"/>
          <w:color w:val="auto"/>
        </w:rPr>
      </w:pPr>
    </w:p>
    <w:p>
      <w:pPr>
        <w:ind w:left="273" w:right="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Management Division is responsible for ensuring that policies and risk management policies established by the Board of Directors are complied with and monitored. The Risk Management Division consists of the following units: the Operational Risk and Insurance Risk Management Department the Credit and Corporate Management Risk Department, Market Risk Management Department, Global Risk Management, Internal Validation and Risk Management Methodology and Modelling.</w:t>
      </w:r>
    </w:p>
    <w:p>
      <w:pPr>
        <w:spacing w:after="0" w:line="160" w:lineRule="exact"/>
        <w:rPr>
          <w:rFonts w:ascii="Times New Roman" w:cs="Times New Roman" w:eastAsia="Times New Roman" w:hAnsi="Times New Roman"/>
          <w:sz w:val="16"/>
          <w:szCs w:val="16"/>
          <w:color w:val="auto"/>
        </w:rPr>
      </w:pPr>
    </w:p>
    <w:p>
      <w:pPr>
        <w:ind w:left="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 Banking Risk Division -</w:t>
      </w:r>
    </w:p>
    <w:p>
      <w:pPr>
        <w:spacing w:after="0" w:line="202" w:lineRule="exact"/>
        <w:rPr>
          <w:rFonts w:ascii="Times New Roman" w:cs="Times New Roman" w:eastAsia="Times New Roman" w:hAnsi="Times New Roman"/>
          <w:sz w:val="16"/>
          <w:szCs w:val="16"/>
          <w:color w:val="auto"/>
        </w:rPr>
      </w:pPr>
    </w:p>
    <w:p>
      <w:pPr>
        <w:ind w:left="273" w:right="1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division is responsible for making sure the quality of the retail portfolio and the development of credit policies that are consistent with the overall guidelines and policies set by the Board.</w:t>
      </w:r>
    </w:p>
    <w:p>
      <w:pPr>
        <w:spacing w:after="0" w:line="143" w:lineRule="exact"/>
        <w:rPr>
          <w:rFonts w:ascii="Times New Roman" w:cs="Times New Roman" w:eastAsia="Times New Roman" w:hAnsi="Times New Roman"/>
          <w:sz w:val="16"/>
          <w:szCs w:val="16"/>
          <w:color w:val="auto"/>
        </w:rPr>
      </w:pPr>
    </w:p>
    <w:p>
      <w:pPr>
        <w:ind w:left="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Treasury Risk Management -</w:t>
      </w:r>
    </w:p>
    <w:p>
      <w:pPr>
        <w:spacing w:after="0" w:line="202" w:lineRule="exact"/>
        <w:rPr>
          <w:rFonts w:ascii="Times New Roman" w:cs="Times New Roman" w:eastAsia="Times New Roman" w:hAnsi="Times New Roman"/>
          <w:sz w:val="16"/>
          <w:szCs w:val="16"/>
          <w:color w:val="auto"/>
        </w:rPr>
      </w:pPr>
    </w:p>
    <w:p>
      <w:pPr>
        <w:ind w:left="273"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Treasury Risk Management is responsible for planning, coordinating and monitoring the implementation of the Treasury Division with risk measurement methodologies and limits approved by the Risk Committee. Also, it is responsible for assessing the effectiveness of hedge derivatives and the valuation of investments.</w:t>
      </w:r>
    </w:p>
    <w:p>
      <w:pPr>
        <w:spacing w:after="0" w:line="143" w:lineRule="exact"/>
        <w:rPr>
          <w:rFonts w:ascii="Times New Roman" w:cs="Times New Roman" w:eastAsia="Times New Roman" w:hAnsi="Times New Roman"/>
          <w:sz w:val="16"/>
          <w:szCs w:val="16"/>
          <w:color w:val="auto"/>
        </w:rPr>
      </w:pPr>
    </w:p>
    <w:p>
      <w:pPr>
        <w:ind w:left="293" w:hanging="293"/>
        <w:spacing w:after="0"/>
        <w:tabs>
          <w:tab w:leader="none" w:pos="29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Audit and Compliance Division -</w:t>
      </w:r>
    </w:p>
    <w:p>
      <w:pPr>
        <w:spacing w:after="0" w:line="202" w:lineRule="exact"/>
        <w:rPr>
          <w:rFonts w:ascii="Times New Roman" w:cs="Times New Roman" w:eastAsia="Times New Roman" w:hAnsi="Times New Roman"/>
          <w:sz w:val="16"/>
          <w:szCs w:val="16"/>
          <w:color w:val="auto"/>
        </w:rPr>
      </w:pPr>
    </w:p>
    <w:p>
      <w:pPr>
        <w:ind w:left="27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Internal Audit and Compliance Division is in charge of: i) monitoring on an ongoing basis the effectiveness of the risk management function at Credicorp, verifying compliance with laws and regulations, as well as the policies, objectives and guidelines set by the Board of Directors; ii) assessing the sufficiency and level of integration of Credicorp’s information and database systems; and iii) making sure independence is maintained between the functions of the risk management and business units.</w:t>
      </w:r>
    </w:p>
    <w:p>
      <w:pPr>
        <w:spacing w:after="0" w:line="160" w:lineRule="exact"/>
        <w:rPr>
          <w:rFonts w:ascii="Times New Roman" w:cs="Times New Roman" w:eastAsia="Times New Roman" w:hAnsi="Times New Roman"/>
          <w:sz w:val="16"/>
          <w:szCs w:val="16"/>
          <w:color w:val="auto"/>
        </w:rPr>
      </w:pPr>
    </w:p>
    <w:p>
      <w:pPr>
        <w:ind w:left="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Compliance Division is responsible for making sure applicable laws and regulations and the internal Code of Ethics are adhered to.</w:t>
      </w:r>
    </w:p>
    <w:p>
      <w:pPr>
        <w:spacing w:after="0" w:line="396" w:lineRule="exact"/>
        <w:rPr>
          <w:rFonts w:ascii="Times New Roman" w:cs="Times New Roman" w:eastAsia="Times New Roman" w:hAnsi="Times New Roman"/>
          <w:sz w:val="16"/>
          <w:szCs w:val="16"/>
          <w:color w:val="auto"/>
        </w:rPr>
      </w:pPr>
    </w:p>
    <w:p>
      <w:pPr>
        <w:ind w:left="5313" w:hanging="92"/>
        <w:spacing w:after="0"/>
        <w:tabs>
          <w:tab w:leader="none" w:pos="5313"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13"/>
          </w:cols>
          <w:pgMar w:left="527" w:top="824" w:right="259" w:bottom="1440" w:gutter="0" w:footer="0" w:header="0"/>
        </w:sectPr>
      </w:pPr>
    </w:p>
    <w:bookmarkStart w:id="114" w:name="page115"/>
    <w:bookmarkEnd w:id="114"/>
    <w:p>
      <w:pPr>
        <w:ind w:left="283" w:hanging="283"/>
        <w:spacing w:after="0"/>
        <w:tabs>
          <w:tab w:leader="none" w:pos="28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measurement and reporting systems -</w:t>
      </w:r>
    </w:p>
    <w:p>
      <w:pPr>
        <w:spacing w:after="0" w:line="202" w:lineRule="exact"/>
        <w:rPr>
          <w:rFonts w:ascii="Times New Roman" w:cs="Times New Roman" w:eastAsia="Times New Roman" w:hAnsi="Times New Roman"/>
          <w:sz w:val="16"/>
          <w:szCs w:val="16"/>
          <w:color w:val="auto"/>
        </w:rPr>
      </w:pPr>
    </w:p>
    <w:p>
      <w:pPr>
        <w:ind w:left="283" w:right="1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and controlling of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157"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processes use as support internal models developed to measure the different risks.</w:t>
      </w:r>
    </w:p>
    <w:p>
      <w:pPr>
        <w:spacing w:after="0" w:line="202" w:lineRule="exact"/>
        <w:rPr>
          <w:rFonts w:ascii="Times New Roman" w:cs="Times New Roman" w:eastAsia="Times New Roman" w:hAnsi="Times New Roman"/>
          <w:sz w:val="16"/>
          <w:szCs w:val="16"/>
          <w:color w:val="auto"/>
        </w:rPr>
      </w:pPr>
    </w:p>
    <w:p>
      <w:pPr>
        <w:ind w:left="283" w:right="1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compiled from the Group’s Subsidiaries is examined and processed in order to analyze, control and identify early any risks. This information is presented and explained to the Board of Directors, the Risk Committee, the Audit Committee, and all relevant members of the Group. The report includes aggregate credit exposure, credit metric forecasts, hold limit exceptions, VaR (Value at Risk), liquidity ratios and risk profile changes. Management periodically assesses the convenience of the fair value of the investments and the appropriateness of the allowance for credit losses.</w:t>
      </w:r>
    </w:p>
    <w:p>
      <w:pPr>
        <w:spacing w:after="0" w:line="160"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mitigation -</w:t>
      </w:r>
    </w:p>
    <w:p>
      <w:pPr>
        <w:spacing w:after="0" w:line="202" w:lineRule="exact"/>
        <w:rPr>
          <w:rFonts w:ascii="Times New Roman" w:cs="Times New Roman" w:eastAsia="Times New Roman" w:hAnsi="Times New Roman"/>
          <w:sz w:val="16"/>
          <w:szCs w:val="16"/>
          <w:color w:val="auto"/>
        </w:rPr>
      </w:pPr>
    </w:p>
    <w:p>
      <w:pPr>
        <w:ind w:left="283" w:right="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Depending on the type of risk, the Group uses mitigating instruments to reduce its exposure, such as guarantees, derivatives, controls, insurance among others. Furthermore, it has policies linked to risk appetite and established procedures for each type of risk.</w:t>
      </w:r>
    </w:p>
    <w:p>
      <w:pPr>
        <w:spacing w:after="0" w:line="143"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actively uses guarantees to reduce its credit risks.</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appetite -</w:t>
      </w:r>
    </w:p>
    <w:p>
      <w:pPr>
        <w:spacing w:after="0" w:line="202" w:lineRule="exact"/>
        <w:rPr>
          <w:rFonts w:ascii="Times New Roman" w:cs="Times New Roman" w:eastAsia="Times New Roman" w:hAnsi="Times New Roman"/>
          <w:sz w:val="16"/>
          <w:szCs w:val="16"/>
          <w:color w:val="auto"/>
        </w:rPr>
      </w:pPr>
    </w:p>
    <w:p>
      <w:pPr>
        <w:ind w:left="283" w:right="1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different subsidiaries of the Group, the respective Boards approve the risk appetite framework to define the maximum level of risk that the organization is willing to take in seeking to accomplish its primary and secondary business objectives.</w:t>
      </w:r>
    </w:p>
    <w:p>
      <w:pPr>
        <w:spacing w:after="0" w:line="143" w:lineRule="exact"/>
        <w:rPr>
          <w:rFonts w:ascii="Times New Roman" w:cs="Times New Roman" w:eastAsia="Times New Roman" w:hAnsi="Times New Roman"/>
          <w:sz w:val="16"/>
          <w:szCs w:val="16"/>
          <w:color w:val="auto"/>
        </w:rPr>
      </w:pPr>
    </w:p>
    <w:p>
      <w:pPr>
        <w:ind w:left="283" w:right="6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Primary objectives are intended to preserve the strategic pillars of the organization, such as solvency, liquidity, reward and growth, stability of results and balanced structure.</w:t>
      </w:r>
    </w:p>
    <w:p>
      <w:pPr>
        <w:spacing w:after="0" w:line="143" w:lineRule="exact"/>
        <w:rPr>
          <w:rFonts w:ascii="Times New Roman" w:cs="Times New Roman" w:eastAsia="Times New Roman" w:hAnsi="Times New Roman"/>
          <w:sz w:val="16"/>
          <w:szCs w:val="16"/>
          <w:color w:val="auto"/>
        </w:rPr>
      </w:pPr>
    </w:p>
    <w:p>
      <w:pPr>
        <w:ind w:left="283" w:right="6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Secondary objectives are intended to monitor on a qualitative and quantitative basis the various risks to which the Group is exposed, as well as defining a tolerance threshold of each of those risks so that the risk profile set by the Board is preserved and any risk focus is anticipated on a more granular basis.</w:t>
      </w:r>
    </w:p>
    <w:p>
      <w:pPr>
        <w:spacing w:after="0" w:line="143"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appetite is instrumented through the following elements:</w:t>
      </w:r>
    </w:p>
    <w:p>
      <w:pPr>
        <w:spacing w:after="0" w:line="202"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appetite statement: It makes explicit the general principles and the qualitative declarations which complement the Bank’s risk strategy.</w:t>
      </w:r>
    </w:p>
    <w:p>
      <w:pPr>
        <w:spacing w:after="0" w:line="202"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Metrics scorecard: These are used to define the levels of risk exposure in the different strategic pillars.</w:t>
      </w:r>
    </w:p>
    <w:p>
      <w:pPr>
        <w:spacing w:after="0" w:line="202" w:lineRule="exact"/>
        <w:rPr>
          <w:rFonts w:ascii="Times New Roman" w:cs="Times New Roman" w:eastAsia="Times New Roman" w:hAnsi="Times New Roman"/>
          <w:sz w:val="16"/>
          <w:szCs w:val="16"/>
          <w:color w:val="auto"/>
        </w:rPr>
      </w:pPr>
    </w:p>
    <w:p>
      <w:pPr>
        <w:ind w:left="583" w:hanging="293"/>
        <w:spacing w:after="0" w:line="285" w:lineRule="auto"/>
        <w:tabs>
          <w:tab w:leader="none" w:pos="583"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Permit control over the risk-taking process within the tolerance established by the Board. They also provide accountability for the risk-taking process and define guidelines regarding the target risk profile.</w:t>
      </w:r>
    </w:p>
    <w:p>
      <w:pPr>
        <w:spacing w:after="0" w:line="143"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of the risk appetite process: Seeks to guarantee compliance of the framework through the different roles and responsibilities assigned to the units involved.</w:t>
      </w:r>
    </w:p>
    <w:p>
      <w:pPr>
        <w:spacing w:after="0" w:line="396" w:lineRule="exact"/>
        <w:rPr>
          <w:rFonts w:ascii="Times New Roman" w:cs="Times New Roman" w:eastAsia="Times New Roman" w:hAnsi="Times New Roman"/>
          <w:sz w:val="16"/>
          <w:szCs w:val="16"/>
          <w:color w:val="auto"/>
        </w:rPr>
      </w:pPr>
    </w:p>
    <w:p>
      <w:pPr>
        <w:ind w:left="5603" w:hanging="92"/>
        <w:spacing w:after="0"/>
        <w:tabs>
          <w:tab w:leader="none" w:pos="5603" w:val="left"/>
        </w:tabs>
        <w:numPr>
          <w:ilvl w:val="2"/>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115" w:name="page116"/>
    <w:bookmarkEnd w:id="115"/>
    <w:p>
      <w:pPr>
        <w:ind w:left="283" w:hanging="283"/>
        <w:spacing w:after="0"/>
        <w:tabs>
          <w:tab w:leader="none" w:pos="28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concentration -</w:t>
      </w:r>
    </w:p>
    <w:p>
      <w:pPr>
        <w:spacing w:after="0" w:line="203" w:lineRule="exact"/>
        <w:rPr>
          <w:sz w:val="20"/>
          <w:szCs w:val="20"/>
          <w:color w:val="auto"/>
        </w:rPr>
      </w:pPr>
    </w:p>
    <w:p>
      <w:pPr>
        <w:jc w:val="both"/>
        <w:ind w:left="283" w:right="320"/>
        <w:spacing w:after="0" w:line="268" w:lineRule="auto"/>
        <w:rPr>
          <w:sz w:val="20"/>
          <w:szCs w:val="20"/>
          <w:color w:val="auto"/>
        </w:rPr>
      </w:pPr>
      <w:r>
        <w:rPr>
          <w:rFonts w:ascii="Times New Roman" w:cs="Times New Roman" w:eastAsia="Times New Roman" w:hAnsi="Times New Roman"/>
          <w:sz w:val="16"/>
          <w:szCs w:val="16"/>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5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In order to avoid excessive concentrations of risk, the Group’s policies and procedures include specific guidelines to focus on maintaining a diversified portfolio.</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34.1 Credit risk -</w:t>
      </w:r>
    </w:p>
    <w:p>
      <w:pPr>
        <w:spacing w:after="0" w:line="205" w:lineRule="exact"/>
        <w:rPr>
          <w:sz w:val="20"/>
          <w:szCs w:val="20"/>
          <w:color w:val="auto"/>
        </w:rPr>
      </w:pPr>
    </w:p>
    <w:p>
      <w:pPr>
        <w:ind w:left="283" w:hanging="283"/>
        <w:spacing w:after="0" w:line="285" w:lineRule="auto"/>
        <w:tabs>
          <w:tab w:leader="none" w:pos="283"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takes on exposure to credit risk, which is the probability of suffering losses caused by debtors or counterparties failing to comply with payment obligations in on or off the balance sheet. Exposures.</w:t>
      </w:r>
    </w:p>
    <w:p>
      <w:pPr>
        <w:spacing w:after="0" w:line="143" w:lineRule="exact"/>
        <w:rPr>
          <w:rFonts w:ascii="Times New Roman" w:cs="Times New Roman" w:eastAsia="Times New Roman" w:hAnsi="Times New Roman"/>
          <w:sz w:val="16"/>
          <w:szCs w:val="16"/>
          <w:color w:val="auto"/>
        </w:rPr>
      </w:pPr>
    </w:p>
    <w:p>
      <w:pPr>
        <w:ind w:left="283" w:right="22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is the most important risk for the Group’s business; therefore, Management carefully manages its exposure to credit risk. Credit exposures arise principally in lending activities that lead to loans and accounts receivable from security borrowings, and investment activities that bring debt securities and other bills into the Group’s asset portfolio. There is also credit risk in off-balance sheet financial instruments, such as contingent credits (indirect loans), which expose the Group to similar risks to loans (direct); they are both mitigated by the same control processes and policies. Likewise, credit risk arises from derivative financial instruments showing positive fair values.</w:t>
      </w:r>
    </w:p>
    <w:p>
      <w:pPr>
        <w:spacing w:after="0" w:line="163" w:lineRule="exact"/>
        <w:rPr>
          <w:rFonts w:ascii="Times New Roman" w:cs="Times New Roman" w:eastAsia="Times New Roman" w:hAnsi="Times New Roman"/>
          <w:sz w:val="16"/>
          <w:szCs w:val="16"/>
          <w:color w:val="auto"/>
        </w:rPr>
      </w:pPr>
    </w:p>
    <w:p>
      <w:pPr>
        <w:ind w:left="283" w:right="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provisions are assigned for losses that have been incurred at the date of the consolidated statement of financial position. Significant changes in the economy or in the particular situation of an industry segment that represents a concentration in the Group’s portfolio could result in losses that are different from those provided at the date of the consolidated statement of financial position.</w:t>
      </w:r>
    </w:p>
    <w:p>
      <w:pPr>
        <w:spacing w:after="0" w:line="157" w:lineRule="exact"/>
        <w:rPr>
          <w:rFonts w:ascii="Times New Roman" w:cs="Times New Roman" w:eastAsia="Times New Roman" w:hAnsi="Times New Roman"/>
          <w:sz w:val="16"/>
          <w:szCs w:val="16"/>
          <w:color w:val="auto"/>
        </w:rPr>
      </w:pPr>
    </w:p>
    <w:p>
      <w:pPr>
        <w:ind w:left="283" w:right="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organizes the levels of credit risk assumed by establishing limits on the amount of risk accepted in relation to one borrower or groups of borrowers, and to geographical and industry segments. Said risks are monitored on a revolving basis and are subject to frequent reviews. Limits in the level of credit risk by product, industry sector and by geographic segment are approved by the Risk Committee.</w:t>
      </w:r>
    </w:p>
    <w:p>
      <w:pPr>
        <w:spacing w:after="0" w:line="157" w:lineRule="exact"/>
        <w:rPr>
          <w:sz w:val="20"/>
          <w:szCs w:val="20"/>
          <w:color w:val="auto"/>
        </w:rPr>
      </w:pPr>
    </w:p>
    <w:p>
      <w:pPr>
        <w:ind w:left="283" w:right="440"/>
        <w:spacing w:after="0" w:line="285" w:lineRule="auto"/>
        <w:rPr>
          <w:sz w:val="20"/>
          <w:szCs w:val="20"/>
          <w:color w:val="auto"/>
        </w:rPr>
      </w:pPr>
      <w:r>
        <w:rPr>
          <w:rFonts w:ascii="Times New Roman" w:cs="Times New Roman" w:eastAsia="Times New Roman" w:hAnsi="Times New Roman"/>
          <w:sz w:val="16"/>
          <w:szCs w:val="16"/>
          <w:color w:val="auto"/>
        </w:rPr>
        <w:t>Exposure to credit risk is managed through regular analysis of the ability of debtors and potential debtors to meet interest and principal repayment obligations and by changing these lending limits where appropriate. Some other specific control and mitigation measures are outlined below:</w:t>
      </w:r>
    </w:p>
    <w:p>
      <w:pPr>
        <w:spacing w:after="0" w:line="143" w:lineRule="exact"/>
        <w:rPr>
          <w:sz w:val="20"/>
          <w:szCs w:val="20"/>
          <w:color w:val="auto"/>
        </w:rPr>
      </w:pPr>
    </w:p>
    <w:p>
      <w:pPr>
        <w:ind w:left="283"/>
        <w:spacing w:after="0"/>
        <w:tabs>
          <w:tab w:leader="none" w:pos="563" w:val="left"/>
        </w:tabs>
        <w:rPr>
          <w:sz w:val="20"/>
          <w:szCs w:val="20"/>
          <w:color w:val="auto"/>
        </w:rPr>
      </w:pPr>
      <w:r>
        <w:rPr>
          <w:rFonts w:ascii="Times New Roman" w:cs="Times New Roman" w:eastAsia="Times New Roman" w:hAnsi="Times New Roman"/>
          <w:sz w:val="16"/>
          <w:szCs w:val="16"/>
          <w:color w:val="auto"/>
        </w:rPr>
        <w:t>(i)</w:t>
      </w:r>
      <w:r>
        <w:rPr>
          <w:sz w:val="20"/>
          <w:szCs w:val="20"/>
          <w:color w:val="auto"/>
        </w:rPr>
        <w:tab/>
      </w:r>
      <w:r>
        <w:rPr>
          <w:rFonts w:ascii="Times New Roman" w:cs="Times New Roman" w:eastAsia="Times New Roman" w:hAnsi="Times New Roman"/>
          <w:sz w:val="15"/>
          <w:szCs w:val="15"/>
          <w:color w:val="auto"/>
        </w:rPr>
        <w:t>Collateral -</w:t>
      </w:r>
    </w:p>
    <w:p>
      <w:pPr>
        <w:spacing w:after="0" w:line="203" w:lineRule="exact"/>
        <w:rPr>
          <w:sz w:val="20"/>
          <w:szCs w:val="20"/>
          <w:color w:val="auto"/>
        </w:rPr>
      </w:pPr>
    </w:p>
    <w:p>
      <w:pPr>
        <w:ind w:left="283" w:right="380"/>
        <w:spacing w:after="0" w:line="285" w:lineRule="auto"/>
        <w:rPr>
          <w:sz w:val="20"/>
          <w:szCs w:val="20"/>
          <w:color w:val="auto"/>
        </w:rPr>
      </w:pPr>
      <w:r>
        <w:rPr>
          <w:rFonts w:ascii="Times New Roman" w:cs="Times New Roman" w:eastAsia="Times New Roman" w:hAnsi="Times New Roman"/>
          <w:sz w:val="16"/>
          <w:szCs w:val="16"/>
          <w:color w:val="auto"/>
        </w:rPr>
        <w:t>The Group employs a range of policies and practices to mitigate credit risk. The most traditional of these is collaterized with guarantees part of the loan portfolio. The Group implements guidelines on the acceptability of specific classes of collateral or credit risk mitigation. The main types of collateral obtained are as follows:</w:t>
      </w:r>
    </w:p>
    <w:p>
      <w:pPr>
        <w:spacing w:after="0" w:line="143" w:lineRule="exact"/>
        <w:rPr>
          <w:sz w:val="20"/>
          <w:szCs w:val="20"/>
          <w:color w:val="auto"/>
        </w:rPr>
      </w:pPr>
    </w:p>
    <w:p>
      <w:pPr>
        <w:ind w:left="583" w:right="200" w:hanging="293"/>
        <w:spacing w:after="0" w:line="285" w:lineRule="auto"/>
        <w:tabs>
          <w:tab w:leader="none" w:pos="583"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loans and advances, collaterals include, among others, mortgages over residential properties; liens over business assets such as premises, inventory and accounts receivable; and liens over financial instruments such as debt securities and equities.</w:t>
      </w:r>
    </w:p>
    <w:p>
      <w:pPr>
        <w:spacing w:after="0" w:line="143" w:lineRule="exact"/>
        <w:rPr>
          <w:rFonts w:ascii="Times New Roman" w:cs="Times New Roman" w:eastAsia="Times New Roman" w:hAnsi="Times New Roman"/>
          <w:sz w:val="16"/>
          <w:szCs w:val="16"/>
          <w:color w:val="auto"/>
        </w:rPr>
      </w:pPr>
    </w:p>
    <w:p>
      <w:pPr>
        <w:ind w:left="583" w:right="40" w:hanging="293"/>
        <w:spacing w:after="0" w:line="285" w:lineRule="auto"/>
        <w:tabs>
          <w:tab w:leader="none" w:pos="583"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longer-term finance and lending to corporate entities, collateral includes revolving individual credit facilities. Loans to micro business generally have no collateral. In order to minimize credit loss, the Group will seek additional collateral from the counterparty as soon as impairment indicators rise up.</w:t>
      </w:r>
    </w:p>
    <w:p>
      <w:pPr>
        <w:spacing w:after="0" w:line="336" w:lineRule="exact"/>
        <w:rPr>
          <w:rFonts w:ascii="Times New Roman" w:cs="Times New Roman" w:eastAsia="Times New Roman" w:hAnsi="Times New Roman"/>
          <w:sz w:val="16"/>
          <w:szCs w:val="16"/>
          <w:color w:val="auto"/>
        </w:rPr>
      </w:pPr>
    </w:p>
    <w:p>
      <w:pPr>
        <w:ind w:left="5603" w:hanging="92"/>
        <w:spacing w:after="0"/>
        <w:tabs>
          <w:tab w:leader="none" w:pos="5603"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4" w:right="279" w:bottom="1440" w:gutter="0" w:footer="0" w:header="0"/>
        </w:sectPr>
      </w:pPr>
    </w:p>
    <w:bookmarkStart w:id="116" w:name="page117"/>
    <w:bookmarkEnd w:id="116"/>
    <w:p>
      <w:pPr>
        <w:ind w:left="293" w:hanging="293"/>
        <w:spacing w:after="0"/>
        <w:tabs>
          <w:tab w:leader="none" w:pos="293"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repurchase agreements and security lendings, the related securities constitute collateral.</w:t>
      </w:r>
    </w:p>
    <w:p>
      <w:pPr>
        <w:spacing w:after="0" w:line="202" w:lineRule="exact"/>
        <w:rPr>
          <w:rFonts w:ascii="Times New Roman" w:cs="Times New Roman" w:eastAsia="Times New Roman" w:hAnsi="Times New Roman"/>
          <w:sz w:val="16"/>
          <w:szCs w:val="16"/>
          <w:color w:val="auto"/>
        </w:rPr>
      </w:pPr>
    </w:p>
    <w:p>
      <w:pPr>
        <w:ind w:left="293" w:right="5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43" w:lineRule="exact"/>
        <w:rPr>
          <w:rFonts w:ascii="Times New Roman" w:cs="Times New Roman" w:eastAsia="Times New Roman" w:hAnsi="Times New Roman"/>
          <w:sz w:val="16"/>
          <w:szCs w:val="16"/>
          <w:color w:val="auto"/>
        </w:rPr>
      </w:pPr>
    </w:p>
    <w:p>
      <w:pPr>
        <w:ind w:left="293" w:right="18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seized assets in an orderly manner. The proceeds are used to reduce or repay the outstanding claim. In general, the Group does not use seized assets for its own business.</w:t>
      </w:r>
    </w:p>
    <w:p>
      <w:pPr>
        <w:spacing w:after="0" w:line="157" w:lineRule="exact"/>
        <w:rPr>
          <w:sz w:val="20"/>
          <w:szCs w:val="20"/>
          <w:color w:val="auto"/>
        </w:rPr>
      </w:pPr>
    </w:p>
    <w:p>
      <w:pPr>
        <w:ind w:left="293" w:hanging="293"/>
        <w:spacing w:after="0"/>
        <w:tabs>
          <w:tab w:leader="none" w:pos="29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 -</w:t>
      </w:r>
    </w:p>
    <w:p>
      <w:pPr>
        <w:spacing w:after="0" w:line="202" w:lineRule="exact"/>
        <w:rPr>
          <w:rFonts w:ascii="Times New Roman" w:cs="Times New Roman" w:eastAsia="Times New Roman" w:hAnsi="Times New Roman"/>
          <w:sz w:val="16"/>
          <w:szCs w:val="16"/>
          <w:color w:val="auto"/>
        </w:rPr>
      </w:pPr>
    </w:p>
    <w:p>
      <w:pPr>
        <w:ind w:left="293"/>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subject to credit risk is limited to the current and potential fair value of instruments that are favorable to the Group (for example, an asset when fair value is positive), which in relation to derivatives is only a small fraction of the contract, or notional amount used to express the volume of instruments outstanding. This credit risk exposure is managed as part of the total credit limits with customers, together with potential exposures from market movements. Collateral or other security is not usually obtained for credit risk exposures on these instruments. With respect to derivatives agreed with non-financial customers, collaterals have been granted to secure the overall amount; with respect to financial counterparties, collaterals granted are those required under the clearing provisions issued by the International Swaps and Derivatives Association Inc. (ISDA) or the local framework agreement.</w:t>
      </w:r>
    </w:p>
    <w:p>
      <w:pPr>
        <w:spacing w:after="0" w:line="167" w:lineRule="exact"/>
        <w:rPr>
          <w:rFonts w:ascii="Times New Roman" w:cs="Times New Roman" w:eastAsia="Times New Roman" w:hAnsi="Times New Roman"/>
          <w:sz w:val="16"/>
          <w:szCs w:val="16"/>
          <w:color w:val="auto"/>
        </w:rPr>
      </w:pPr>
    </w:p>
    <w:p>
      <w:pPr>
        <w:jc w:val="both"/>
        <w:ind w:left="293" w:right="1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risk arises in any situation where a payment in cash, securities or equity is made in the expectation of a corresponding receipt in cash, securities or equity. Daily settlement limits are established for each counterparty in order to cover the aggregate of all settlement risk arising from the Group’s market transactions in only one day.</w:t>
      </w:r>
    </w:p>
    <w:p>
      <w:pPr>
        <w:spacing w:after="0" w:line="157" w:lineRule="exact"/>
        <w:rPr>
          <w:rFonts w:ascii="Times New Roman" w:cs="Times New Roman" w:eastAsia="Times New Roman" w:hAnsi="Times New Roman"/>
          <w:sz w:val="16"/>
          <w:szCs w:val="16"/>
          <w:color w:val="auto"/>
        </w:rPr>
      </w:pPr>
    </w:p>
    <w:p>
      <w:pPr>
        <w:ind w:left="293" w:hanging="293"/>
        <w:spacing w:after="0"/>
        <w:tabs>
          <w:tab w:leader="none" w:pos="29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Credit-related commitments -</w:t>
      </w:r>
    </w:p>
    <w:p>
      <w:pPr>
        <w:spacing w:after="0" w:line="202" w:lineRule="exact"/>
        <w:rPr>
          <w:rFonts w:ascii="Times New Roman" w:cs="Times New Roman" w:eastAsia="Times New Roman" w:hAnsi="Times New Roman"/>
          <w:sz w:val="16"/>
          <w:szCs w:val="16"/>
          <w:color w:val="auto"/>
        </w:rPr>
      </w:pPr>
    </w:p>
    <w:p>
      <w:pPr>
        <w:ind w:left="293" w:right="1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primary purpose of these instruments is to ensure that funds are available to a customer as required. Guarantees and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60" w:lineRule="exact"/>
        <w:rPr>
          <w:rFonts w:ascii="Times New Roman" w:cs="Times New Roman" w:eastAsia="Times New Roman" w:hAnsi="Times New Roman"/>
          <w:sz w:val="16"/>
          <w:szCs w:val="16"/>
          <w:color w:val="auto"/>
        </w:rPr>
      </w:pPr>
    </w:p>
    <w:p>
      <w:pPr>
        <w:ind w:left="29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manage credit risk, as part of the Group’s risk management structure, there is a Credit Risk Management Department, the major functions of which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160" w:lineRule="exact"/>
        <w:rPr>
          <w:rFonts w:ascii="Times New Roman" w:cs="Times New Roman" w:eastAsia="Times New Roman" w:hAnsi="Times New Roman"/>
          <w:sz w:val="16"/>
          <w:szCs w:val="16"/>
          <w:color w:val="auto"/>
        </w:rPr>
      </w:pPr>
    </w:p>
    <w:p>
      <w:pPr>
        <w:ind w:left="293"/>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enhanced risk identification, the Group has internal credit scoring models, which have been prepared and implemented for the main business segments. Each model is related to a defined group of scoring bands. Clients who are inside a band are characterized by having a similar risk level (within the band); however, they are different compared to the other band. For retail clients, these scoring models are highly related to management (admission, follow-up, campaigns, etc.) from different portfolios. On the other hand, for non-retail clients, ratings mainly serve as support for making credit decisions in admission, follow-up and price allocation, etc.</w:t>
      </w:r>
    </w:p>
    <w:p>
      <w:pPr>
        <w:spacing w:after="0" w:line="353" w:lineRule="exact"/>
        <w:rPr>
          <w:rFonts w:ascii="Times New Roman" w:cs="Times New Roman" w:eastAsia="Times New Roman" w:hAnsi="Times New Roman"/>
          <w:sz w:val="16"/>
          <w:szCs w:val="16"/>
          <w:color w:val="auto"/>
        </w:rPr>
      </w:pPr>
    </w:p>
    <w:p>
      <w:pPr>
        <w:ind w:left="5313" w:hanging="92"/>
        <w:spacing w:after="0"/>
        <w:tabs>
          <w:tab w:leader="none" w:pos="5313"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16510</wp:posOffset>
            </wp:positionV>
            <wp:extent cx="726122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13"/>
          </w:cols>
          <w:pgMar w:left="527" w:top="824" w:right="259" w:bottom="1440" w:gutter="0" w:footer="0" w:header="0"/>
        </w:sectPr>
      </w:pPr>
    </w:p>
    <w:bookmarkStart w:id="117" w:name="page118"/>
    <w:bookmarkEnd w:id="117"/>
    <w:p>
      <w:pPr>
        <w:ind w:left="583" w:right="160"/>
        <w:spacing w:after="0" w:line="258" w:lineRule="auto"/>
        <w:rPr>
          <w:sz w:val="20"/>
          <w:szCs w:val="20"/>
          <w:color w:val="auto"/>
        </w:rPr>
      </w:pPr>
      <w:r>
        <w:rPr>
          <w:rFonts w:ascii="Times New Roman" w:cs="Times New Roman" w:eastAsia="Times New Roman" w:hAnsi="Times New Roman"/>
          <w:sz w:val="16"/>
          <w:szCs w:val="16"/>
          <w:color w:val="auto"/>
        </w:rPr>
        <w:t>The Group has a Credit Division, which establishes the overall credit policies for each of the businesses in which the Group decides to take part. These credit policies are set forth based on the guidelines established by the Board of Directors and keeping in mind the statutory financial laws and regulations. The main activities are to establish the client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monitor credit-granting activities within the different autonomous bodies, among others.</w:t>
      </w:r>
    </w:p>
    <w:p>
      <w:pPr>
        <w:spacing w:after="0" w:line="167" w:lineRule="exact"/>
        <w:rPr>
          <w:sz w:val="20"/>
          <w:szCs w:val="20"/>
          <w:color w:val="auto"/>
        </w:rPr>
      </w:pPr>
    </w:p>
    <w:p>
      <w:pPr>
        <w:ind w:left="283" w:right="580" w:hanging="283"/>
        <w:spacing w:after="0" w:line="285" w:lineRule="auto"/>
        <w:tabs>
          <w:tab w:leader="none" w:pos="283"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exposure to credit risk at December 31, 2016 and 2015, before the effect of mitigation through any collateral, is the carrying amount of each class of financial assets indicated in note 34.7(a), 34.7(b) and the contingent credits detailed in note 21(a).</w:t>
      </w:r>
    </w:p>
    <w:p>
      <w:pPr>
        <w:spacing w:after="0" w:line="143" w:lineRule="exact"/>
        <w:rPr>
          <w:rFonts w:ascii="Times New Roman" w:cs="Times New Roman" w:eastAsia="Times New Roman" w:hAnsi="Times New Roman"/>
          <w:sz w:val="16"/>
          <w:szCs w:val="16"/>
          <w:color w:val="auto"/>
        </w:rPr>
      </w:pPr>
    </w:p>
    <w:p>
      <w:pPr>
        <w:ind w:left="283" w:right="5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Management is confident of its ability to continue to control and sustain minimal exposure of credit risk to the Group resulting from both its loan and securities portfolio.</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management for loans -</w:t>
      </w:r>
    </w:p>
    <w:p>
      <w:pPr>
        <w:spacing w:after="0" w:line="202" w:lineRule="exact"/>
        <w:rPr>
          <w:rFonts w:ascii="Times New Roman" w:cs="Times New Roman" w:eastAsia="Times New Roman" w:hAnsi="Times New Roman"/>
          <w:sz w:val="16"/>
          <w:szCs w:val="16"/>
          <w:color w:val="auto"/>
        </w:rPr>
      </w:pPr>
    </w:p>
    <w:p>
      <w:pPr>
        <w:ind w:left="283" w:right="46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rating bands and scoring of the internal models of each of the Group companies, Credicorp conducts a quantitative and qualitative analysis of each customer, its financial condition and the conditions of the market in which those customers operate; for that purpose it classifies its loan portfolio into one of five risk categories, depending upon the degree of risk of default of each debtor</w:t>
      </w:r>
    </w:p>
    <w:p>
      <w:pPr>
        <w:spacing w:after="0" w:line="157"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categories used are: (i) normal - A, (ii) potential problems - B, (iii) substandard - C, (iv) doubtful - D and (v) loss - E, which have the following characteristics:</w:t>
      </w:r>
    </w:p>
    <w:p>
      <w:pPr>
        <w:spacing w:after="0" w:line="200" w:lineRule="exact"/>
        <w:rPr>
          <w:rFonts w:ascii="Times New Roman" w:cs="Times New Roman" w:eastAsia="Times New Roman" w:hAnsi="Times New Roman"/>
          <w:sz w:val="16"/>
          <w:szCs w:val="16"/>
          <w:color w:val="auto"/>
        </w:rPr>
      </w:pPr>
    </w:p>
    <w:p>
      <w:pPr>
        <w:ind w:left="283" w:right="18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Normal (Class A): </w:t>
      </w:r>
      <w:r>
        <w:rPr>
          <w:rFonts w:ascii="Times New Roman" w:cs="Times New Roman" w:eastAsia="Times New Roman" w:hAnsi="Times New Roman"/>
          <w:sz w:val="16"/>
          <w:szCs w:val="16"/>
          <w:color w:val="auto"/>
        </w:rPr>
        <w:t>Debtors of commercial loans that fall into this category have complied on a timely basis with their obligations and at the time of evaluation do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Additionally, consumer and micro-business loans are categorized as Class A if payments are current or up to eight days past-due. Residential mortgage loans are classified as Class A, if payments are current or up to thirty days past-due.</w:t>
      </w:r>
    </w:p>
    <w:p>
      <w:pPr>
        <w:spacing w:after="0" w:line="159"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Potential problems (Class B): </w:t>
      </w:r>
      <w:r>
        <w:rPr>
          <w:rFonts w:ascii="Times New Roman" w:cs="Times New Roman" w:eastAsia="Times New Roman" w:hAnsi="Times New Roman"/>
          <w:sz w:val="16"/>
          <w:szCs w:val="16"/>
          <w:color w:val="auto"/>
        </w:rPr>
        <w:t>Debtors of commercial loans included in this category are those that at the time of the evaluation demonstrate certain deficiencies, which, if</w:t>
      </w:r>
    </w:p>
    <w:p>
      <w:pPr>
        <w:spacing w:after="0" w:line="27" w:lineRule="exact"/>
        <w:rPr>
          <w:rFonts w:ascii="Times New Roman" w:cs="Times New Roman" w:eastAsia="Times New Roman" w:hAnsi="Times New Roman"/>
          <w:sz w:val="16"/>
          <w:szCs w:val="16"/>
          <w:color w:val="auto"/>
        </w:rPr>
      </w:pPr>
    </w:p>
    <w:p>
      <w:pPr>
        <w:ind w:left="283"/>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and micro-business loans are categorized as Class B if payments are between 9 and 30 days late. Residential mortgage loans are classified as Class B when payments are between 31 and 60 days late.</w:t>
      </w:r>
    </w:p>
    <w:p>
      <w:pPr>
        <w:spacing w:after="0" w:line="360" w:lineRule="exact"/>
        <w:rPr>
          <w:rFonts w:ascii="Times New Roman" w:cs="Times New Roman" w:eastAsia="Times New Roman" w:hAnsi="Times New Roman"/>
          <w:sz w:val="16"/>
          <w:szCs w:val="16"/>
          <w:color w:val="auto"/>
        </w:rPr>
      </w:pPr>
    </w:p>
    <w:p>
      <w:pPr>
        <w:ind w:left="5603" w:hanging="92"/>
        <w:spacing w:after="0"/>
        <w:tabs>
          <w:tab w:leader="none" w:pos="5603"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118" w:name="page119"/>
    <w:bookmarkEnd w:id="118"/>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Substandard (Class C): </w:t>
      </w:r>
      <w:r>
        <w:rPr>
          <w:rFonts w:ascii="Times New Roman" w:cs="Times New Roman" w:eastAsia="Times New Roman" w:hAnsi="Times New Roman"/>
          <w:sz w:val="16"/>
          <w:szCs w:val="16"/>
          <w:color w:val="auto"/>
        </w:rPr>
        <w:t>Debtors of commercial loans included in this category demonstrate serious financial weakness, often with operating results or available income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and micro-business loans are categorized as Class C if payments are between 31 and 60 days late. Residential mortgage loans are classified as Class C when payments are between 61 and 120 days late.</w:t>
      </w:r>
    </w:p>
    <w:p>
      <w:pPr>
        <w:spacing w:after="0" w:line="16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Doubtful (Class D): </w:t>
      </w:r>
      <w:r>
        <w:rPr>
          <w:rFonts w:ascii="Times New Roman" w:cs="Times New Roman" w:eastAsia="Times New Roman" w:hAnsi="Times New Roman"/>
          <w:sz w:val="16"/>
          <w:szCs w:val="16"/>
          <w:color w:val="auto"/>
        </w:rPr>
        <w:t>Debtors of commercial loans included in this category present characteristics that make doubtful the recovery of the loan. Although the loan recovery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doubtful, if there is a reasonable possibility that in the near future the creditworthiness of the debtor might improve, a Class D categorization is appropriate. These credits are distinguished from Class E credits by the requirement that the debtor remains in operation, generates cash flow, and makes payments on the loan, although at a rate less than that specified in its contractual obligations. In addition, commercial loans are classified in this category when payments are between 121 and 365 days late. Consumer and micro-business loans are classified as Class D if payments are between 61 and 120 days late. Residential mortgage loans are Class D when payments are between 121 and 365 days late.</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Loss (Class E): </w:t>
      </w:r>
      <w:r>
        <w:rPr>
          <w:rFonts w:ascii="Times New Roman" w:cs="Times New Roman" w:eastAsia="Times New Roman" w:hAnsi="Times New Roman"/>
          <w:sz w:val="16"/>
          <w:szCs w:val="16"/>
          <w:color w:val="auto"/>
        </w:rPr>
        <w:t>Commercial loans which are considered unrecoverable or which for any other reason should not appear on the Group’s books as an asset based 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originally contracted terms fall into this category. In addition, commercial loans are classified in this category when payments are more than 365 days late. Consumer and micro-business loans are categorized as Class E if payments are more than 120 days late. Residential mortgage loans are classified as Class E when payments are more than 365 days late.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constantly reviews the loan portfolio in order to assess the completion and accuracy of its classifications.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loans considered impaired (the ones classified as substandard, doubtful or loss) are analyzed by the Group’s Management, which addresses impairment in two areas: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individually assessed provisions and collectively assessed provisions, as follows:</w:t>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Individually assessed allowance -</w:t>
      </w:r>
    </w:p>
    <w:p>
      <w:pPr>
        <w:spacing w:after="0" w:line="203" w:lineRule="exact"/>
        <w:rPr>
          <w:sz w:val="20"/>
          <w:szCs w:val="20"/>
          <w:color w:val="auto"/>
        </w:rPr>
      </w:pPr>
    </w:p>
    <w:p>
      <w:pPr>
        <w:ind w:left="300" w:right="140"/>
        <w:spacing w:after="0" w:line="285" w:lineRule="auto"/>
        <w:rPr>
          <w:sz w:val="20"/>
          <w:szCs w:val="20"/>
          <w:color w:val="auto"/>
        </w:rPr>
      </w:pPr>
      <w:r>
        <w:rPr>
          <w:rFonts w:ascii="Times New Roman" w:cs="Times New Roman" w:eastAsia="Times New Roman" w:hAnsi="Times New Roman"/>
          <w:sz w:val="16"/>
          <w:szCs w:val="16"/>
          <w:color w:val="auto"/>
        </w:rPr>
        <w:t>The methodology is applied to all of the impaired clients (classified as deficient, doubtful or loss) of Wholesale Banking and consists of estimating the loss generated by each client after deducting the present value of the future payments that he could pay and the recovery value of the guarantees, equally brought to present value.</w:t>
      </w:r>
    </w:p>
    <w:p>
      <w:pPr>
        <w:spacing w:after="0" w:line="143" w:lineRule="exact"/>
        <w:rPr>
          <w:sz w:val="20"/>
          <w:szCs w:val="20"/>
          <w:color w:val="auto"/>
        </w:rPr>
      </w:pPr>
    </w:p>
    <w:p>
      <w:pPr>
        <w:ind w:left="300" w:right="40"/>
        <w:spacing w:after="0" w:line="285" w:lineRule="auto"/>
        <w:rPr>
          <w:sz w:val="20"/>
          <w:szCs w:val="20"/>
          <w:color w:val="auto"/>
        </w:rPr>
      </w:pPr>
      <w:r>
        <w:rPr>
          <w:rFonts w:ascii="Times New Roman" w:cs="Times New Roman" w:eastAsia="Times New Roman" w:hAnsi="Times New Roman"/>
          <w:sz w:val="16"/>
          <w:szCs w:val="16"/>
          <w:color w:val="auto"/>
        </w:rPr>
        <w:t>The methodology and assumptions used for estimating future cash flows are reviewed regularly by the Group in order to reduce any differences between loss estimates and actual loss experience.</w:t>
      </w:r>
    </w:p>
    <w:p>
      <w:pPr>
        <w:spacing w:after="0" w:line="14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Collectively assessed allowance -</w:t>
      </w:r>
    </w:p>
    <w:p>
      <w:pPr>
        <w:spacing w:after="0" w:line="203" w:lineRule="exact"/>
        <w:rPr>
          <w:sz w:val="20"/>
          <w:szCs w:val="20"/>
          <w:color w:val="auto"/>
        </w:rPr>
      </w:pPr>
    </w:p>
    <w:p>
      <w:pPr>
        <w:ind w:left="300" w:right="40"/>
        <w:spacing w:after="0" w:line="263" w:lineRule="auto"/>
        <w:rPr>
          <w:sz w:val="20"/>
          <w:szCs w:val="20"/>
          <w:color w:val="auto"/>
        </w:rPr>
      </w:pPr>
      <w:r>
        <w:rPr>
          <w:rFonts w:ascii="Times New Roman" w:cs="Times New Roman" w:eastAsia="Times New Roman" w:hAnsi="Times New Roman"/>
          <w:sz w:val="16"/>
          <w:szCs w:val="16"/>
          <w:color w:val="auto"/>
        </w:rPr>
        <w:t>The methodology is applied for the unimpaired clients of Wholesale Banking and for Retail Credits (Consumer Credits, Small and Medium Enterprise Credits and Mortgage Loans). Allowance requirements are assessed collectively for losses on loans and advances that are not individually significant (including consumer, micro-business and residential mortgages) and for individually significant loans and advances where there is not yet objective evidence of individual impairment (included in categories A and B).</w:t>
      </w:r>
    </w:p>
    <w:p>
      <w:pPr>
        <w:spacing w:after="0" w:line="35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2" w:right="279" w:bottom="1440" w:gutter="0" w:footer="0" w:header="0"/>
        </w:sectPr>
      </w:pPr>
    </w:p>
    <w:bookmarkStart w:id="119" w:name="page120"/>
    <w:bookmarkEnd w:id="119"/>
    <w:p>
      <w:pPr>
        <w:spacing w:after="0" w:line="285" w:lineRule="auto"/>
        <w:rPr>
          <w:sz w:val="20"/>
          <w:szCs w:val="20"/>
          <w:color w:val="auto"/>
        </w:rPr>
      </w:pPr>
      <w:r>
        <w:rPr>
          <w:rFonts w:ascii="Times New Roman" w:cs="Times New Roman" w:eastAsia="Times New Roman" w:hAnsi="Times New Roman"/>
          <w:sz w:val="16"/>
          <w:szCs w:val="16"/>
          <w:color w:val="auto"/>
        </w:rPr>
        <w:t>Impairment losses are estimated by taking into consideration the following information: historical losses on the portfolio, and current economic conditions. The impairment allowance is then reviewed by Management to ensure alignment with the Group’s overall policy.</w:t>
      </w:r>
    </w:p>
    <w:p>
      <w:pPr>
        <w:spacing w:after="0" w:line="143"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6"/>
          <w:szCs w:val="16"/>
          <w:color w:val="auto"/>
        </w:rPr>
        <w:t>The methodology includes three estimation scenarios: base, upper threshold and lower threshold. These scenarios are generated by modifying some assumptions, such as collateral recovery values and the effects of changes in the economic environment.</w:t>
      </w:r>
    </w:p>
    <w:p>
      <w:pPr>
        <w:spacing w:after="0" w:line="143"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The process to select the best estimate within the range is based on management´s best judgment, complemented by historical loss experience and the Company’s strategy (e.g. penetration in new segments).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losses are evaluated at each reporting date as soon as there is any objective evidence that a financial asset or group of assets is impaired.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guarantees and letter of credit (indirect loans) are assessed and a provision estimated following a similar procedure as for loans.</w:t>
      </w:r>
    </w:p>
    <w:p>
      <w:pPr>
        <w:spacing w:after="0" w:line="20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In the case of borrowers in countries where there is an increased risk of difficulties in servicing external debt, an assessment of the political and economic situation is made, and an additional country risk provision is recorded, if necessary.</w:t>
      </w:r>
    </w:p>
    <w:p>
      <w:pPr>
        <w:spacing w:after="0" w:line="143"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When a loan is uncollectible, it is written off against the related provision for loan impairment. Said loans are written off after all the necessary legal procedures have been completed.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recovery of written off loans decrease the amount of the provision for loan losses, in the consolidated statement of income.</w:t>
      </w:r>
    </w:p>
    <w:p>
      <w:pPr>
        <w:spacing w:after="0" w:line="3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080"/>
          </w:cols>
          <w:pgMar w:left="520" w:top="824" w:right="299" w:bottom="1440" w:gutter="0" w:footer="0" w:header="0"/>
        </w:sectPr>
      </w:pPr>
    </w:p>
    <w:bookmarkStart w:id="120" w:name="page121"/>
    <w:bookmarkEnd w:id="120"/>
    <w:p>
      <w:pPr>
        <w:ind w:left="3"/>
        <w:spacing w:after="0"/>
        <w:rPr>
          <w:sz w:val="20"/>
          <w:szCs w:val="20"/>
          <w:color w:val="auto"/>
        </w:rPr>
      </w:pPr>
      <w:r>
        <w:rPr>
          <w:rFonts w:ascii="Times New Roman" w:cs="Times New Roman" w:eastAsia="Times New Roman" w:hAnsi="Times New Roman"/>
          <w:sz w:val="16"/>
          <w:szCs w:val="16"/>
          <w:color w:val="auto"/>
        </w:rPr>
        <w:t xml:space="preserve">The following is a summary of the direct loans </w:t>
      </w:r>
      <w:r>
        <w:rPr>
          <w:rFonts w:ascii="Times New Roman" w:cs="Times New Roman" w:eastAsia="Times New Roman" w:hAnsi="Times New Roman"/>
          <w:sz w:val="16"/>
          <w:szCs w:val="16"/>
          <w:u w:val="single" w:color="auto"/>
          <w:color w:val="auto"/>
        </w:rPr>
        <w:t>classified</w:t>
      </w:r>
      <w:r>
        <w:rPr>
          <w:rFonts w:ascii="Times New Roman" w:cs="Times New Roman" w:eastAsia="Times New Roman" w:hAnsi="Times New Roman"/>
          <w:sz w:val="16"/>
          <w:szCs w:val="16"/>
          <w:color w:val="auto"/>
        </w:rPr>
        <w:t xml:space="preserve"> in three major groups:</w:t>
      </w:r>
    </w:p>
    <w:p>
      <w:pPr>
        <w:spacing w:after="0" w:line="203" w:lineRule="exact"/>
        <w:rPr>
          <w:sz w:val="20"/>
          <w:szCs w:val="20"/>
          <w:color w:val="auto"/>
        </w:rPr>
      </w:pPr>
    </w:p>
    <w:p>
      <w:pPr>
        <w:ind w:left="283" w:right="20" w:hanging="283"/>
        <w:spacing w:after="0" w:line="285" w:lineRule="auto"/>
        <w:tabs>
          <w:tab w:leader="none" w:pos="28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neither past due nor impaired, comprising those direct loans having presently no delinquency characteristics and related to clients ranked as normal or potential problems;</w:t>
      </w:r>
    </w:p>
    <w:p>
      <w:pPr>
        <w:spacing w:after="0" w:line="143"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Past due but not impaired loans, comprising past due loans of clients classified as normal or with potential problems and</w:t>
      </w:r>
    </w:p>
    <w:p>
      <w:pPr>
        <w:spacing w:after="0" w:line="20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Impaired loans, those past due loans of clients classified as substandard, doubtful or loss; presented net of the allowance for loan losses for each of the loan classifications:</w:t>
      </w:r>
    </w:p>
    <w:p>
      <w:pPr>
        <w:spacing w:after="0" w:line="209" w:lineRule="exact"/>
        <w:rPr>
          <w:sz w:val="20"/>
          <w:szCs w:val="20"/>
          <w:color w:val="auto"/>
        </w:rPr>
      </w:pPr>
    </w:p>
    <w:tbl>
      <w:tblPr>
        <w:tblLayout w:type="fixed"/>
        <w:tblInd w:w="1503" w:type="dxa"/>
        <w:tblCellMar>
          <w:top w:w="0" w:type="dxa"/>
          <w:left w:w="0" w:type="dxa"/>
          <w:bottom w:w="0" w:type="dxa"/>
          <w:right w:w="0" w:type="dxa"/>
        </w:tblCellMar>
      </w:tblPr>
      <w:tr>
        <w:trPr>
          <w:trHeight w:val="155"/>
        </w:trPr>
        <w:tc>
          <w:tcPr>
            <w:tcW w:w="1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7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82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1"/>
                <w:szCs w:val="11"/>
                <w:b w:val="1"/>
                <w:bCs w:val="1"/>
                <w:color w:val="auto"/>
              </w:rPr>
              <w:t>Micro-</w:t>
            </w:r>
          </w:p>
        </w:tc>
        <w:tc>
          <w:tcPr>
            <w:tcW w:w="10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80" w:type="dxa"/>
            <w:vAlign w:val="bottom"/>
            <w:gridSpan w:val="3"/>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8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Micro-</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80" w:type="dxa"/>
            <w:vAlign w:val="bottom"/>
            <w:gridSpan w:val="3"/>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mortgage</w:t>
            </w:r>
          </w:p>
        </w:tc>
        <w:tc>
          <w:tcPr>
            <w:tcW w:w="8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000" w:type="dxa"/>
            <w:vAlign w:val="bottom"/>
            <w:gridSpan w:val="3"/>
            <w:vMerge w:val="continue"/>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vMerge w:val="restart"/>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gridSpan w:val="2"/>
            <w:vMerge w:val="continue"/>
          </w:tcPr>
          <w:p>
            <w:pPr>
              <w:spacing w:after="0"/>
              <w:rPr>
                <w:sz w:val="11"/>
                <w:szCs w:val="11"/>
                <w:color w:val="auto"/>
              </w:rPr>
            </w:pPr>
          </w:p>
        </w:tc>
        <w:tc>
          <w:tcPr>
            <w:tcW w:w="108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b w:val="1"/>
                <w:bCs w:val="1"/>
                <w:color w:val="auto"/>
              </w:rPr>
              <w:t>mortgage</w:t>
            </w:r>
          </w:p>
        </w:tc>
        <w:tc>
          <w:tcPr>
            <w:tcW w:w="8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680" w:type="dxa"/>
            <w:vAlign w:val="bottom"/>
            <w:vMerge w:val="continue"/>
          </w:tcPr>
          <w:p>
            <w:pPr>
              <w:spacing w:after="0"/>
              <w:rPr>
                <w:sz w:val="11"/>
                <w:szCs w:val="11"/>
                <w:color w:val="auto"/>
              </w:rPr>
            </w:pPr>
          </w:p>
        </w:tc>
        <w:tc>
          <w:tcPr>
            <w:tcW w:w="10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vMerge w:val="restart"/>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5"/>
        </w:trPr>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6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0"/>
                <w:szCs w:val="10"/>
                <w:color w:val="auto"/>
              </w:rPr>
            </w:pPr>
          </w:p>
        </w:tc>
        <w:tc>
          <w:tcPr>
            <w:tcW w:w="72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Neither past due nor</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impaired impaired</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Normal</w:t>
            </w:r>
          </w:p>
        </w:tc>
        <w:tc>
          <w:tcPr>
            <w:tcW w:w="8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50,984,455</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13,052,249</w:t>
            </w:r>
          </w:p>
        </w:tc>
        <w:tc>
          <w:tcPr>
            <w:tcW w:w="1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11,292,194</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11,105,796</w:t>
            </w: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86,434,694</w:t>
            </w:r>
          </w:p>
        </w:tc>
        <w:tc>
          <w:tcPr>
            <w:tcW w:w="7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96.15%</w:t>
            </w: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49,198,021</w:t>
            </w: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11,958,633</w:t>
            </w:r>
          </w:p>
        </w:tc>
        <w:tc>
          <w:tcPr>
            <w:tcW w:w="8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8,137,474</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12,553,293</w:t>
            </w:r>
          </w:p>
        </w:tc>
        <w:tc>
          <w:tcPr>
            <w:tcW w:w="20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81,847,421</w:t>
            </w:r>
          </w:p>
        </w:tc>
        <w:tc>
          <w:tcPr>
            <w:tcW w:w="6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95.24%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Potential problem</w:t>
            </w:r>
          </w:p>
        </w:tc>
        <w:tc>
          <w:tcPr>
            <w:tcW w:w="8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1,367,997</w:t>
            </w:r>
          </w:p>
        </w:tc>
        <w:tc>
          <w:tcPr>
            <w:tcW w:w="8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76,585</w:t>
            </w: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182,425</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90,498</w:t>
            </w: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1,717,505</w:t>
            </w:r>
          </w:p>
        </w:tc>
        <w:tc>
          <w:tcPr>
            <w:tcW w:w="7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1.91%</w:t>
            </w: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1,653,639</w:t>
            </w: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81,878</w:t>
            </w:r>
          </w:p>
        </w:tc>
        <w:tc>
          <w:tcPr>
            <w:tcW w:w="8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180,037</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99,826</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2,015,380</w:t>
            </w:r>
          </w:p>
        </w:tc>
        <w:tc>
          <w:tcPr>
            <w:tcW w:w="6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Past due but not</w:t>
            </w: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impaired</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Normal</w:t>
            </w:r>
          </w:p>
        </w:tc>
        <w:tc>
          <w:tcPr>
            <w:tcW w:w="8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329,448</w:t>
            </w:r>
          </w:p>
        </w:tc>
        <w:tc>
          <w:tcPr>
            <w:tcW w:w="8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503,168</w:t>
            </w: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274,003</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430,932</w:t>
            </w: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1,537,551</w:t>
            </w:r>
          </w:p>
        </w:tc>
        <w:tc>
          <w:tcPr>
            <w:tcW w:w="7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1.71%</w:t>
            </w: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1,161,140</w:t>
            </w: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461,084</w:t>
            </w:r>
          </w:p>
        </w:tc>
        <w:tc>
          <w:tcPr>
            <w:tcW w:w="8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7,244</w:t>
            </w: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387,063</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2,016,531</w:t>
            </w:r>
          </w:p>
        </w:tc>
        <w:tc>
          <w:tcPr>
            <w:tcW w:w="6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Potential problem</w:t>
            </w:r>
          </w:p>
        </w:tc>
        <w:tc>
          <w:tcPr>
            <w:tcW w:w="8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38,703</w:t>
            </w:r>
          </w:p>
        </w:tc>
        <w:tc>
          <w:tcPr>
            <w:tcW w:w="8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101,805</w:t>
            </w: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40,711</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17,014</w:t>
            </w: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198,233</w:t>
            </w:r>
          </w:p>
        </w:tc>
        <w:tc>
          <w:tcPr>
            <w:tcW w:w="7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0.22%</w:t>
            </w: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114,639</w:t>
            </w: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97,316</w:t>
            </w:r>
          </w:p>
        </w:tc>
        <w:tc>
          <w:tcPr>
            <w:tcW w:w="8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18,055</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21,690</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251,700</w:t>
            </w:r>
          </w:p>
        </w:tc>
        <w:tc>
          <w:tcPr>
            <w:tcW w:w="6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Impaired</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Substandard</w:t>
            </w:r>
          </w:p>
        </w:tc>
        <w:tc>
          <w:tcPr>
            <w:tcW w:w="8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468,745</w:t>
            </w:r>
          </w:p>
        </w:tc>
        <w:tc>
          <w:tcPr>
            <w:tcW w:w="8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143,610</w:t>
            </w: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224,559</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222,401</w:t>
            </w: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1,059,315</w:t>
            </w:r>
          </w:p>
        </w:tc>
        <w:tc>
          <w:tcPr>
            <w:tcW w:w="7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1.18%</w:t>
            </w: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375,798</w:t>
            </w: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162,571</w:t>
            </w:r>
          </w:p>
        </w:tc>
        <w:tc>
          <w:tcPr>
            <w:tcW w:w="8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103,644</w:t>
            </w: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224,751</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866,764</w:t>
            </w:r>
          </w:p>
        </w:tc>
        <w:tc>
          <w:tcPr>
            <w:tcW w:w="6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Doutful</w:t>
            </w:r>
          </w:p>
        </w:tc>
        <w:tc>
          <w:tcPr>
            <w:tcW w:w="8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355,146</w:t>
            </w:r>
          </w:p>
        </w:tc>
        <w:tc>
          <w:tcPr>
            <w:tcW w:w="8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231,872</w:t>
            </w: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309,523</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379,923</w:t>
            </w: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1,276,464</w:t>
            </w:r>
          </w:p>
        </w:tc>
        <w:tc>
          <w:tcPr>
            <w:tcW w:w="7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1.42%</w:t>
            </w: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545,594</w:t>
            </w: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196,524</w:t>
            </w:r>
          </w:p>
        </w:tc>
        <w:tc>
          <w:tcPr>
            <w:tcW w:w="8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133,386</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376,816</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1,252,320</w:t>
            </w:r>
          </w:p>
        </w:tc>
        <w:tc>
          <w:tcPr>
            <w:tcW w:w="6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Loss</w:t>
            </w:r>
          </w:p>
        </w:tc>
        <w:tc>
          <w:tcPr>
            <w:tcW w:w="8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589,377</w:t>
            </w:r>
          </w:p>
        </w:tc>
        <w:tc>
          <w:tcPr>
            <w:tcW w:w="8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386,165</w:t>
            </w:r>
          </w:p>
        </w:tc>
        <w:tc>
          <w:tcPr>
            <w:tcW w:w="8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628,213</w:t>
            </w:r>
          </w:p>
        </w:tc>
        <w:tc>
          <w:tcPr>
            <w:tcW w:w="82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271,872</w:t>
            </w:r>
          </w:p>
        </w:tc>
        <w:tc>
          <w:tcPr>
            <w:tcW w:w="8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1,875,627</w:t>
            </w:r>
          </w:p>
        </w:tc>
        <w:tc>
          <w:tcPr>
            <w:tcW w:w="7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2.09%</w:t>
            </w:r>
          </w:p>
        </w:tc>
        <w:tc>
          <w:tcPr>
            <w:tcW w:w="90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803,376</w:t>
            </w:r>
          </w:p>
        </w:tc>
        <w:tc>
          <w:tcPr>
            <w:tcW w:w="9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300,986</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206,478</w:t>
            </w:r>
          </w:p>
        </w:tc>
        <w:tc>
          <w:tcPr>
            <w:tcW w:w="8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215,272</w:t>
            </w: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1,526,112</w:t>
            </w:r>
          </w:p>
        </w:tc>
        <w:tc>
          <w:tcPr>
            <w:tcW w:w="6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480" w:type="dxa"/>
            <w:vAlign w:val="bottom"/>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8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54,133,871</w:t>
            </w: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14,495,454</w:t>
            </w: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12,951,628</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12,518,436</w:t>
            </w:r>
          </w:p>
        </w:tc>
        <w:tc>
          <w:tcPr>
            <w:tcW w:w="8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94,099,389</w:t>
            </w:r>
          </w:p>
        </w:tc>
        <w:tc>
          <w:tcPr>
            <w:tcW w:w="7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104.68%</w:t>
            </w:r>
          </w:p>
        </w:tc>
        <w:tc>
          <w:tcPr>
            <w:tcW w:w="90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53,852,207</w:t>
            </w:r>
          </w:p>
        </w:tc>
        <w:tc>
          <w:tcPr>
            <w:tcW w:w="9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13,258,992</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8,786,318</w:t>
            </w:r>
          </w:p>
        </w:tc>
        <w:tc>
          <w:tcPr>
            <w:tcW w:w="8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13,878,711</w:t>
            </w: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89,776,228</w:t>
            </w:r>
          </w:p>
        </w:tc>
        <w:tc>
          <w:tcPr>
            <w:tcW w:w="6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104.47%</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4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Less: Allowance for</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loan losses</w:t>
            </w:r>
          </w:p>
        </w:tc>
        <w:tc>
          <w:tcPr>
            <w:tcW w:w="8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1,026,411</w:t>
            </w:r>
          </w:p>
        </w:tc>
        <w:tc>
          <w:tcPr>
            <w:tcW w:w="8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193,385</w:t>
            </w: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1,353,168</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1,634,169</w:t>
            </w:r>
          </w:p>
        </w:tc>
        <w:tc>
          <w:tcPr>
            <w:tcW w:w="8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4,207,133</w:t>
            </w:r>
          </w:p>
        </w:tc>
        <w:tc>
          <w:tcPr>
            <w:tcW w:w="7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4.68%</w:t>
            </w:r>
          </w:p>
        </w:tc>
        <w:tc>
          <w:tcPr>
            <w:tcW w:w="90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1,005,831</w:t>
            </w:r>
          </w:p>
        </w:tc>
        <w:tc>
          <w:tcPr>
            <w:tcW w:w="9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173,879</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1,372,099</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1,288,528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3,840,337</w:t>
            </w:r>
          </w:p>
        </w:tc>
        <w:tc>
          <w:tcPr>
            <w:tcW w:w="6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Total, net</w:t>
            </w:r>
          </w:p>
        </w:tc>
        <w:tc>
          <w:tcPr>
            <w:tcW w:w="8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53,107,460</w:t>
            </w: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14,302,069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11,598,460</w:t>
            </w:r>
          </w:p>
        </w:tc>
        <w:tc>
          <w:tcPr>
            <w:tcW w:w="8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10,884,267</w:t>
            </w:r>
          </w:p>
        </w:tc>
        <w:tc>
          <w:tcPr>
            <w:tcW w:w="8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89,892,256</w:t>
            </w:r>
          </w:p>
        </w:tc>
        <w:tc>
          <w:tcPr>
            <w:tcW w:w="7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100.00%</w:t>
            </w:r>
          </w:p>
        </w:tc>
        <w:tc>
          <w:tcPr>
            <w:tcW w:w="90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52,846,376</w:t>
            </w:r>
          </w:p>
        </w:tc>
        <w:tc>
          <w:tcPr>
            <w:tcW w:w="9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13,085,113</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7,414,219</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12,592,183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85,935,891</w:t>
            </w:r>
          </w:p>
        </w:tc>
        <w:tc>
          <w:tcPr>
            <w:tcW w:w="6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 accordance with IFRS 7, the entire loan balance is considered past due when debtors have failed to make a payment when contractually due.</w:t>
      </w:r>
    </w:p>
    <w:p>
      <w:pPr>
        <w:spacing w:after="0" w:line="203" w:lineRule="exact"/>
        <w:rPr>
          <w:sz w:val="20"/>
          <w:szCs w:val="20"/>
          <w:color w:val="auto"/>
        </w:rPr>
      </w:pPr>
    </w:p>
    <w:p>
      <w:pPr>
        <w:jc w:val="both"/>
        <w:ind w:left="3" w:right="40"/>
        <w:spacing w:after="0" w:line="268" w:lineRule="auto"/>
        <w:rPr>
          <w:sz w:val="20"/>
          <w:szCs w:val="20"/>
          <w:color w:val="auto"/>
        </w:rPr>
      </w:pPr>
      <w:r>
        <w:rPr>
          <w:rFonts w:ascii="Times New Roman" w:cs="Times New Roman" w:eastAsia="Times New Roman" w:hAnsi="Times New Roman"/>
          <w:sz w:val="16"/>
          <w:szCs w:val="16"/>
          <w:color w:val="auto"/>
        </w:rPr>
        <w:t>At December 31, 2016, the renegotiated credits amount to approximately S/ 845.0 million, of which S/ 304.5 million are classified as not past due nor impaired, S/ 201.2 million as past du but not impaired and S/ 339.3 million as impaired but not past due (S/769.3 million, S/ 678.4 million, S/17.4 million and S/73.5 million, respectively, at December 31, 2015).</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40" w:type="dxa"/>
            <w:vAlign w:val="bottom"/>
            <w:gridSpan w:val="3"/>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1060" w:type="dxa"/>
            <w:vAlign w:val="bottom"/>
            <w:gridSpan w:val="3"/>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Micro-</w:t>
            </w: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12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1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Micro-</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Times New Roman" w:cs="Times New Roman" w:eastAsia="Times New Roman" w:hAnsi="Times New Roman"/>
                <w:sz w:val="13"/>
                <w:szCs w:val="13"/>
                <w:b w:val="1"/>
                <w:bCs w:val="1"/>
                <w:color w:val="auto"/>
              </w:rPr>
              <w:t>mortgage</w:t>
            </w:r>
          </w:p>
        </w:tc>
        <w:tc>
          <w:tcPr>
            <w:tcW w:w="1060" w:type="dxa"/>
            <w:vAlign w:val="bottom"/>
            <w:gridSpan w:val="3"/>
          </w:tcPr>
          <w:p>
            <w:pPr>
              <w:ind w:left="120"/>
              <w:spacing w:after="0" w:line="133"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060" w:type="dxa"/>
            <w:vAlign w:val="bottom"/>
            <w:gridSpan w:val="3"/>
            <w:vMerge w:val="continue"/>
          </w:tcPr>
          <w:p>
            <w:pPr>
              <w:spacing w:after="0"/>
              <w:rPr>
                <w:sz w:val="11"/>
                <w:szCs w:val="11"/>
                <w:color w:val="auto"/>
              </w:rPr>
            </w:pPr>
          </w:p>
        </w:tc>
        <w:tc>
          <w:tcPr>
            <w:tcW w:w="10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gridSpan w:val="3"/>
            <w:vMerge w:val="continue"/>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b w:val="1"/>
                <w:bCs w:val="1"/>
                <w:color w:val="auto"/>
              </w:rPr>
              <w:t>mortgage</w:t>
            </w:r>
          </w:p>
        </w:tc>
        <w:tc>
          <w:tcPr>
            <w:tcW w:w="10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000" w:type="dxa"/>
            <w:vAlign w:val="bottom"/>
            <w:gridSpan w:val="2"/>
            <w:vMerge w:val="continue"/>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40" w:type="dxa"/>
            <w:vAlign w:val="bottom"/>
            <w:gridSpan w:val="3"/>
            <w:vMerge w:val="continue"/>
          </w:tcPr>
          <w:p>
            <w:pPr>
              <w:spacing w:after="0"/>
              <w:rPr>
                <w:sz w:val="13"/>
                <w:szCs w:val="13"/>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Impaired loans</w:t>
            </w:r>
          </w:p>
        </w:tc>
        <w:tc>
          <w:tcPr>
            <w:tcW w:w="108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1,413,268</w:t>
            </w:r>
          </w:p>
        </w:tc>
        <w:tc>
          <w:tcPr>
            <w:tcW w:w="104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761,647</w:t>
            </w:r>
          </w:p>
        </w:tc>
        <w:tc>
          <w:tcPr>
            <w:tcW w:w="106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1,162,295</w:t>
            </w:r>
          </w:p>
        </w:tc>
        <w:tc>
          <w:tcPr>
            <w:tcW w:w="106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874,196</w:t>
            </w:r>
          </w:p>
        </w:tc>
        <w:tc>
          <w:tcPr>
            <w:tcW w:w="104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4,211,406</w:t>
            </w:r>
          </w:p>
        </w:tc>
        <w:tc>
          <w:tcPr>
            <w:tcW w:w="102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1,724,768</w:t>
            </w:r>
          </w:p>
        </w:tc>
        <w:tc>
          <w:tcPr>
            <w:tcW w:w="112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660,081</w:t>
            </w:r>
          </w:p>
        </w:tc>
        <w:tc>
          <w:tcPr>
            <w:tcW w:w="10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443,508</w:t>
            </w:r>
          </w:p>
        </w:tc>
        <w:tc>
          <w:tcPr>
            <w:tcW w:w="10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816,839</w:t>
            </w:r>
          </w:p>
        </w:tc>
        <w:tc>
          <w:tcPr>
            <w:tcW w:w="9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3,645,196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Fair value of</w:t>
            </w:r>
          </w:p>
        </w:tc>
        <w:tc>
          <w:tcPr>
            <w:tcW w:w="10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1,542,874</w:t>
            </w:r>
          </w:p>
        </w:tc>
        <w:tc>
          <w:tcPr>
            <w:tcW w:w="10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639,186</w:t>
            </w: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69,503</w:t>
            </w: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93,232</w:t>
            </w:r>
          </w:p>
        </w:tc>
        <w:tc>
          <w:tcPr>
            <w:tcW w:w="10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2,344,795</w:t>
            </w:r>
          </w:p>
        </w:tc>
        <w:tc>
          <w:tcPr>
            <w:tcW w:w="10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1,197,707</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530,910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20,433</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169,570</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1,918,620</w:t>
            </w:r>
          </w:p>
        </w:tc>
        <w:tc>
          <w:tcPr>
            <w:tcW w:w="0" w:type="dxa"/>
            <w:vAlign w:val="bottom"/>
          </w:tcPr>
          <w:p>
            <w:pPr>
              <w:spacing w:after="0"/>
              <w:rPr>
                <w:sz w:val="1"/>
                <w:szCs w:val="1"/>
                <w:color w:val="auto"/>
              </w:rPr>
            </w:pPr>
          </w:p>
        </w:tc>
      </w:tr>
      <w:tr>
        <w:trPr>
          <w:trHeight w:val="153"/>
        </w:trPr>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collateral</w:t>
            </w:r>
          </w:p>
        </w:tc>
        <w:tc>
          <w:tcPr>
            <w:tcW w:w="1080" w:type="dxa"/>
            <w:vAlign w:val="bottom"/>
            <w:gridSpan w:val="3"/>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Allowance for loan</w:t>
            </w:r>
          </w:p>
        </w:tc>
        <w:tc>
          <w:tcPr>
            <w:tcW w:w="10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101,073</w:t>
            </w:r>
          </w:p>
        </w:tc>
        <w:tc>
          <w:tcPr>
            <w:tcW w:w="10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86,726</w:t>
            </w:r>
          </w:p>
        </w:tc>
        <w:tc>
          <w:tcPr>
            <w:tcW w:w="10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283,208</w:t>
            </w:r>
          </w:p>
        </w:tc>
        <w:tc>
          <w:tcPr>
            <w:tcW w:w="10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99,284</w:t>
            </w:r>
          </w:p>
        </w:tc>
        <w:tc>
          <w:tcPr>
            <w:tcW w:w="10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570,291</w:t>
            </w:r>
          </w:p>
        </w:tc>
        <w:tc>
          <w:tcPr>
            <w:tcW w:w="10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362,197</w:t>
            </w:r>
          </w:p>
        </w:tc>
        <w:tc>
          <w:tcPr>
            <w:tcW w:w="11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82,166</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20,602</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74,401</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539,366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losses</w:t>
            </w:r>
          </w:p>
        </w:tc>
        <w:tc>
          <w:tcPr>
            <w:tcW w:w="1080" w:type="dxa"/>
            <w:vAlign w:val="bottom"/>
            <w:gridSpan w:val="3"/>
            <w:vMerge w:val="continue"/>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1060" w:type="dxa"/>
            <w:vAlign w:val="bottom"/>
            <w:gridSpan w:val="3"/>
            <w:vMerge w:val="continue"/>
            <w:shd w:val="clear" w:color="auto" w:fill="CCEEFF"/>
          </w:tcPr>
          <w:p>
            <w:pPr>
              <w:spacing w:after="0"/>
              <w:rPr>
                <w:sz w:val="13"/>
                <w:szCs w:val="13"/>
                <w:color w:val="auto"/>
              </w:rPr>
            </w:pPr>
          </w:p>
        </w:tc>
        <w:tc>
          <w:tcPr>
            <w:tcW w:w="1060" w:type="dxa"/>
            <w:vAlign w:val="bottom"/>
            <w:gridSpan w:val="3"/>
            <w:vMerge w:val="continue"/>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1020" w:type="dxa"/>
            <w:vAlign w:val="bottom"/>
            <w:gridSpan w:val="3"/>
            <w:vMerge w:val="continue"/>
            <w:shd w:val="clear" w:color="auto" w:fill="CCEEFF"/>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21" w:name="page122"/>
    <w:bookmarkEnd w:id="121"/>
    <w:p>
      <w:pPr>
        <w:ind w:left="3"/>
        <w:spacing w:after="0"/>
        <w:rPr>
          <w:sz w:val="20"/>
          <w:szCs w:val="20"/>
          <w:color w:val="auto"/>
        </w:rPr>
      </w:pPr>
      <w:r>
        <w:rPr>
          <w:rFonts w:ascii="Times New Roman" w:cs="Times New Roman" w:eastAsia="Times New Roman" w:hAnsi="Times New Roman"/>
          <w:sz w:val="16"/>
          <w:szCs w:val="16"/>
          <w:color w:val="auto"/>
        </w:rPr>
        <w:t>On the other hand, the breakdown of loans classified by maturity is shown below, according to the following criteria:</w:t>
      </w:r>
    </w:p>
    <w:p>
      <w:pPr>
        <w:spacing w:after="0" w:line="203" w:lineRule="exact"/>
        <w:rPr>
          <w:sz w:val="20"/>
          <w:szCs w:val="20"/>
          <w:color w:val="auto"/>
        </w:rPr>
      </w:pPr>
    </w:p>
    <w:p>
      <w:pPr>
        <w:ind w:left="383" w:hanging="383"/>
        <w:spacing w:after="0"/>
        <w:tabs>
          <w:tab w:leader="none" w:pos="38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loans comprise those loans with no current indicators of delinquency and related to customers ranked as normal and with potential problems</w:t>
      </w:r>
    </w:p>
    <w:p>
      <w:pPr>
        <w:spacing w:after="0" w:line="25" w:lineRule="exact"/>
        <w:rPr>
          <w:rFonts w:ascii="Times New Roman" w:cs="Times New Roman" w:eastAsia="Times New Roman" w:hAnsi="Times New Roman"/>
          <w:sz w:val="16"/>
          <w:szCs w:val="16"/>
          <w:color w:val="auto"/>
        </w:rPr>
      </w:pPr>
    </w:p>
    <w:p>
      <w:pPr>
        <w:ind w:left="383" w:hanging="383"/>
        <w:spacing w:after="0"/>
        <w:tabs>
          <w:tab w:leader="none" w:pos="38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current but impaired, comprising those direct loans with no current indicators of delinquency but related to customers ranked as substandard, doubtful or loss.</w:t>
      </w:r>
    </w:p>
    <w:p>
      <w:pPr>
        <w:spacing w:after="0" w:line="9" w:lineRule="exact"/>
        <w:rPr>
          <w:rFonts w:ascii="Times New Roman" w:cs="Times New Roman" w:eastAsia="Times New Roman" w:hAnsi="Times New Roman"/>
          <w:sz w:val="16"/>
          <w:szCs w:val="16"/>
          <w:color w:val="auto"/>
        </w:rPr>
      </w:pPr>
    </w:p>
    <w:p>
      <w:pPr>
        <w:ind w:left="383" w:right="420" w:hanging="383"/>
        <w:spacing w:after="0" w:line="252" w:lineRule="auto"/>
        <w:tabs>
          <w:tab w:leader="none" w:pos="38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with delays in payment of one day or more but which are not past due under our internal policies, comprising those direct loans related to customers ranked as normal, with potential problems, substandard, doubtful or loss.</w:t>
      </w:r>
    </w:p>
    <w:p>
      <w:pPr>
        <w:ind w:left="383" w:hanging="383"/>
        <w:spacing w:after="0"/>
        <w:tabs>
          <w:tab w:leader="none" w:pos="38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Internally overdue loans that are past due under our internal policies related to customers ranked as normal, with potential problems, substandard, doubtful or loss</w:t>
      </w:r>
    </w:p>
    <w:p>
      <w:pPr>
        <w:spacing w:after="0" w:line="18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sum of items: loans with delays in payment form first day and the internal past due loans reflect the entire amount of “past due” loans in accordance with IFRS 7.</w:t>
      </w:r>
    </w:p>
    <w:p>
      <w:pPr>
        <w:spacing w:after="0" w:line="209"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As of Decembre 31, 2016</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Decembre 31, 2015</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Loans with delays</w:t>
            </w: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3"/>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Loans with delays</w:t>
            </w: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 payments of</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Internal</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in payments of</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Internal</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Current but</w:t>
            </w:r>
          </w:p>
        </w:tc>
        <w:tc>
          <w:tcPr>
            <w:tcW w:w="10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one day or more</w:t>
            </w:r>
          </w:p>
        </w:tc>
        <w:tc>
          <w:tcPr>
            <w:tcW w:w="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Current but</w:t>
            </w:r>
          </w:p>
        </w:tc>
        <w:tc>
          <w:tcPr>
            <w:tcW w:w="124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one day or more</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but not internal</w:t>
            </w:r>
          </w:p>
        </w:tc>
        <w:tc>
          <w:tcPr>
            <w:tcW w:w="7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overdue</w:t>
            </w: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gridSpan w:val="3"/>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but not internal</w:t>
            </w:r>
          </w:p>
        </w:tc>
        <w:tc>
          <w:tcPr>
            <w:tcW w:w="6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overdue</w:t>
            </w: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impaired</w:t>
            </w: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overdue loans</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80" w:type="dxa"/>
            <w:vAlign w:val="bottom"/>
            <w:gridSpan w:val="3"/>
            <w:vMerge w:val="continue"/>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under IFRS 7</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impaired</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overdue loans</w:t>
            </w: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60" w:type="dxa"/>
            <w:vAlign w:val="bottom"/>
            <w:gridSpan w:val="3"/>
            <w:vMerge w:val="continue"/>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under IFRS 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0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Neither past due</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88,152,199</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88,152,199</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83,862,801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83,862,801</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nor impaired</w:t>
            </w:r>
          </w:p>
        </w:tc>
        <w:tc>
          <w:tcPr>
            <w:tcW w:w="70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7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Normal</w:t>
            </w: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86,434,694</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86,434,694</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81,847,421</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4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81,847,421</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Potential problems</w:t>
            </w: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1,717,505</w:t>
            </w: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1,717,505</w:t>
            </w:r>
          </w:p>
        </w:tc>
        <w:tc>
          <w:tcPr>
            <w:tcW w:w="8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2,015,380</w:t>
            </w: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2,015,380</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0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Past due but not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1,675,051</w:t>
            </w: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60,733</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1,735,784</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1,735,784</w:t>
            </w:r>
          </w:p>
        </w:tc>
        <w:tc>
          <w:tcPr>
            <w:tcW w:w="60" w:type="dxa"/>
            <w:vAlign w:val="bottom"/>
            <w:shd w:val="clear" w:color="auto" w:fill="CCEEFF"/>
          </w:tcPr>
          <w:p>
            <w:pPr>
              <w:spacing w:after="0"/>
              <w:rPr>
                <w:sz w:val="9"/>
                <w:szCs w:val="9"/>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2,186,059</w:t>
            </w: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82,172</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2,268,231</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2,268,231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impaired</w:t>
            </w:r>
          </w:p>
        </w:tc>
        <w:tc>
          <w:tcPr>
            <w:tcW w:w="70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7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820" w:type="dxa"/>
            <w:vAlign w:val="bottom"/>
            <w:tcBorders>
              <w:right w:val="single" w:sz="8" w:color="CCEEFF"/>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Normal</w:t>
            </w: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1,512,321</w:t>
            </w:r>
          </w:p>
        </w:tc>
        <w:tc>
          <w:tcPr>
            <w:tcW w:w="7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25,230</w:t>
            </w:r>
          </w:p>
        </w:tc>
        <w:tc>
          <w:tcPr>
            <w:tcW w:w="78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1,537,551</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1,537,551</w:t>
            </w:r>
          </w:p>
        </w:tc>
        <w:tc>
          <w:tcPr>
            <w:tcW w:w="60" w:type="dxa"/>
            <w:vAlign w:val="bottom"/>
          </w:tcPr>
          <w:p>
            <w:pPr>
              <w:spacing w:after="0"/>
              <w:rPr>
                <w:sz w:val="11"/>
                <w:szCs w:val="11"/>
                <w:color w:val="auto"/>
              </w:rPr>
            </w:pPr>
          </w:p>
        </w:tc>
        <w:tc>
          <w:tcPr>
            <w:tcW w:w="8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1,982,230</w:t>
            </w:r>
          </w:p>
        </w:tc>
        <w:tc>
          <w:tcPr>
            <w:tcW w:w="140" w:type="dxa"/>
            <w:vAlign w:val="bottom"/>
          </w:tcPr>
          <w:p>
            <w:pPr>
              <w:spacing w:after="0"/>
              <w:rPr>
                <w:sz w:val="11"/>
                <w:szCs w:val="11"/>
                <w:color w:val="auto"/>
              </w:rPr>
            </w:pPr>
          </w:p>
        </w:tc>
        <w:tc>
          <w:tcPr>
            <w:tcW w:w="6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34,301</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2,016,531</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2,016,531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Potential problems</w:t>
            </w: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162,730</w:t>
            </w:r>
          </w:p>
        </w:tc>
        <w:tc>
          <w:tcPr>
            <w:tcW w:w="7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35,503</w:t>
            </w:r>
          </w:p>
        </w:tc>
        <w:tc>
          <w:tcPr>
            <w:tcW w:w="78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198,233</w:t>
            </w:r>
          </w:p>
        </w:tc>
        <w:tc>
          <w:tcPr>
            <w:tcW w:w="92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198,233</w:t>
            </w:r>
          </w:p>
        </w:tc>
        <w:tc>
          <w:tcPr>
            <w:tcW w:w="8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203,829</w:t>
            </w:r>
          </w:p>
        </w:tc>
        <w:tc>
          <w:tcPr>
            <w:tcW w:w="6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47,871</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251,700</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251,700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Impaired debt</w:t>
            </w: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679,652</w:t>
            </w:r>
          </w:p>
        </w:tc>
        <w:tc>
          <w:tcPr>
            <w:tcW w:w="10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972,076</w:t>
            </w:r>
          </w:p>
        </w:tc>
        <w:tc>
          <w:tcPr>
            <w:tcW w:w="7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2,559,678</w:t>
            </w:r>
          </w:p>
        </w:tc>
        <w:tc>
          <w:tcPr>
            <w:tcW w:w="78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4,211,406</w:t>
            </w:r>
          </w:p>
        </w:tc>
        <w:tc>
          <w:tcPr>
            <w:tcW w:w="8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3,531,754</w:t>
            </w: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801,236</w:t>
            </w:r>
          </w:p>
        </w:tc>
        <w:tc>
          <w:tcPr>
            <w:tcW w:w="12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614,889</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2,229,071</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3,645,196</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2,843,860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Substandard</w:t>
            </w: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349,529</w:t>
            </w:r>
          </w:p>
        </w:tc>
        <w:tc>
          <w:tcPr>
            <w:tcW w:w="10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495,719</w:t>
            </w:r>
          </w:p>
        </w:tc>
        <w:tc>
          <w:tcPr>
            <w:tcW w:w="7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214,067</w:t>
            </w:r>
          </w:p>
        </w:tc>
        <w:tc>
          <w:tcPr>
            <w:tcW w:w="78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1,059,315</w:t>
            </w:r>
          </w:p>
        </w:tc>
        <w:tc>
          <w:tcPr>
            <w:tcW w:w="92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709,786</w:t>
            </w:r>
          </w:p>
        </w:tc>
        <w:tc>
          <w:tcPr>
            <w:tcW w:w="8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306,060</w:t>
            </w:r>
          </w:p>
        </w:tc>
        <w:tc>
          <w:tcPr>
            <w:tcW w:w="124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344,975</w:t>
            </w:r>
          </w:p>
        </w:tc>
        <w:tc>
          <w:tcPr>
            <w:tcW w:w="6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215,729</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866,764</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560,704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Doubtful</w:t>
            </w: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299,196</w:t>
            </w:r>
          </w:p>
        </w:tc>
        <w:tc>
          <w:tcPr>
            <w:tcW w:w="10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294,905</w:t>
            </w:r>
          </w:p>
        </w:tc>
        <w:tc>
          <w:tcPr>
            <w:tcW w:w="7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682,363</w:t>
            </w:r>
          </w:p>
        </w:tc>
        <w:tc>
          <w:tcPr>
            <w:tcW w:w="78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1,276,464</w:t>
            </w:r>
          </w:p>
        </w:tc>
        <w:tc>
          <w:tcPr>
            <w:tcW w:w="92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977,268</w:t>
            </w:r>
          </w:p>
        </w:tc>
        <w:tc>
          <w:tcPr>
            <w:tcW w:w="80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411,973</w:t>
            </w: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204,355</w:t>
            </w:r>
          </w:p>
        </w:tc>
        <w:tc>
          <w:tcPr>
            <w:tcW w:w="6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635,992</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1,252,320</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840,347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Loss</w:t>
            </w:r>
          </w:p>
        </w:tc>
        <w:tc>
          <w:tcPr>
            <w:tcW w:w="7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30,927</w:t>
            </w:r>
          </w:p>
        </w:tc>
        <w:tc>
          <w:tcPr>
            <w:tcW w:w="10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181,452</w:t>
            </w:r>
          </w:p>
        </w:tc>
        <w:tc>
          <w:tcPr>
            <w:tcW w:w="70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1,663,248</w:t>
            </w:r>
          </w:p>
        </w:tc>
        <w:tc>
          <w:tcPr>
            <w:tcW w:w="78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1,875,627</w:t>
            </w:r>
          </w:p>
        </w:tc>
        <w:tc>
          <w:tcPr>
            <w:tcW w:w="8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1,844,700</w:t>
            </w:r>
          </w:p>
        </w:tc>
        <w:tc>
          <w:tcPr>
            <w:tcW w:w="60" w:type="dxa"/>
            <w:vAlign w:val="bottom"/>
          </w:tcPr>
          <w:p>
            <w:pPr>
              <w:spacing w:after="0"/>
              <w:rPr>
                <w:sz w:val="12"/>
                <w:szCs w:val="12"/>
                <w:color w:val="auto"/>
              </w:rPr>
            </w:pPr>
          </w:p>
        </w:tc>
        <w:tc>
          <w:tcPr>
            <w:tcW w:w="80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83,203</w:t>
            </w:r>
          </w:p>
        </w:tc>
        <w:tc>
          <w:tcPr>
            <w:tcW w:w="1240" w:type="dxa"/>
            <w:vAlign w:val="bottom"/>
            <w:gridSpan w:val="3"/>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65,559</w:t>
            </w: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1,377,350</w:t>
            </w: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1,526,112</w:t>
            </w: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1,442,809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60" w:type="dxa"/>
            <w:vAlign w:val="bottom"/>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Total</w:t>
            </w:r>
          </w:p>
        </w:tc>
        <w:tc>
          <w:tcPr>
            <w:tcW w:w="7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88,152,199</w:t>
            </w:r>
          </w:p>
        </w:tc>
        <w:tc>
          <w:tcPr>
            <w:tcW w:w="88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679,652</w:t>
            </w:r>
          </w:p>
        </w:tc>
        <w:tc>
          <w:tcPr>
            <w:tcW w:w="10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2,647,127</w:t>
            </w:r>
          </w:p>
        </w:tc>
        <w:tc>
          <w:tcPr>
            <w:tcW w:w="70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2,620,411</w:t>
            </w:r>
          </w:p>
        </w:tc>
        <w:tc>
          <w:tcPr>
            <w:tcW w:w="78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94,099,389</w:t>
            </w:r>
          </w:p>
        </w:tc>
        <w:tc>
          <w:tcPr>
            <w:tcW w:w="8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5,267,538</w:t>
            </w:r>
          </w:p>
        </w:tc>
        <w:tc>
          <w:tcPr>
            <w:tcW w:w="60" w:type="dxa"/>
            <w:vAlign w:val="bottom"/>
          </w:tcPr>
          <w:p>
            <w:pPr>
              <w:spacing w:after="0"/>
              <w:rPr>
                <w:sz w:val="12"/>
                <w:szCs w:val="12"/>
                <w:color w:val="auto"/>
              </w:rPr>
            </w:pPr>
          </w:p>
        </w:tc>
        <w:tc>
          <w:tcPr>
            <w:tcW w:w="80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83,862,801</w:t>
            </w:r>
          </w:p>
        </w:tc>
        <w:tc>
          <w:tcPr>
            <w:tcW w:w="84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801,236</w:t>
            </w:r>
          </w:p>
        </w:tc>
        <w:tc>
          <w:tcPr>
            <w:tcW w:w="11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2,800,948</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2,311,243</w:t>
            </w:r>
          </w:p>
        </w:tc>
        <w:tc>
          <w:tcPr>
            <w:tcW w:w="860" w:type="dxa"/>
            <w:vAlign w:val="bottom"/>
            <w:gridSpan w:val="3"/>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89,776,228</w:t>
            </w: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5,112,091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classification of loans by type of banking and maturity is as follows:</w:t>
      </w:r>
    </w:p>
    <w:p>
      <w:pPr>
        <w:spacing w:after="0" w:line="209"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Decembre 31, 2016</w:t>
            </w: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As of Decembre 31, 2015</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3"/>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Loans with delay in</w:t>
            </w: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Loans with delay in</w:t>
            </w: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payments of one day</w:t>
            </w: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Internal</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payments of one day</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Internal</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Current but</w:t>
            </w:r>
          </w:p>
        </w:tc>
        <w:tc>
          <w:tcPr>
            <w:tcW w:w="13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or more but not</w:t>
            </w: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Current but</w:t>
            </w: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or more but not</w:t>
            </w: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760" w:type="dxa"/>
            <w:vAlign w:val="bottom"/>
            <w:gridSpan w:val="2"/>
            <w:vMerge w:val="continue"/>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internal overdue</w:t>
            </w:r>
          </w:p>
        </w:tc>
        <w:tc>
          <w:tcPr>
            <w:tcW w:w="76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overdue</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860" w:type="dxa"/>
            <w:vAlign w:val="bottom"/>
            <w:gridSpan w:val="2"/>
            <w:vMerge w:val="continue"/>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internal overdue</w:t>
            </w:r>
          </w:p>
        </w:tc>
        <w:tc>
          <w:tcPr>
            <w:tcW w:w="86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overdue</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impaired</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60" w:type="dxa"/>
            <w:vAlign w:val="bottom"/>
            <w:gridSpan w:val="2"/>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impaired</w:t>
            </w: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3"/>
                <w:szCs w:val="13"/>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Commercial loans</w:t>
            </w:r>
          </w:p>
        </w:tc>
        <w:tc>
          <w:tcPr>
            <w:tcW w:w="1000" w:type="dxa"/>
            <w:vAlign w:val="bottom"/>
            <w:gridSpan w:val="3"/>
            <w:shd w:val="clear" w:color="auto" w:fill="CCEEFF"/>
          </w:tcPr>
          <w:p>
            <w:pPr>
              <w:ind w:left="280"/>
              <w:spacing w:after="0" w:line="133" w:lineRule="exact"/>
              <w:rPr>
                <w:sz w:val="20"/>
                <w:szCs w:val="20"/>
                <w:color w:val="auto"/>
              </w:rPr>
            </w:pPr>
            <w:r>
              <w:rPr>
                <w:rFonts w:ascii="Times New Roman" w:cs="Times New Roman" w:eastAsia="Times New Roman" w:hAnsi="Times New Roman"/>
                <w:sz w:val="13"/>
                <w:szCs w:val="13"/>
                <w:color w:val="auto"/>
              </w:rPr>
              <w:t>51,108,503</w:t>
            </w:r>
          </w:p>
        </w:tc>
        <w:tc>
          <w:tcPr>
            <w:tcW w:w="7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230,366</w:t>
            </w:r>
          </w:p>
        </w:tc>
        <w:tc>
          <w:tcPr>
            <w:tcW w:w="130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1,317,893</w:t>
            </w:r>
          </w:p>
        </w:tc>
        <w:tc>
          <w:tcPr>
            <w:tcW w:w="6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1,477,109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54,133,871</w:t>
            </w:r>
          </w:p>
        </w:tc>
        <w:tc>
          <w:tcPr>
            <w:tcW w:w="110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50,851,660</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355,639</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1,352,772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1,292,136</w:t>
            </w:r>
          </w:p>
        </w:tc>
        <w:tc>
          <w:tcPr>
            <w:tcW w:w="1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53,852,207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Residential mortgage loans</w:t>
            </w:r>
          </w:p>
        </w:tc>
        <w:tc>
          <w:tcPr>
            <w:tcW w:w="1000" w:type="dxa"/>
            <w:vAlign w:val="bottom"/>
            <w:gridSpan w:val="3"/>
          </w:tcPr>
          <w:p>
            <w:pPr>
              <w:ind w:left="280"/>
              <w:spacing w:after="0" w:line="133" w:lineRule="exact"/>
              <w:rPr>
                <w:sz w:val="20"/>
                <w:szCs w:val="20"/>
                <w:color w:val="auto"/>
              </w:rPr>
            </w:pPr>
            <w:r>
              <w:rPr>
                <w:rFonts w:ascii="Times New Roman" w:cs="Times New Roman" w:eastAsia="Times New Roman" w:hAnsi="Times New Roman"/>
                <w:sz w:val="13"/>
                <w:szCs w:val="13"/>
                <w:color w:val="auto"/>
              </w:rPr>
              <w:t>13,266,248</w:t>
            </w:r>
          </w:p>
        </w:tc>
        <w:tc>
          <w:tcPr>
            <w:tcW w:w="7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193,819</w:t>
            </w:r>
          </w:p>
        </w:tc>
        <w:tc>
          <w:tcPr>
            <w:tcW w:w="130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626,045</w:t>
            </w:r>
          </w:p>
        </w:tc>
        <w:tc>
          <w:tcPr>
            <w:tcW w:w="76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409,342</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14,495,454</w:t>
            </w:r>
          </w:p>
        </w:tc>
        <w:tc>
          <w:tcPr>
            <w:tcW w:w="110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12,040,511</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191,184</w:t>
            </w:r>
          </w:p>
        </w:tc>
        <w:tc>
          <w:tcPr>
            <w:tcW w:w="12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716,919</w:t>
            </w:r>
          </w:p>
        </w:tc>
        <w:tc>
          <w:tcPr>
            <w:tcW w:w="86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310,378</w:t>
            </w:r>
          </w:p>
        </w:tc>
        <w:tc>
          <w:tcPr>
            <w:tcW w:w="76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13,258,992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Micro-business loans y microempresa</w:t>
            </w:r>
          </w:p>
        </w:tc>
        <w:tc>
          <w:tcPr>
            <w:tcW w:w="1000" w:type="dxa"/>
            <w:vAlign w:val="bottom"/>
            <w:gridSpan w:val="3"/>
            <w:shd w:val="clear" w:color="auto" w:fill="CCEEFF"/>
          </w:tcPr>
          <w:p>
            <w:pPr>
              <w:ind w:left="280"/>
              <w:spacing w:after="0" w:line="133" w:lineRule="exact"/>
              <w:rPr>
                <w:sz w:val="20"/>
                <w:szCs w:val="20"/>
                <w:color w:val="auto"/>
              </w:rPr>
            </w:pPr>
            <w:r>
              <w:rPr>
                <w:rFonts w:ascii="Times New Roman" w:cs="Times New Roman" w:eastAsia="Times New Roman" w:hAnsi="Times New Roman"/>
                <w:sz w:val="13"/>
                <w:szCs w:val="13"/>
                <w:color w:val="auto"/>
              </w:rPr>
              <w:t>12,451,403</w:t>
            </w:r>
          </w:p>
        </w:tc>
        <w:tc>
          <w:tcPr>
            <w:tcW w:w="7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18,072</w:t>
            </w:r>
          </w:p>
        </w:tc>
        <w:tc>
          <w:tcPr>
            <w:tcW w:w="130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180,871</w:t>
            </w:r>
          </w:p>
        </w:tc>
        <w:tc>
          <w:tcPr>
            <w:tcW w:w="76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301,282</w:t>
            </w: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12,951,628</w:t>
            </w:r>
          </w:p>
        </w:tc>
        <w:tc>
          <w:tcPr>
            <w:tcW w:w="1100" w:type="dxa"/>
            <w:vAlign w:val="bottom"/>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8,317,511</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14,383</w:t>
            </w:r>
          </w:p>
        </w:tc>
        <w:tc>
          <w:tcPr>
            <w:tcW w:w="122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122,814</w:t>
            </w:r>
          </w:p>
        </w:tc>
        <w:tc>
          <w:tcPr>
            <w:tcW w:w="86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331,610</w:t>
            </w:r>
          </w:p>
        </w:tc>
        <w:tc>
          <w:tcPr>
            <w:tcW w:w="76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8,786,318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Consumer loans</w:t>
            </w:r>
          </w:p>
        </w:tc>
        <w:tc>
          <w:tcPr>
            <w:tcW w:w="1000" w:type="dxa"/>
            <w:vAlign w:val="bottom"/>
            <w:gridSpan w:val="3"/>
          </w:tcPr>
          <w:p>
            <w:pPr>
              <w:ind w:left="280"/>
              <w:spacing w:after="0" w:line="145" w:lineRule="exact"/>
              <w:rPr>
                <w:sz w:val="20"/>
                <w:szCs w:val="20"/>
                <w:color w:val="auto"/>
              </w:rPr>
            </w:pPr>
            <w:r>
              <w:rPr>
                <w:rFonts w:ascii="Times New Roman" w:cs="Times New Roman" w:eastAsia="Times New Roman" w:hAnsi="Times New Roman"/>
                <w:sz w:val="13"/>
                <w:szCs w:val="13"/>
                <w:color w:val="auto"/>
              </w:rPr>
              <w:t>11,326,045</w:t>
            </w:r>
          </w:p>
        </w:tc>
        <w:tc>
          <w:tcPr>
            <w:tcW w:w="7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237,395</w:t>
            </w:r>
          </w:p>
        </w:tc>
        <w:tc>
          <w:tcPr>
            <w:tcW w:w="130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522,318</w:t>
            </w:r>
          </w:p>
        </w:tc>
        <w:tc>
          <w:tcPr>
            <w:tcW w:w="76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432,678</w:t>
            </w: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12,518,436</w:t>
            </w:r>
          </w:p>
        </w:tc>
        <w:tc>
          <w:tcPr>
            <w:tcW w:w="110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12,653,119</w:t>
            </w:r>
          </w:p>
        </w:tc>
        <w:tc>
          <w:tcPr>
            <w:tcW w:w="8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240,030</w:t>
            </w:r>
          </w:p>
        </w:tc>
        <w:tc>
          <w:tcPr>
            <w:tcW w:w="12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608,443</w:t>
            </w:r>
          </w:p>
        </w:tc>
        <w:tc>
          <w:tcPr>
            <w:tcW w:w="86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377,119</w:t>
            </w:r>
          </w:p>
        </w:tc>
        <w:tc>
          <w:tcPr>
            <w:tcW w:w="76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13,878,711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ind w:left="200"/>
              <w:spacing w:after="0" w:line="125" w:lineRule="exact"/>
              <w:rPr>
                <w:sz w:val="20"/>
                <w:szCs w:val="20"/>
                <w:color w:val="auto"/>
              </w:rPr>
            </w:pPr>
            <w:r>
              <w:rPr>
                <w:rFonts w:ascii="Times New Roman" w:cs="Times New Roman" w:eastAsia="Times New Roman" w:hAnsi="Times New Roman"/>
                <w:sz w:val="13"/>
                <w:szCs w:val="13"/>
                <w:color w:val="auto"/>
                <w:w w:val="92"/>
              </w:rPr>
              <w:t>88,152,199</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679,652</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2,647,127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2,620,411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94,099,389</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83,862,801</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801,236</w:t>
            </w:r>
          </w:p>
        </w:tc>
        <w:tc>
          <w:tcPr>
            <w:tcW w:w="18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2,800,948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2,311,243</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89,776,228</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22" w:name="page123"/>
    <w:bookmarkEnd w:id="122"/>
    <w:p>
      <w:pPr>
        <w:ind w:left="283" w:hanging="283"/>
        <w:spacing w:after="0"/>
        <w:tabs>
          <w:tab w:leader="none" w:pos="28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management on reverse repurchase agreements and security borrowings –</w:t>
      </w:r>
    </w:p>
    <w:p>
      <w:pPr>
        <w:spacing w:after="0" w:line="202" w:lineRule="exact"/>
        <w:rPr>
          <w:rFonts w:ascii="Times New Roman" w:cs="Times New Roman" w:eastAsia="Times New Roman" w:hAnsi="Times New Roman"/>
          <w:sz w:val="16"/>
          <w:szCs w:val="16"/>
          <w:color w:val="auto"/>
        </w:rPr>
      </w:pPr>
    </w:p>
    <w:p>
      <w:pPr>
        <w:ind w:left="283" w:right="2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Most of these operations are performed by Credicorp Capital Colombia and IM Trust. The Group has implemented credit limits for each counterparty and most of the transactions are collateralized with investment grade financial instruments issued by Colombian and Chilean entities and financial instruments issued by Colombian and Chilean Governments.</w:t>
      </w:r>
    </w:p>
    <w:p>
      <w:pPr>
        <w:spacing w:after="0" w:line="157"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management on investments in trading securities, available-for-sale and held-to-maturity investments –</w:t>
      </w:r>
    </w:p>
    <w:p>
      <w:pPr>
        <w:spacing w:after="0" w:line="202" w:lineRule="exact"/>
        <w:rPr>
          <w:rFonts w:ascii="Times New Roman" w:cs="Times New Roman" w:eastAsia="Times New Roman" w:hAnsi="Times New Roman"/>
          <w:sz w:val="16"/>
          <w:szCs w:val="16"/>
          <w:color w:val="auto"/>
        </w:rPr>
      </w:pPr>
    </w:p>
    <w:p>
      <w:pPr>
        <w:ind w:left="2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evaluates the credit risk identified of each of the financial instruments in these categories, considering the risk rating granted to them by a risk rating agency. For investments traded in Peru, the risk ratings used are those provided by the three most prestigious Peruvian rating agencies (authorized by the Peruvian government regulator) and for investments traded abroad, the risk-ratings used are those provided by the three most prestigious international rating agencies.</w:t>
      </w:r>
    </w:p>
    <w:p>
      <w:pPr>
        <w:spacing w:after="0" w:line="157" w:lineRule="exact"/>
        <w:rPr>
          <w:rFonts w:ascii="Times New Roman" w:cs="Times New Roman" w:eastAsia="Times New Roman" w:hAnsi="Times New Roman"/>
          <w:sz w:val="16"/>
          <w:szCs w:val="16"/>
          <w:color w:val="auto"/>
        </w:rPr>
      </w:pPr>
    </w:p>
    <w:p>
      <w:pPr>
        <w:ind w:left="283" w:right="20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any Subsidiary uses a risk-rating prepared by any other risk rating agency, said risk-ratings are standardized with those provided by the afore-mentioned institutions.</w:t>
      </w:r>
    </w:p>
    <w:p>
      <w:pPr>
        <w:spacing w:after="0" w:line="336" w:lineRule="exact"/>
        <w:rPr>
          <w:rFonts w:ascii="Times New Roman" w:cs="Times New Roman" w:eastAsia="Times New Roman" w:hAnsi="Times New Roman"/>
          <w:sz w:val="16"/>
          <w:szCs w:val="16"/>
          <w:color w:val="auto"/>
        </w:rPr>
      </w:pPr>
    </w:p>
    <w:p>
      <w:pPr>
        <w:ind w:left="5603" w:hanging="95"/>
        <w:spacing w:after="0"/>
        <w:tabs>
          <w:tab w:leader="none" w:pos="5603"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4" w:right="2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color w:val="auto"/>
        </w:rPr>
        <w:t>The following table shows the analysis of the risk-rating of available-for-sale and held-to-maturity investments referred to above: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1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At December 31, 2016</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At December 31, 2015</w:t>
            </w:r>
          </w:p>
        </w:tc>
        <w:tc>
          <w:tcPr>
            <w:tcW w:w="1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49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320" w:type="dxa"/>
            <w:vAlign w:val="bottom"/>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Instruments rated in Peru:</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AAA</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1,412,290</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1,342,437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AA- to AA+</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1,060,347</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984,969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to A+</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5,483,403</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19.7</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3,582,234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BBB- to BBB+</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1,919,853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1,053,774</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BB- to BB+</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314,913</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59,005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Lower than +B</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22,129</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89,378</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Unrated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BCRP certificates of deposit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7,066,653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25.4</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6,006,110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Listed and unlisted securities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796,961</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735,641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mutual funds</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368,418</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335,764</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50,314</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128,777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6"/>
                <w:szCs w:val="16"/>
                <w:color w:val="auto"/>
              </w:rPr>
            </w:pPr>
          </w:p>
        </w:tc>
      </w:tr>
      <w:tr>
        <w:trPr>
          <w:trHeight w:val="205"/>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instruments</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90,407</w:t>
            </w: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43,559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7"/>
                <w:szCs w:val="17"/>
                <w:color w:val="auto"/>
              </w:rPr>
            </w:pPr>
          </w:p>
        </w:tc>
      </w:tr>
      <w:tr>
        <w:trPr>
          <w:trHeight w:val="185"/>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Subtotal</w:t>
            </w:r>
          </w:p>
        </w:tc>
        <w:tc>
          <w:tcPr>
            <w:tcW w:w="5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18,585,688</w:t>
            </w:r>
          </w:p>
        </w:tc>
        <w:tc>
          <w:tcPr>
            <w:tcW w:w="22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14,361,648</w:t>
            </w:r>
          </w:p>
        </w:tc>
        <w:tc>
          <w:tcPr>
            <w:tcW w:w="200" w:type="dxa"/>
            <w:vAlign w:val="bottom"/>
            <w:tcBorders>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5"/>
        </w:trPr>
        <w:tc>
          <w:tcPr>
            <w:tcW w:w="4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Instruments rated abroad: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AAA</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1,385,911</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821,482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 to AA+</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677,042</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443,522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 to A+</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1,298,815</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2,064,134</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BBB- to BBB+</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3,069,547</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3,654,183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BB- to BB+</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1,011,463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1,102,256</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Lower than B+</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148,212</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0.5</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174,542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Rated and unrated instruments</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586,953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809,766</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Certificates of deposit of Banco Central de Bolivia</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14,644</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154,404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Participations of RAL Funds</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650,804</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694,915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245,730</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0.9</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36,179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Hedge funds</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1,095</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133,194</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6"/>
                <w:szCs w:val="16"/>
                <w:color w:val="auto"/>
              </w:rPr>
            </w:pPr>
          </w:p>
        </w:tc>
      </w:tr>
      <w:tr>
        <w:trPr>
          <w:trHeight w:val="205"/>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instruments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143,202</w:t>
            </w:r>
          </w:p>
        </w:tc>
        <w:tc>
          <w:tcPr>
            <w:tcW w:w="5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0.5</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223,921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7"/>
                <w:szCs w:val="17"/>
                <w:color w:val="auto"/>
              </w:rPr>
            </w:pPr>
          </w:p>
        </w:tc>
      </w:tr>
      <w:tr>
        <w:trPr>
          <w:trHeight w:val="185"/>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9,233,418</w:t>
            </w: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10,312,498</w:t>
            </w:r>
          </w:p>
        </w:tc>
        <w:tc>
          <w:tcPr>
            <w:tcW w:w="2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85"/>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27,819,106</w:t>
            </w: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24,674,146</w:t>
            </w:r>
          </w:p>
        </w:tc>
        <w:tc>
          <w:tcPr>
            <w:tcW w:w="2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80"/>
          </w:cols>
          <w:pgMar w:left="520" w:top="824" w:right="399" w:bottom="1440" w:gutter="0" w:footer="0" w:header="0"/>
        </w:sectPr>
      </w:pPr>
    </w:p>
    <w:bookmarkStart w:id="124" w:name="page125"/>
    <w:bookmarkEnd w:id="124"/>
    <w:p>
      <w:pPr>
        <w:ind w:left="283" w:hanging="283"/>
        <w:spacing w:after="0"/>
        <w:tabs>
          <w:tab w:leader="none" w:pos="283"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Concentration of financial instruments exposed to credit risk -</w:t>
      </w:r>
    </w:p>
    <w:p>
      <w:pPr>
        <w:spacing w:after="0" w:line="202"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2016 and 2015 financial instruments with exposure to credit risk were distributed considering the following economic sectors:</w:t>
      </w:r>
    </w:p>
    <w:p>
      <w:pPr>
        <w:spacing w:after="0" w:line="209"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720" w:type="dxa"/>
            <w:vAlign w:val="bottom"/>
            <w:gridSpan w:val="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Designed at fair value through</w:t>
            </w: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Designed at fair value</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profit for loss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through profit for loss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Loans and</w:t>
            </w:r>
          </w:p>
        </w:tc>
        <w:tc>
          <w:tcPr>
            <w:tcW w:w="8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gridSpan w:val="3"/>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Loans and</w:t>
            </w:r>
          </w:p>
        </w:tc>
        <w:tc>
          <w:tcPr>
            <w:tcW w:w="86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trading and</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At inception</w:t>
            </w:r>
          </w:p>
        </w:tc>
        <w:tc>
          <w:tcPr>
            <w:tcW w:w="900" w:type="dxa"/>
            <w:vAlign w:val="bottom"/>
            <w:gridSpan w:val="3"/>
            <w:vMerge w:val="continue"/>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held-to-</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trading and</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At inception</w:t>
            </w:r>
          </w:p>
        </w:tc>
        <w:tc>
          <w:tcPr>
            <w:tcW w:w="940" w:type="dxa"/>
            <w:vAlign w:val="bottom"/>
            <w:gridSpan w:val="3"/>
            <w:vMerge w:val="continue"/>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8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held-to-</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760" w:type="dxa"/>
            <w:vAlign w:val="bottom"/>
            <w:gridSpan w:val="2"/>
            <w:vMerge w:val="continue"/>
          </w:tcPr>
          <w:p>
            <w:pPr>
              <w:spacing w:after="0"/>
              <w:rPr>
                <w:sz w:val="13"/>
                <w:szCs w:val="13"/>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for-sale</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gridSpan w:val="2"/>
            <w:vMerge w:val="continue"/>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740" w:type="dxa"/>
            <w:vAlign w:val="bottom"/>
            <w:gridSpan w:val="2"/>
            <w:vMerge w:val="continue"/>
          </w:tcPr>
          <w:p>
            <w:pPr>
              <w:spacing w:after="0"/>
              <w:rPr>
                <w:sz w:val="13"/>
                <w:szCs w:val="13"/>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for-sale</w:t>
            </w: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6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2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Banco Central de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2,122,662</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18,748,155</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3,419,374</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24,290,191</w:t>
            </w: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1,618,619</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24,036,302</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4,593,585</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30,248,506</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Reserva del Perú</w:t>
            </w:r>
          </w:p>
        </w:tc>
        <w:tc>
          <w:tcPr>
            <w:tcW w:w="70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Financial services</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2,051,650</w:t>
            </w:r>
          </w:p>
        </w:tc>
        <w:tc>
          <w:tcPr>
            <w:tcW w:w="260" w:type="dxa"/>
            <w:vAlign w:val="bottom"/>
          </w:tcPr>
          <w:p>
            <w:pPr>
              <w:spacing w:after="0"/>
              <w:rPr>
                <w:sz w:val="11"/>
                <w:szCs w:val="11"/>
                <w:color w:val="auto"/>
              </w:rPr>
            </w:pPr>
          </w:p>
        </w:tc>
        <w:tc>
          <w:tcPr>
            <w:tcW w:w="7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321,298</w:t>
            </w:r>
          </w:p>
        </w:tc>
        <w:tc>
          <w:tcPr>
            <w:tcW w:w="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10,732,478</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5,721,827</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308,961</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19,136,214</w:t>
            </w:r>
          </w:p>
        </w:tc>
        <w:tc>
          <w:tcPr>
            <w:tcW w:w="8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1,305,929</w:t>
            </w:r>
          </w:p>
        </w:tc>
        <w:tc>
          <w:tcPr>
            <w:tcW w:w="7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255,630</w:t>
            </w:r>
          </w:p>
        </w:tc>
        <w:tc>
          <w:tcPr>
            <w:tcW w:w="8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10,990,139</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6,021,800</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18,573,498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Manufacturing</w:t>
            </w:r>
          </w:p>
        </w:tc>
        <w:tc>
          <w:tcPr>
            <w:tcW w:w="96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9,886</w:t>
            </w:r>
          </w:p>
        </w:tc>
        <w:tc>
          <w:tcPr>
            <w:tcW w:w="76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12,026</w:t>
            </w:r>
          </w:p>
        </w:tc>
        <w:tc>
          <w:tcPr>
            <w:tcW w:w="7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13,952,167</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1,650,833</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37,965</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15,662,877</w:t>
            </w:r>
          </w:p>
        </w:tc>
        <w:tc>
          <w:tcPr>
            <w:tcW w:w="8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28,211</w:t>
            </w:r>
          </w:p>
        </w:tc>
        <w:tc>
          <w:tcPr>
            <w:tcW w:w="7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8,423</w:t>
            </w:r>
          </w:p>
        </w:tc>
        <w:tc>
          <w:tcPr>
            <w:tcW w:w="8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13,035,603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1,437,064</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14,509,301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Mortgage loans</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13,283,126</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13,283,126</w:t>
            </w:r>
          </w:p>
        </w:tc>
        <w:tc>
          <w:tcPr>
            <w:tcW w:w="8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12,765,981</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12,765,981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Consumer loans</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11,410,640</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11,410,640</w:t>
            </w:r>
          </w:p>
        </w:tc>
        <w:tc>
          <w:tcPr>
            <w:tcW w:w="8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11,282,568</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11,282,568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Micro-business loans</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5,175,700</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5,175,700</w:t>
            </w:r>
          </w:p>
        </w:tc>
        <w:tc>
          <w:tcPr>
            <w:tcW w:w="8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10,825,304</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10,825,304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Commerce</w:t>
            </w:r>
          </w:p>
        </w:tc>
        <w:tc>
          <w:tcPr>
            <w:tcW w:w="96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35,022</w:t>
            </w:r>
          </w:p>
        </w:tc>
        <w:tc>
          <w:tcPr>
            <w:tcW w:w="76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3,693</w:t>
            </w:r>
          </w:p>
        </w:tc>
        <w:tc>
          <w:tcPr>
            <w:tcW w:w="7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14,242,421</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192,136</w:t>
            </w:r>
          </w:p>
        </w:tc>
        <w:tc>
          <w:tcPr>
            <w:tcW w:w="8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14,765</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14,488,037</w:t>
            </w:r>
          </w:p>
        </w:tc>
        <w:tc>
          <w:tcPr>
            <w:tcW w:w="8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48,881</w:t>
            </w:r>
          </w:p>
        </w:tc>
        <w:tc>
          <w:tcPr>
            <w:tcW w:w="7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9,815,475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212,512</w:t>
            </w: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10,076,868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Government and public</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221,754</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11,199</w:t>
            </w:r>
          </w:p>
        </w:tc>
        <w:tc>
          <w:tcPr>
            <w:tcW w:w="60" w:type="dxa"/>
            <w:vAlign w:val="bottom"/>
          </w:tcPr>
          <w:p>
            <w:pPr>
              <w:spacing w:after="0"/>
              <w:rPr>
                <w:sz w:val="9"/>
                <w:szCs w:val="9"/>
                <w:color w:val="auto"/>
              </w:rPr>
            </w:pP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245,948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2,830,156</w:t>
            </w:r>
          </w:p>
        </w:tc>
        <w:tc>
          <w:tcPr>
            <w:tcW w:w="12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4,651,535</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7,960,592</w:t>
            </w: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425,392</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1,767</w:t>
            </w: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370,372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2,213,647</w:t>
            </w:r>
          </w:p>
        </w:tc>
        <w:tc>
          <w:tcPr>
            <w:tcW w:w="14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3,582,129</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6,593,307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administration</w:t>
            </w:r>
          </w:p>
        </w:tc>
        <w:tc>
          <w:tcPr>
            <w:tcW w:w="9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Electricity, gas and</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26,068</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41,877</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4,562,433</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1,903,494</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44,640</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6,578,512</w:t>
            </w: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62,141</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40,265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4,258,699</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1,745,564</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6,106,669</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water</w:t>
            </w:r>
          </w:p>
        </w:tc>
        <w:tc>
          <w:tcPr>
            <w:tcW w:w="9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Community services</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4,118,309</w:t>
            </w:r>
          </w:p>
        </w:tc>
        <w:tc>
          <w:tcPr>
            <w:tcW w:w="8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43,992</w:t>
            </w:r>
          </w:p>
        </w:tc>
        <w:tc>
          <w:tcPr>
            <w:tcW w:w="8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4,162,301</w:t>
            </w:r>
          </w:p>
        </w:tc>
        <w:tc>
          <w:tcPr>
            <w:tcW w:w="8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4,391,748</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4,391,748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Communications,</w:t>
            </w: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storage and</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8,043</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6,659</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4,122,639</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983,966</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35,998</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5,157,305</w:t>
            </w: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9,366</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5,043</w:t>
            </w: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2,997,811</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890,635</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3,902,855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Mining</w:t>
            </w:r>
          </w:p>
        </w:tc>
        <w:tc>
          <w:tcPr>
            <w:tcW w:w="96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40,441</w:t>
            </w:r>
          </w:p>
        </w:tc>
        <w:tc>
          <w:tcPr>
            <w:tcW w:w="7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32,380</w:t>
            </w:r>
          </w:p>
        </w:tc>
        <w:tc>
          <w:tcPr>
            <w:tcW w:w="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2,318,702</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285,571</w:t>
            </w:r>
          </w:p>
        </w:tc>
        <w:tc>
          <w:tcPr>
            <w:tcW w:w="8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2,677,094</w:t>
            </w:r>
          </w:p>
        </w:tc>
        <w:tc>
          <w:tcPr>
            <w:tcW w:w="8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55,497</w:t>
            </w:r>
          </w:p>
        </w:tc>
        <w:tc>
          <w:tcPr>
            <w:tcW w:w="7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21,665</w:t>
            </w:r>
          </w:p>
        </w:tc>
        <w:tc>
          <w:tcPr>
            <w:tcW w:w="8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2,644,951</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372,092</w:t>
            </w: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3,094,205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Construction</w:t>
            </w:r>
          </w:p>
        </w:tc>
        <w:tc>
          <w:tcPr>
            <w:tcW w:w="96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45,030</w:t>
            </w:r>
          </w:p>
        </w:tc>
        <w:tc>
          <w:tcPr>
            <w:tcW w:w="76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27,033</w:t>
            </w:r>
          </w:p>
        </w:tc>
        <w:tc>
          <w:tcPr>
            <w:tcW w:w="7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1,910,677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387,779</w:t>
            </w:r>
          </w:p>
        </w:tc>
        <w:tc>
          <w:tcPr>
            <w:tcW w:w="8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9,569</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2,380,088</w:t>
            </w:r>
          </w:p>
        </w:tc>
        <w:tc>
          <w:tcPr>
            <w:tcW w:w="8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69,160</w:t>
            </w:r>
          </w:p>
        </w:tc>
        <w:tc>
          <w:tcPr>
            <w:tcW w:w="7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17,535</w:t>
            </w:r>
          </w:p>
        </w:tc>
        <w:tc>
          <w:tcPr>
            <w:tcW w:w="8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1,888,732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357,016</w:t>
            </w: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2,332,443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Agriculture</w:t>
            </w:r>
          </w:p>
        </w:tc>
        <w:tc>
          <w:tcPr>
            <w:tcW w:w="96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14,992</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2,222,398</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5,100</w:t>
            </w:r>
          </w:p>
        </w:tc>
        <w:tc>
          <w:tcPr>
            <w:tcW w:w="8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2,242,490</w:t>
            </w:r>
          </w:p>
        </w:tc>
        <w:tc>
          <w:tcPr>
            <w:tcW w:w="8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13,636</w:t>
            </w:r>
          </w:p>
        </w:tc>
        <w:tc>
          <w:tcPr>
            <w:tcW w:w="7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1,870,989</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469</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1,885,094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Insurance</w:t>
            </w:r>
          </w:p>
        </w:tc>
        <w:tc>
          <w:tcPr>
            <w:tcW w:w="96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24,376</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1,288,212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1,312,588</w:t>
            </w:r>
          </w:p>
        </w:tc>
        <w:tc>
          <w:tcPr>
            <w:tcW w:w="8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24,812</w:t>
            </w:r>
          </w:p>
        </w:tc>
        <w:tc>
          <w:tcPr>
            <w:tcW w:w="7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1,488,533</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342,235</w:t>
            </w:r>
          </w:p>
        </w:tc>
        <w:tc>
          <w:tcPr>
            <w:tcW w:w="8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1,855,580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Education, health and</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9,956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2,934</w:t>
            </w: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912,031</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359,602</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3,471</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1,287,994</w:t>
            </w: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24,982</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1,171,341</w:t>
            </w:r>
          </w:p>
        </w:tc>
        <w:tc>
          <w:tcPr>
            <w:tcW w:w="14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216,423</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1,412,746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services</w:t>
            </w: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Real Estate and</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17,359</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9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7,115,947</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244,377</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7,377,683</w:t>
            </w: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34,500</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520,687</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236,558</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791,745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Leasing</w:t>
            </w:r>
          </w:p>
        </w:tc>
        <w:tc>
          <w:tcPr>
            <w:tcW w:w="96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Fishing</w:t>
            </w:r>
          </w:p>
        </w:tc>
        <w:tc>
          <w:tcPr>
            <w:tcW w:w="96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7,521</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405,538</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413,059</w:t>
            </w:r>
          </w:p>
        </w:tc>
        <w:tc>
          <w:tcPr>
            <w:tcW w:w="8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18,054</w:t>
            </w:r>
          </w:p>
        </w:tc>
        <w:tc>
          <w:tcPr>
            <w:tcW w:w="7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407,193</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425,247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Others</w:t>
            </w:r>
          </w:p>
        </w:tc>
        <w:tc>
          <w:tcPr>
            <w:tcW w:w="96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3"/>
                <w:szCs w:val="13"/>
                <w:color w:val="auto"/>
              </w:rPr>
              <w:t>322,861</w:t>
            </w: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4,234,272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657,460</w:t>
            </w:r>
          </w:p>
        </w:tc>
        <w:tc>
          <w:tcPr>
            <w:tcW w:w="8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11,516</w:t>
            </w:r>
          </w:p>
        </w:tc>
        <w:tc>
          <w:tcPr>
            <w:tcW w:w="8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5,226,109</w:t>
            </w:r>
          </w:p>
        </w:tc>
        <w:tc>
          <w:tcPr>
            <w:tcW w:w="82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59,432</w:t>
            </w:r>
          </w:p>
        </w:tc>
        <w:tc>
          <w:tcPr>
            <w:tcW w:w="7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8,241,667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129,321</w:t>
            </w:r>
          </w:p>
        </w:tc>
        <w:tc>
          <w:tcPr>
            <w:tcW w:w="8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8,430,420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6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4,957,621</w:t>
            </w:r>
          </w:p>
        </w:tc>
        <w:tc>
          <w:tcPr>
            <w:tcW w:w="2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459,099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121,001,793</w:t>
            </w:r>
          </w:p>
        </w:tc>
        <w:tc>
          <w:tcPr>
            <w:tcW w:w="12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18,685,667</w:t>
            </w:r>
          </w:p>
        </w:tc>
        <w:tc>
          <w:tcPr>
            <w:tcW w:w="1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5,118,420</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150,222,600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3,798,612</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350,328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123,004,095</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18,768,921</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ind w:left="180"/>
              <w:spacing w:after="0" w:line="125" w:lineRule="exact"/>
              <w:rPr>
                <w:sz w:val="20"/>
                <w:szCs w:val="20"/>
                <w:color w:val="auto"/>
              </w:rPr>
            </w:pPr>
            <w:r>
              <w:rPr>
                <w:rFonts w:ascii="Times New Roman" w:cs="Times New Roman" w:eastAsia="Times New Roman" w:hAnsi="Times New Roman"/>
                <w:sz w:val="13"/>
                <w:szCs w:val="13"/>
                <w:color w:val="auto"/>
                <w:w w:val="92"/>
              </w:rPr>
              <w:t>3,582,129</w:t>
            </w:r>
          </w:p>
        </w:tc>
        <w:tc>
          <w:tcPr>
            <w:tcW w:w="1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149,504,085</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color w:val="auto"/>
        </w:rPr>
        <w:t>As of December 31, 2016 and 2015 financial instruments with exposure to credit risk were distributed by the following geographical areas: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Borders>
              <w:top w:val="single" w:sz="8" w:color="auto"/>
            </w:tcBorders>
            <w:gridSpan w:val="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Designed at fair value</w:t>
            </w: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tcBorders>
              <w:top w:val="single" w:sz="8" w:color="auto"/>
            </w:tcBorders>
            <w:gridSpan w:val="6"/>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Designed at fair value</w:t>
            </w: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6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through profit for loss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through profit for loss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66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Loans and</w:t>
            </w:r>
          </w:p>
        </w:tc>
        <w:tc>
          <w:tcPr>
            <w:tcW w:w="88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40" w:type="dxa"/>
            <w:vAlign w:val="bottom"/>
            <w:tcBorders>
              <w:top w:val="single" w:sz="8" w:color="auto"/>
            </w:tcBorders>
            <w:gridSpan w:val="3"/>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760" w:type="dxa"/>
            <w:vAlign w:val="bottom"/>
            <w:tcBorders>
              <w:top w:val="single" w:sz="8" w:color="auto"/>
            </w:tcBorders>
            <w:gridSpan w:val="2"/>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Loans and</w:t>
            </w:r>
          </w:p>
        </w:tc>
        <w:tc>
          <w:tcPr>
            <w:tcW w:w="88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gridSpan w:val="3"/>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trading and</w:t>
            </w:r>
          </w:p>
        </w:tc>
        <w:tc>
          <w:tcPr>
            <w:tcW w:w="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trading and</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At inception</w:t>
            </w:r>
          </w:p>
        </w:tc>
        <w:tc>
          <w:tcPr>
            <w:tcW w:w="860" w:type="dxa"/>
            <w:vAlign w:val="bottom"/>
            <w:gridSpan w:val="3"/>
            <w:vMerge w:val="continue"/>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available-for-</w:t>
            </w:r>
          </w:p>
        </w:tc>
        <w:tc>
          <w:tcPr>
            <w:tcW w:w="9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held-to-</w:t>
            </w:r>
          </w:p>
        </w:tc>
        <w:tc>
          <w:tcPr>
            <w:tcW w:w="74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trading and</w:t>
            </w:r>
          </w:p>
        </w:tc>
        <w:tc>
          <w:tcPr>
            <w:tcW w:w="90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trading and</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At inception</w:t>
            </w:r>
          </w:p>
        </w:tc>
        <w:tc>
          <w:tcPr>
            <w:tcW w:w="860" w:type="dxa"/>
            <w:vAlign w:val="bottom"/>
            <w:gridSpan w:val="3"/>
            <w:vMerge w:val="continue"/>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available-for-</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800" w:type="dxa"/>
            <w:vAlign w:val="bottom"/>
            <w:gridSpan w:val="2"/>
            <w:vMerge w:val="continue"/>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sale</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hedging</w:t>
            </w:r>
          </w:p>
        </w:tc>
        <w:tc>
          <w:tcPr>
            <w:tcW w:w="800" w:type="dxa"/>
            <w:vAlign w:val="bottom"/>
            <w:gridSpan w:val="2"/>
            <w:vMerge w:val="continue"/>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sale</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Perú</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2,661,743</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174,771</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107,315,656</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11,515,894</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4,606,110</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126,274,174</w:t>
            </w: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2,071,143</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139,095</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108,531,535</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11,218,896</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3,263,286</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125,223,955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6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United States of</w:t>
            </w: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235,036</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223,223</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1,722,387</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2,986,309</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82,536</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5,249,491</w:t>
            </w:r>
          </w:p>
        </w:tc>
        <w:tc>
          <w:tcPr>
            <w:tcW w:w="140" w:type="dxa"/>
            <w:vAlign w:val="bottom"/>
          </w:tcPr>
          <w:p>
            <w:pPr>
              <w:spacing w:after="0"/>
              <w:rPr>
                <w:sz w:val="9"/>
                <w:szCs w:val="9"/>
                <w:color w:val="auto"/>
              </w:rPr>
            </w:pP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276,401</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171,933</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3,755,619</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2,912,022</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7,115,975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America</w:t>
            </w:r>
          </w:p>
        </w:tc>
        <w:tc>
          <w:tcPr>
            <w:tcW w:w="10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Bolivia</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6,992,985</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885,013</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7,877,998</w:t>
            </w: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5</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6,018,849</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1,074,722</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7,093,576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Colombia</w:t>
            </w:r>
          </w:p>
        </w:tc>
        <w:tc>
          <w:tcPr>
            <w:tcW w:w="104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1,245,998</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1,157,154</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780,468</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150,667</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3,334,287</w:t>
            </w: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732,145</w:t>
            </w:r>
          </w:p>
        </w:tc>
        <w:tc>
          <w:tcPr>
            <w:tcW w:w="90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433,495</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881,482</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152,109</w:t>
            </w:r>
          </w:p>
        </w:tc>
        <w:tc>
          <w:tcPr>
            <w:tcW w:w="7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2,199,231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Panama</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65</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660,191</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65,767</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726,023</w:t>
            </w: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2,033,384</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52,281</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2,085,665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Chile</w:t>
            </w:r>
          </w:p>
        </w:tc>
        <w:tc>
          <w:tcPr>
            <w:tcW w:w="104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342,613</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29,315</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1,597,426</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838,702</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69,839</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2,877,895</w:t>
            </w: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107,477</w:t>
            </w:r>
          </w:p>
        </w:tc>
        <w:tc>
          <w:tcPr>
            <w:tcW w:w="90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4,482</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906,869</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1,042,183</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2,061,011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Brazil</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283,056</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98,022</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121,794</w:t>
            </w:r>
          </w:p>
        </w:tc>
        <w:tc>
          <w:tcPr>
            <w:tcW w:w="9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502,872</w:t>
            </w: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98,177</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229,489</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130,453</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458,119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México</w:t>
            </w:r>
          </w:p>
        </w:tc>
        <w:tc>
          <w:tcPr>
            <w:tcW w:w="104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7,654</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83,792</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334,116</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77,423</w:t>
            </w:r>
          </w:p>
        </w:tc>
        <w:tc>
          <w:tcPr>
            <w:tcW w:w="94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502,985</w:t>
            </w:r>
          </w:p>
        </w:tc>
        <w:tc>
          <w:tcPr>
            <w:tcW w:w="74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171</w:t>
            </w:r>
          </w:p>
        </w:tc>
        <w:tc>
          <w:tcPr>
            <w:tcW w:w="90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4,484</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1,449</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318,221</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36,281</w:t>
            </w:r>
          </w:p>
        </w:tc>
        <w:tc>
          <w:tcPr>
            <w:tcW w:w="7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360,606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Canada</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5,819</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28,295</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72,102</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106,216</w:t>
            </w: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279</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30,169</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61,193</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91,641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Europe: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Unted Kingdom</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364,433</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111,019</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129,960</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3,218</w:t>
            </w:r>
          </w:p>
        </w:tc>
        <w:tc>
          <w:tcPr>
            <w:tcW w:w="9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608,630</w:t>
            </w: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529,910</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629,965</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111,450</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1,271,325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Other in Europe</w:t>
            </w:r>
          </w:p>
        </w:tc>
        <w:tc>
          <w:tcPr>
            <w:tcW w:w="104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1,605</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133,373</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154,668</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289,646</w:t>
            </w:r>
          </w:p>
        </w:tc>
        <w:tc>
          <w:tcPr>
            <w:tcW w:w="74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3,249</w:t>
            </w:r>
          </w:p>
        </w:tc>
        <w:tc>
          <w:tcPr>
            <w:tcW w:w="90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278,151</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281,400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France</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98,556</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23,465</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74,734</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1,708</w:t>
            </w:r>
          </w:p>
        </w:tc>
        <w:tc>
          <w:tcPr>
            <w:tcW w:w="9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198,463</w:t>
            </w: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77,752</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83,134</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67,423</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228,309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Spain</w:t>
            </w:r>
          </w:p>
        </w:tc>
        <w:tc>
          <w:tcPr>
            <w:tcW w:w="104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205,334</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6,119</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3,414</w:t>
            </w:r>
          </w:p>
        </w:tc>
        <w:tc>
          <w:tcPr>
            <w:tcW w:w="94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214,867</w:t>
            </w:r>
          </w:p>
        </w:tc>
        <w:tc>
          <w:tcPr>
            <w:tcW w:w="74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78</w:t>
            </w:r>
          </w:p>
        </w:tc>
        <w:tc>
          <w:tcPr>
            <w:tcW w:w="90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99,002</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10,680</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109,760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Switzerland</w:t>
            </w:r>
          </w:p>
        </w:tc>
        <w:tc>
          <w:tcPr>
            <w:tcW w:w="1040" w:type="dxa"/>
            <w:vAlign w:val="bottom"/>
            <w:gridSpan w:val="3"/>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171,335</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36,065</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207,400</w:t>
            </w: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40,702</w:t>
            </w:r>
          </w:p>
        </w:tc>
        <w:tc>
          <w:tcPr>
            <w:tcW w:w="8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35,822</w:t>
            </w:r>
          </w:p>
        </w:tc>
        <w:tc>
          <w:tcPr>
            <w:tcW w:w="8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76,524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The Netherlands</w:t>
            </w:r>
          </w:p>
        </w:tc>
        <w:tc>
          <w:tcPr>
            <w:tcW w:w="104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56,136</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56,136</w:t>
            </w:r>
          </w:p>
        </w:tc>
        <w:tc>
          <w:tcPr>
            <w:tcW w:w="74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48,737</w:t>
            </w:r>
          </w:p>
        </w:tc>
        <w:tc>
          <w:tcPr>
            <w:tcW w:w="8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48,737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w:t>
            </w:r>
          </w:p>
        </w:tc>
        <w:tc>
          <w:tcPr>
            <w:tcW w:w="1040" w:type="dxa"/>
            <w:vAlign w:val="bottom"/>
            <w:gridSpan w:val="3"/>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1,753</w:t>
            </w:r>
          </w:p>
        </w:tc>
        <w:tc>
          <w:tcPr>
            <w:tcW w:w="8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24,136</w:t>
            </w:r>
          </w:p>
        </w:tc>
        <w:tc>
          <w:tcPr>
            <w:tcW w:w="8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516,325</w:t>
            </w:r>
          </w:p>
        </w:tc>
        <w:tc>
          <w:tcPr>
            <w:tcW w:w="86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651,592</w:t>
            </w:r>
          </w:p>
        </w:tc>
        <w:tc>
          <w:tcPr>
            <w:tcW w:w="8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1,711</w:t>
            </w:r>
          </w:p>
        </w:tc>
        <w:tc>
          <w:tcPr>
            <w:tcW w:w="8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1,195,517</w:t>
            </w: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2</w:t>
            </w:r>
          </w:p>
        </w:tc>
        <w:tc>
          <w:tcPr>
            <w:tcW w:w="90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30,334</w:t>
            </w:r>
          </w:p>
        </w:tc>
        <w:tc>
          <w:tcPr>
            <w:tcW w:w="8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341,746</w:t>
            </w:r>
          </w:p>
        </w:tc>
        <w:tc>
          <w:tcPr>
            <w:tcW w:w="86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426,169</w:t>
            </w:r>
          </w:p>
        </w:tc>
        <w:tc>
          <w:tcPr>
            <w:tcW w:w="8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798,251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6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4,957,621</w:t>
            </w:r>
          </w:p>
        </w:tc>
        <w:tc>
          <w:tcPr>
            <w:tcW w:w="160" w:type="dxa"/>
            <w:vAlign w:val="bottom"/>
          </w:tcPr>
          <w:p>
            <w:pPr>
              <w:spacing w:after="0"/>
              <w:rPr>
                <w:sz w:val="10"/>
                <w:szCs w:val="10"/>
                <w:color w:val="auto"/>
              </w:rPr>
            </w:pPr>
          </w:p>
        </w:tc>
        <w:tc>
          <w:tcPr>
            <w:tcW w:w="660" w:type="dxa"/>
            <w:vAlign w:val="bottom"/>
            <w:tcBorders>
              <w:top w:val="single" w:sz="8" w:color="auto"/>
              <w:bottom w:val="single" w:sz="8" w:color="auto"/>
            </w:tcBorders>
          </w:tcPr>
          <w:p>
            <w:pPr>
              <w:ind w:left="260"/>
              <w:spacing w:after="0" w:line="125" w:lineRule="exact"/>
              <w:rPr>
                <w:sz w:val="20"/>
                <w:szCs w:val="20"/>
                <w:color w:val="auto"/>
              </w:rPr>
            </w:pPr>
            <w:r>
              <w:rPr>
                <w:rFonts w:ascii="Times New Roman" w:cs="Times New Roman" w:eastAsia="Times New Roman" w:hAnsi="Times New Roman"/>
                <w:sz w:val="13"/>
                <w:szCs w:val="13"/>
                <w:color w:val="auto"/>
                <w:w w:val="89"/>
              </w:rPr>
              <w:t>459,099</w:t>
            </w:r>
          </w:p>
        </w:tc>
        <w:tc>
          <w:tcPr>
            <w:tcW w:w="1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121,001,793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18,685,667</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5,118,420</w:t>
            </w:r>
          </w:p>
        </w:tc>
        <w:tc>
          <w:tcPr>
            <w:tcW w:w="14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150,222,600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3,798,612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350,328</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123,004,095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18,768,921</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3,582,129</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149,504,085</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6" w:name="page127"/>
    <w:bookmarkEnd w:id="126"/>
    <w:p>
      <w:pPr>
        <w:ind w:left="283" w:hanging="283"/>
        <w:spacing w:after="0"/>
        <w:tabs>
          <w:tab w:leader="none" w:pos="28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Offsetting financial assets and liabilities</w:t>
      </w:r>
    </w:p>
    <w:p>
      <w:pPr>
        <w:spacing w:after="0" w:line="202"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disclosures set out in the tables below include financial assets and liabilities that:</w:t>
      </w:r>
    </w:p>
    <w:p>
      <w:pPr>
        <w:spacing w:after="0" w:line="202"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offset in the Group’s consolidated statement of financial position; or</w:t>
      </w:r>
    </w:p>
    <w:p>
      <w:pPr>
        <w:spacing w:after="0" w:line="25" w:lineRule="exact"/>
        <w:rPr>
          <w:rFonts w:ascii="Times New Roman" w:cs="Times New Roman" w:eastAsia="Times New Roman" w:hAnsi="Times New Roman"/>
          <w:sz w:val="16"/>
          <w:szCs w:val="16"/>
          <w:color w:val="auto"/>
        </w:rPr>
      </w:pPr>
    </w:p>
    <w:p>
      <w:pPr>
        <w:ind w:left="583" w:right="300" w:hanging="293"/>
        <w:spacing w:after="0" w:line="264" w:lineRule="auto"/>
        <w:tabs>
          <w:tab w:leader="none" w:pos="583"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subject to an enforceable master netting arrangement or similar agreement that covers similar financial statements, irrespective of whether they are offset in the statement of financial position.</w:t>
      </w:r>
    </w:p>
    <w:p>
      <w:pPr>
        <w:spacing w:after="0" w:line="159" w:lineRule="exact"/>
        <w:rPr>
          <w:sz w:val="20"/>
          <w:szCs w:val="20"/>
          <w:color w:val="auto"/>
        </w:rPr>
      </w:pPr>
    </w:p>
    <w:p>
      <w:pPr>
        <w:ind w:left="283"/>
        <w:spacing w:after="0" w:line="263" w:lineRule="auto"/>
        <w:rPr>
          <w:sz w:val="20"/>
          <w:szCs w:val="20"/>
          <w:color w:val="auto"/>
        </w:rPr>
      </w:pPr>
      <w:r>
        <w:rPr>
          <w:rFonts w:ascii="Times New Roman" w:cs="Times New Roman" w:eastAsia="Times New Roman" w:hAnsi="Times New Roman"/>
          <w:sz w:val="16"/>
          <w:szCs w:val="16"/>
          <w:color w:val="auto"/>
        </w:rPr>
        <w:t>The similar agreements include derivative clearing agreements, master repurchase agreements, and master securities lending agreements. Similar financial instruments include derivatives, Accounts receivable from reverse repurchase agreements and security borrowings, payables from repurchase agreements and security lendings and other financial assets and liabilities. Financial instruments such as loans and deposits are not disclosed in the tables below unless they are offset in the statement of financial position.</w:t>
      </w:r>
    </w:p>
    <w:p>
      <w:pPr>
        <w:spacing w:after="0" w:line="161" w:lineRule="exact"/>
        <w:rPr>
          <w:sz w:val="20"/>
          <w:szCs w:val="20"/>
          <w:color w:val="auto"/>
        </w:rPr>
      </w:pPr>
    </w:p>
    <w:p>
      <w:pPr>
        <w:jc w:val="both"/>
        <w:ind w:left="283" w:right="80"/>
        <w:spacing w:after="0" w:line="263" w:lineRule="auto"/>
        <w:rPr>
          <w:sz w:val="20"/>
          <w:szCs w:val="20"/>
          <w:color w:val="auto"/>
        </w:rPr>
      </w:pPr>
      <w:r>
        <w:rPr>
          <w:rFonts w:ascii="Times New Roman" w:cs="Times New Roman" w:eastAsia="Times New Roman" w:hAnsi="Times New Roman"/>
          <w:sz w:val="16"/>
          <w:szCs w:val="16"/>
          <w:color w:val="auto"/>
        </w:rPr>
        <w:t>The offsetting framework agreement issued by the International Swaps and Derivatives Association Inc. (“ISDA”) and similar master netting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61"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 Group receives and gives collateral in the form of cash and marketable securities in respect of the following transactions:</w:t>
      </w:r>
    </w:p>
    <w:p>
      <w:pPr>
        <w:spacing w:after="0" w:line="203" w:lineRule="exact"/>
        <w:rPr>
          <w:sz w:val="20"/>
          <w:szCs w:val="20"/>
          <w:color w:val="auto"/>
        </w:rPr>
      </w:pPr>
    </w:p>
    <w:p>
      <w:pPr>
        <w:ind w:left="583" w:hanging="293"/>
        <w:spacing w:after="0"/>
        <w:tabs>
          <w:tab w:leader="none" w:pos="583"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w:t>
      </w:r>
    </w:p>
    <w:p>
      <w:pPr>
        <w:spacing w:after="0" w:line="25"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receivable from reverse repurchase agreements and security borrowings;</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Payables from repurchase agreements and security lendings; and</w:t>
      </w:r>
    </w:p>
    <w:p>
      <w:pPr>
        <w:spacing w:after="0" w:line="9"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financial assets and liabilities</w:t>
      </w:r>
    </w:p>
    <w:p>
      <w:pPr>
        <w:spacing w:after="0" w:line="187" w:lineRule="exact"/>
        <w:rPr>
          <w:sz w:val="20"/>
          <w:szCs w:val="20"/>
          <w:color w:val="auto"/>
        </w:rPr>
      </w:pPr>
    </w:p>
    <w:p>
      <w:pPr>
        <w:jc w:val="both"/>
        <w:ind w:left="283" w:right="120"/>
        <w:spacing w:after="0" w:line="268" w:lineRule="auto"/>
        <w:rPr>
          <w:sz w:val="20"/>
          <w:szCs w:val="20"/>
          <w:color w:val="auto"/>
        </w:rPr>
      </w:pPr>
      <w:r>
        <w:rPr>
          <w:rFonts w:ascii="Times New Roman" w:cs="Times New Roman" w:eastAsia="Times New Roman" w:hAnsi="Times New Roman"/>
          <w:sz w:val="16"/>
          <w:szCs w:val="16"/>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post collateral.</w:t>
      </w:r>
    </w:p>
    <w:p>
      <w:pPr>
        <w:spacing w:after="0" w:line="351"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127" w:name="page128"/>
    <w:bookmarkEnd w:id="127"/>
    <w:p>
      <w:pPr>
        <w:ind w:left="3"/>
        <w:spacing w:after="0"/>
        <w:rPr>
          <w:sz w:val="20"/>
          <w:szCs w:val="20"/>
          <w:color w:val="auto"/>
        </w:rPr>
      </w:pPr>
      <w:r>
        <w:rPr>
          <w:rFonts w:ascii="Times New Roman" w:cs="Times New Roman" w:eastAsia="Times New Roman" w:hAnsi="Times New Roman"/>
          <w:sz w:val="16"/>
          <w:szCs w:val="16"/>
          <w:color w:val="auto"/>
        </w:rPr>
        <w:t>Financial assets subject to offsetting, enforceable master netting arrangements and similar agreements:</w:t>
      </w:r>
    </w:p>
    <w:p>
      <w:pPr>
        <w:spacing w:after="0" w:line="209"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2016</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2015</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Gross amounts</w:t>
            </w:r>
          </w:p>
        </w:tc>
        <w:tc>
          <w:tcPr>
            <w:tcW w:w="9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Gross amounts</w:t>
            </w:r>
          </w:p>
        </w:tc>
        <w:tc>
          <w:tcPr>
            <w:tcW w:w="9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of recognized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of recognized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10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Net of financial</w:t>
            </w:r>
          </w:p>
        </w:tc>
        <w:tc>
          <w:tcPr>
            <w:tcW w:w="1640" w:type="dxa"/>
            <w:vAlign w:val="bottom"/>
            <w:gridSpan w:val="4"/>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Net amounts of financial</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10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Net of financial</w:t>
            </w:r>
          </w:p>
        </w:tc>
        <w:tc>
          <w:tcPr>
            <w:tcW w:w="1680" w:type="dxa"/>
            <w:vAlign w:val="bottom"/>
            <w:gridSpan w:val="4"/>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Net amounts of financial</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10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4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assets presented in the</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10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8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assets presented in the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9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0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64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consolidated statements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0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68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consolidated statements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financial position</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6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financial position</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gridSpan w:val="3"/>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rPr>
              <w:t>recognized</w:t>
            </w:r>
          </w:p>
        </w:tc>
        <w:tc>
          <w:tcPr>
            <w:tcW w:w="9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statement of</w:t>
            </w:r>
          </w:p>
        </w:tc>
        <w:tc>
          <w:tcPr>
            <w:tcW w:w="1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statements of</w:t>
            </w:r>
          </w:p>
        </w:tc>
        <w:tc>
          <w:tcPr>
            <w:tcW w:w="9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62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Cash</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3"/>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rPr>
              <w:t>recognized</w:t>
            </w:r>
          </w:p>
        </w:tc>
        <w:tc>
          <w:tcPr>
            <w:tcW w:w="9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statement of</w:t>
            </w:r>
          </w:p>
        </w:tc>
        <w:tc>
          <w:tcPr>
            <w:tcW w:w="10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statements of</w:t>
            </w:r>
          </w:p>
        </w:tc>
        <w:tc>
          <w:tcPr>
            <w:tcW w:w="9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62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Cash</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6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10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gridSpan w:val="2"/>
            <w:vMerge w:val="continue"/>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86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10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gridSpan w:val="2"/>
            <w:vMerge w:val="continue"/>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55"/>
        </w:trPr>
        <w:tc>
          <w:tcPr>
            <w:tcW w:w="840" w:type="dxa"/>
            <w:vAlign w:val="bottom"/>
            <w:gridSpan w:val="2"/>
            <w:vMerge w:val="continue"/>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positions</w:t>
            </w: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740" w:type="dxa"/>
            <w:vAlign w:val="bottom"/>
            <w:gridSpan w:val="3"/>
            <w:vMerge w:val="continue"/>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positions</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4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2"/>
              </w:rPr>
              <w:t>S/(000)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24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Derivates</w:t>
            </w:r>
          </w:p>
        </w:tc>
        <w:tc>
          <w:tcPr>
            <w:tcW w:w="960" w:type="dxa"/>
            <w:vAlign w:val="bottom"/>
            <w:gridSpan w:val="3"/>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942,602</w:t>
            </w:r>
          </w:p>
        </w:tc>
        <w:tc>
          <w:tcPr>
            <w:tcW w:w="8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480"/>
              <w:spacing w:after="0" w:line="133" w:lineRule="exact"/>
              <w:rPr>
                <w:sz w:val="20"/>
                <w:szCs w:val="20"/>
                <w:color w:val="auto"/>
              </w:rPr>
            </w:pPr>
            <w:r>
              <w:rPr>
                <w:rFonts w:ascii="Times New Roman" w:cs="Times New Roman" w:eastAsia="Times New Roman" w:hAnsi="Times New Roman"/>
                <w:sz w:val="13"/>
                <w:szCs w:val="13"/>
                <w:color w:val="auto"/>
              </w:rPr>
              <w:t>942,602</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(416,084)</w:t>
            </w:r>
          </w:p>
        </w:tc>
        <w:tc>
          <w:tcPr>
            <w:tcW w:w="700" w:type="dxa"/>
            <w:vAlign w:val="bottom"/>
            <w:gridSpan w:val="2"/>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3"/>
                <w:szCs w:val="13"/>
                <w:color w:val="auto"/>
              </w:rPr>
              <w:t>(30,573)</w:t>
            </w:r>
          </w:p>
        </w:tc>
        <w:tc>
          <w:tcPr>
            <w:tcW w:w="74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495,945</w:t>
            </w:r>
          </w:p>
        </w:tc>
        <w:tc>
          <w:tcPr>
            <w:tcW w:w="86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1,475,516</w:t>
            </w:r>
          </w:p>
        </w:tc>
        <w:tc>
          <w:tcPr>
            <w:tcW w:w="980" w:type="dxa"/>
            <w:vAlign w:val="bottom"/>
            <w:gridSpan w:val="2"/>
            <w:shd w:val="clear" w:color="auto" w:fill="CCEEFF"/>
          </w:tcPr>
          <w:p>
            <w:pPr>
              <w:ind w:left="8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1,475,516</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(160,428)</w:t>
            </w:r>
          </w:p>
        </w:tc>
        <w:tc>
          <w:tcPr>
            <w:tcW w:w="740" w:type="dxa"/>
            <w:vAlign w:val="bottom"/>
            <w:gridSpan w:val="2"/>
            <w:shd w:val="clear" w:color="auto" w:fill="CCEEFF"/>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(80,687)</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1,234,401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Payables from</w:t>
            </w: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repurchase</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agreements and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security</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10,919,624</w:t>
            </w:r>
          </w:p>
        </w:tc>
        <w:tc>
          <w:tcPr>
            <w:tcW w:w="100" w:type="dxa"/>
            <w:vAlign w:val="bottom"/>
          </w:tcPr>
          <w:p>
            <w:pPr>
              <w:spacing w:after="0"/>
              <w:rPr>
                <w:sz w:val="11"/>
                <w:szCs w:val="11"/>
                <w:color w:val="auto"/>
              </w:rPr>
            </w:pPr>
          </w:p>
        </w:tc>
        <w:tc>
          <w:tcPr>
            <w:tcW w:w="840" w:type="dxa"/>
            <w:vAlign w:val="bottom"/>
            <w:vMerge w:val="restart"/>
          </w:tcPr>
          <w:p>
            <w:pPr>
              <w:ind w:left="80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10,919,624</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3"/>
                <w:szCs w:val="13"/>
                <w:color w:val="auto"/>
              </w:rPr>
              <w:t>(2,022,625)</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8,896,999</w:t>
            </w:r>
          </w:p>
        </w:tc>
        <w:tc>
          <w:tcPr>
            <w:tcW w:w="60" w:type="dxa"/>
            <w:vAlign w:val="bottom"/>
          </w:tcPr>
          <w:p>
            <w:pPr>
              <w:spacing w:after="0"/>
              <w:rPr>
                <w:sz w:val="11"/>
                <w:szCs w:val="11"/>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11,026,698</w:t>
            </w:r>
          </w:p>
        </w:tc>
        <w:tc>
          <w:tcPr>
            <w:tcW w:w="9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11,026,698</w:t>
            </w:r>
          </w:p>
        </w:tc>
        <w:tc>
          <w:tcPr>
            <w:tcW w:w="9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3"/>
                <w:szCs w:val="13"/>
                <w:color w:val="auto"/>
              </w:rPr>
              <w:t>(1,907,347)</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9,119,351</w:t>
            </w:r>
          </w:p>
        </w:tc>
        <w:tc>
          <w:tcPr>
            <w:tcW w:w="0" w:type="dxa"/>
            <w:vAlign w:val="bottom"/>
          </w:tcPr>
          <w:p>
            <w:pPr>
              <w:spacing w:after="0"/>
              <w:rPr>
                <w:sz w:val="1"/>
                <w:szCs w:val="1"/>
                <w:color w:val="auto"/>
              </w:rPr>
            </w:pPr>
          </w:p>
        </w:tc>
      </w:tr>
      <w:tr>
        <w:trPr>
          <w:trHeight w:val="153"/>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lendings</w:t>
            </w: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Available-for-</w:t>
            </w:r>
          </w:p>
        </w:tc>
        <w:tc>
          <w:tcPr>
            <w:tcW w:w="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sale and held-</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to-maturity</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investments</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pledged as</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3,849,558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3,849,558</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(3,719,047)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130,511</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3,456,780</w:t>
            </w:r>
          </w:p>
        </w:tc>
        <w:tc>
          <w:tcPr>
            <w:tcW w:w="9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3,456,780</w:t>
            </w:r>
          </w:p>
        </w:tc>
        <w:tc>
          <w:tcPr>
            <w:tcW w:w="9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(3,402,315)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54,465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15,711,784</w:t>
            </w:r>
          </w:p>
        </w:tc>
        <w:tc>
          <w:tcPr>
            <w:tcW w:w="100" w:type="dxa"/>
            <w:vAlign w:val="bottom"/>
          </w:tcPr>
          <w:p>
            <w:pPr>
              <w:spacing w:after="0"/>
              <w:rPr>
                <w:sz w:val="10"/>
                <w:szCs w:val="10"/>
                <w:color w:val="auto"/>
              </w:rPr>
            </w:pPr>
          </w:p>
        </w:tc>
        <w:tc>
          <w:tcPr>
            <w:tcW w:w="8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15,711,784</w:t>
            </w:r>
          </w:p>
        </w:tc>
        <w:tc>
          <w:tcPr>
            <w:tcW w:w="1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(6,157,756</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(30,573</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9,523,455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15,958,994</w:t>
            </w:r>
          </w:p>
        </w:tc>
        <w:tc>
          <w:tcPr>
            <w:tcW w:w="120" w:type="dxa"/>
            <w:vAlign w:val="bottom"/>
          </w:tcPr>
          <w:p>
            <w:pPr>
              <w:spacing w:after="0"/>
              <w:rPr>
                <w:sz w:val="10"/>
                <w:szCs w:val="10"/>
                <w:color w:val="auto"/>
              </w:rPr>
            </w:pPr>
          </w:p>
        </w:tc>
        <w:tc>
          <w:tcPr>
            <w:tcW w:w="8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15,958,994</w:t>
            </w:r>
          </w:p>
        </w:tc>
        <w:tc>
          <w:tcPr>
            <w:tcW w:w="1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(5,470,090</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(80,687</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10,408,217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Financial liabilities subject to offsetting, enforceable master agreements for offsetting and similar agreements:</w:t>
      </w:r>
    </w:p>
    <w:p>
      <w:pPr>
        <w:spacing w:after="0" w:line="209" w:lineRule="exact"/>
        <w:rPr>
          <w:sz w:val="20"/>
          <w:szCs w:val="20"/>
          <w:color w:val="auto"/>
        </w:rPr>
      </w:pPr>
    </w:p>
    <w:tbl>
      <w:tblPr>
        <w:tblLayout w:type="fixed"/>
        <w:tblInd w:w="3" w:type="dxa"/>
        <w:tblCellMar>
          <w:top w:w="0" w:type="dxa"/>
          <w:left w:w="0" w:type="dxa"/>
          <w:bottom w:w="0" w:type="dxa"/>
          <w:right w:w="0" w:type="dxa"/>
        </w:tblCellMar>
      </w:tblPr>
      <w:tr>
        <w:trPr>
          <w:trHeight w:val="155"/>
        </w:trPr>
        <w:tc>
          <w:tcPr>
            <w:tcW w:w="64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2016</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As of December 31, 2015</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Gross amounts</w:t>
            </w:r>
          </w:p>
        </w:tc>
        <w:tc>
          <w:tcPr>
            <w:tcW w:w="10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amounts of</w:t>
            </w:r>
          </w:p>
        </w:tc>
        <w:tc>
          <w:tcPr>
            <w:tcW w:w="7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3"/>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rPr>
              <w:t>Gross amounts</w:t>
            </w:r>
          </w:p>
        </w:tc>
        <w:tc>
          <w:tcPr>
            <w:tcW w:w="9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amounts of</w:t>
            </w:r>
          </w:p>
        </w:tc>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of recognized</w:t>
            </w:r>
          </w:p>
        </w:tc>
        <w:tc>
          <w:tcPr>
            <w:tcW w:w="102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of recognized</w:t>
            </w:r>
          </w:p>
        </w:tc>
        <w:tc>
          <w:tcPr>
            <w:tcW w:w="9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1020" w:type="dxa"/>
            <w:vAlign w:val="bottom"/>
            <w:gridSpan w:val="3"/>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rPr>
              <w:t>financial assets</w:t>
            </w:r>
          </w:p>
        </w:tc>
        <w:tc>
          <w:tcPr>
            <w:tcW w:w="1800" w:type="dxa"/>
            <w:vAlign w:val="bottom"/>
            <w:gridSpan w:val="4"/>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Related amounts not offset in</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financial assets</w:t>
            </w:r>
          </w:p>
        </w:tc>
        <w:tc>
          <w:tcPr>
            <w:tcW w:w="1860" w:type="dxa"/>
            <w:vAlign w:val="bottom"/>
            <w:gridSpan w:val="5"/>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rPr>
              <w:t>Related amounts not offset in</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102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80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the consolidated statement 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9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860" w:type="dxa"/>
            <w:vAlign w:val="bottom"/>
            <w:gridSpan w:val="5"/>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the consolidated statement of</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offset in the</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financial position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offset in the</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financial position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gridSpan w:val="3"/>
            <w:vMerge w:val="restart"/>
          </w:tcPr>
          <w:p>
            <w:pPr>
              <w:ind w:left="40"/>
              <w:spacing w:after="0" w:line="123" w:lineRule="exact"/>
              <w:rPr>
                <w:sz w:val="20"/>
                <w:szCs w:val="20"/>
                <w:color w:val="auto"/>
              </w:rPr>
            </w:pPr>
            <w:r>
              <w:rPr>
                <w:rFonts w:ascii="Times New Roman" w:cs="Times New Roman" w:eastAsia="Times New Roman" w:hAnsi="Times New Roman"/>
                <w:sz w:val="13"/>
                <w:szCs w:val="13"/>
                <w:b w:val="1"/>
                <w:bCs w:val="1"/>
                <w:color w:val="auto"/>
              </w:rPr>
              <w:t>Gross amounts</w:t>
            </w:r>
          </w:p>
        </w:tc>
        <w:tc>
          <w:tcPr>
            <w:tcW w:w="980" w:type="dxa"/>
            <w:vAlign w:val="bottom"/>
            <w:gridSpan w:val="2"/>
            <w:vMerge w:val="restart"/>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20" w:type="dxa"/>
            <w:vAlign w:val="bottom"/>
            <w:gridSpan w:val="3"/>
            <w:vMerge w:val="restart"/>
          </w:tcPr>
          <w:p>
            <w:pPr>
              <w:ind w:left="40"/>
              <w:spacing w:after="0" w:line="123" w:lineRule="exact"/>
              <w:rPr>
                <w:sz w:val="20"/>
                <w:szCs w:val="20"/>
                <w:color w:val="auto"/>
              </w:rPr>
            </w:pPr>
            <w:r>
              <w:rPr>
                <w:rFonts w:ascii="Times New Roman" w:cs="Times New Roman" w:eastAsia="Times New Roman" w:hAnsi="Times New Roman"/>
                <w:sz w:val="13"/>
                <w:szCs w:val="13"/>
                <w:b w:val="1"/>
                <w:bCs w:val="1"/>
                <w:color w:val="auto"/>
              </w:rPr>
              <w:t>statements of</w:t>
            </w: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restart"/>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Gross amounts</w:t>
            </w:r>
          </w:p>
        </w:tc>
        <w:tc>
          <w:tcPr>
            <w:tcW w:w="1060" w:type="dxa"/>
            <w:vAlign w:val="bottom"/>
            <w:gridSpan w:val="3"/>
            <w:vMerge w:val="restart"/>
          </w:tcPr>
          <w:p>
            <w:pPr>
              <w:ind w:left="40"/>
              <w:spacing w:after="0" w:line="12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940" w:type="dxa"/>
            <w:vAlign w:val="bottom"/>
            <w:gridSpan w:val="2"/>
            <w:vMerge w:val="restart"/>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statements of</w:t>
            </w: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76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Cash</w:t>
            </w:r>
          </w:p>
        </w:tc>
        <w:tc>
          <w:tcPr>
            <w:tcW w:w="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76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Cash</w:t>
            </w:r>
          </w:p>
        </w:tc>
        <w:tc>
          <w:tcPr>
            <w:tcW w:w="1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96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98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statement of</w:t>
            </w:r>
          </w:p>
        </w:tc>
        <w:tc>
          <w:tcPr>
            <w:tcW w:w="10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60" w:type="dxa"/>
            <w:vAlign w:val="bottom"/>
            <w:gridSpan w:val="2"/>
            <w:vMerge w:val="continue"/>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88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06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statement of</w:t>
            </w:r>
          </w:p>
        </w:tc>
        <w:tc>
          <w:tcPr>
            <w:tcW w:w="94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1000" w:type="dxa"/>
            <w:vAlign w:val="bottom"/>
            <w:gridSpan w:val="3"/>
            <w:vMerge w:val="continue"/>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Net amount</w:t>
            </w:r>
          </w:p>
        </w:tc>
        <w:tc>
          <w:tcPr>
            <w:tcW w:w="0" w:type="dxa"/>
            <w:vAlign w:val="bottom"/>
          </w:tcPr>
          <w:p>
            <w:pPr>
              <w:spacing w:after="0"/>
              <w:rPr>
                <w:sz w:val="1"/>
                <w:szCs w:val="1"/>
                <w:color w:val="auto"/>
              </w:rPr>
            </w:pPr>
          </w:p>
        </w:tc>
      </w:tr>
      <w:tr>
        <w:trPr>
          <w:trHeight w:val="157"/>
        </w:trPr>
        <w:tc>
          <w:tcPr>
            <w:tcW w:w="1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Descripción financial assets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financial position</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720" w:type="dxa"/>
            <w:vAlign w:val="bottom"/>
            <w:gridSpan w:val="3"/>
            <w:vMerge w:val="continue"/>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financial position</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0"/>
                <w:szCs w:val="10"/>
                <w:color w:val="auto"/>
              </w:rPr>
            </w:pPr>
          </w:p>
        </w:tc>
        <w:tc>
          <w:tcPr>
            <w:tcW w:w="9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jc w:val="right"/>
              <w:ind w:right="196"/>
              <w:spacing w:after="0" w:line="125" w:lineRule="exact"/>
              <w:rPr>
                <w:sz w:val="20"/>
                <w:szCs w:val="20"/>
                <w:color w:val="auto"/>
              </w:rPr>
            </w:pPr>
            <w:r>
              <w:rPr>
                <w:rFonts w:ascii="Times New Roman" w:cs="Times New Roman" w:eastAsia="Times New Roman" w:hAnsi="Times New Roman"/>
                <w:sz w:val="13"/>
                <w:szCs w:val="13"/>
                <w:b w:val="1"/>
                <w:bCs w:val="1"/>
                <w:color w:val="auto"/>
                <w:w w:val="92"/>
              </w:rPr>
              <w:t>S/(000)</w:t>
            </w:r>
          </w:p>
        </w:tc>
        <w:tc>
          <w:tcPr>
            <w:tcW w:w="60" w:type="dxa"/>
            <w:vAlign w:val="bottom"/>
          </w:tcPr>
          <w:p>
            <w:pPr>
              <w:spacing w:after="0"/>
              <w:rPr>
                <w:sz w:val="10"/>
                <w:szCs w:val="10"/>
                <w:color w:val="auto"/>
              </w:rPr>
            </w:pPr>
          </w:p>
        </w:tc>
        <w:tc>
          <w:tcPr>
            <w:tcW w:w="86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Derivates</w:t>
            </w:r>
          </w:p>
        </w:tc>
        <w:tc>
          <w:tcPr>
            <w:tcW w:w="96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673,015</w:t>
            </w:r>
          </w:p>
        </w:tc>
        <w:tc>
          <w:tcPr>
            <w:tcW w:w="980" w:type="dxa"/>
            <w:vAlign w:val="bottom"/>
            <w:gridSpan w:val="2"/>
            <w:shd w:val="clear" w:color="auto" w:fill="CCEEFF"/>
          </w:tcPr>
          <w:p>
            <w:pPr>
              <w:ind w:left="9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673,015</w:t>
            </w:r>
          </w:p>
        </w:tc>
        <w:tc>
          <w:tcPr>
            <w:tcW w:w="960" w:type="dxa"/>
            <w:vAlign w:val="bottom"/>
            <w:gridSpan w:val="2"/>
            <w:shd w:val="clear" w:color="auto" w:fill="CCEEFF"/>
          </w:tcPr>
          <w:p>
            <w:pPr>
              <w:jc w:val="right"/>
              <w:ind w:right="222"/>
              <w:spacing w:after="0" w:line="133" w:lineRule="exact"/>
              <w:rPr>
                <w:sz w:val="20"/>
                <w:szCs w:val="20"/>
                <w:color w:val="auto"/>
              </w:rPr>
            </w:pPr>
            <w:r>
              <w:rPr>
                <w:rFonts w:ascii="Times New Roman" w:cs="Times New Roman" w:eastAsia="Times New Roman" w:hAnsi="Times New Roman"/>
                <w:sz w:val="13"/>
                <w:szCs w:val="13"/>
                <w:color w:val="auto"/>
              </w:rPr>
              <w:t>(416,084)</w:t>
            </w:r>
          </w:p>
        </w:tc>
        <w:tc>
          <w:tcPr>
            <w:tcW w:w="840" w:type="dxa"/>
            <w:vAlign w:val="bottom"/>
            <w:gridSpan w:val="2"/>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(175,788)</w:t>
            </w:r>
          </w:p>
        </w:tc>
        <w:tc>
          <w:tcPr>
            <w:tcW w:w="72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81,143</w:t>
            </w:r>
          </w:p>
        </w:tc>
        <w:tc>
          <w:tcPr>
            <w:tcW w:w="8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942,521</w:t>
            </w:r>
          </w:p>
        </w:tc>
        <w:tc>
          <w:tcPr>
            <w:tcW w:w="9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942,521</w:t>
            </w:r>
          </w:p>
        </w:tc>
        <w:tc>
          <w:tcPr>
            <w:tcW w:w="1000" w:type="dxa"/>
            <w:vAlign w:val="bottom"/>
            <w:gridSpan w:val="3"/>
            <w:shd w:val="clear" w:color="auto" w:fill="CCEEFF"/>
          </w:tcPr>
          <w:p>
            <w:pPr>
              <w:jc w:val="right"/>
              <w:ind w:right="222"/>
              <w:spacing w:after="0" w:line="133" w:lineRule="exact"/>
              <w:rPr>
                <w:sz w:val="20"/>
                <w:szCs w:val="20"/>
                <w:color w:val="auto"/>
              </w:rPr>
            </w:pPr>
            <w:r>
              <w:rPr>
                <w:rFonts w:ascii="Times New Roman" w:cs="Times New Roman" w:eastAsia="Times New Roman" w:hAnsi="Times New Roman"/>
                <w:sz w:val="13"/>
                <w:szCs w:val="13"/>
                <w:color w:val="auto"/>
              </w:rPr>
              <w:t>(160,428)</w:t>
            </w:r>
          </w:p>
        </w:tc>
        <w:tc>
          <w:tcPr>
            <w:tcW w:w="86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(211,482)</w:t>
            </w:r>
          </w:p>
        </w:tc>
        <w:tc>
          <w:tcPr>
            <w:tcW w:w="6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570,611</w:t>
            </w:r>
          </w:p>
        </w:tc>
        <w:tc>
          <w:tcPr>
            <w:tcW w:w="0" w:type="dxa"/>
            <w:vAlign w:val="bottom"/>
          </w:tcPr>
          <w:p>
            <w:pPr>
              <w:spacing w:after="0"/>
              <w:rPr>
                <w:sz w:val="1"/>
                <w:szCs w:val="1"/>
                <w:color w:val="auto"/>
              </w:rPr>
            </w:pPr>
          </w:p>
        </w:tc>
      </w:tr>
      <w:tr>
        <w:trPr>
          <w:trHeight w:val="113"/>
        </w:trPr>
        <w:tc>
          <w:tcPr>
            <w:tcW w:w="6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Cash</w:t>
            </w: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collateral</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and reverse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repurchase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agreements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and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securities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borrowings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15,127,999</w:t>
            </w:r>
          </w:p>
        </w:tc>
        <w:tc>
          <w:tcPr>
            <w:tcW w:w="9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15,127,999</w:t>
            </w:r>
          </w:p>
        </w:tc>
        <w:tc>
          <w:tcPr>
            <w:tcW w:w="96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(4,476,984)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(10,621,045)</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29,970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14,599,750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14,599,750</w:t>
            </w:r>
          </w:p>
        </w:tc>
        <w:tc>
          <w:tcPr>
            <w:tcW w:w="100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auto"/>
              </w:rPr>
              <w:t>(4,419,400)</w:t>
            </w: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(10,080,794)</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99,556</w:t>
            </w:r>
          </w:p>
        </w:tc>
        <w:tc>
          <w:tcPr>
            <w:tcW w:w="0" w:type="dxa"/>
            <w:vAlign w:val="bottom"/>
          </w:tcPr>
          <w:p>
            <w:pPr>
              <w:spacing w:after="0"/>
              <w:rPr>
                <w:sz w:val="1"/>
                <w:szCs w:val="1"/>
                <w:color w:val="auto"/>
              </w:rPr>
            </w:pPr>
          </w:p>
        </w:tc>
      </w:tr>
      <w:tr>
        <w:trPr>
          <w:trHeight w:val="125"/>
        </w:trPr>
        <w:tc>
          <w:tcPr>
            <w:tcW w:w="6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15,801,014</w:t>
            </w:r>
          </w:p>
        </w:tc>
        <w:tc>
          <w:tcPr>
            <w:tcW w:w="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15,801,014</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(4,893,068</w:t>
            </w:r>
          </w:p>
        </w:tc>
        <w:tc>
          <w:tcPr>
            <w:tcW w:w="260" w:type="dxa"/>
            <w:vAlign w:val="bottom"/>
            <w:tcBorders>
              <w:top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auto"/>
              <w:bottom w:val="single" w:sz="8" w:color="auto"/>
            </w:tcBorders>
            <w:shd w:val="clear" w:color="auto" w:fill="CCEEFF"/>
          </w:tcPr>
          <w:p>
            <w:pPr>
              <w:ind w:left="140"/>
              <w:spacing w:after="0" w:line="125" w:lineRule="exact"/>
              <w:rPr>
                <w:sz w:val="20"/>
                <w:szCs w:val="20"/>
                <w:color w:val="auto"/>
              </w:rPr>
            </w:pPr>
            <w:r>
              <w:rPr>
                <w:rFonts w:ascii="Times New Roman" w:cs="Times New Roman" w:eastAsia="Times New Roman" w:hAnsi="Times New Roman"/>
                <w:sz w:val="13"/>
                <w:szCs w:val="13"/>
                <w:color w:val="auto"/>
                <w:w w:val="95"/>
              </w:rPr>
              <w:t>(10,796,833</w:t>
            </w:r>
          </w:p>
        </w:tc>
        <w:tc>
          <w:tcPr>
            <w:tcW w:w="80" w:type="dxa"/>
            <w:vAlign w:val="bottom"/>
            <w:tcBorders>
              <w:top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111,113</w:t>
            </w: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15,542,271</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15,542,271</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(4,579,828</w:t>
            </w:r>
          </w:p>
        </w:tc>
        <w:tc>
          <w:tcPr>
            <w:tcW w:w="260" w:type="dxa"/>
            <w:vAlign w:val="bottom"/>
            <w:tcBorders>
              <w:top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auto"/>
              <w:bottom w:val="single" w:sz="8" w:color="auto"/>
            </w:tcBorders>
            <w:shd w:val="clear" w:color="auto" w:fill="CCEEFF"/>
          </w:tcPr>
          <w:p>
            <w:pPr>
              <w:ind w:left="140"/>
              <w:spacing w:after="0" w:line="125" w:lineRule="exact"/>
              <w:rPr>
                <w:sz w:val="20"/>
                <w:szCs w:val="20"/>
                <w:color w:val="auto"/>
              </w:rPr>
            </w:pPr>
            <w:r>
              <w:rPr>
                <w:rFonts w:ascii="Times New Roman" w:cs="Times New Roman" w:eastAsia="Times New Roman" w:hAnsi="Times New Roman"/>
                <w:sz w:val="13"/>
                <w:szCs w:val="13"/>
                <w:color w:val="auto"/>
                <w:w w:val="95"/>
              </w:rPr>
              <w:t>(10,292,276</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670,167</w:t>
            </w: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 w:right="700"/>
        <w:spacing w:after="0" w:line="285" w:lineRule="auto"/>
        <w:rPr>
          <w:sz w:val="20"/>
          <w:szCs w:val="20"/>
          <w:color w:val="auto"/>
        </w:rPr>
      </w:pPr>
      <w:r>
        <w:rPr>
          <w:rFonts w:ascii="Times New Roman" w:cs="Times New Roman" w:eastAsia="Times New Roman" w:hAnsi="Times New Roman"/>
          <w:sz w:val="16"/>
          <w:szCs w:val="16"/>
          <w:color w:val="auto"/>
        </w:rPr>
        <w:t>The gross amounts of financial assets and liabilities and their net amounts disclosed in the above tables have been measured in the statement of financial position on the following basis:</w:t>
      </w:r>
    </w:p>
    <w:p>
      <w:pPr>
        <w:spacing w:after="0" w:line="143" w:lineRule="exact"/>
        <w:rPr>
          <w:sz w:val="20"/>
          <w:szCs w:val="20"/>
          <w:color w:val="auto"/>
        </w:rPr>
      </w:pPr>
    </w:p>
    <w:p>
      <w:pPr>
        <w:ind w:left="283" w:hanging="283"/>
        <w:spacing w:after="0"/>
        <w:tabs>
          <w:tab w:leader="none" w:pos="283"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assets and liabilities are measured at fair value.</w:t>
      </w:r>
    </w:p>
    <w:p>
      <w:pPr>
        <w:spacing w:after="0" w:line="25"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collateral and reverse repurchase agreements and security borrowing and payables from repurchase agreements and security lendings are measured at amortized cost.</w:t>
      </w:r>
    </w:p>
    <w:p>
      <w:pPr>
        <w:spacing w:after="0" w:line="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liabilities are measured at fair value.</w:t>
      </w:r>
    </w:p>
    <w:p>
      <w:pPr>
        <w:spacing w:after="0" w:line="187" w:lineRule="exact"/>
        <w:rPr>
          <w:sz w:val="20"/>
          <w:szCs w:val="20"/>
          <w:color w:val="auto"/>
        </w:rPr>
      </w:pPr>
    </w:p>
    <w:p>
      <w:pPr>
        <w:ind w:left="3" w:right="200"/>
        <w:spacing w:after="0" w:line="268" w:lineRule="auto"/>
        <w:rPr>
          <w:sz w:val="20"/>
          <w:szCs w:val="20"/>
          <w:color w:val="auto"/>
        </w:rPr>
      </w:pPr>
      <w:r>
        <w:rPr>
          <w:rFonts w:ascii="Times New Roman" w:cs="Times New Roman" w:eastAsia="Times New Roman" w:hAnsi="Times New Roman"/>
          <w:sz w:val="16"/>
          <w:szCs w:val="16"/>
          <w:color w:val="auto"/>
        </w:rPr>
        <w:t>The difference between the carrying amount in the consolidated statement of financial position and the amounts presented in the tables above for derivatives (presented in other assets note 12(b)), cash collateral and reverse repurchase agreement and security borrowing and payables from repurchase agreements and security; are financial instruments outside of the scope of offsetting disclosure.</w:t>
      </w:r>
    </w:p>
    <w:p>
      <w:pPr>
        <w:spacing w:after="0" w:line="351"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523"/>
          </w:cols>
          <w:pgMar w:left="237" w:top="824" w:right="139" w:bottom="1440" w:gutter="0" w:footer="0" w:header="0"/>
        </w:sectPr>
      </w:pPr>
    </w:p>
    <w:bookmarkStart w:id="128" w:name="page129"/>
    <w:bookmarkEnd w:id="128"/>
    <w:p>
      <w:pPr>
        <w:ind w:left="3"/>
        <w:spacing w:after="0"/>
        <w:tabs>
          <w:tab w:leader="none" w:pos="463" w:val="left"/>
        </w:tabs>
        <w:rPr>
          <w:sz w:val="20"/>
          <w:szCs w:val="20"/>
          <w:color w:val="auto"/>
        </w:rPr>
      </w:pPr>
      <w:r>
        <w:rPr>
          <w:rFonts w:ascii="Times New Roman" w:cs="Times New Roman" w:eastAsia="Times New Roman" w:hAnsi="Times New Roman"/>
          <w:sz w:val="16"/>
          <w:szCs w:val="16"/>
          <w:b w:val="1"/>
          <w:bCs w:val="1"/>
          <w:color w:val="auto"/>
        </w:rPr>
        <w:t>34.2.</w:t>
        <w:tab/>
        <w:t>Market risk -</w:t>
      </w:r>
    </w:p>
    <w:p>
      <w:pPr>
        <w:spacing w:after="0" w:line="205" w:lineRule="exact"/>
        <w:rPr>
          <w:sz w:val="20"/>
          <w:szCs w:val="20"/>
          <w:color w:val="auto"/>
        </w:rPr>
      </w:pPr>
    </w:p>
    <w:p>
      <w:pPr>
        <w:ind w:left="3" w:right="100"/>
        <w:spacing w:after="0" w:line="263" w:lineRule="auto"/>
        <w:rPr>
          <w:sz w:val="20"/>
          <w:szCs w:val="20"/>
          <w:color w:val="auto"/>
        </w:rPr>
      </w:pPr>
      <w:r>
        <w:rPr>
          <w:rFonts w:ascii="Times New Roman" w:cs="Times New Roman" w:eastAsia="Times New Roman" w:hAnsi="Times New Roman"/>
          <w:sz w:val="16"/>
          <w:szCs w:val="16"/>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61" w:lineRule="exact"/>
        <w:rPr>
          <w:sz w:val="20"/>
          <w:szCs w:val="20"/>
          <w:color w:val="auto"/>
        </w:rPr>
      </w:pPr>
    </w:p>
    <w:p>
      <w:pPr>
        <w:ind w:left="3" w:right="260"/>
        <w:spacing w:after="0" w:line="268" w:lineRule="auto"/>
        <w:rPr>
          <w:sz w:val="20"/>
          <w:szCs w:val="20"/>
          <w:color w:val="auto"/>
        </w:rPr>
      </w:pPr>
      <w:r>
        <w:rPr>
          <w:rFonts w:ascii="Times New Roman" w:cs="Times New Roman" w:eastAsia="Times New Roman" w:hAnsi="Times New Roman"/>
          <w:sz w:val="16"/>
          <w:szCs w:val="16"/>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157" w:lineRule="exact"/>
        <w:rPr>
          <w:sz w:val="20"/>
          <w:szCs w:val="20"/>
          <w:color w:val="auto"/>
        </w:rPr>
      </w:pPr>
    </w:p>
    <w:p>
      <w:pPr>
        <w:ind w:left="3"/>
        <w:spacing w:after="0" w:line="285" w:lineRule="auto"/>
        <w:rPr>
          <w:sz w:val="20"/>
          <w:szCs w:val="20"/>
          <w:color w:val="auto"/>
        </w:rPr>
      </w:pPr>
      <w:r>
        <w:rPr>
          <w:rFonts w:ascii="Times New Roman" w:cs="Times New Roman" w:eastAsia="Times New Roman" w:hAnsi="Times New Roman"/>
          <w:sz w:val="16"/>
          <w:szCs w:val="16"/>
          <w:color w:val="auto"/>
        </w:rPr>
        <w:t>The risks that trading portfolios faces are managed through Value at Risk (VaR) historical simulation techniques; while non-trading portfolios (Trading book) are managed using Asset and Liability Management (ALM).</w:t>
      </w:r>
    </w:p>
    <w:p>
      <w:pPr>
        <w:spacing w:after="0" w:line="143" w:lineRule="exact"/>
        <w:rPr>
          <w:sz w:val="20"/>
          <w:szCs w:val="20"/>
          <w:color w:val="auto"/>
        </w:rPr>
      </w:pPr>
    </w:p>
    <w:p>
      <w:pPr>
        <w:ind w:left="283" w:hanging="283"/>
        <w:spacing w:after="0"/>
        <w:tabs>
          <w:tab w:leader="none" w:pos="28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Book -</w:t>
      </w:r>
    </w:p>
    <w:p>
      <w:pPr>
        <w:spacing w:after="0" w:line="202" w:lineRule="exact"/>
        <w:rPr>
          <w:rFonts w:ascii="Times New Roman" w:cs="Times New Roman" w:eastAsia="Times New Roman" w:hAnsi="Times New Roman"/>
          <w:sz w:val="16"/>
          <w:szCs w:val="16"/>
          <w:color w:val="auto"/>
        </w:rPr>
      </w:pPr>
    </w:p>
    <w:p>
      <w:pPr>
        <w:ind w:left="283" w:right="38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book is characterized for having liquid positions in equities, bonds, foreign currencies and derivatives, arising from market-making transactions where the Group acts as a principal with the clients or with the market. This portfolio includes investments and derivatives classified by Management as held for trading.</w:t>
      </w:r>
    </w:p>
    <w:p>
      <w:pPr>
        <w:spacing w:after="0" w:line="143"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at Risk (VaR) -</w:t>
      </w:r>
    </w:p>
    <w:p>
      <w:pPr>
        <w:spacing w:after="0" w:line="202" w:lineRule="exact"/>
        <w:rPr>
          <w:rFonts w:ascii="Times New Roman" w:cs="Times New Roman" w:eastAsia="Times New Roman" w:hAnsi="Times New Roman"/>
          <w:sz w:val="16"/>
          <w:szCs w:val="16"/>
          <w:color w:val="auto"/>
        </w:rPr>
      </w:pPr>
    </w:p>
    <w:p>
      <w:pPr>
        <w:ind w:left="583" w:right="4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applies the VaR approach to its trading portfolio to estimate the market risk of positions held and the maximum losses that are expected, based upon a number of assumptions for various changes in market conditions.</w:t>
      </w:r>
    </w:p>
    <w:p>
      <w:pPr>
        <w:spacing w:after="0" w:line="143"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calculation of VaR is a statistically-based estimate of the potential loss on the current portfolio from adverse market movements.</w:t>
      </w:r>
    </w:p>
    <w:p>
      <w:pPr>
        <w:spacing w:after="0" w:line="202" w:lineRule="exact"/>
        <w:rPr>
          <w:rFonts w:ascii="Times New Roman" w:cs="Times New Roman" w:eastAsia="Times New Roman" w:hAnsi="Times New Roman"/>
          <w:sz w:val="16"/>
          <w:szCs w:val="16"/>
          <w:color w:val="auto"/>
        </w:rPr>
      </w:pPr>
    </w:p>
    <w:p>
      <w:pPr>
        <w:ind w:left="583" w:right="10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57" w:lineRule="exact"/>
        <w:rPr>
          <w:rFonts w:ascii="Times New Roman" w:cs="Times New Roman" w:eastAsia="Times New Roman" w:hAnsi="Times New Roman"/>
          <w:sz w:val="16"/>
          <w:szCs w:val="16"/>
          <w:color w:val="auto"/>
        </w:rPr>
      </w:pPr>
    </w:p>
    <w:p>
      <w:pPr>
        <w:ind w:left="583" w:right="1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identical and independent; otherwise, the VAR to 10 days will be an approximation).</w:t>
      </w:r>
    </w:p>
    <w:p>
      <w:pPr>
        <w:spacing w:after="0" w:line="157" w:lineRule="exact"/>
        <w:rPr>
          <w:rFonts w:ascii="Times New Roman" w:cs="Times New Roman" w:eastAsia="Times New Roman" w:hAnsi="Times New Roman"/>
          <w:sz w:val="16"/>
          <w:szCs w:val="16"/>
          <w:color w:val="auto"/>
        </w:rPr>
      </w:pPr>
    </w:p>
    <w:p>
      <w:pPr>
        <w:ind w:left="583" w:right="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 limits and consumptions are set on the basis of risk appetite and trading strategy of each subsidiary. The assessment of past movements has been based on historical one-year data and 127 market risk factors, which are composed as follows: 21 market curves, 91 stock prices, 9 mutual funds values, 2 volatility series and 4 survival probability curves. The Group applies these historical changes in rates directly to its current positions (a method known as historical simulation). The Management believes the market risk factors incorporated into its VaR model are adequate to measure the market risk to which the Group’s trading book is exposed.</w:t>
      </w:r>
    </w:p>
    <w:p>
      <w:pPr>
        <w:spacing w:after="0" w:line="353" w:lineRule="exact"/>
        <w:rPr>
          <w:rFonts w:ascii="Times New Roman" w:cs="Times New Roman" w:eastAsia="Times New Roman" w:hAnsi="Times New Roman"/>
          <w:sz w:val="16"/>
          <w:szCs w:val="16"/>
          <w:color w:val="auto"/>
        </w:rPr>
      </w:pPr>
    </w:p>
    <w:p>
      <w:pPr>
        <w:ind w:left="5603" w:hanging="95"/>
        <w:spacing w:after="0"/>
        <w:tabs>
          <w:tab w:leader="none" w:pos="5603"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2" w:right="279" w:bottom="1440" w:gutter="0" w:footer="0" w:header="0"/>
        </w:sectPr>
      </w:pPr>
    </w:p>
    <w:bookmarkStart w:id="129" w:name="page130"/>
    <w:bookmarkEnd w:id="129"/>
    <w:p>
      <w:pPr>
        <w:ind w:left="583" w:right="240"/>
        <w:spacing w:after="0" w:line="262" w:lineRule="auto"/>
        <w:rPr>
          <w:sz w:val="20"/>
          <w:szCs w:val="20"/>
          <w:color w:val="auto"/>
        </w:rPr>
      </w:pPr>
      <w:r>
        <w:rPr>
          <w:rFonts w:ascii="Times New Roman" w:cs="Times New Roman" w:eastAsia="Times New Roman" w:hAnsi="Times New Roman"/>
          <w:sz w:val="16"/>
          <w:szCs w:val="16"/>
          <w:color w:val="auto"/>
        </w:rPr>
        <w:t>The use of this approach does not prevent losses outside of these limits in the event of more significant market movements. Losses exceeding the VaR figure should occur, on average under normal market conditions, not more than once every hundred days.</w:t>
      </w:r>
    </w:p>
    <w:p>
      <w:pPr>
        <w:spacing w:after="0" w:line="1" w:lineRule="exact"/>
        <w:rPr>
          <w:sz w:val="20"/>
          <w:szCs w:val="20"/>
          <w:color w:val="auto"/>
        </w:rPr>
      </w:pPr>
    </w:p>
    <w:p>
      <w:pPr>
        <w:ind w:left="583" w:right="140"/>
        <w:spacing w:after="0" w:line="258" w:lineRule="auto"/>
        <w:rPr>
          <w:sz w:val="20"/>
          <w:szCs w:val="20"/>
          <w:color w:val="auto"/>
        </w:rPr>
      </w:pPr>
      <w:r>
        <w:rPr>
          <w:rFonts w:ascii="Times New Roman" w:cs="Times New Roman" w:eastAsia="Times New Roman" w:hAnsi="Times New Roman"/>
          <w:sz w:val="16"/>
          <w:szCs w:val="16"/>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and ALM Risk Committee, the Risk Management Committee and Senior Management.</w:t>
      </w:r>
    </w:p>
    <w:p>
      <w:pPr>
        <w:spacing w:after="0" w:line="164"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VaR results are used to generate economic capital estimates by market risk, which are periodically monitored and are part of the overall risk appetite of each subsidiary.</w:t>
      </w:r>
    </w:p>
    <w:p>
      <w:pPr>
        <w:spacing w:after="0" w:line="203"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In VaR calculation, the foreign exchange effect is not included because its measured in the net monetary position, see note 34.2 (b)(ii).</w:t>
      </w:r>
    </w:p>
    <w:p>
      <w:pPr>
        <w:spacing w:after="0" w:line="203" w:lineRule="exact"/>
        <w:rPr>
          <w:sz w:val="20"/>
          <w:szCs w:val="20"/>
          <w:color w:val="auto"/>
        </w:rPr>
      </w:pPr>
    </w:p>
    <w:p>
      <w:pPr>
        <w:ind w:left="583"/>
        <w:spacing w:after="0" w:line="268" w:lineRule="auto"/>
        <w:rPr>
          <w:sz w:val="20"/>
          <w:szCs w:val="20"/>
          <w:color w:val="auto"/>
        </w:rPr>
      </w:pPr>
      <w:r>
        <w:rPr>
          <w:rFonts w:ascii="Times New Roman" w:cs="Times New Roman" w:eastAsia="Times New Roman" w:hAnsi="Times New Roman"/>
          <w:sz w:val="16"/>
          <w:szCs w:val="16"/>
          <w:color w:val="auto"/>
        </w:rPr>
        <w:t>The consolidated VaR showed a reduction during the year 2016, due mainly to a greater volatility in the differential of rates in soles with regard to the U.S Dollar in the derivative market and to a reduction in the positions subject to this differential. As a result, the VaR remained within the risk appetite limits established by the Riisk Management of the Bank.</w:t>
      </w:r>
    </w:p>
    <w:p>
      <w:pPr>
        <w:spacing w:after="0" w:line="157" w:lineRule="exact"/>
        <w:rPr>
          <w:sz w:val="20"/>
          <w:szCs w:val="20"/>
          <w:color w:val="auto"/>
        </w:rPr>
      </w:pPr>
    </w:p>
    <w:tbl>
      <w:tblPr>
        <w:tblLayout w:type="fixed"/>
        <w:tblInd w:w="583" w:type="dxa"/>
        <w:tblCellMar>
          <w:top w:w="0" w:type="dxa"/>
          <w:left w:w="0" w:type="dxa"/>
          <w:bottom w:w="0" w:type="dxa"/>
          <w:right w:w="0" w:type="dxa"/>
        </w:tblCellMar>
      </w:tblPr>
      <w:tr>
        <w:trPr>
          <w:trHeight w:val="210"/>
        </w:trPr>
        <w:tc>
          <w:tcPr>
            <w:tcW w:w="8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 of December 31, 2016 and 2015 the Group’s VaR by type of asset is as follows: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240" w:type="dxa"/>
            <w:vAlign w:val="bottom"/>
            <w:gridSpan w:val="3"/>
          </w:tcPr>
          <w:p>
            <w:pPr>
              <w:ind w:left="75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9,624</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12,282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19,371</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7,088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Swaps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13,045</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Forwards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2,470</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102,967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1,160</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Diversification effect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(19,748)</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(27,997)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VaR type of asset</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25,922</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120,817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8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 of December 31, 2016 and 2015, the Group’s VaR by risk type is as follows: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583" w:type="dxa"/>
        <w:tblCellMar>
          <w:top w:w="0" w:type="dxa"/>
          <w:left w:w="0" w:type="dxa"/>
          <w:bottom w:w="0" w:type="dxa"/>
          <w:right w:w="0" w:type="dxa"/>
        </w:tblCellMar>
      </w:tblPr>
      <w:tr>
        <w:trPr>
          <w:trHeight w:val="212"/>
        </w:trPr>
        <w:tc>
          <w:tcPr>
            <w:tcW w:w="8260" w:type="dxa"/>
            <w:vAlign w:val="bottom"/>
            <w:gridSpan w:val="3"/>
          </w:tcPr>
          <w:p>
            <w:pPr>
              <w:ind w:left="75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risk</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22,553</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111,941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Price risk</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9,623</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12,288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 risk</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319</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Diversification effect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(6,573)</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VaR by risk type</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25,922</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120,815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3" w:hanging="283"/>
        <w:spacing w:after="0"/>
        <w:tabs>
          <w:tab w:leader="none" w:pos="28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ALM Book -</w:t>
      </w:r>
    </w:p>
    <w:p>
      <w:pPr>
        <w:spacing w:after="0" w:line="202" w:lineRule="exact"/>
        <w:rPr>
          <w:rFonts w:ascii="Times New Roman" w:cs="Times New Roman" w:eastAsia="Times New Roman" w:hAnsi="Times New Roman"/>
          <w:sz w:val="16"/>
          <w:szCs w:val="16"/>
          <w:color w:val="auto"/>
        </w:rPr>
      </w:pPr>
    </w:p>
    <w:p>
      <w:pPr>
        <w:ind w:left="283" w:right="2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Non-trading portfolios which comprise the ALM Book are exposed to different sensitivities that can bring about a deterioration in the value of assets compared to liabilities and hence to a reduction of its net worth.</w:t>
      </w:r>
    </w:p>
    <w:p>
      <w:pPr>
        <w:spacing w:after="0" w:line="143" w:lineRule="exact"/>
        <w:rPr>
          <w:rFonts w:ascii="Times New Roman" w:cs="Times New Roman" w:eastAsia="Times New Roman" w:hAnsi="Times New Roman"/>
          <w:sz w:val="16"/>
          <w:szCs w:val="16"/>
          <w:color w:val="auto"/>
        </w:rPr>
      </w:pPr>
    </w:p>
    <w:p>
      <w:pPr>
        <w:ind w:left="583" w:hanging="293"/>
        <w:spacing w:after="0"/>
        <w:tabs>
          <w:tab w:leader="none" w:pos="583"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risk -</w:t>
      </w:r>
    </w:p>
    <w:p>
      <w:pPr>
        <w:spacing w:after="0" w:line="202" w:lineRule="exact"/>
        <w:rPr>
          <w:rFonts w:ascii="Times New Roman" w:cs="Times New Roman" w:eastAsia="Times New Roman" w:hAnsi="Times New Roman"/>
          <w:sz w:val="16"/>
          <w:szCs w:val="16"/>
          <w:color w:val="auto"/>
        </w:rPr>
      </w:pPr>
    </w:p>
    <w:p>
      <w:pPr>
        <w:ind w:left="583" w:right="4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ALM-related interest rate risk arises from eventual changes in interest rates that may adversely affect the expected gains (risk gains) or market value of financial assets and liabilities reported on the balance sheet (Net economic value). The Group accepts the exposure to the interest rate risk that may affect their fair value as well as the cash flow risk of future assets and liabilities.</w:t>
      </w:r>
    </w:p>
    <w:p>
      <w:pPr>
        <w:spacing w:after="0" w:line="350" w:lineRule="exact"/>
        <w:rPr>
          <w:rFonts w:ascii="Times New Roman" w:cs="Times New Roman" w:eastAsia="Times New Roman" w:hAnsi="Times New Roman"/>
          <w:sz w:val="16"/>
          <w:szCs w:val="16"/>
          <w:color w:val="auto"/>
        </w:rPr>
      </w:pPr>
    </w:p>
    <w:p>
      <w:pPr>
        <w:ind w:left="5603" w:hanging="95"/>
        <w:spacing w:after="0"/>
        <w:tabs>
          <w:tab w:leader="none" w:pos="5603"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4" w:right="2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color w:val="auto"/>
        </w:rPr>
        <w:t>The risk committee sets the guidelines regarding the level of unmatched repricing of interest rates that can be tolerated, which is periodically monitored through ALM.</w:t>
      </w:r>
    </w:p>
    <w:p>
      <w:pPr>
        <w:spacing w:after="0" w:line="20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4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In this regard, Group companies that are exposed to the interest rate risk are those that have yields based on interest, such as credits, investments and technical reserves. Interest rate risk management in BCP Peru, BCP Bolivia, MiBanco, Atlantic Security Bank and Pacífico Grupo Asegurador is carried out performing a repricing gap analysis, sensitivity analysis of the profit margin (GER) and sensitivity analysis of the net economic value (VEN). These calculations consider different rate shocks in stress scenarios.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Analysis of repricing gap -</w:t>
      </w:r>
    </w:p>
    <w:p>
      <w:pPr>
        <w:spacing w:after="0" w:line="203"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The repricing gap analysis is intended to measure the interest rate risk exposure when the bank's interest-sensitive liabilities exceed its interest-sensitive assets. By this analysis, management can identify the tranches in which the interest rate variations may have a potential impact.</w:t>
      </w:r>
    </w:p>
    <w:p>
      <w:pPr>
        <w:spacing w:after="0" w:line="3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16510</wp:posOffset>
            </wp:positionV>
            <wp:extent cx="726122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840"/>
          </w:cols>
          <w:pgMar w:left="820" w:top="824" w:right="239" w:bottom="1440" w:gutter="0" w:footer="0" w:header="0"/>
        </w:sectPr>
      </w:pPr>
    </w:p>
    <w:bookmarkStart w:id="131" w:name="page132"/>
    <w:bookmarkEnd w:id="131"/>
    <w:p>
      <w:pPr>
        <w:spacing w:after="0" w:line="285" w:lineRule="auto"/>
        <w:rPr>
          <w:sz w:val="20"/>
          <w:szCs w:val="20"/>
          <w:color w:val="auto"/>
        </w:rPr>
      </w:pPr>
      <w:r>
        <w:rPr>
          <w:rFonts w:ascii="Times New Roman" w:cs="Times New Roman" w:eastAsia="Times New Roman" w:hAnsi="Times New Roman"/>
          <w:sz w:val="16"/>
          <w:szCs w:val="16"/>
          <w:color w:val="auto"/>
        </w:rPr>
        <w:t>The table below summarizes the Group’s exposure to interest rate risks. It includes the Group’s financial instruments at carrying amounts, categorized by the earlier of contractual re-pricing or maturity dates:</w:t>
      </w:r>
    </w:p>
    <w:p>
      <w:pPr>
        <w:spacing w:after="0" w:line="150" w:lineRule="exact"/>
        <w:rPr>
          <w:sz w:val="20"/>
          <w:szCs w:val="20"/>
          <w:color w:val="auto"/>
        </w:rPr>
      </w:pPr>
    </w:p>
    <w:tbl>
      <w:tblPr>
        <w:tblLayout w:type="fixed"/>
        <w:tblInd w:w="4460" w:type="dxa"/>
        <w:tblCellMar>
          <w:top w:w="0" w:type="dxa"/>
          <w:left w:w="0" w:type="dxa"/>
          <w:bottom w:w="0" w:type="dxa"/>
          <w:right w:w="0" w:type="dxa"/>
        </w:tblCellMar>
      </w:tblPr>
      <w:tr>
        <w:trPr>
          <w:trHeight w:val="155"/>
        </w:trPr>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Al 31 de diciembre 2016</w:t>
            </w: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86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Up to 1</w:t>
            </w:r>
          </w:p>
        </w:tc>
        <w:tc>
          <w:tcPr>
            <w:tcW w:w="68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1 to 3</w:t>
            </w:r>
          </w:p>
        </w:tc>
        <w:tc>
          <w:tcPr>
            <w:tcW w:w="72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b w:val="1"/>
                <w:bCs w:val="1"/>
                <w:color w:val="auto"/>
              </w:rPr>
              <w:t>3 to 12</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1 to 5</w:t>
            </w:r>
          </w:p>
        </w:tc>
        <w:tc>
          <w:tcPr>
            <w:tcW w:w="1100" w:type="dxa"/>
            <w:vAlign w:val="bottom"/>
            <w:gridSpan w:val="3"/>
          </w:tcPr>
          <w:p>
            <w:pPr>
              <w:ind w:left="200"/>
              <w:spacing w:after="0" w:line="103" w:lineRule="exact"/>
              <w:rPr>
                <w:sz w:val="20"/>
                <w:szCs w:val="20"/>
                <w:color w:val="auto"/>
              </w:rPr>
            </w:pPr>
            <w:r>
              <w:rPr>
                <w:rFonts w:ascii="Times New Roman" w:cs="Times New Roman" w:eastAsia="Times New Roman" w:hAnsi="Times New Roman"/>
                <w:sz w:val="11"/>
                <w:szCs w:val="11"/>
                <w:b w:val="1"/>
                <w:bCs w:val="1"/>
                <w:color w:val="auto"/>
              </w:rPr>
              <w:t>More than 5</w:t>
            </w:r>
          </w:p>
        </w:tc>
        <w:tc>
          <w:tcPr>
            <w:tcW w:w="9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Non-interest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month</w:t>
            </w: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bearing</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Assets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4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Cash and due from banks, Cash collateral, reverse repurchase agreements and</w:t>
            </w:r>
          </w:p>
        </w:tc>
        <w:tc>
          <w:tcPr>
            <w:tcW w:w="86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color w:val="auto"/>
              </w:rPr>
              <w:t>7,467,818</w:t>
            </w:r>
          </w:p>
        </w:tc>
        <w:tc>
          <w:tcPr>
            <w:tcW w:w="88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3"/>
                <w:szCs w:val="13"/>
                <w:color w:val="auto"/>
              </w:rPr>
              <w:t>1,845,264</w:t>
            </w:r>
          </w:p>
        </w:tc>
        <w:tc>
          <w:tcPr>
            <w:tcW w:w="86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color w:val="auto"/>
              </w:rPr>
              <w:t>3,709,882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9,890,459</w:t>
            </w:r>
          </w:p>
        </w:tc>
        <w:tc>
          <w:tcPr>
            <w:tcW w:w="200" w:type="dxa"/>
            <w:vAlign w:val="bottom"/>
          </w:tcPr>
          <w:p>
            <w:pPr>
              <w:spacing w:after="0"/>
              <w:rPr>
                <w:sz w:val="9"/>
                <w:szCs w:val="9"/>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109,340</w:t>
            </w:r>
          </w:p>
        </w:tc>
        <w:tc>
          <w:tcPr>
            <w:tcW w:w="9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3"/>
                <w:szCs w:val="13"/>
                <w:color w:val="auto"/>
              </w:rPr>
              <w:t>4,542,630</w:t>
            </w:r>
          </w:p>
        </w:tc>
        <w:tc>
          <w:tcPr>
            <w:tcW w:w="84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27,565,393</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borrowings</w:t>
            </w:r>
          </w:p>
        </w:tc>
        <w:tc>
          <w:tcPr>
            <w:tcW w:w="8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Investments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1,574,831</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465,421</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3,913,328</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6,261,652</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8,908,298</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2,680,557</w:t>
            </w:r>
          </w:p>
        </w:tc>
        <w:tc>
          <w:tcPr>
            <w:tcW w:w="8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23,804,087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Loans, net</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10,525,263</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16,135,337</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22,739,878</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30,353,995</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11,170,586</w:t>
            </w:r>
          </w:p>
        </w:tc>
        <w:tc>
          <w:tcPr>
            <w:tcW w:w="940" w:type="dxa"/>
            <w:vAlign w:val="bottom"/>
            <w:gridSpan w:val="2"/>
          </w:tcPr>
          <w:p>
            <w:pPr>
              <w:jc w:val="right"/>
              <w:ind w:right="122"/>
              <w:spacing w:after="0" w:line="133" w:lineRule="exact"/>
              <w:rPr>
                <w:sz w:val="20"/>
                <w:szCs w:val="20"/>
                <w:color w:val="auto"/>
              </w:rPr>
            </w:pPr>
            <w:r>
              <w:rPr>
                <w:rFonts w:ascii="Times New Roman" w:cs="Times New Roman" w:eastAsia="Times New Roman" w:hAnsi="Times New Roman"/>
                <w:sz w:val="13"/>
                <w:szCs w:val="13"/>
                <w:color w:val="auto"/>
              </w:rPr>
              <w:t>(363,291)</w:t>
            </w:r>
          </w:p>
        </w:tc>
        <w:tc>
          <w:tcPr>
            <w:tcW w:w="840" w:type="dxa"/>
            <w:vAlign w:val="bottom"/>
            <w:gridSpan w:val="2"/>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90,561,768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Financial assets designated at fair value through profit or loss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459,099</w:t>
            </w:r>
          </w:p>
        </w:tc>
        <w:tc>
          <w:tcPr>
            <w:tcW w:w="8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459,099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Premiums and other policies Accounts receivable</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623,005</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16,533</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2,898</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788</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643,224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Accounts receivable from reinsurers and coinsurers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110,263</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202,610</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120,159</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21,155</w:t>
            </w: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454,187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373,946</w:t>
            </w:r>
          </w:p>
        </w:tc>
        <w:tc>
          <w:tcPr>
            <w:tcW w:w="88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5,590</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12,537</w:t>
            </w:r>
          </w:p>
        </w:tc>
        <w:tc>
          <w:tcPr>
            <w:tcW w:w="88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7,024</w:t>
            </w:r>
          </w:p>
        </w:tc>
        <w:tc>
          <w:tcPr>
            <w:tcW w:w="9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8,533,348</w:t>
            </w:r>
          </w:p>
        </w:tc>
        <w:tc>
          <w:tcPr>
            <w:tcW w:w="840" w:type="dxa"/>
            <w:vAlign w:val="bottom"/>
            <w:gridSpan w:val="2"/>
          </w:tcPr>
          <w:p>
            <w:pPr>
              <w:jc w:val="right"/>
              <w:ind w:right="62"/>
              <w:spacing w:after="0" w:line="145" w:lineRule="exact"/>
              <w:rPr>
                <w:sz w:val="20"/>
                <w:szCs w:val="20"/>
                <w:color w:val="auto"/>
              </w:rPr>
            </w:pPr>
            <w:r>
              <w:rPr>
                <w:rFonts w:ascii="Times New Roman" w:cs="Times New Roman" w:eastAsia="Times New Roman" w:hAnsi="Times New Roman"/>
                <w:sz w:val="13"/>
                <w:szCs w:val="13"/>
                <w:color w:val="auto"/>
              </w:rPr>
              <w:t>8,932,445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20,675,126</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18,670,755</w:t>
            </w: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30,498,682</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46,535,073</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20,188,224</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15,852,343</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152,420,203</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Deposits and obligations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22,908,852</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8,273,520</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15,162,216</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32,654,763</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4,970,689</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1,946,347</w:t>
            </w:r>
          </w:p>
        </w:tc>
        <w:tc>
          <w:tcPr>
            <w:tcW w:w="840" w:type="dxa"/>
            <w:vAlign w:val="bottom"/>
            <w:gridSpan w:val="2"/>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85,916,387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4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Payables from repurchase agreements, security lending and due to banks and</w:t>
            </w:r>
          </w:p>
        </w:tc>
        <w:tc>
          <w:tcPr>
            <w:tcW w:w="86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2,765,720</w:t>
            </w:r>
          </w:p>
        </w:tc>
        <w:tc>
          <w:tcPr>
            <w:tcW w:w="880" w:type="dxa"/>
            <w:vAlign w:val="bottom"/>
            <w:gridSpan w:val="2"/>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2,031,097</w:t>
            </w:r>
          </w:p>
        </w:tc>
        <w:tc>
          <w:tcPr>
            <w:tcW w:w="86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5,747,611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10,146,210</w:t>
            </w:r>
          </w:p>
        </w:tc>
        <w:tc>
          <w:tcPr>
            <w:tcW w:w="2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1,825,048</w:t>
            </w:r>
          </w:p>
        </w:tc>
        <w:tc>
          <w:tcPr>
            <w:tcW w:w="940" w:type="dxa"/>
            <w:vAlign w:val="bottom"/>
            <w:gridSpan w:val="2"/>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106,229</w:t>
            </w:r>
          </w:p>
        </w:tc>
        <w:tc>
          <w:tcPr>
            <w:tcW w:w="84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22,621,915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correspondents</w:t>
            </w:r>
          </w:p>
        </w:tc>
        <w:tc>
          <w:tcPr>
            <w:tcW w:w="8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Accounts payable to reinsurers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32,963</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158,957</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36,633</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5,339</w:t>
            </w: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233,892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Technical, insurance claims reserves and reserves for unearned premiums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185,671</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104,065</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396,609</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1,730,011</w:t>
            </w: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3,637,198</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732,635</w:t>
            </w:r>
          </w:p>
        </w:tc>
        <w:tc>
          <w:tcPr>
            <w:tcW w:w="8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6,786,189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Financial liabilities at fair value through profit or loss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209,520</w:t>
            </w:r>
          </w:p>
        </w:tc>
        <w:tc>
          <w:tcPr>
            <w:tcW w:w="840" w:type="dxa"/>
            <w:vAlign w:val="bottom"/>
            <w:gridSpan w:val="2"/>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209,520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Bonds and notes issued</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52,366</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40,792</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639,238</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8,492,272</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6,226,773</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488,162</w:t>
            </w:r>
          </w:p>
        </w:tc>
        <w:tc>
          <w:tcPr>
            <w:tcW w:w="8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15,939,603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446,131</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1,577</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218,539</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190,300</w:t>
            </w: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3,754,658</w:t>
            </w:r>
          </w:p>
        </w:tc>
        <w:tc>
          <w:tcPr>
            <w:tcW w:w="840" w:type="dxa"/>
            <w:vAlign w:val="bottom"/>
            <w:gridSpan w:val="2"/>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4,611,205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Equity</w:t>
            </w:r>
          </w:p>
        </w:tc>
        <w:tc>
          <w:tcPr>
            <w:tcW w:w="86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20,116,511</w:t>
            </w:r>
          </w:p>
        </w:tc>
        <w:tc>
          <w:tcPr>
            <w:tcW w:w="840" w:type="dxa"/>
            <w:vAlign w:val="bottom"/>
            <w:gridSpan w:val="2"/>
            <w:shd w:val="clear" w:color="auto" w:fill="CCEEFF"/>
          </w:tcPr>
          <w:p>
            <w:pPr>
              <w:jc w:val="right"/>
              <w:ind w:right="62"/>
              <w:spacing w:after="0" w:line="145" w:lineRule="exact"/>
              <w:rPr>
                <w:sz w:val="20"/>
                <w:szCs w:val="20"/>
                <w:color w:val="auto"/>
              </w:rPr>
            </w:pPr>
            <w:r>
              <w:rPr>
                <w:rFonts w:ascii="Times New Roman" w:cs="Times New Roman" w:eastAsia="Times New Roman" w:hAnsi="Times New Roman"/>
                <w:sz w:val="13"/>
                <w:szCs w:val="13"/>
                <w:color w:val="auto"/>
              </w:rPr>
              <w:t>20,116,511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26,391,703</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10,610,008</w:t>
            </w:r>
          </w:p>
        </w:tc>
        <w:tc>
          <w:tcPr>
            <w:tcW w:w="20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22,200,846</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53,218,895</w:t>
            </w:r>
          </w:p>
        </w:tc>
        <w:tc>
          <w:tcPr>
            <w:tcW w:w="2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16,659,708</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27,354,062</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156,435,222</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Off-balance-sheet accounts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Derivative financial assets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461,724</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2,118,173</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498,864</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5,738,651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3,961,574</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12,778,986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Derivative financial liabilities</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1,682,988</w:t>
            </w:r>
          </w:p>
        </w:tc>
        <w:tc>
          <w:tcPr>
            <w:tcW w:w="88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4,308,673</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2,609,747</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3,461,322</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716,256</w:t>
            </w:r>
          </w:p>
        </w:tc>
        <w:tc>
          <w:tcPr>
            <w:tcW w:w="94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2"/>
              <w:spacing w:after="0" w:line="145" w:lineRule="exact"/>
              <w:rPr>
                <w:sz w:val="20"/>
                <w:szCs w:val="20"/>
                <w:color w:val="auto"/>
              </w:rPr>
            </w:pPr>
            <w:r>
              <w:rPr>
                <w:rFonts w:ascii="Times New Roman" w:cs="Times New Roman" w:eastAsia="Times New Roman" w:hAnsi="Times New Roman"/>
                <w:sz w:val="13"/>
                <w:szCs w:val="13"/>
                <w:color w:val="auto"/>
              </w:rPr>
              <w:t>12,778,986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(1,221,264</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(2,190,500</w:t>
            </w:r>
          </w:p>
        </w:tc>
        <w:tc>
          <w:tcPr>
            <w:tcW w:w="20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(2,110,883</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2,277,329</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3,245,318</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Marginal gap</w:t>
            </w: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(6,937,841</w:t>
            </w:r>
          </w:p>
        </w:tc>
        <w:tc>
          <w:tcPr>
            <w:tcW w:w="180" w:type="dxa"/>
            <w:vAlign w:val="bottom"/>
            <w:tcBorders>
              <w:bottom w:val="single" w:sz="8" w:color="CCEEFF"/>
            </w:tcBorders>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5,870,247</w:t>
            </w:r>
          </w:p>
        </w:tc>
        <w:tc>
          <w:tcPr>
            <w:tcW w:w="2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6,186,953</w:t>
            </w:r>
          </w:p>
        </w:tc>
        <w:tc>
          <w:tcPr>
            <w:tcW w:w="1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(4,406,493</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70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6,773,834</w:t>
            </w:r>
          </w:p>
        </w:tc>
        <w:tc>
          <w:tcPr>
            <w:tcW w:w="2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(11,501,719</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(4,015,019</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Accumulated gap</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(6,937,841</w:t>
            </w:r>
          </w:p>
        </w:tc>
        <w:tc>
          <w:tcPr>
            <w:tcW w:w="1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(1,067,594</w:t>
            </w:r>
          </w:p>
        </w:tc>
        <w:tc>
          <w:tcPr>
            <w:tcW w:w="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5,119,359</w:t>
            </w:r>
          </w:p>
        </w:tc>
        <w:tc>
          <w:tcPr>
            <w:tcW w:w="18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712,866</w:t>
            </w:r>
          </w:p>
        </w:tc>
        <w:tc>
          <w:tcPr>
            <w:tcW w:w="20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7,486,700</w:t>
            </w:r>
          </w:p>
        </w:tc>
        <w:tc>
          <w:tcPr>
            <w:tcW w:w="2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(4,015,019</w:t>
            </w:r>
          </w:p>
        </w:tc>
        <w:tc>
          <w:tcPr>
            <w:tcW w:w="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6"/>
          <w:szCs w:val="16"/>
          <w:color w:val="auto"/>
        </w:rPr>
        <w:t>Investments accounted for at fair value through profit or loss and trading derivatives are not taken into account, due to the fact that these instrument are part of the trading book and the Value at Risk methodology is used to measure their market risks.</w:t>
      </w:r>
    </w:p>
    <w:p>
      <w:pPr>
        <w:spacing w:after="0" w:line="3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16510</wp:posOffset>
            </wp:positionV>
            <wp:extent cx="726122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720"/>
          </w:cols>
          <w:pgMar w:left="820" w:top="824" w:right="359" w:bottom="1440" w:gutter="0" w:footer="0" w:header="0"/>
        </w:sectPr>
      </w:pPr>
    </w:p>
    <w:bookmarkStart w:id="132" w:name="page133"/>
    <w:bookmarkEnd w:id="132"/>
    <w:tbl>
      <w:tblPr>
        <w:tblLayout w:type="fixed"/>
        <w:tblInd w:w="4460" w:type="dxa"/>
        <w:tblCellMar>
          <w:top w:w="0" w:type="dxa"/>
          <w:left w:w="0" w:type="dxa"/>
          <w:bottom w:w="0" w:type="dxa"/>
          <w:right w:w="0" w:type="dxa"/>
        </w:tblCellMar>
      </w:tblPr>
      <w:tr>
        <w:trPr>
          <w:trHeight w:val="155"/>
        </w:trPr>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86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Up to 1</w:t>
            </w:r>
          </w:p>
        </w:tc>
        <w:tc>
          <w:tcPr>
            <w:tcW w:w="68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1 to 3</w:t>
            </w:r>
          </w:p>
        </w:tc>
        <w:tc>
          <w:tcPr>
            <w:tcW w:w="88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b w:val="1"/>
                <w:bCs w:val="1"/>
                <w:color w:val="auto"/>
              </w:rPr>
              <w:t>3 to 12</w:t>
            </w:r>
          </w:p>
        </w:tc>
        <w:tc>
          <w:tcPr>
            <w:tcW w:w="180" w:type="dxa"/>
            <w:vAlign w:val="bottom"/>
          </w:tcPr>
          <w:p>
            <w:pPr>
              <w:spacing w:after="0"/>
              <w:rPr>
                <w:sz w:val="8"/>
                <w:szCs w:val="8"/>
                <w:color w:val="auto"/>
              </w:rPr>
            </w:pPr>
          </w:p>
        </w:tc>
        <w:tc>
          <w:tcPr>
            <w:tcW w:w="68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1 to 5</w:t>
            </w:r>
          </w:p>
        </w:tc>
        <w:tc>
          <w:tcPr>
            <w:tcW w:w="1100" w:type="dxa"/>
            <w:vAlign w:val="bottom"/>
            <w:gridSpan w:val="3"/>
          </w:tcPr>
          <w:p>
            <w:pPr>
              <w:ind w:left="200"/>
              <w:spacing w:after="0" w:line="103" w:lineRule="exact"/>
              <w:rPr>
                <w:sz w:val="20"/>
                <w:szCs w:val="20"/>
                <w:color w:val="auto"/>
              </w:rPr>
            </w:pPr>
            <w:r>
              <w:rPr>
                <w:rFonts w:ascii="Times New Roman" w:cs="Times New Roman" w:eastAsia="Times New Roman" w:hAnsi="Times New Roman"/>
                <w:sz w:val="11"/>
                <w:szCs w:val="11"/>
                <w:b w:val="1"/>
                <w:bCs w:val="1"/>
                <w:color w:val="auto"/>
              </w:rPr>
              <w:t>More than 5</w:t>
            </w:r>
          </w:p>
        </w:tc>
        <w:tc>
          <w:tcPr>
            <w:tcW w:w="9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Non-interest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month</w:t>
            </w: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18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bearing</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Assets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4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Cash and due from banks, Cash collateral, reverse repurchase agreements and</w:t>
            </w:r>
          </w:p>
        </w:tc>
        <w:tc>
          <w:tcPr>
            <w:tcW w:w="86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color w:val="auto"/>
              </w:rPr>
              <w:t>10,799,728</w:t>
            </w:r>
          </w:p>
        </w:tc>
        <w:tc>
          <w:tcPr>
            <w:tcW w:w="88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3"/>
                <w:szCs w:val="13"/>
                <w:color w:val="auto"/>
              </w:rPr>
              <w:t>1,730,819</w:t>
            </w:r>
          </w:p>
        </w:tc>
        <w:tc>
          <w:tcPr>
            <w:tcW w:w="86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color w:val="auto"/>
              </w:rPr>
              <w:t>2,448,242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14,175,954</w:t>
            </w:r>
          </w:p>
        </w:tc>
        <w:tc>
          <w:tcPr>
            <w:tcW w:w="200" w:type="dxa"/>
            <w:vAlign w:val="bottom"/>
          </w:tcPr>
          <w:p>
            <w:pPr>
              <w:spacing w:after="0"/>
              <w:rPr>
                <w:sz w:val="9"/>
                <w:szCs w:val="9"/>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85,441</w:t>
            </w:r>
          </w:p>
        </w:tc>
        <w:tc>
          <w:tcPr>
            <w:tcW w:w="9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3"/>
                <w:szCs w:val="13"/>
                <w:color w:val="auto"/>
              </w:rPr>
              <w:t>4,178,258</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33,418,442</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borrowings</w:t>
            </w:r>
          </w:p>
        </w:tc>
        <w:tc>
          <w:tcPr>
            <w:tcW w:w="8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Investments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995,468</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1,808,027</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2,618,982</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7,004,151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7,018,588</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2,905,834</w:t>
            </w:r>
          </w:p>
        </w:tc>
        <w:tc>
          <w:tcPr>
            <w:tcW w:w="8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22,351,050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Loans, net</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9,926,677</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15,596,640</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21,901,169</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29,102,306</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9,961,370</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86,488,162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Financial assets designated at fair value through profit or loss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350,328</w:t>
            </w:r>
          </w:p>
        </w:tc>
        <w:tc>
          <w:tcPr>
            <w:tcW w:w="8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350,328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Premiums and other policies Accounts receivable</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552,802</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72,447</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22,768</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648,017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Accounts receivable from reinsurers and coinsurers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81,384</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210,658</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142,317</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22,830</w:t>
            </w: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457,189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9,443,933</w:t>
            </w:r>
          </w:p>
        </w:tc>
        <w:tc>
          <w:tcPr>
            <w:tcW w:w="8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9,443,933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22,356,059</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19,418,591</w:t>
            </w: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27,133,478</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50,305,241</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17,065,399</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16,878,353</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153,157,121</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Deposits and obligations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26,822,026</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6,712,587</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11,968,763</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36,154,007</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3,811,820</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3,137,430</w:t>
            </w:r>
          </w:p>
        </w:tc>
        <w:tc>
          <w:tcPr>
            <w:tcW w:w="8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88,606,633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4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Payables from repurchase agreements, security lending and due to banks and</w:t>
            </w:r>
          </w:p>
        </w:tc>
        <w:tc>
          <w:tcPr>
            <w:tcW w:w="86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388,118</w:t>
            </w:r>
          </w:p>
        </w:tc>
        <w:tc>
          <w:tcPr>
            <w:tcW w:w="880" w:type="dxa"/>
            <w:vAlign w:val="bottom"/>
            <w:gridSpan w:val="2"/>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733,836</w:t>
            </w:r>
          </w:p>
        </w:tc>
        <w:tc>
          <w:tcPr>
            <w:tcW w:w="86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1,234,728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4,583,834</w:t>
            </w:r>
          </w:p>
        </w:tc>
        <w:tc>
          <w:tcPr>
            <w:tcW w:w="2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721,701</w:t>
            </w:r>
          </w:p>
        </w:tc>
        <w:tc>
          <w:tcPr>
            <w:tcW w:w="940" w:type="dxa"/>
            <w:vAlign w:val="bottom"/>
            <w:gridSpan w:val="2"/>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14,922,526</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22,584,743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correspondents to banks and correspondents</w:t>
            </w:r>
          </w:p>
        </w:tc>
        <w:tc>
          <w:tcPr>
            <w:tcW w:w="8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Accounts payable to reinsurers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53,175</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159,216</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26,083</w:t>
            </w: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3,373</w:t>
            </w: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241,847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Technical, insurance claims reserves and reserves for unearned premiums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61,112</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359,162</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5,187,653</w:t>
            </w:r>
          </w:p>
        </w:tc>
        <w:tc>
          <w:tcPr>
            <w:tcW w:w="8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753,700</w:t>
            </w: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6,361,627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Financial liabilities at fair value through profit or Loss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47,737</w:t>
            </w:r>
          </w:p>
        </w:tc>
        <w:tc>
          <w:tcPr>
            <w:tcW w:w="8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47,737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Bonds and notes issued</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40,572</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838,309</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376,105</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6,050,486</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8,433,804</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548,686</w:t>
            </w:r>
          </w:p>
        </w:tc>
        <w:tc>
          <w:tcPr>
            <w:tcW w:w="8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16,287,962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29,328</w:t>
            </w:r>
          </w:p>
        </w:tc>
        <w:tc>
          <w:tcPr>
            <w:tcW w:w="88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15,328</w:t>
            </w:r>
          </w:p>
        </w:tc>
        <w:tc>
          <w:tcPr>
            <w:tcW w:w="86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10,327</w:t>
            </w: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78,423</w:t>
            </w: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314,331</w:t>
            </w:r>
          </w:p>
        </w:tc>
        <w:tc>
          <w:tcPr>
            <w:tcW w:w="9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4,174,361</w:t>
            </w:r>
          </w:p>
        </w:tc>
        <w:tc>
          <w:tcPr>
            <w:tcW w:w="8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4,622,098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Equity</w:t>
            </w:r>
          </w:p>
        </w:tc>
        <w:tc>
          <w:tcPr>
            <w:tcW w:w="86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16,727,570</w:t>
            </w:r>
          </w:p>
        </w:tc>
        <w:tc>
          <w:tcPr>
            <w:tcW w:w="8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16,727,570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27,394,331</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8,818,438</w:t>
            </w:r>
          </w:p>
        </w:tc>
        <w:tc>
          <w:tcPr>
            <w:tcW w:w="20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18,803,659</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47,623,823</w:t>
            </w:r>
          </w:p>
        </w:tc>
        <w:tc>
          <w:tcPr>
            <w:tcW w:w="2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13,281,656</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39,558,310</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155,480,217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Off-balance-sheet accounts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Derivative financial assets</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230,741</w:t>
            </w:r>
          </w:p>
        </w:tc>
        <w:tc>
          <w:tcPr>
            <w:tcW w:w="88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2,077,128</w:t>
            </w:r>
          </w:p>
        </w:tc>
        <w:tc>
          <w:tcPr>
            <w:tcW w:w="86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390,901</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3,247,496</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5,753,166</w:t>
            </w:r>
          </w:p>
        </w:tc>
        <w:tc>
          <w:tcPr>
            <w:tcW w:w="9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11,699,432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Derivative financial liabilities</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1,541,590</w:t>
            </w:r>
          </w:p>
        </w:tc>
        <w:tc>
          <w:tcPr>
            <w:tcW w:w="88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4,366,304</w:t>
            </w:r>
          </w:p>
        </w:tc>
        <w:tc>
          <w:tcPr>
            <w:tcW w:w="86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2,928,785</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2,132,295</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730,458</w:t>
            </w:r>
          </w:p>
        </w:tc>
        <w:tc>
          <w:tcPr>
            <w:tcW w:w="94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11,699,432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(1,310,849</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(2,289,176</w:t>
            </w:r>
          </w:p>
        </w:tc>
        <w:tc>
          <w:tcPr>
            <w:tcW w:w="20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(2,537,884</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1,115,201</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5,022,708</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Marginal gap</w:t>
            </w: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(6,349,121</w:t>
            </w:r>
          </w:p>
        </w:tc>
        <w:tc>
          <w:tcPr>
            <w:tcW w:w="180" w:type="dxa"/>
            <w:vAlign w:val="bottom"/>
            <w:tcBorders>
              <w:bottom w:val="single" w:sz="8" w:color="CCEEFF"/>
            </w:tcBorders>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8,310,977</w:t>
            </w:r>
          </w:p>
        </w:tc>
        <w:tc>
          <w:tcPr>
            <w:tcW w:w="2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5,791,935</w:t>
            </w:r>
          </w:p>
        </w:tc>
        <w:tc>
          <w:tcPr>
            <w:tcW w:w="1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3,796,619</w:t>
            </w:r>
          </w:p>
        </w:tc>
        <w:tc>
          <w:tcPr>
            <w:tcW w:w="2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8,806,451</w:t>
            </w:r>
          </w:p>
        </w:tc>
        <w:tc>
          <w:tcPr>
            <w:tcW w:w="2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(22,679,957</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Accumulated gap</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(6,349,121</w:t>
            </w:r>
          </w:p>
        </w:tc>
        <w:tc>
          <w:tcPr>
            <w:tcW w:w="1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1,961,856</w:t>
            </w:r>
          </w:p>
        </w:tc>
        <w:tc>
          <w:tcPr>
            <w:tcW w:w="20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7,753,791</w:t>
            </w:r>
          </w:p>
        </w:tc>
        <w:tc>
          <w:tcPr>
            <w:tcW w:w="18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11,550,410</w:t>
            </w:r>
          </w:p>
        </w:tc>
        <w:tc>
          <w:tcPr>
            <w:tcW w:w="20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20,356,861</w:t>
            </w:r>
          </w:p>
        </w:tc>
        <w:tc>
          <w:tcPr>
            <w:tcW w:w="2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(2,323,096</w:t>
            </w:r>
          </w:p>
        </w:tc>
        <w:tc>
          <w:tcPr>
            <w:tcW w:w="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100"/>
        <w:spacing w:after="0" w:line="285" w:lineRule="auto"/>
        <w:rPr>
          <w:sz w:val="20"/>
          <w:szCs w:val="20"/>
          <w:color w:val="auto"/>
        </w:rPr>
      </w:pPr>
      <w:r>
        <w:rPr>
          <w:rFonts w:ascii="Times New Roman" w:cs="Times New Roman" w:eastAsia="Times New Roman" w:hAnsi="Times New Roman"/>
          <w:sz w:val="16"/>
          <w:szCs w:val="16"/>
          <w:color w:val="auto"/>
        </w:rPr>
        <w:t>Investments accounted for at fair value through profit or loss and trading derivatives are not taken into account, due to the fact that these instruments are part of the trading book and the Value at Risk methodology is used to measure their market risks.</w:t>
      </w:r>
    </w:p>
    <w:p>
      <w:pPr>
        <w:spacing w:after="0" w:line="33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16510</wp:posOffset>
            </wp:positionV>
            <wp:extent cx="726122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620"/>
          </w:cols>
          <w:pgMar w:left="820" w:top="831" w:right="459" w:bottom="1440" w:gutter="0" w:footer="0" w:header="0"/>
        </w:sectPr>
      </w:pPr>
    </w:p>
    <w:bookmarkStart w:id="133" w:name="page134"/>
    <w:bookmarkEnd w:id="133"/>
    <w:p>
      <w:pPr>
        <w:ind w:left="280"/>
        <w:spacing w:after="0"/>
        <w:rPr>
          <w:sz w:val="20"/>
          <w:szCs w:val="20"/>
          <w:color w:val="auto"/>
        </w:rPr>
      </w:pPr>
      <w:r>
        <w:rPr>
          <w:rFonts w:ascii="Times New Roman" w:cs="Times New Roman" w:eastAsia="Times New Roman" w:hAnsi="Times New Roman"/>
          <w:sz w:val="16"/>
          <w:szCs w:val="16"/>
          <w:color w:val="auto"/>
        </w:rPr>
        <w:t>Sensitivity to changes in interest rates -</w:t>
      </w:r>
    </w:p>
    <w:p>
      <w:pPr>
        <w:spacing w:after="0" w:line="203" w:lineRule="exact"/>
        <w:rPr>
          <w:sz w:val="20"/>
          <w:szCs w:val="20"/>
          <w:color w:val="auto"/>
        </w:rPr>
      </w:pPr>
    </w:p>
    <w:p>
      <w:pPr>
        <w:ind w:left="280" w:right="180"/>
        <w:spacing w:after="0" w:line="263" w:lineRule="auto"/>
        <w:rPr>
          <w:sz w:val="20"/>
          <w:szCs w:val="20"/>
          <w:color w:val="auto"/>
        </w:rPr>
      </w:pPr>
      <w:r>
        <w:rPr>
          <w:rFonts w:ascii="Times New Roman" w:cs="Times New Roman" w:eastAsia="Times New Roman" w:hAnsi="Times New Roman"/>
          <w:sz w:val="16"/>
          <w:szCs w:val="16"/>
          <w:color w:val="auto"/>
        </w:rPr>
        <w:t>The sensitivity analysis of a reasonable possible change in interest rates on the ALM book comprises an assessment of the sensibility of the financial margins that seeks to measure the potential changes in the interest accruals over a period of time and the expected movement of the interest rate curves as well as the sensibility of the net economic value, which is a long-term metric measured as the difference arising between the Net book value of net assets and liabilities before and after a variation in interest rates.</w:t>
      </w:r>
    </w:p>
    <w:p>
      <w:pPr>
        <w:spacing w:after="0" w:line="161" w:lineRule="exact"/>
        <w:rPr>
          <w:sz w:val="20"/>
          <w:szCs w:val="20"/>
          <w:color w:val="auto"/>
        </w:rPr>
      </w:pPr>
    </w:p>
    <w:p>
      <w:pPr>
        <w:ind w:left="280" w:right="120"/>
        <w:spacing w:after="0" w:line="258" w:lineRule="auto"/>
        <w:rPr>
          <w:sz w:val="20"/>
          <w:szCs w:val="20"/>
          <w:color w:val="auto"/>
        </w:rPr>
      </w:pPr>
      <w:r>
        <w:rPr>
          <w:rFonts w:ascii="Times New Roman" w:cs="Times New Roman" w:eastAsia="Times New Roman" w:hAnsi="Times New Roman"/>
          <w:sz w:val="16"/>
          <w:szCs w:val="16"/>
          <w:color w:val="auto"/>
        </w:rPr>
        <w:t>The sensitivity of the consolidated statement of income is the effect of the assumed changes in interest rates on the net interest income before income tax and non-controlling interest for one year, based on the floating rate of non-trading financial assets and financial liabilities held at December 31, 2016 and 2015, including the effect of derivative instruments. The sensitivity of Net Economic Value is calculated by revaluing interest rate from available-for-sale fixed income and held to maturity financial assets, before income tax and non-controlling interest, including the effect of any associated hedges, and derivative instruments designated as cash flow hedges. In managing the interest rate risk, no distinction is made by accounting category of the investments comprising the ALM Book, including instruments classified as available for sales and held to maturity investments.</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results of the sensitivity analysis regarding changes in interest rates at December 31, 2016 and 2015 are shown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At December 31, 2016</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7"/>
        </w:trPr>
        <w:tc>
          <w:tcPr>
            <w:tcW w:w="2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Changes in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Sensitivity of net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Sensitivity of</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5180" w:type="dxa"/>
            <w:vAlign w:val="bottom"/>
          </w:tcPr>
          <w:p>
            <w:pPr>
              <w:ind w:left="2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basis points</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economic value</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2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At December 31, 2016</w:t>
            </w:r>
          </w:p>
        </w:tc>
        <w:tc>
          <w:tcPr>
            <w:tcW w:w="1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8,851</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285,263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13,276</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427,895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17,701</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570,526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26,552</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855,790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12,613</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89,476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18,919</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134,214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25,226</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178,952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37,838</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268,428</w:t>
            </w:r>
          </w:p>
        </w:tc>
        <w:tc>
          <w:tcPr>
            <w:tcW w:w="180" w:type="dxa"/>
            <w:vAlign w:val="bottom"/>
          </w:tcPr>
          <w:p>
            <w:pPr>
              <w:spacing w:after="0"/>
              <w:rPr>
                <w:sz w:val="16"/>
                <w:szCs w:val="16"/>
                <w:color w:val="auto"/>
              </w:rPr>
            </w:pPr>
          </w:p>
        </w:tc>
      </w:tr>
      <w:tr>
        <w:trPr>
          <w:trHeight w:val="387"/>
        </w:trPr>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At December 31, 2015</w:t>
            </w:r>
          </w:p>
        </w:tc>
        <w:tc>
          <w:tcPr>
            <w:tcW w:w="1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7"/>
        </w:trPr>
        <w:tc>
          <w:tcPr>
            <w:tcW w:w="2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Changes in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Sensitivity of net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Sensitivity of</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2"/>
        </w:trPr>
        <w:tc>
          <w:tcPr>
            <w:tcW w:w="280" w:type="dxa"/>
            <w:vAlign w:val="bottom"/>
          </w:tcPr>
          <w:p>
            <w:pPr>
              <w:spacing w:after="0"/>
              <w:rPr>
                <w:sz w:val="18"/>
                <w:szCs w:val="18"/>
                <w:color w:val="auto"/>
              </w:rPr>
            </w:pPr>
          </w:p>
        </w:tc>
        <w:tc>
          <w:tcPr>
            <w:tcW w:w="5180" w:type="dxa"/>
            <w:vAlign w:val="bottom"/>
          </w:tcPr>
          <w:p>
            <w:pPr>
              <w:ind w:left="2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basis points</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economic value</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2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At December 31, 2015</w:t>
            </w:r>
          </w:p>
        </w:tc>
        <w:tc>
          <w:tcPr>
            <w:tcW w:w="1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32,781</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238,943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49,172</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358,415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65,563</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477,886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Soles</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98,344</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716,829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4,978</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7,467</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9,956</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w:t>
            </w: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14,934</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150,652</w:t>
            </w:r>
          </w:p>
        </w:tc>
        <w:tc>
          <w:tcPr>
            <w:tcW w:w="180" w:type="dxa"/>
            <w:vAlign w:val="bottom"/>
          </w:tcPr>
          <w:p>
            <w:pPr>
              <w:spacing w:after="0"/>
              <w:rPr>
                <w:sz w:val="16"/>
                <w:szCs w:val="16"/>
                <w:color w:val="auto"/>
              </w:rPr>
            </w:pPr>
          </w:p>
        </w:tc>
      </w:tr>
      <w:tr>
        <w:trPr>
          <w:trHeight w:val="580"/>
        </w:trPr>
        <w:tc>
          <w:tcPr>
            <w:tcW w:w="2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- 135 -</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4" w:right="219" w:bottom="1440" w:gutter="0" w:footer="0" w:header="0"/>
        </w:sectPr>
      </w:pPr>
    </w:p>
    <w:bookmarkStart w:id="134" w:name="page135"/>
    <w:bookmarkEnd w:id="134"/>
    <w:p>
      <w:pPr>
        <w:ind w:left="283" w:right="60"/>
        <w:spacing w:after="0" w:line="258" w:lineRule="auto"/>
        <w:rPr>
          <w:sz w:val="20"/>
          <w:szCs w:val="20"/>
          <w:color w:val="auto"/>
        </w:rPr>
      </w:pPr>
      <w:r>
        <w:rPr>
          <w:rFonts w:ascii="Times New Roman" w:cs="Times New Roman" w:eastAsia="Times New Roman" w:hAnsi="Times New Roman"/>
          <w:sz w:val="16"/>
          <w:szCs w:val="16"/>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167" w:lineRule="exact"/>
        <w:rPr>
          <w:sz w:val="20"/>
          <w:szCs w:val="20"/>
          <w:color w:val="auto"/>
        </w:rPr>
      </w:pPr>
    </w:p>
    <w:p>
      <w:pPr>
        <w:jc w:val="both"/>
        <w:ind w:left="283" w:right="100"/>
        <w:spacing w:after="0" w:line="268" w:lineRule="auto"/>
        <w:rPr>
          <w:sz w:val="20"/>
          <w:szCs w:val="20"/>
          <w:color w:val="auto"/>
        </w:rPr>
      </w:pPr>
      <w:r>
        <w:rPr>
          <w:rFonts w:ascii="Times New Roman" w:cs="Times New Roman" w:eastAsia="Times New Roman" w:hAnsi="Times New Roman"/>
          <w:sz w:val="16"/>
          <w:szCs w:val="16"/>
          <w:color w:val="auto"/>
        </w:rPr>
        <w:t>Equity securities, mutual funds and hedge funds are not considered as part of the investment securities for interest rate sensitivity calculation purposes; however, a 10, 25 and 30 percent of changes in market prices is conducted to these price-sensitivity securities and the effect on expected unrealized gain or loss in comprehensive income, before income tax, as of December 31, 2015 and 2014 is presented below.</w:t>
      </w:r>
    </w:p>
    <w:p>
      <w:pPr>
        <w:spacing w:after="0" w:line="155"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Market price sensitivity</w:t>
            </w: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 in market</w:t>
            </w: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8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3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+/-10</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130,750</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149,449</w:t>
            </w:r>
          </w:p>
        </w:tc>
      </w:tr>
      <w:tr>
        <w:trPr>
          <w:trHeight w:val="19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3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+/-25</w:t>
            </w:r>
          </w:p>
        </w:tc>
        <w:tc>
          <w:tcPr>
            <w:tcW w:w="19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326,875</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363,023</w:t>
            </w: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3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+/-30</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392,250</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436,348</w:t>
            </w:r>
          </w:p>
        </w:tc>
      </w:tr>
      <w:tr>
        <w:trPr>
          <w:trHeight w:val="19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3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+/-10</w:t>
            </w:r>
          </w:p>
        </w:tc>
        <w:tc>
          <w:tcPr>
            <w:tcW w:w="19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29,234</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16,085</w:t>
            </w: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3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+/-25</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73,085</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40,212</w:t>
            </w:r>
          </w:p>
        </w:tc>
      </w:tr>
      <w:tr>
        <w:trPr>
          <w:trHeight w:val="19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3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+/-30</w:t>
            </w:r>
          </w:p>
        </w:tc>
        <w:tc>
          <w:tcPr>
            <w:tcW w:w="19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87,701</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48,254</w:t>
            </w: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Hedge funds</w:t>
            </w:r>
          </w:p>
        </w:tc>
        <w:tc>
          <w:tcPr>
            <w:tcW w:w="3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+/-10</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110</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13,319</w:t>
            </w:r>
          </w:p>
        </w:tc>
      </w:tr>
      <w:tr>
        <w:trPr>
          <w:trHeight w:val="19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Hedge funds</w:t>
            </w:r>
          </w:p>
        </w:tc>
        <w:tc>
          <w:tcPr>
            <w:tcW w:w="3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+/-25</w:t>
            </w:r>
          </w:p>
        </w:tc>
        <w:tc>
          <w:tcPr>
            <w:tcW w:w="19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274</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33,299</w:t>
            </w: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Hedge funds</w:t>
            </w:r>
          </w:p>
        </w:tc>
        <w:tc>
          <w:tcPr>
            <w:tcW w:w="3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+/-30</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329</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39,958</w:t>
            </w:r>
          </w:p>
        </w:tc>
      </w:tr>
    </w:tbl>
    <w:p>
      <w:pPr>
        <w:spacing w:after="0" w:line="177" w:lineRule="exact"/>
        <w:rPr>
          <w:sz w:val="20"/>
          <w:szCs w:val="20"/>
          <w:color w:val="auto"/>
        </w:rPr>
      </w:pPr>
    </w:p>
    <w:p>
      <w:pPr>
        <w:jc w:val="both"/>
        <w:ind w:left="283" w:right="140"/>
        <w:spacing w:after="0" w:line="285" w:lineRule="auto"/>
        <w:rPr>
          <w:sz w:val="20"/>
          <w:szCs w:val="20"/>
          <w:color w:val="auto"/>
        </w:rPr>
      </w:pPr>
      <w:r>
        <w:rPr>
          <w:rFonts w:ascii="Times New Roman" w:cs="Times New Roman" w:eastAsia="Times New Roman" w:hAnsi="Times New Roman"/>
          <w:sz w:val="16"/>
          <w:szCs w:val="16"/>
          <w:color w:val="auto"/>
        </w:rPr>
        <w:t>Commitments in liabilities at fair value (short sales) are related to fixed income and equity financial instruments, and have maturities of one month or less, therefore, the Group expects minimal price fluctuations. As a result, the Group is not subject to significant price risk on these financial liabilities.</w:t>
      </w:r>
    </w:p>
    <w:p>
      <w:pPr>
        <w:spacing w:after="0" w:line="143" w:lineRule="exact"/>
        <w:rPr>
          <w:sz w:val="20"/>
          <w:szCs w:val="20"/>
          <w:color w:val="auto"/>
        </w:rPr>
      </w:pPr>
    </w:p>
    <w:p>
      <w:pPr>
        <w:ind w:left="283" w:hanging="283"/>
        <w:spacing w:after="0"/>
        <w:tabs>
          <w:tab w:leader="none" w:pos="283"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risk -</w:t>
      </w:r>
    </w:p>
    <w:p>
      <w:pPr>
        <w:spacing w:after="0" w:line="202" w:lineRule="exact"/>
        <w:rPr>
          <w:rFonts w:ascii="Times New Roman" w:cs="Times New Roman" w:eastAsia="Times New Roman" w:hAnsi="Times New Roman"/>
          <w:sz w:val="16"/>
          <w:szCs w:val="16"/>
          <w:color w:val="auto"/>
        </w:rPr>
      </w:pPr>
    </w:p>
    <w:p>
      <w:pPr>
        <w:ind w:left="283"/>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336" w:lineRule="exact"/>
        <w:rPr>
          <w:rFonts w:ascii="Times New Roman" w:cs="Times New Roman" w:eastAsia="Times New Roman" w:hAnsi="Times New Roman"/>
          <w:sz w:val="16"/>
          <w:szCs w:val="16"/>
          <w:color w:val="auto"/>
        </w:rPr>
      </w:pPr>
    </w:p>
    <w:p>
      <w:pPr>
        <w:ind w:left="5603" w:hanging="95"/>
        <w:spacing w:after="0"/>
        <w:tabs>
          <w:tab w:leader="none" w:pos="5603"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03"/>
          </w:cols>
          <w:pgMar w:left="237" w:top="824" w:right="359" w:bottom="1440" w:gutter="0" w:footer="0" w:header="0"/>
        </w:sectPr>
      </w:pPr>
    </w:p>
    <w:bookmarkStart w:id="135" w:name="page136"/>
    <w:bookmarkEnd w:id="135"/>
    <w:p>
      <w:pPr>
        <w:ind w:right="240"/>
        <w:spacing w:after="0" w:line="285" w:lineRule="auto"/>
        <w:rPr>
          <w:sz w:val="20"/>
          <w:szCs w:val="20"/>
          <w:color w:val="auto"/>
        </w:rPr>
      </w:pPr>
      <w:r>
        <w:rPr>
          <w:rFonts w:ascii="Times New Roman" w:cs="Times New Roman" w:eastAsia="Times New Roman" w:hAnsi="Times New Roman"/>
          <w:sz w:val="16"/>
          <w:szCs w:val="16"/>
          <w:color w:val="auto"/>
        </w:rPr>
        <w:t>Foreign currency transactions are made at the free market exchange rates of the countries where Credicorp’s Subsidiaries are established. As of December 31, 2016 and 2015, the Group’s assets and liabilities by currencies were as follows:</w:t>
      </w:r>
    </w:p>
    <w:p>
      <w:pPr>
        <w:spacing w:after="0" w:line="150" w:lineRule="exact"/>
        <w:rPr>
          <w:sz w:val="20"/>
          <w:szCs w:val="20"/>
          <w:color w:val="auto"/>
        </w:rPr>
      </w:pPr>
    </w:p>
    <w:tbl>
      <w:tblPr>
        <w:tblLayout w:type="fixed"/>
        <w:tblInd w:w="3320" w:type="dxa"/>
        <w:tblCellMar>
          <w:top w:w="0" w:type="dxa"/>
          <w:left w:w="0" w:type="dxa"/>
          <w:bottom w:w="0" w:type="dxa"/>
          <w:right w:w="0" w:type="dxa"/>
        </w:tblCellMar>
      </w:tblPr>
      <w:tr>
        <w:trPr>
          <w:trHeight w:val="155"/>
        </w:trPr>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At December 31, 2016</w:t>
            </w: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At December 31, 2015</w:t>
            </w: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Soles</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U.S. Dollar</w:t>
            </w:r>
          </w:p>
        </w:tc>
        <w:tc>
          <w:tcPr>
            <w:tcW w:w="106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Soles</w:t>
            </w:r>
          </w:p>
        </w:tc>
        <w:tc>
          <w:tcPr>
            <w:tcW w:w="1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U.S. Dollar</w:t>
            </w:r>
          </w:p>
        </w:tc>
        <w:tc>
          <w:tcPr>
            <w:tcW w:w="1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0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currencies</w:t>
            </w:r>
          </w:p>
        </w:tc>
        <w:tc>
          <w:tcPr>
            <w:tcW w:w="8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currencies</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40" w:type="dxa"/>
            <w:vAlign w:val="bottom"/>
          </w:tcPr>
          <w:p>
            <w:pPr>
              <w:spacing w:after="0"/>
              <w:rPr>
                <w:sz w:val="10"/>
                <w:szCs w:val="10"/>
                <w:color w:val="auto"/>
              </w:rPr>
            </w:pPr>
          </w:p>
        </w:tc>
        <w:tc>
          <w:tcPr>
            <w:tcW w:w="8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3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Monetary assets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Cash and due from banks</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2,675,238</w:t>
            </w:r>
          </w:p>
        </w:tc>
        <w:tc>
          <w:tcPr>
            <w:tcW w:w="104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12,131,203</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1,839,328</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16,645,769</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2,629,447</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18,133,335</w:t>
            </w:r>
          </w:p>
        </w:tc>
        <w:tc>
          <w:tcPr>
            <w:tcW w:w="1000" w:type="dxa"/>
            <w:vAlign w:val="bottom"/>
            <w:gridSpan w:val="2"/>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1,628,962</w:t>
            </w:r>
          </w:p>
        </w:tc>
        <w:tc>
          <w:tcPr>
            <w:tcW w:w="9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22,391,744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Cash collateral, reverse repurchase agreements and securities</w:t>
            </w:r>
          </w:p>
        </w:tc>
        <w:tc>
          <w:tcPr>
            <w:tcW w:w="1060" w:type="dxa"/>
            <w:vAlign w:val="bottom"/>
            <w:gridSpan w:val="2"/>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4,021</w:t>
            </w:r>
          </w:p>
        </w:tc>
        <w:tc>
          <w:tcPr>
            <w:tcW w:w="1040" w:type="dxa"/>
            <w:vAlign w:val="bottom"/>
            <w:gridSpan w:val="2"/>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10,621,045</w:t>
            </w:r>
          </w:p>
        </w:tc>
        <w:tc>
          <w:tcPr>
            <w:tcW w:w="1060" w:type="dxa"/>
            <w:vAlign w:val="bottom"/>
            <w:gridSpan w:val="2"/>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294,558</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10,919,624</w:t>
            </w:r>
          </w:p>
        </w:tc>
        <w:tc>
          <w:tcPr>
            <w:tcW w:w="22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rPr>
              <w:t>10,080,794</w:t>
            </w:r>
          </w:p>
        </w:tc>
        <w:tc>
          <w:tcPr>
            <w:tcW w:w="1000" w:type="dxa"/>
            <w:vAlign w:val="bottom"/>
            <w:gridSpan w:val="2"/>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945,904</w:t>
            </w:r>
          </w:p>
        </w:tc>
        <w:tc>
          <w:tcPr>
            <w:tcW w:w="920" w:type="dxa"/>
            <w:vAlign w:val="bottom"/>
            <w:gridSpan w:val="2"/>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11,026,698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borrowings Borrowings</w:t>
            </w:r>
          </w:p>
        </w:tc>
        <w:tc>
          <w:tcPr>
            <w:tcW w:w="106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Trading securities</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2,433,444</w:t>
            </w:r>
          </w:p>
        </w:tc>
        <w:tc>
          <w:tcPr>
            <w:tcW w:w="104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172,999</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1,408,576</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4,015,019</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1,437,617</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199,438</w:t>
            </w:r>
          </w:p>
        </w:tc>
        <w:tc>
          <w:tcPr>
            <w:tcW w:w="1000" w:type="dxa"/>
            <w:vAlign w:val="bottom"/>
            <w:gridSpan w:val="2"/>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686,042</w:t>
            </w:r>
          </w:p>
        </w:tc>
        <w:tc>
          <w:tcPr>
            <w:tcW w:w="9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2,323,097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Available-for-sale investments</w:t>
            </w:r>
          </w:p>
        </w:tc>
        <w:tc>
          <w:tcPr>
            <w:tcW w:w="106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8,326,735</w:t>
            </w:r>
          </w:p>
        </w:tc>
        <w:tc>
          <w:tcPr>
            <w:tcW w:w="104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7,301,306</w:t>
            </w:r>
          </w:p>
        </w:tc>
        <w:tc>
          <w:tcPr>
            <w:tcW w:w="106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367,248</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15,995,289</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7,835,615</w:t>
            </w:r>
          </w:p>
        </w:tc>
        <w:tc>
          <w:tcPr>
            <w:tcW w:w="10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8,924,280</w:t>
            </w:r>
          </w:p>
        </w:tc>
        <w:tc>
          <w:tcPr>
            <w:tcW w:w="1000" w:type="dxa"/>
            <w:vAlign w:val="bottom"/>
            <w:gridSpan w:val="2"/>
            <w:shd w:val="clear" w:color="auto" w:fill="CCEEFF"/>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629,409</w:t>
            </w:r>
          </w:p>
        </w:tc>
        <w:tc>
          <w:tcPr>
            <w:tcW w:w="9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17,389,304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Held-to-maturity investments</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4,102,739</w:t>
            </w:r>
          </w:p>
        </w:tc>
        <w:tc>
          <w:tcPr>
            <w:tcW w:w="104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1,015,681</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5,118,420</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2,872,865</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709,264</w:t>
            </w:r>
          </w:p>
        </w:tc>
        <w:tc>
          <w:tcPr>
            <w:tcW w:w="1000" w:type="dxa"/>
            <w:vAlign w:val="bottom"/>
            <w:gridSpan w:val="2"/>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3,582,129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Loans, net</w:t>
            </w:r>
          </w:p>
        </w:tc>
        <w:tc>
          <w:tcPr>
            <w:tcW w:w="106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53,118,275</w:t>
            </w:r>
          </w:p>
        </w:tc>
        <w:tc>
          <w:tcPr>
            <w:tcW w:w="104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32,215,401</w:t>
            </w:r>
          </w:p>
        </w:tc>
        <w:tc>
          <w:tcPr>
            <w:tcW w:w="106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5,228,092</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90,561,768</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51,525,096</w:t>
            </w:r>
          </w:p>
        </w:tc>
        <w:tc>
          <w:tcPr>
            <w:tcW w:w="10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30,358,072</w:t>
            </w:r>
          </w:p>
        </w:tc>
        <w:tc>
          <w:tcPr>
            <w:tcW w:w="1000" w:type="dxa"/>
            <w:vAlign w:val="bottom"/>
            <w:gridSpan w:val="2"/>
            <w:shd w:val="clear" w:color="auto" w:fill="CCEEFF"/>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4,604,993</w:t>
            </w:r>
          </w:p>
        </w:tc>
        <w:tc>
          <w:tcPr>
            <w:tcW w:w="9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86,488,161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Financial assets at fair value through profit or loss</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85,333</w:t>
            </w:r>
          </w:p>
        </w:tc>
        <w:tc>
          <w:tcPr>
            <w:tcW w:w="104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373,766</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459,099</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52,369</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297,959</w:t>
            </w:r>
          </w:p>
        </w:tc>
        <w:tc>
          <w:tcPr>
            <w:tcW w:w="1000" w:type="dxa"/>
            <w:vAlign w:val="bottom"/>
            <w:gridSpan w:val="2"/>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350,328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 assets</w:t>
            </w:r>
          </w:p>
        </w:tc>
        <w:tc>
          <w:tcPr>
            <w:tcW w:w="1060" w:type="dxa"/>
            <w:vAlign w:val="bottom"/>
            <w:gridSpan w:val="2"/>
            <w:shd w:val="clear" w:color="auto" w:fill="CCEEFF"/>
          </w:tcPr>
          <w:p>
            <w:pPr>
              <w:jc w:val="right"/>
              <w:ind w:right="202"/>
              <w:spacing w:after="0" w:line="145" w:lineRule="exact"/>
              <w:rPr>
                <w:sz w:val="20"/>
                <w:szCs w:val="20"/>
                <w:color w:val="auto"/>
              </w:rPr>
            </w:pPr>
            <w:r>
              <w:rPr>
                <w:rFonts w:ascii="Times New Roman" w:cs="Times New Roman" w:eastAsia="Times New Roman" w:hAnsi="Times New Roman"/>
                <w:sz w:val="13"/>
                <w:szCs w:val="13"/>
                <w:color w:val="auto"/>
              </w:rPr>
              <w:t>1,456,407</w:t>
            </w:r>
          </w:p>
        </w:tc>
        <w:tc>
          <w:tcPr>
            <w:tcW w:w="1040" w:type="dxa"/>
            <w:vAlign w:val="bottom"/>
            <w:gridSpan w:val="2"/>
            <w:shd w:val="clear" w:color="auto" w:fill="CCEEFF"/>
          </w:tcPr>
          <w:p>
            <w:pPr>
              <w:jc w:val="right"/>
              <w:ind w:right="202"/>
              <w:spacing w:after="0" w:line="145" w:lineRule="exact"/>
              <w:rPr>
                <w:sz w:val="20"/>
                <w:szCs w:val="20"/>
                <w:color w:val="auto"/>
              </w:rPr>
            </w:pPr>
            <w:r>
              <w:rPr>
                <w:rFonts w:ascii="Times New Roman" w:cs="Times New Roman" w:eastAsia="Times New Roman" w:hAnsi="Times New Roman"/>
                <w:sz w:val="13"/>
                <w:szCs w:val="13"/>
                <w:color w:val="auto"/>
              </w:rPr>
              <w:t>1,993,385</w:t>
            </w:r>
          </w:p>
        </w:tc>
        <w:tc>
          <w:tcPr>
            <w:tcW w:w="1060" w:type="dxa"/>
            <w:vAlign w:val="bottom"/>
            <w:gridSpan w:val="2"/>
            <w:shd w:val="clear" w:color="auto" w:fill="CCEEFF"/>
          </w:tcPr>
          <w:p>
            <w:pPr>
              <w:jc w:val="right"/>
              <w:ind w:right="202"/>
              <w:spacing w:after="0" w:line="145" w:lineRule="exact"/>
              <w:rPr>
                <w:sz w:val="20"/>
                <w:szCs w:val="20"/>
                <w:color w:val="auto"/>
              </w:rPr>
            </w:pPr>
            <w:r>
              <w:rPr>
                <w:rFonts w:ascii="Times New Roman" w:cs="Times New Roman" w:eastAsia="Times New Roman" w:hAnsi="Times New Roman"/>
                <w:sz w:val="13"/>
                <w:szCs w:val="13"/>
                <w:color w:val="auto"/>
              </w:rPr>
              <w:t>538,039</w:t>
            </w:r>
          </w:p>
        </w:tc>
        <w:tc>
          <w:tcPr>
            <w:tcW w:w="8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3,987,831</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2"/>
              <w:spacing w:after="0" w:line="145" w:lineRule="exact"/>
              <w:rPr>
                <w:sz w:val="20"/>
                <w:szCs w:val="20"/>
                <w:color w:val="auto"/>
              </w:rPr>
            </w:pPr>
            <w:r>
              <w:rPr>
                <w:rFonts w:ascii="Times New Roman" w:cs="Times New Roman" w:eastAsia="Times New Roman" w:hAnsi="Times New Roman"/>
                <w:sz w:val="13"/>
                <w:szCs w:val="13"/>
                <w:color w:val="auto"/>
              </w:rPr>
              <w:t>1,626,686</w:t>
            </w:r>
          </w:p>
        </w:tc>
        <w:tc>
          <w:tcPr>
            <w:tcW w:w="1000" w:type="dxa"/>
            <w:vAlign w:val="bottom"/>
            <w:gridSpan w:val="2"/>
            <w:shd w:val="clear" w:color="auto" w:fill="CCEEFF"/>
          </w:tcPr>
          <w:p>
            <w:pPr>
              <w:jc w:val="right"/>
              <w:ind w:right="182"/>
              <w:spacing w:after="0" w:line="145" w:lineRule="exact"/>
              <w:rPr>
                <w:sz w:val="20"/>
                <w:szCs w:val="20"/>
                <w:color w:val="auto"/>
              </w:rPr>
            </w:pPr>
            <w:r>
              <w:rPr>
                <w:rFonts w:ascii="Times New Roman" w:cs="Times New Roman" w:eastAsia="Times New Roman" w:hAnsi="Times New Roman"/>
                <w:sz w:val="13"/>
                <w:szCs w:val="13"/>
                <w:color w:val="auto"/>
              </w:rPr>
              <w:t>2,059,415</w:t>
            </w:r>
          </w:p>
        </w:tc>
        <w:tc>
          <w:tcPr>
            <w:tcW w:w="1000" w:type="dxa"/>
            <w:vAlign w:val="bottom"/>
            <w:gridSpan w:val="2"/>
            <w:shd w:val="clear" w:color="auto" w:fill="CCEEFF"/>
          </w:tcPr>
          <w:p>
            <w:pPr>
              <w:jc w:val="right"/>
              <w:ind w:right="156"/>
              <w:spacing w:after="0" w:line="145" w:lineRule="exact"/>
              <w:rPr>
                <w:sz w:val="20"/>
                <w:szCs w:val="20"/>
                <w:color w:val="auto"/>
              </w:rPr>
            </w:pPr>
            <w:r>
              <w:rPr>
                <w:rFonts w:ascii="Times New Roman" w:cs="Times New Roman" w:eastAsia="Times New Roman" w:hAnsi="Times New Roman"/>
                <w:sz w:val="13"/>
                <w:szCs w:val="13"/>
                <w:color w:val="auto"/>
              </w:rPr>
              <w:t>509,557</w:t>
            </w:r>
          </w:p>
        </w:tc>
        <w:tc>
          <w:tcPr>
            <w:tcW w:w="920" w:type="dxa"/>
            <w:vAlign w:val="bottom"/>
            <w:gridSpan w:val="2"/>
            <w:shd w:val="clear" w:color="auto" w:fill="CCEEFF"/>
          </w:tcPr>
          <w:p>
            <w:pPr>
              <w:jc w:val="right"/>
              <w:ind w:right="82"/>
              <w:spacing w:after="0" w:line="145" w:lineRule="exact"/>
              <w:rPr>
                <w:sz w:val="20"/>
                <w:szCs w:val="20"/>
                <w:color w:val="auto"/>
              </w:rPr>
            </w:pPr>
            <w:r>
              <w:rPr>
                <w:rFonts w:ascii="Times New Roman" w:cs="Times New Roman" w:eastAsia="Times New Roman" w:hAnsi="Times New Roman"/>
                <w:sz w:val="13"/>
                <w:szCs w:val="13"/>
                <w:color w:val="auto"/>
              </w:rPr>
              <w:t>4,195,658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72,202,192</w:t>
            </w:r>
          </w:p>
        </w:tc>
        <w:tc>
          <w:tcPr>
            <w:tcW w:w="2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65,824,786</w:t>
            </w:r>
          </w:p>
        </w:tc>
        <w:tc>
          <w:tcPr>
            <w:tcW w:w="24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9,675,841</w:t>
            </w:r>
          </w:p>
        </w:tc>
        <w:tc>
          <w:tcPr>
            <w:tcW w:w="24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147,702,819</w:t>
            </w:r>
          </w:p>
        </w:tc>
        <w:tc>
          <w:tcPr>
            <w:tcW w:w="22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67,979,695</w:t>
            </w:r>
          </w:p>
        </w:tc>
        <w:tc>
          <w:tcPr>
            <w:tcW w:w="22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70,762,557</w:t>
            </w:r>
          </w:p>
        </w:tc>
        <w:tc>
          <w:tcPr>
            <w:tcW w:w="22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9,004,867</w:t>
            </w:r>
          </w:p>
        </w:tc>
        <w:tc>
          <w:tcPr>
            <w:tcW w:w="22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147,747,119</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Monetary liabilities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Deposits and obligations</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(37,468,123)</w:t>
            </w:r>
          </w:p>
        </w:tc>
        <w:tc>
          <w:tcPr>
            <w:tcW w:w="10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(41,514,198)</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(6,934,066)</w:t>
            </w:r>
          </w:p>
        </w:tc>
        <w:tc>
          <w:tcPr>
            <w:tcW w:w="104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(85,916,387)</w:t>
            </w:r>
          </w:p>
        </w:tc>
        <w:tc>
          <w:tcPr>
            <w:tcW w:w="10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(36,446,886)</w:t>
            </w:r>
          </w:p>
        </w:tc>
        <w:tc>
          <w:tcPr>
            <w:tcW w:w="10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(45,696,802)</w:t>
            </w:r>
          </w:p>
        </w:tc>
        <w:tc>
          <w:tcPr>
            <w:tcW w:w="1000" w:type="dxa"/>
            <w:vAlign w:val="bottom"/>
            <w:gridSpan w:val="2"/>
            <w:shd w:val="clear" w:color="auto" w:fill="CCEEFF"/>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(6,462,945)</w:t>
            </w:r>
          </w:p>
        </w:tc>
        <w:tc>
          <w:tcPr>
            <w:tcW w:w="920" w:type="dxa"/>
            <w:vAlign w:val="bottom"/>
            <w:gridSpan w:val="2"/>
            <w:shd w:val="clear" w:color="auto" w:fill="CCEEFF"/>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(88,606,633)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Payables from repurchase agreements and security Lendings</w:t>
            </w:r>
          </w:p>
        </w:tc>
        <w:tc>
          <w:tcPr>
            <w:tcW w:w="106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(12,522,337)</w:t>
            </w:r>
          </w:p>
        </w:tc>
        <w:tc>
          <w:tcPr>
            <w:tcW w:w="10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(1,313,163)</w:t>
            </w:r>
          </w:p>
        </w:tc>
        <w:tc>
          <w:tcPr>
            <w:tcW w:w="106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(1,292,499)</w:t>
            </w:r>
          </w:p>
        </w:tc>
        <w:tc>
          <w:tcPr>
            <w:tcW w:w="104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(15,127,999)</w:t>
            </w:r>
          </w:p>
        </w:tc>
        <w:tc>
          <w:tcPr>
            <w:tcW w:w="10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(11,673,446)</w:t>
            </w:r>
          </w:p>
        </w:tc>
        <w:tc>
          <w:tcPr>
            <w:tcW w:w="10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(1,503,347)</w:t>
            </w:r>
          </w:p>
        </w:tc>
        <w:tc>
          <w:tcPr>
            <w:tcW w:w="1000" w:type="dxa"/>
            <w:vAlign w:val="bottom"/>
            <w:gridSpan w:val="2"/>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(1,422,957)</w:t>
            </w:r>
          </w:p>
        </w:tc>
        <w:tc>
          <w:tcPr>
            <w:tcW w:w="920" w:type="dxa"/>
            <w:vAlign w:val="bottom"/>
            <w:gridSpan w:val="2"/>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(14,599,750)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Due to bank and correspondents</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(2,630,256)</w:t>
            </w:r>
          </w:p>
        </w:tc>
        <w:tc>
          <w:tcPr>
            <w:tcW w:w="10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(4,644,838)</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(218,822)</w:t>
            </w:r>
          </w:p>
        </w:tc>
        <w:tc>
          <w:tcPr>
            <w:tcW w:w="1040" w:type="dxa"/>
            <w:vAlign w:val="bottom"/>
            <w:gridSpan w:val="2"/>
            <w:shd w:val="clear" w:color="auto" w:fill="CCEEFF"/>
          </w:tcPr>
          <w:p>
            <w:pPr>
              <w:jc w:val="right"/>
              <w:ind w:right="102"/>
              <w:spacing w:after="0" w:line="133" w:lineRule="exact"/>
              <w:rPr>
                <w:sz w:val="20"/>
                <w:szCs w:val="20"/>
                <w:color w:val="auto"/>
              </w:rPr>
            </w:pPr>
            <w:r>
              <w:rPr>
                <w:rFonts w:ascii="Times New Roman" w:cs="Times New Roman" w:eastAsia="Times New Roman" w:hAnsi="Times New Roman"/>
                <w:sz w:val="13"/>
                <w:szCs w:val="13"/>
                <w:color w:val="auto"/>
              </w:rPr>
              <w:t>(7,493,916))</w:t>
            </w:r>
          </w:p>
        </w:tc>
        <w:tc>
          <w:tcPr>
            <w:tcW w:w="10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(2,379,021)</w:t>
            </w:r>
          </w:p>
        </w:tc>
        <w:tc>
          <w:tcPr>
            <w:tcW w:w="10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(5,184,659)</w:t>
            </w:r>
          </w:p>
        </w:tc>
        <w:tc>
          <w:tcPr>
            <w:tcW w:w="1000" w:type="dxa"/>
            <w:vAlign w:val="bottom"/>
            <w:gridSpan w:val="2"/>
            <w:shd w:val="clear" w:color="auto" w:fill="CCEEFF"/>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(198,817)</w:t>
            </w:r>
          </w:p>
        </w:tc>
        <w:tc>
          <w:tcPr>
            <w:tcW w:w="920" w:type="dxa"/>
            <w:vAlign w:val="bottom"/>
            <w:gridSpan w:val="2"/>
            <w:shd w:val="clear" w:color="auto" w:fill="CCEEFF"/>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(7,762,497)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Financial liabilities at fair value through profit or loss</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(6,052)</w:t>
            </w:r>
          </w:p>
        </w:tc>
        <w:tc>
          <w:tcPr>
            <w:tcW w:w="106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(203,468)</w:t>
            </w:r>
          </w:p>
        </w:tc>
        <w:tc>
          <w:tcPr>
            <w:tcW w:w="104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(209,520)</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(47,737)</w:t>
            </w:r>
          </w:p>
        </w:tc>
        <w:tc>
          <w:tcPr>
            <w:tcW w:w="1000" w:type="dxa"/>
            <w:vAlign w:val="bottom"/>
            <w:gridSpan w:val="2"/>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(47,737)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Insurance claims reserves and technical reserves not general</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(3,134,680)</w:t>
            </w:r>
          </w:p>
        </w:tc>
        <w:tc>
          <w:tcPr>
            <w:tcW w:w="10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(3,650,466)</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(1,043)</w:t>
            </w:r>
          </w:p>
        </w:tc>
        <w:tc>
          <w:tcPr>
            <w:tcW w:w="104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(6,786,189)</w:t>
            </w:r>
          </w:p>
        </w:tc>
        <w:tc>
          <w:tcPr>
            <w:tcW w:w="10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(2,699,351)</w:t>
            </w:r>
          </w:p>
        </w:tc>
        <w:tc>
          <w:tcPr>
            <w:tcW w:w="10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(3,661,014)</w:t>
            </w:r>
          </w:p>
        </w:tc>
        <w:tc>
          <w:tcPr>
            <w:tcW w:w="1000" w:type="dxa"/>
            <w:vAlign w:val="bottom"/>
            <w:gridSpan w:val="2"/>
            <w:shd w:val="clear" w:color="auto" w:fill="CCEEFF"/>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(1,263)</w:t>
            </w:r>
          </w:p>
        </w:tc>
        <w:tc>
          <w:tcPr>
            <w:tcW w:w="920" w:type="dxa"/>
            <w:vAlign w:val="bottom"/>
            <w:gridSpan w:val="2"/>
            <w:shd w:val="clear" w:color="auto" w:fill="CCEEFF"/>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(6,361,628)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Bonds and notes issued</w:t>
            </w:r>
          </w:p>
        </w:tc>
        <w:tc>
          <w:tcPr>
            <w:tcW w:w="106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(2,544,031)</w:t>
            </w:r>
          </w:p>
        </w:tc>
        <w:tc>
          <w:tcPr>
            <w:tcW w:w="10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(13,291,371)</w:t>
            </w:r>
          </w:p>
        </w:tc>
        <w:tc>
          <w:tcPr>
            <w:tcW w:w="106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(104,201)</w:t>
            </w:r>
          </w:p>
        </w:tc>
        <w:tc>
          <w:tcPr>
            <w:tcW w:w="104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(15,939,603)</w:t>
            </w:r>
          </w:p>
        </w:tc>
        <w:tc>
          <w:tcPr>
            <w:tcW w:w="10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(2,171,074)</w:t>
            </w:r>
          </w:p>
        </w:tc>
        <w:tc>
          <w:tcPr>
            <w:tcW w:w="10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(14,010,489)</w:t>
            </w:r>
          </w:p>
        </w:tc>
        <w:tc>
          <w:tcPr>
            <w:tcW w:w="1000" w:type="dxa"/>
            <w:vAlign w:val="bottom"/>
            <w:gridSpan w:val="2"/>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(106,399)</w:t>
            </w:r>
          </w:p>
        </w:tc>
        <w:tc>
          <w:tcPr>
            <w:tcW w:w="920" w:type="dxa"/>
            <w:vAlign w:val="bottom"/>
            <w:gridSpan w:val="2"/>
          </w:tcPr>
          <w:p>
            <w:pPr>
              <w:jc w:val="right"/>
              <w:ind w:right="42"/>
              <w:spacing w:after="0" w:line="133" w:lineRule="exact"/>
              <w:rPr>
                <w:sz w:val="20"/>
                <w:szCs w:val="20"/>
                <w:color w:val="auto"/>
              </w:rPr>
            </w:pPr>
            <w:r>
              <w:rPr>
                <w:rFonts w:ascii="Times New Roman" w:cs="Times New Roman" w:eastAsia="Times New Roman" w:hAnsi="Times New Roman"/>
                <w:sz w:val="13"/>
                <w:szCs w:val="13"/>
                <w:color w:val="auto"/>
              </w:rPr>
              <w:t>(16,287,962)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 liabilities</w:t>
            </w:r>
          </w:p>
        </w:tc>
        <w:tc>
          <w:tcPr>
            <w:tcW w:w="1060" w:type="dxa"/>
            <w:vAlign w:val="bottom"/>
            <w:gridSpan w:val="2"/>
            <w:shd w:val="clear" w:color="auto" w:fill="CCEEFF"/>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(2,434,407)</w:t>
            </w:r>
          </w:p>
        </w:tc>
        <w:tc>
          <w:tcPr>
            <w:tcW w:w="1040" w:type="dxa"/>
            <w:vAlign w:val="bottom"/>
            <w:gridSpan w:val="2"/>
            <w:shd w:val="clear" w:color="auto" w:fill="CCEEFF"/>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(1,492,911)</w:t>
            </w:r>
          </w:p>
        </w:tc>
        <w:tc>
          <w:tcPr>
            <w:tcW w:w="1060" w:type="dxa"/>
            <w:vAlign w:val="bottom"/>
            <w:gridSpan w:val="2"/>
            <w:shd w:val="clear" w:color="auto" w:fill="CCEEFF"/>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(917,779)</w:t>
            </w:r>
          </w:p>
        </w:tc>
        <w:tc>
          <w:tcPr>
            <w:tcW w:w="104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(4,845,097)</w:t>
            </w:r>
          </w:p>
        </w:tc>
        <w:tc>
          <w:tcPr>
            <w:tcW w:w="100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(2,942,934)</w:t>
            </w:r>
          </w:p>
        </w:tc>
        <w:tc>
          <w:tcPr>
            <w:tcW w:w="1000" w:type="dxa"/>
            <w:vAlign w:val="bottom"/>
            <w:gridSpan w:val="2"/>
            <w:shd w:val="clear" w:color="auto" w:fill="CCEEFF"/>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(1,510,666)</w:t>
            </w:r>
          </w:p>
        </w:tc>
        <w:tc>
          <w:tcPr>
            <w:tcW w:w="1000" w:type="dxa"/>
            <w:vAlign w:val="bottom"/>
            <w:gridSpan w:val="2"/>
            <w:shd w:val="clear" w:color="auto" w:fill="CCEEFF"/>
          </w:tcPr>
          <w:p>
            <w:pPr>
              <w:jc w:val="right"/>
              <w:ind w:right="96"/>
              <w:spacing w:after="0" w:line="145" w:lineRule="exact"/>
              <w:rPr>
                <w:sz w:val="20"/>
                <w:szCs w:val="20"/>
                <w:color w:val="auto"/>
              </w:rPr>
            </w:pPr>
            <w:r>
              <w:rPr>
                <w:rFonts w:ascii="Times New Roman" w:cs="Times New Roman" w:eastAsia="Times New Roman" w:hAnsi="Times New Roman"/>
                <w:sz w:val="13"/>
                <w:szCs w:val="13"/>
                <w:color w:val="auto"/>
              </w:rPr>
              <w:t>(632,842)</w:t>
            </w:r>
          </w:p>
        </w:tc>
        <w:tc>
          <w:tcPr>
            <w:tcW w:w="920" w:type="dxa"/>
            <w:vAlign w:val="bottom"/>
            <w:gridSpan w:val="2"/>
            <w:shd w:val="clear" w:color="auto" w:fill="CCEEFF"/>
          </w:tcPr>
          <w:p>
            <w:pPr>
              <w:jc w:val="right"/>
              <w:ind w:right="42"/>
              <w:spacing w:after="0" w:line="145" w:lineRule="exact"/>
              <w:rPr>
                <w:sz w:val="20"/>
                <w:szCs w:val="20"/>
                <w:color w:val="auto"/>
              </w:rPr>
            </w:pPr>
            <w:r>
              <w:rPr>
                <w:rFonts w:ascii="Times New Roman" w:cs="Times New Roman" w:eastAsia="Times New Roman" w:hAnsi="Times New Roman"/>
                <w:sz w:val="13"/>
                <w:szCs w:val="13"/>
                <w:color w:val="auto"/>
              </w:rPr>
              <w:t>(5,086,442)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(60,733,834</w:t>
            </w:r>
          </w:p>
        </w:tc>
        <w:tc>
          <w:tcPr>
            <w:tcW w:w="24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(65,912,999</w:t>
            </w:r>
          </w:p>
        </w:tc>
        <w:tc>
          <w:tcPr>
            <w:tcW w:w="24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(9,671,878</w:t>
            </w:r>
          </w:p>
        </w:tc>
        <w:tc>
          <w:tcPr>
            <w:tcW w:w="24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(136,318,711</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(58,312,712</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(71,614,714</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(8,825,223</w:t>
            </w:r>
          </w:p>
        </w:tc>
        <w:tc>
          <w:tcPr>
            <w:tcW w:w="220" w:type="dxa"/>
            <w:vAlign w:val="bottom"/>
            <w:tcBorders>
              <w:bottom w:val="single" w:sz="8" w:color="CCEEFF"/>
            </w:tcBorders>
          </w:tcPr>
          <w:p>
            <w:pPr>
              <w:jc w:val="right"/>
              <w:ind w:right="9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(138,752,649</w:t>
            </w:r>
          </w:p>
        </w:tc>
        <w:tc>
          <w:tcPr>
            <w:tcW w:w="12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11,468,358</w:t>
            </w:r>
          </w:p>
        </w:tc>
        <w:tc>
          <w:tcPr>
            <w:tcW w:w="24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(88,213</w:t>
            </w:r>
          </w:p>
        </w:tc>
        <w:tc>
          <w:tcPr>
            <w:tcW w:w="2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3,963</w:t>
            </w:r>
          </w:p>
        </w:tc>
        <w:tc>
          <w:tcPr>
            <w:tcW w:w="24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11,384,108</w:t>
            </w:r>
          </w:p>
        </w:tc>
        <w:tc>
          <w:tcPr>
            <w:tcW w:w="22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9,666,983</w:t>
            </w:r>
          </w:p>
        </w:tc>
        <w:tc>
          <w:tcPr>
            <w:tcW w:w="22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(852,157</w:t>
            </w:r>
          </w:p>
        </w:tc>
        <w:tc>
          <w:tcPr>
            <w:tcW w:w="2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179,644</w:t>
            </w:r>
          </w:p>
        </w:tc>
        <w:tc>
          <w:tcPr>
            <w:tcW w:w="22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8,994,470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Forwards position, net</w:t>
            </w:r>
          </w:p>
        </w:tc>
        <w:tc>
          <w:tcPr>
            <w:tcW w:w="106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508,304</w:t>
            </w:r>
          </w:p>
        </w:tc>
        <w:tc>
          <w:tcPr>
            <w:tcW w:w="104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(529,352)</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(93,844)</w:t>
            </w:r>
          </w:p>
        </w:tc>
        <w:tc>
          <w:tcPr>
            <w:tcW w:w="104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(114,892)</w:t>
            </w:r>
          </w:p>
        </w:tc>
        <w:tc>
          <w:tcPr>
            <w:tcW w:w="10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6,011,253</w:t>
            </w:r>
          </w:p>
        </w:tc>
        <w:tc>
          <w:tcPr>
            <w:tcW w:w="1000" w:type="dxa"/>
            <w:vAlign w:val="bottom"/>
            <w:gridSpan w:val="2"/>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(6,707,587)</w:t>
            </w:r>
          </w:p>
        </w:tc>
        <w:tc>
          <w:tcPr>
            <w:tcW w:w="1000" w:type="dxa"/>
            <w:vAlign w:val="bottom"/>
            <w:gridSpan w:val="2"/>
            <w:shd w:val="clear" w:color="auto" w:fill="CCEEFF"/>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696,334</w:t>
            </w:r>
          </w:p>
        </w:tc>
        <w:tc>
          <w:tcPr>
            <w:tcW w:w="9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Currency swaps position, net</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245,063</w:t>
            </w:r>
          </w:p>
        </w:tc>
        <w:tc>
          <w:tcPr>
            <w:tcW w:w="1040" w:type="dxa"/>
            <w:vAlign w:val="bottom"/>
            <w:gridSpan w:val="2"/>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(245,098)</w:t>
            </w:r>
          </w:p>
        </w:tc>
        <w:tc>
          <w:tcPr>
            <w:tcW w:w="1060" w:type="dxa"/>
            <w:vAlign w:val="bottom"/>
            <w:gridSpan w:val="2"/>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35</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0" w:type="dxa"/>
            <w:vAlign w:val="bottom"/>
            <w:gridSpan w:val="2"/>
          </w:tcPr>
          <w:p>
            <w:pPr>
              <w:jc w:val="right"/>
              <w:ind w:right="142"/>
              <w:spacing w:after="0" w:line="133" w:lineRule="exact"/>
              <w:rPr>
                <w:sz w:val="20"/>
                <w:szCs w:val="20"/>
                <w:color w:val="auto"/>
              </w:rPr>
            </w:pPr>
            <w:r>
              <w:rPr>
                <w:rFonts w:ascii="Times New Roman" w:cs="Times New Roman" w:eastAsia="Times New Roman" w:hAnsi="Times New Roman"/>
                <w:sz w:val="13"/>
                <w:szCs w:val="13"/>
                <w:color w:val="auto"/>
              </w:rPr>
              <w:t>(9,997,505)</w:t>
            </w:r>
          </w:p>
        </w:tc>
        <w:tc>
          <w:tcPr>
            <w:tcW w:w="1000" w:type="dxa"/>
            <w:vAlign w:val="bottom"/>
            <w:gridSpan w:val="2"/>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10,084,091</w:t>
            </w:r>
          </w:p>
        </w:tc>
        <w:tc>
          <w:tcPr>
            <w:tcW w:w="1000" w:type="dxa"/>
            <w:vAlign w:val="bottom"/>
            <w:gridSpan w:val="2"/>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(86,586)</w:t>
            </w:r>
          </w:p>
        </w:tc>
        <w:tc>
          <w:tcPr>
            <w:tcW w:w="920" w:type="dxa"/>
            <w:vAlign w:val="bottom"/>
            <w:gridSpan w:val="2"/>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Cross currency swaps position, net</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(1,340,985)</w:t>
            </w:r>
          </w:p>
        </w:tc>
        <w:tc>
          <w:tcPr>
            <w:tcW w:w="1040" w:type="dxa"/>
            <w:vAlign w:val="bottom"/>
            <w:gridSpan w:val="2"/>
            <w:shd w:val="clear" w:color="auto" w:fill="CCEEFF"/>
          </w:tcPr>
          <w:p>
            <w:pPr>
              <w:jc w:val="right"/>
              <w:ind w:right="202"/>
              <w:spacing w:after="0" w:line="133" w:lineRule="exact"/>
              <w:rPr>
                <w:sz w:val="20"/>
                <w:szCs w:val="20"/>
                <w:color w:val="auto"/>
              </w:rPr>
            </w:pPr>
            <w:r>
              <w:rPr>
                <w:rFonts w:ascii="Times New Roman" w:cs="Times New Roman" w:eastAsia="Times New Roman" w:hAnsi="Times New Roman"/>
                <w:sz w:val="13"/>
                <w:szCs w:val="13"/>
                <w:color w:val="auto"/>
              </w:rPr>
              <w:t>1,433,012</w:t>
            </w:r>
          </w:p>
        </w:tc>
        <w:tc>
          <w:tcPr>
            <w:tcW w:w="1060" w:type="dxa"/>
            <w:vAlign w:val="bottom"/>
            <w:gridSpan w:val="2"/>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3"/>
                <w:szCs w:val="13"/>
                <w:color w:val="auto"/>
              </w:rPr>
              <w:t>(92,027)</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82"/>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Options, net</w:t>
            </w:r>
          </w:p>
        </w:tc>
        <w:tc>
          <w:tcPr>
            <w:tcW w:w="1060" w:type="dxa"/>
            <w:vAlign w:val="bottom"/>
            <w:gridSpan w:val="2"/>
          </w:tcPr>
          <w:p>
            <w:pPr>
              <w:jc w:val="right"/>
              <w:ind w:right="162"/>
              <w:spacing w:after="0" w:line="145" w:lineRule="exact"/>
              <w:rPr>
                <w:sz w:val="20"/>
                <w:szCs w:val="20"/>
                <w:color w:val="auto"/>
              </w:rPr>
            </w:pPr>
            <w:r>
              <w:rPr>
                <w:rFonts w:ascii="Times New Roman" w:cs="Times New Roman" w:eastAsia="Times New Roman" w:hAnsi="Times New Roman"/>
                <w:sz w:val="13"/>
                <w:szCs w:val="13"/>
                <w:color w:val="auto"/>
              </w:rPr>
              <w:t>(86,059)</w:t>
            </w:r>
          </w:p>
        </w:tc>
        <w:tc>
          <w:tcPr>
            <w:tcW w:w="1040" w:type="dxa"/>
            <w:vAlign w:val="bottom"/>
            <w:gridSpan w:val="2"/>
          </w:tcPr>
          <w:p>
            <w:pPr>
              <w:jc w:val="right"/>
              <w:ind w:right="202"/>
              <w:spacing w:after="0" w:line="145" w:lineRule="exact"/>
              <w:rPr>
                <w:sz w:val="20"/>
                <w:szCs w:val="20"/>
                <w:color w:val="auto"/>
              </w:rPr>
            </w:pPr>
            <w:r>
              <w:rPr>
                <w:rFonts w:ascii="Times New Roman" w:cs="Times New Roman" w:eastAsia="Times New Roman" w:hAnsi="Times New Roman"/>
                <w:sz w:val="13"/>
                <w:szCs w:val="13"/>
                <w:color w:val="auto"/>
              </w:rPr>
              <w:t>86,059</w:t>
            </w:r>
          </w:p>
        </w:tc>
        <w:tc>
          <w:tcPr>
            <w:tcW w:w="1060" w:type="dxa"/>
            <w:vAlign w:val="bottom"/>
            <w:gridSpan w:val="2"/>
          </w:tcPr>
          <w:p>
            <w:pPr>
              <w:jc w:val="right"/>
              <w:ind w:right="202"/>
              <w:spacing w:after="0" w:line="14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Times New Roman" w:cs="Times New Roman" w:eastAsia="Times New Roman" w:hAnsi="Times New Roman"/>
                <w:sz w:val="13"/>
                <w:szCs w:val="13"/>
                <w:color w:val="auto"/>
              </w:rPr>
              <w:t>543,066</w:t>
            </w:r>
          </w:p>
        </w:tc>
        <w:tc>
          <w:tcPr>
            <w:tcW w:w="1000" w:type="dxa"/>
            <w:vAlign w:val="bottom"/>
            <w:gridSpan w:val="2"/>
          </w:tcPr>
          <w:p>
            <w:pPr>
              <w:jc w:val="right"/>
              <w:ind w:right="142"/>
              <w:spacing w:after="0" w:line="145" w:lineRule="exact"/>
              <w:rPr>
                <w:sz w:val="20"/>
                <w:szCs w:val="20"/>
                <w:color w:val="auto"/>
              </w:rPr>
            </w:pPr>
            <w:r>
              <w:rPr>
                <w:rFonts w:ascii="Times New Roman" w:cs="Times New Roman" w:eastAsia="Times New Roman" w:hAnsi="Times New Roman"/>
                <w:sz w:val="13"/>
                <w:szCs w:val="13"/>
                <w:color w:val="auto"/>
              </w:rPr>
              <w:t>(543,066)</w:t>
            </w:r>
          </w:p>
        </w:tc>
        <w:tc>
          <w:tcPr>
            <w:tcW w:w="1000" w:type="dxa"/>
            <w:vAlign w:val="bottom"/>
            <w:gridSpan w:val="2"/>
          </w:tcPr>
          <w:p>
            <w:pPr>
              <w:jc w:val="right"/>
              <w:ind w:right="156"/>
              <w:spacing w:after="0" w:line="14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82"/>
              <w:spacing w:after="0" w:line="14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Net monetary position</w:t>
            </w:r>
          </w:p>
        </w:tc>
        <w:tc>
          <w:tcPr>
            <w:tcW w:w="8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10,794,681</w:t>
            </w: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656,408</w:t>
            </w: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(181,873</w:t>
            </w:r>
          </w:p>
        </w:tc>
        <w:tc>
          <w:tcPr>
            <w:tcW w:w="240" w:type="dxa"/>
            <w:vAlign w:val="bottom"/>
            <w:tcBorders>
              <w:top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11,269,216</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6,223,797</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1,981,281</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789,392</w:t>
            </w: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8,994,470</w:t>
            </w: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6" w:name="page137"/>
    <w:bookmarkEnd w:id="136"/>
    <w:p>
      <w:pPr>
        <w:ind w:left="280" w:right="80"/>
        <w:spacing w:after="0" w:line="258" w:lineRule="auto"/>
        <w:rPr>
          <w:sz w:val="20"/>
          <w:szCs w:val="20"/>
          <w:color w:val="auto"/>
        </w:rPr>
      </w:pPr>
      <w:r>
        <w:rPr>
          <w:rFonts w:ascii="Times New Roman" w:cs="Times New Roman" w:eastAsia="Times New Roman" w:hAnsi="Times New Roman"/>
          <w:sz w:val="16"/>
          <w:szCs w:val="16"/>
          <w:color w:val="auto"/>
        </w:rPr>
        <w:t>The Group manages foreign exchange risk by monitoring and controlling the currency position values exposed to changes in exchange rates. The Group measures its performance in Soles (since 2014 considering its change in functional currency, before it was measured in U.S. Dollars), so if the net foreign exchange position (e.g. U.S. Dollar) is an asset, any depreciation of Soles with respect to this currency would positively affect the Group’s consolidated statement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 of income.</w:t>
      </w:r>
    </w:p>
    <w:p>
      <w:pPr>
        <w:spacing w:after="0" w:line="167" w:lineRule="exact"/>
        <w:rPr>
          <w:sz w:val="20"/>
          <w:szCs w:val="20"/>
          <w:color w:val="auto"/>
        </w:rPr>
      </w:pPr>
    </w:p>
    <w:p>
      <w:pPr>
        <w:ind w:left="280" w:right="140"/>
        <w:spacing w:after="0" w:line="268" w:lineRule="auto"/>
        <w:rPr>
          <w:sz w:val="20"/>
          <w:szCs w:val="20"/>
          <w:color w:val="auto"/>
        </w:rPr>
      </w:pPr>
      <w:r>
        <w:rPr>
          <w:rFonts w:ascii="Times New Roman" w:cs="Times New Roman" w:eastAsia="Times New Roman" w:hAnsi="Times New Roman"/>
          <w:sz w:val="16"/>
          <w:szCs w:val="16"/>
          <w:color w:val="auto"/>
        </w:rPr>
        <w:t>The Group’s net foreign exchange position is the sum of its positive open non-Soles positions (net long position) less the sum of its negative open non-Soles positions (net short position). Any devaluation/revaluation of the foreign exchange position would affect the consolidated statement of income. A currency mismatch would leave the Group’s consolidated statement of financial position vulnerable to a fluctuation of the foreign currency (exchange rate shock).</w:t>
      </w:r>
    </w:p>
    <w:p>
      <w:pPr>
        <w:spacing w:after="0" w:line="157" w:lineRule="exact"/>
        <w:rPr>
          <w:sz w:val="20"/>
          <w:szCs w:val="20"/>
          <w:color w:val="auto"/>
        </w:rPr>
      </w:pPr>
    </w:p>
    <w:p>
      <w:pPr>
        <w:ind w:left="280" w:right="200"/>
        <w:spacing w:after="0" w:line="263" w:lineRule="auto"/>
        <w:rPr>
          <w:sz w:val="20"/>
          <w:szCs w:val="20"/>
          <w:color w:val="auto"/>
        </w:rPr>
      </w:pPr>
      <w:r>
        <w:rPr>
          <w:rFonts w:ascii="Times New Roman" w:cs="Times New Roman" w:eastAsia="Times New Roman" w:hAnsi="Times New Roman"/>
          <w:sz w:val="16"/>
          <w:szCs w:val="16"/>
          <w:color w:val="auto"/>
        </w:rPr>
        <w:t>The table below shows the sensitivity analysis of the U.S. Dollar, the currency to which the Group had significant exposure as of December 31, 2016 and 2015 in its non-trading monetary assets and liabilities and its forecast cash flows. The analysis calculates the effect of a reasonably possible movement of the currency rate against Soles with all other variables held constant on the consolidated statement of income, before income tax. A negative amount in the table reflects a potential net reduction in the consolidated statement of income, while a positive amount reflects a net potential increase:</w:t>
      </w:r>
    </w:p>
    <w:p>
      <w:pPr>
        <w:spacing w:after="0" w:line="159"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Market price sensitivity</w:t>
            </w: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8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currency rates</w:t>
            </w:r>
          </w:p>
        </w:tc>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22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S/000</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Devaluation -</w:t>
            </w:r>
          </w:p>
        </w:tc>
        <w:tc>
          <w:tcPr>
            <w:tcW w:w="38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9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38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5</w:t>
            </w:r>
          </w:p>
        </w:tc>
        <w:tc>
          <w:tcPr>
            <w:tcW w:w="19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(31,257)</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(94,347)</w:t>
            </w:r>
          </w:p>
        </w:tc>
      </w:tr>
      <w:tr>
        <w:trPr>
          <w:trHeight w:val="19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3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10</w:t>
            </w:r>
          </w:p>
        </w:tc>
        <w:tc>
          <w:tcPr>
            <w:tcW w:w="19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(59,673)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(180,116)</w:t>
            </w:r>
          </w:p>
        </w:tc>
      </w:tr>
      <w:tr>
        <w:trPr>
          <w:trHeight w:val="193"/>
        </w:trPr>
        <w:tc>
          <w:tcPr>
            <w:tcW w:w="38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Revaluation -</w:t>
            </w:r>
          </w:p>
        </w:tc>
        <w:tc>
          <w:tcPr>
            <w:tcW w:w="38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9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38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5</w:t>
            </w:r>
          </w:p>
        </w:tc>
        <w:tc>
          <w:tcPr>
            <w:tcW w:w="19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34,548</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104,278</w:t>
            </w:r>
          </w:p>
        </w:tc>
      </w:tr>
      <w:tr>
        <w:trPr>
          <w:trHeight w:val="19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3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10</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72,934</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220,142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34.3 Liquidity risk</w:t>
      </w:r>
    </w:p>
    <w:p>
      <w:pPr>
        <w:spacing w:after="0" w:line="205"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6"/>
          <w:szCs w:val="16"/>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14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Group is exposed to daily calls on, among others, its available cash resources from overnight deposits, current accounts, maturing deposits, loan draw-downs, guarantees and other calls. The Management of the Group’s subsidiaries sets limits on the minimum proportion of funds available to meet such calls and on the minimum level of inter-bank and other borrowing facilities that should be in place to cover withdrawals at unexpected levels of demand. Sources of liquidity are regularly reviewed by the Market Risk Management Department to maintain a wide diversification by currency, geography, provider, product and term.</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7" w:name="page138"/>
    <w:bookmarkEnd w:id="137"/>
    <w:p>
      <w:pPr>
        <w:ind w:right="160"/>
        <w:spacing w:after="0" w:line="268" w:lineRule="auto"/>
        <w:rPr>
          <w:sz w:val="20"/>
          <w:szCs w:val="20"/>
          <w:color w:val="auto"/>
        </w:rPr>
      </w:pPr>
      <w:r>
        <w:rPr>
          <w:rFonts w:ascii="Times New Roman" w:cs="Times New Roman" w:eastAsia="Times New Roman" w:hAnsi="Times New Roman"/>
          <w:sz w:val="16"/>
          <w:szCs w:val="16"/>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57"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6"/>
          <w:szCs w:val="16"/>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4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 mismatch, in the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161"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6"/>
          <w:szCs w:val="16"/>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5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Commercial banking</w:t>
      </w:r>
      <w:r>
        <w:rPr>
          <w:rFonts w:ascii="Times New Roman" w:cs="Times New Roman" w:eastAsia="Times New Roman" w:hAnsi="Times New Roman"/>
          <w:sz w:val="16"/>
          <w:szCs w:val="16"/>
          <w:color w:val="auto"/>
        </w:rPr>
        <w:t>: Liquidity risk exposure in BCP Peru, BCP Bolivia, MiBanco and Atlantic Security Bank is based on indicators such as the Internal Liquidity Coverage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the latter works as a minimum compliance mechanism that supplements the RCL. The core limits of these indicators are 100% and any excess is presented in the Credicorp Treasury Risk Committee, Credicorp Risk Committee and ALM of the respective subsidiary.</w:t>
      </w:r>
    </w:p>
    <w:p>
      <w:pPr>
        <w:spacing w:after="0" w:line="16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Insurance: </w:t>
      </w:r>
      <w:r>
        <w:rPr>
          <w:rFonts w:ascii="Times New Roman" w:cs="Times New Roman" w:eastAsia="Times New Roman" w:hAnsi="Times New Roman"/>
          <w:sz w:val="16"/>
          <w:szCs w:val="16"/>
          <w:color w:val="auto"/>
        </w:rPr>
        <w:t>Liquidity risk management in Pacífico Grupo Asegurador follows a particular approach given the nature of the business. For annually renewable businesses, mainly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“Pacífico Seguros”, focus of liquidity is the quick availability or resources in the event of a systemic event (e.g. earthquake); for this purpose, there are minimum investment indicators in place relating to local cash/time deposits and foreign fixed-income instruments of high quality and liquidity.</w:t>
      </w:r>
    </w:p>
    <w:p>
      <w:pPr>
        <w:spacing w:after="0" w:line="15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6"/>
          <w:szCs w:val="16"/>
          <w:color w:val="auto"/>
        </w:rPr>
        <w:t>For long-term businesses such as Pacífico Vida, given the nature of the products offered and the contractual relationship with customers (the liquidity risk is not material); focus is on maintaining sufficient flow of assets and matching their maturities with maturities of obligations (mathematical technical reserve); for this purpose there are indicators that measure the asset/liability sufficiency and adequacy as well as calculations or economic capital subject to interest rate risk, a methodology of Credicorp.</w:t>
      </w:r>
    </w:p>
    <w:p>
      <w:pPr>
        <w:spacing w:after="0" w:line="15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AFPs: </w:t>
      </w:r>
      <w:r>
        <w:rPr>
          <w:rFonts w:ascii="Times New Roman" w:cs="Times New Roman" w:eastAsia="Times New Roman" w:hAnsi="Times New Roman"/>
          <w:sz w:val="16"/>
          <w:szCs w:val="16"/>
          <w:color w:val="auto"/>
        </w:rPr>
        <w:t>Liquidity risk management in AFP Prima is differentiated between the fund administrator and the funds being managed. Liquidity management regarding the fund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administrator is focused on meeting periodic operating expense needs, which are supported with the collection of commissions. The fund administrator entity does not record unexpected outflows of liquidity.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banking:</w:t>
      </w:r>
    </w:p>
    <w:p>
      <w:pPr>
        <w:spacing w:after="0" w:line="20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Liquidity risk in the Grupo Credicorp Capital (Correval, IM Trust y Credicorp Capital Perú) principally affects the security brokerage. In managing this risk, limits of use of liquidity have been established as well as matching maturities by dealing desk; follow-up on liquidity is performed on a daily basis for a short-term horizon covering the coming settlements. If short-term unmatched maturities are noted, repos are used. On the other hand, structural risk of Credicorp Capital is not significant given the low levels of debt, which is monitored regularly using financial planning tools.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Companies perform a liquidity risk management using the liquidity Gap or contractual maturity Gap.</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8" w:name="page139"/>
    <w:bookmarkEnd w:id="138"/>
    <w:p>
      <w:pPr>
        <w:ind w:right="120"/>
        <w:spacing w:after="0" w:line="285" w:lineRule="auto"/>
        <w:rPr>
          <w:sz w:val="20"/>
          <w:szCs w:val="20"/>
          <w:color w:val="auto"/>
        </w:rPr>
      </w:pPr>
      <w:r>
        <w:rPr>
          <w:rFonts w:ascii="Times New Roman" w:cs="Times New Roman" w:eastAsia="Times New Roman" w:hAnsi="Times New Roman"/>
          <w:sz w:val="16"/>
          <w:szCs w:val="16"/>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As of December 31, 2016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As of December 31, 2015</w:t>
            </w: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Up to a</w:t>
            </w:r>
          </w:p>
        </w:tc>
        <w:tc>
          <w:tcPr>
            <w:tcW w:w="8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1 to</w:t>
            </w:r>
          </w:p>
        </w:tc>
        <w:tc>
          <w:tcPr>
            <w:tcW w:w="7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3 to</w:t>
            </w:r>
          </w:p>
        </w:tc>
        <w:tc>
          <w:tcPr>
            <w:tcW w:w="780" w:type="dxa"/>
            <w:vAlign w:val="bottom"/>
            <w:gridSpan w:val="3"/>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From 1 to</w:t>
            </w:r>
          </w:p>
        </w:tc>
        <w:tc>
          <w:tcPr>
            <w:tcW w:w="840" w:type="dxa"/>
            <w:vAlign w:val="bottom"/>
            <w:gridSpan w:val="3"/>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Over 5</w:t>
            </w: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Up to a</w:t>
            </w:r>
          </w:p>
        </w:tc>
        <w:tc>
          <w:tcPr>
            <w:tcW w:w="7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1 to</w:t>
            </w:r>
          </w:p>
        </w:tc>
        <w:tc>
          <w:tcPr>
            <w:tcW w:w="8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3 to</w:t>
            </w:r>
          </w:p>
        </w:tc>
        <w:tc>
          <w:tcPr>
            <w:tcW w:w="7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From 1 to</w:t>
            </w:r>
          </w:p>
        </w:tc>
        <w:tc>
          <w:tcPr>
            <w:tcW w:w="880" w:type="dxa"/>
            <w:vAlign w:val="bottom"/>
            <w:gridSpan w:val="3"/>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Over 5</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month</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3 months</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12 months</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920" w:type="dxa"/>
            <w:vAlign w:val="bottom"/>
            <w:gridSpan w:val="3"/>
            <w:vMerge w:val="continue"/>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month</w:t>
            </w: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3 months</w:t>
            </w: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12 months</w:t>
            </w: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2"/>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S/000</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Financial assets</w:t>
            </w:r>
          </w:p>
        </w:tc>
        <w:tc>
          <w:tcPr>
            <w:tcW w:w="8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26,177,608</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19,909,373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38,171,817</w:t>
            </w:r>
          </w:p>
        </w:tc>
        <w:tc>
          <w:tcPr>
            <w:tcW w:w="78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62,824,369</w:t>
            </w:r>
          </w:p>
        </w:tc>
        <w:tc>
          <w:tcPr>
            <w:tcW w:w="840" w:type="dxa"/>
            <w:vAlign w:val="bottom"/>
            <w:gridSpan w:val="3"/>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36,406,209</w:t>
            </w:r>
          </w:p>
        </w:tc>
        <w:tc>
          <w:tcPr>
            <w:tcW w:w="9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183,489,376</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22,863,507</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16,732,722</w:t>
            </w:r>
          </w:p>
        </w:tc>
        <w:tc>
          <w:tcPr>
            <w:tcW w:w="8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32,113,631</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64,324,012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28,285,740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164,319,612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Financial liabilities by type -</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Deposits and obligations</w:t>
            </w:r>
          </w:p>
        </w:tc>
        <w:tc>
          <w:tcPr>
            <w:tcW w:w="8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24,982,659</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8,678,312</w:t>
            </w:r>
          </w:p>
        </w:tc>
        <w:tc>
          <w:tcPr>
            <w:tcW w:w="160" w:type="dxa"/>
            <w:vAlign w:val="bottom"/>
          </w:tcPr>
          <w:p>
            <w:pPr>
              <w:spacing w:after="0"/>
              <w:rPr>
                <w:sz w:val="11"/>
                <w:szCs w:val="11"/>
                <w:color w:val="auto"/>
              </w:rPr>
            </w:pPr>
          </w:p>
        </w:tc>
        <w:tc>
          <w:tcPr>
            <w:tcW w:w="740" w:type="dxa"/>
            <w:vAlign w:val="bottom"/>
            <w:gridSpan w:val="2"/>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16,056,899</w:t>
            </w:r>
          </w:p>
        </w:tc>
        <w:tc>
          <w:tcPr>
            <w:tcW w:w="78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33,487,729</w:t>
            </w:r>
          </w:p>
        </w:tc>
        <w:tc>
          <w:tcPr>
            <w:tcW w:w="840" w:type="dxa"/>
            <w:vAlign w:val="bottom"/>
            <w:gridSpan w:val="3"/>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6,077,167</w:t>
            </w:r>
          </w:p>
        </w:tc>
        <w:tc>
          <w:tcPr>
            <w:tcW w:w="9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89,282,766</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24,803,628</w:t>
            </w:r>
          </w:p>
        </w:tc>
        <w:tc>
          <w:tcPr>
            <w:tcW w:w="160" w:type="dxa"/>
            <w:vAlign w:val="bottom"/>
          </w:tcPr>
          <w:p>
            <w:pPr>
              <w:spacing w:after="0"/>
              <w:rPr>
                <w:sz w:val="11"/>
                <w:szCs w:val="11"/>
                <w:color w:val="auto"/>
              </w:rPr>
            </w:pPr>
          </w:p>
        </w:tc>
        <w:tc>
          <w:tcPr>
            <w:tcW w:w="7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6,769,967</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14,412,392</w:t>
            </w:r>
          </w:p>
        </w:tc>
        <w:tc>
          <w:tcPr>
            <w:tcW w:w="14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8,642,270</w:t>
            </w:r>
          </w:p>
        </w:tc>
        <w:tc>
          <w:tcPr>
            <w:tcW w:w="80" w:type="dxa"/>
            <w:vAlign w:val="bottom"/>
          </w:tcPr>
          <w:p>
            <w:pPr>
              <w:spacing w:after="0"/>
              <w:rPr>
                <w:sz w:val="11"/>
                <w:szCs w:val="11"/>
                <w:color w:val="auto"/>
              </w:rPr>
            </w:pPr>
          </w:p>
        </w:tc>
        <w:tc>
          <w:tcPr>
            <w:tcW w:w="7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7,912,781</w:t>
            </w:r>
          </w:p>
        </w:tc>
        <w:tc>
          <w:tcPr>
            <w:tcW w:w="160" w:type="dxa"/>
            <w:vAlign w:val="bottom"/>
          </w:tcPr>
          <w:p>
            <w:pPr>
              <w:spacing w:after="0"/>
              <w:rPr>
                <w:sz w:val="11"/>
                <w:szCs w:val="11"/>
                <w:color w:val="auto"/>
              </w:rPr>
            </w:pP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62,541,038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Payables from reverse purchase</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agreements and security</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lendings and due to banks and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3,015,441</w:t>
            </w:r>
          </w:p>
        </w:tc>
        <w:tc>
          <w:tcPr>
            <w:tcW w:w="820" w:type="dxa"/>
            <w:vAlign w:val="bottom"/>
            <w:gridSpan w:val="2"/>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2,014,116</w:t>
            </w:r>
          </w:p>
        </w:tc>
        <w:tc>
          <w:tcPr>
            <w:tcW w:w="74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5,572,115</w:t>
            </w:r>
          </w:p>
        </w:tc>
        <w:tc>
          <w:tcPr>
            <w:tcW w:w="7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10,581,827</w:t>
            </w:r>
          </w:p>
        </w:tc>
        <w:tc>
          <w:tcPr>
            <w:tcW w:w="840" w:type="dxa"/>
            <w:vAlign w:val="bottom"/>
            <w:gridSpan w:val="3"/>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5,101,938</w:t>
            </w:r>
          </w:p>
        </w:tc>
        <w:tc>
          <w:tcPr>
            <w:tcW w:w="9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26,285,437</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3,987,557</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2,425,197</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2,910,552</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7,833,305</w:t>
            </w:r>
          </w:p>
        </w:tc>
        <w:tc>
          <w:tcPr>
            <w:tcW w:w="8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(1,417,554)</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15,739,057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correspondents</w:t>
            </w: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Accounts payable to reinsurer</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38,678</w:t>
            </w:r>
          </w:p>
        </w:tc>
        <w:tc>
          <w:tcPr>
            <w:tcW w:w="8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3"/>
                <w:szCs w:val="13"/>
                <w:color w:val="auto"/>
              </w:rPr>
              <w:t>157,686</w:t>
            </w:r>
          </w:p>
        </w:tc>
        <w:tc>
          <w:tcPr>
            <w:tcW w:w="74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35,453</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5,166</w:t>
            </w:r>
          </w:p>
        </w:tc>
        <w:tc>
          <w:tcPr>
            <w:tcW w:w="840" w:type="dxa"/>
            <w:vAlign w:val="bottom"/>
            <w:gridSpan w:val="3"/>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236,983</w:t>
            </w:r>
          </w:p>
        </w:tc>
        <w:tc>
          <w:tcPr>
            <w:tcW w:w="8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3"/>
                <w:szCs w:val="13"/>
                <w:color w:val="auto"/>
              </w:rPr>
              <w:t>64,094</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191,906</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31,439</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4,067</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291,506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 and coinsurers</w:t>
            </w:r>
          </w:p>
        </w:tc>
        <w:tc>
          <w:tcPr>
            <w:tcW w:w="8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Financial liabilities designated</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at fair value through profit or</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209,520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209,520</w:t>
            </w:r>
          </w:p>
        </w:tc>
        <w:tc>
          <w:tcPr>
            <w:tcW w:w="820" w:type="dxa"/>
            <w:vAlign w:val="bottom"/>
            <w:gridSpan w:val="2"/>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47,737</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47,737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Technical, insurance claims</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reserves and reserves for</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161,205</w:t>
            </w:r>
          </w:p>
        </w:tc>
        <w:tc>
          <w:tcPr>
            <w:tcW w:w="8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3"/>
                <w:szCs w:val="13"/>
                <w:color w:val="auto"/>
              </w:rPr>
              <w:t>108,109</w:t>
            </w:r>
          </w:p>
        </w:tc>
        <w:tc>
          <w:tcPr>
            <w:tcW w:w="74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366,939</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1,633,571</w:t>
            </w:r>
          </w:p>
        </w:tc>
        <w:tc>
          <w:tcPr>
            <w:tcW w:w="840" w:type="dxa"/>
            <w:vAlign w:val="bottom"/>
            <w:gridSpan w:val="3"/>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3,402,248</w:t>
            </w: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5,672,072</w:t>
            </w:r>
          </w:p>
        </w:tc>
        <w:tc>
          <w:tcPr>
            <w:tcW w:w="8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3"/>
                <w:szCs w:val="13"/>
                <w:color w:val="auto"/>
              </w:rPr>
              <w:t>61,060</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358,853</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5,183,184</w:t>
            </w:r>
          </w:p>
        </w:tc>
        <w:tc>
          <w:tcPr>
            <w:tcW w:w="14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753,050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6,356,147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unearned premiums</w:t>
            </w: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Bonds and notes issued</w:t>
            </w:r>
          </w:p>
        </w:tc>
        <w:tc>
          <w:tcPr>
            <w:tcW w:w="8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125,777</w:t>
            </w:r>
          </w:p>
        </w:tc>
        <w:tc>
          <w:tcPr>
            <w:tcW w:w="820" w:type="dxa"/>
            <w:vAlign w:val="bottom"/>
            <w:gridSpan w:val="2"/>
            <w:shd w:val="clear" w:color="auto" w:fill="CCEEFF"/>
          </w:tcPr>
          <w:p>
            <w:pPr>
              <w:jc w:val="right"/>
              <w:ind w:right="122"/>
              <w:spacing w:after="0" w:line="133" w:lineRule="exact"/>
              <w:rPr>
                <w:sz w:val="20"/>
                <w:szCs w:val="20"/>
                <w:color w:val="auto"/>
              </w:rPr>
            </w:pPr>
            <w:r>
              <w:rPr>
                <w:rFonts w:ascii="Times New Roman" w:cs="Times New Roman" w:eastAsia="Times New Roman" w:hAnsi="Times New Roman"/>
                <w:sz w:val="13"/>
                <w:szCs w:val="13"/>
                <w:color w:val="auto"/>
              </w:rPr>
              <w:t>176,115</w:t>
            </w:r>
          </w:p>
        </w:tc>
        <w:tc>
          <w:tcPr>
            <w:tcW w:w="740" w:type="dxa"/>
            <w:vAlign w:val="bottom"/>
            <w:gridSpan w:val="2"/>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1,290,997</w:t>
            </w:r>
          </w:p>
        </w:tc>
        <w:tc>
          <w:tcPr>
            <w:tcW w:w="78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10,292,536</w:t>
            </w:r>
          </w:p>
        </w:tc>
        <w:tc>
          <w:tcPr>
            <w:tcW w:w="840" w:type="dxa"/>
            <w:vAlign w:val="bottom"/>
            <w:gridSpan w:val="3"/>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3"/>
                <w:szCs w:val="13"/>
                <w:color w:val="auto"/>
              </w:rPr>
              <w:t>6,094,298</w:t>
            </w:r>
          </w:p>
        </w:tc>
        <w:tc>
          <w:tcPr>
            <w:tcW w:w="9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17,979,723</w:t>
            </w:r>
          </w:p>
        </w:tc>
        <w:tc>
          <w:tcPr>
            <w:tcW w:w="820" w:type="dxa"/>
            <w:vAlign w:val="bottom"/>
            <w:gridSpan w:val="2"/>
            <w:shd w:val="clear" w:color="auto" w:fill="CCEEFF"/>
          </w:tcPr>
          <w:p>
            <w:pPr>
              <w:jc w:val="right"/>
              <w:ind w:right="122"/>
              <w:spacing w:after="0" w:line="133" w:lineRule="exact"/>
              <w:rPr>
                <w:sz w:val="20"/>
                <w:szCs w:val="20"/>
                <w:color w:val="auto"/>
              </w:rPr>
            </w:pPr>
            <w:r>
              <w:rPr>
                <w:rFonts w:ascii="Times New Roman" w:cs="Times New Roman" w:eastAsia="Times New Roman" w:hAnsi="Times New Roman"/>
                <w:sz w:val="13"/>
                <w:szCs w:val="13"/>
                <w:color w:val="auto"/>
              </w:rPr>
              <w:t>148,918</w:t>
            </w:r>
          </w:p>
        </w:tc>
        <w:tc>
          <w:tcPr>
            <w:tcW w:w="7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889,843</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1,008,926</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8,138,841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8,515,914</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3"/>
                <w:szCs w:val="13"/>
                <w:color w:val="auto"/>
              </w:rPr>
              <w:t>18,702,442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Other liabilities</w:t>
            </w:r>
          </w:p>
        </w:tc>
        <w:tc>
          <w:tcPr>
            <w:tcW w:w="80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3,941,629</w:t>
            </w:r>
          </w:p>
        </w:tc>
        <w:tc>
          <w:tcPr>
            <w:tcW w:w="820" w:type="dxa"/>
            <w:vAlign w:val="bottom"/>
            <w:gridSpan w:val="2"/>
          </w:tcPr>
          <w:p>
            <w:pPr>
              <w:jc w:val="right"/>
              <w:ind w:right="122"/>
              <w:spacing w:after="0" w:line="145" w:lineRule="exact"/>
              <w:rPr>
                <w:sz w:val="20"/>
                <w:szCs w:val="20"/>
                <w:color w:val="auto"/>
              </w:rPr>
            </w:pPr>
            <w:r>
              <w:rPr>
                <w:rFonts w:ascii="Times New Roman" w:cs="Times New Roman" w:eastAsia="Times New Roman" w:hAnsi="Times New Roman"/>
                <w:sz w:val="13"/>
                <w:szCs w:val="13"/>
                <w:color w:val="auto"/>
              </w:rPr>
              <w:t>133,844</w:t>
            </w:r>
          </w:p>
        </w:tc>
        <w:tc>
          <w:tcPr>
            <w:tcW w:w="740" w:type="dxa"/>
            <w:vAlign w:val="bottom"/>
            <w:gridSpan w:val="2"/>
          </w:tcPr>
          <w:p>
            <w:pPr>
              <w:jc w:val="right"/>
              <w:ind w:right="62"/>
              <w:spacing w:after="0" w:line="145" w:lineRule="exact"/>
              <w:rPr>
                <w:sz w:val="20"/>
                <w:szCs w:val="20"/>
                <w:color w:val="auto"/>
              </w:rPr>
            </w:pPr>
            <w:r>
              <w:rPr>
                <w:rFonts w:ascii="Times New Roman" w:cs="Times New Roman" w:eastAsia="Times New Roman" w:hAnsi="Times New Roman"/>
                <w:sz w:val="13"/>
                <w:szCs w:val="13"/>
                <w:color w:val="auto"/>
              </w:rPr>
              <w:t>200,758</w:t>
            </w:r>
          </w:p>
        </w:tc>
        <w:tc>
          <w:tcPr>
            <w:tcW w:w="78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4,749</w:t>
            </w:r>
          </w:p>
        </w:tc>
        <w:tc>
          <w:tcPr>
            <w:tcW w:w="840" w:type="dxa"/>
            <w:vAlign w:val="bottom"/>
            <w:gridSpan w:val="3"/>
          </w:tcPr>
          <w:p>
            <w:pPr>
              <w:jc w:val="right"/>
              <w:ind w:right="62"/>
              <w:spacing w:after="0" w:line="145" w:lineRule="exact"/>
              <w:rPr>
                <w:sz w:val="20"/>
                <w:szCs w:val="20"/>
                <w:color w:val="auto"/>
              </w:rPr>
            </w:pPr>
            <w:r>
              <w:rPr>
                <w:rFonts w:ascii="Times New Roman" w:cs="Times New Roman" w:eastAsia="Times New Roman" w:hAnsi="Times New Roman"/>
                <w:sz w:val="13"/>
                <w:szCs w:val="13"/>
                <w:color w:val="auto"/>
              </w:rPr>
              <w:t>8,305</w:t>
            </w:r>
          </w:p>
        </w:tc>
        <w:tc>
          <w:tcPr>
            <w:tcW w:w="920" w:type="dxa"/>
            <w:vAlign w:val="bottom"/>
            <w:gridSpan w:val="3"/>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4,289,285</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1,905,886</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123,416</w:t>
            </w:r>
          </w:p>
        </w:tc>
        <w:tc>
          <w:tcPr>
            <w:tcW w:w="80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142,551</w:t>
            </w:r>
          </w:p>
        </w:tc>
        <w:tc>
          <w:tcPr>
            <w:tcW w:w="7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660,548</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color w:val="auto"/>
              </w:rPr>
              <w:t>3,086,181</w:t>
            </w:r>
          </w:p>
        </w:tc>
        <w:tc>
          <w:tcPr>
            <w:tcW w:w="16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3"/>
                <w:szCs w:val="13"/>
                <w:color w:val="auto"/>
              </w:rPr>
              <w:t>5,918,582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32,474,909</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11,268,182</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23,523,161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56,005,578</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20,683,956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143,955,786</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31,018,880</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10,759,182</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23,689,044</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26,032,081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18,097,322</w:t>
            </w: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109,596,509</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Derivative financial liabilities</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Contractual amounts receivable</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576,992</w:t>
            </w:r>
          </w:p>
        </w:tc>
        <w:tc>
          <w:tcPr>
            <w:tcW w:w="8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3"/>
                <w:szCs w:val="13"/>
                <w:color w:val="auto"/>
              </w:rPr>
              <w:t>150,223</w:t>
            </w:r>
          </w:p>
        </w:tc>
        <w:tc>
          <w:tcPr>
            <w:tcW w:w="74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550,989</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1,765,538</w:t>
            </w:r>
          </w:p>
        </w:tc>
        <w:tc>
          <w:tcPr>
            <w:tcW w:w="840" w:type="dxa"/>
            <w:vAlign w:val="bottom"/>
            <w:gridSpan w:val="3"/>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522,802</w:t>
            </w: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3,566,544</w:t>
            </w:r>
          </w:p>
        </w:tc>
        <w:tc>
          <w:tcPr>
            <w:tcW w:w="8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3"/>
                <w:szCs w:val="13"/>
                <w:color w:val="auto"/>
              </w:rPr>
              <w:t>990,499</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766,469</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1,509,604</w:t>
            </w:r>
          </w:p>
        </w:tc>
        <w:tc>
          <w:tcPr>
            <w:tcW w:w="14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2,218,047</w:t>
            </w:r>
          </w:p>
        </w:tc>
        <w:tc>
          <w:tcPr>
            <w:tcW w:w="80" w:type="dxa"/>
            <w:vAlign w:val="bottom"/>
          </w:tcPr>
          <w:p>
            <w:pPr>
              <w:spacing w:after="0"/>
              <w:rPr>
                <w:sz w:val="9"/>
                <w:szCs w:val="9"/>
                <w:color w:val="auto"/>
              </w:rPr>
            </w:pP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318,060</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5,802,679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(Inflows)</w:t>
            </w:r>
          </w:p>
        </w:tc>
        <w:tc>
          <w:tcPr>
            <w:tcW w:w="8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Contractual amounts payable</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(outflows)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301,709</w:t>
            </w:r>
          </w:p>
        </w:tc>
        <w:tc>
          <w:tcPr>
            <w:tcW w:w="8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rPr>
              <w:t>305,279</w:t>
            </w:r>
          </w:p>
        </w:tc>
        <w:tc>
          <w:tcPr>
            <w:tcW w:w="7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588,079</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1,714,861</w:t>
            </w:r>
          </w:p>
        </w:tc>
        <w:tc>
          <w:tcPr>
            <w:tcW w:w="84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3"/>
                <w:szCs w:val="13"/>
                <w:color w:val="auto"/>
              </w:rPr>
              <w:t>552,438</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3,462,366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1,036,265</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754,503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1,466,475</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2,058,000</w:t>
            </w: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294,818</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5,610,061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275,283</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(155,056</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(37,090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50,677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(29,636</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104,178</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(45,766</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11,966</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43,129</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160,047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23,242</w:t>
            </w:r>
          </w:p>
        </w:tc>
        <w:tc>
          <w:tcPr>
            <w:tcW w:w="1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192,618</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Including derivative contracts designated for hedge accounting.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color w:val="auto"/>
        </w:rPr>
        <w:t>34.4 Operational risk -</w:t>
      </w:r>
    </w:p>
    <w:p>
      <w:pPr>
        <w:spacing w:after="0" w:line="205"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6"/>
          <w:szCs w:val="16"/>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Group’s objective, through one of its pillars, is to develop an efficient risk culture, and to achieve this, it records operational risks and their respective process controls. The risk map permits their monitoring, prioritization and proposed treatment according to established governance. Operational Risks are grouped into Internal Fraud, External Fraud, Labor Relations and Job Security, Relations with Clients, business products and practices, Damages to material assets, business and systems interruption, and Failures in process execution, delivery and management.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34.5 Risk of the insurance activity -</w:t>
      </w:r>
    </w:p>
    <w:p>
      <w:pPr>
        <w:spacing w:after="0" w:line="20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5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6"/>
          <w:szCs w:val="16"/>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Life insurance contracts -</w:t>
      </w:r>
    </w:p>
    <w:p>
      <w:pPr>
        <w:spacing w:after="0" w:line="205"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The main risks that the Group is exposed to are mortality, morbidity, longevity, investment return, expense incurred of loss arising from expense experience being different than expected, and policyholder decision, all of which, do not vary significantly in relation to the location of the risk insured by the Group, type of risk insured or industry.</w:t>
      </w:r>
    </w:p>
    <w:p>
      <w:pPr>
        <w:spacing w:after="0" w:line="14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Group’s underwriting strategy is designed to ensure that risks are well diversified in terms of type of risk and level of insured benefits. This is largely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61"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6"/>
          <w:szCs w:val="16"/>
          <w:color w:val="auto"/>
        </w:rPr>
        <w:t>For contracts when death is the insured risk, the significant factors that could increase the overall frequency of claims are epidemics, widespread changes in lifestyle and natural disasters, resulting in earlier or more claims than expected.</w:t>
      </w:r>
    </w:p>
    <w:p>
      <w:pPr>
        <w:spacing w:after="0" w:line="143"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6"/>
          <w:szCs w:val="16"/>
          <w:color w:val="auto"/>
        </w:rPr>
        <w:t>For retirement, survival and disability annuities contracts, the most significant factor is continuing improvement in medical science and social conditions that would increase longevity.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has performed a sensitivity analysis of the technical reserve estimates, note 16(c).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Non-life insurance contracts (general insurance and healthcare) -</w:t>
      </w:r>
    </w:p>
    <w:p>
      <w:pPr>
        <w:spacing w:after="0" w:line="205"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6"/>
          <w:szCs w:val="16"/>
          <w:color w:val="auto"/>
        </w:rPr>
        <w:t>The Group mainly issues the following types of non-life general insurance contracts: automobile, home, business and healthcare insurances. Healthcare contracts provide medical expense cover to policyholders. Risks under non-life insurance policies usually cover 12 months.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0"/>
          </w:cols>
          <w:pgMar w:left="240" w:top="822" w:right="259" w:bottom="1440" w:gutter="0" w:footer="0" w:header="0"/>
        </w:sectPr>
      </w:pPr>
    </w:p>
    <w:bookmarkStart w:id="140" w:name="page141"/>
    <w:bookmarkEnd w:id="140"/>
    <w:p>
      <w:pPr>
        <w:ind w:left="3" w:right="160"/>
        <w:spacing w:after="0" w:line="285" w:lineRule="auto"/>
        <w:rPr>
          <w:sz w:val="20"/>
          <w:szCs w:val="20"/>
          <w:color w:val="auto"/>
        </w:rPr>
      </w:pPr>
      <w:r>
        <w:rPr>
          <w:rFonts w:ascii="Times New Roman" w:cs="Times New Roman" w:eastAsia="Times New Roman" w:hAnsi="Times New Roman"/>
          <w:sz w:val="16"/>
          <w:szCs w:val="16"/>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These risks do not vary significantly in relation to the location of the risk insured by the Group, type of risk insured or industry.</w:t>
      </w:r>
    </w:p>
    <w:p>
      <w:pPr>
        <w:spacing w:after="0" w:line="203"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16"/>
          <w:szCs w:val="16"/>
          <w:color w:val="auto"/>
        </w:rPr>
        <w:t>The above risk exposures are mitigated by diversification across a large portfolio of insurance contracts. The variability of risk is improved by careful selection and implementation of underwriting strategies, which are designed to ensure that risks are diversified in terms of type of risks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67" w:lineRule="exact"/>
        <w:rPr>
          <w:sz w:val="20"/>
          <w:szCs w:val="20"/>
          <w:color w:val="auto"/>
        </w:rPr>
      </w:pPr>
    </w:p>
    <w:p>
      <w:pPr>
        <w:ind w:left="3" w:right="120"/>
        <w:spacing w:after="0" w:line="285" w:lineRule="auto"/>
        <w:rPr>
          <w:sz w:val="20"/>
          <w:szCs w:val="20"/>
          <w:color w:val="auto"/>
        </w:rPr>
      </w:pPr>
      <w:r>
        <w:rPr>
          <w:rFonts w:ascii="Times New Roman" w:cs="Times New Roman" w:eastAsia="Times New Roman" w:hAnsi="Times New Roman"/>
          <w:sz w:val="16"/>
          <w:szCs w:val="16"/>
          <w:color w:val="auto"/>
        </w:rPr>
        <w:t>The Group has also limited its exposure by imposing maximum claim amounts on certain contracts as well as the use of reinsurance arrangements in order to limit its exposure to catastrophic events.</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Credit risk of the insurance activity -</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Credit risk is the risk that one party to a financial instrument will cause a financial loss to the other party by failing to discharge an obligation.</w:t>
      </w:r>
    </w:p>
    <w:p>
      <w:pPr>
        <w:spacing w:after="0" w:line="2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following policies and procedures are in place to mitigate the Group’s exposure to credit risk:</w:t>
      </w:r>
    </w:p>
    <w:p>
      <w:pPr>
        <w:spacing w:after="0" w:line="203" w:lineRule="exact"/>
        <w:rPr>
          <w:sz w:val="20"/>
          <w:szCs w:val="20"/>
          <w:color w:val="auto"/>
        </w:rPr>
      </w:pPr>
    </w:p>
    <w:p>
      <w:pPr>
        <w:ind w:left="283" w:hanging="283"/>
        <w:spacing w:after="0"/>
        <w:tabs>
          <w:tab w:leader="none" w:pos="283"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sets the maximum amounts and limits that may be advanced to corporate counterparties by reference to their long- term credit ratings.</w:t>
      </w:r>
    </w:p>
    <w:p>
      <w:pPr>
        <w:spacing w:after="0" w:line="202" w:lineRule="exact"/>
        <w:rPr>
          <w:rFonts w:ascii="Times New Roman" w:cs="Times New Roman" w:eastAsia="Times New Roman" w:hAnsi="Times New Roman"/>
          <w:sz w:val="16"/>
          <w:szCs w:val="16"/>
          <w:color w:val="auto"/>
        </w:rPr>
      </w:pPr>
    </w:p>
    <w:p>
      <w:pPr>
        <w:ind w:left="283" w:right="580" w:hanging="283"/>
        <w:spacing w:after="0" w:line="285" w:lineRule="auto"/>
        <w:tabs>
          <w:tab w:leader="none" w:pos="283"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43" w:lineRule="exact"/>
        <w:rPr>
          <w:rFonts w:ascii="Times New Roman" w:cs="Times New Roman" w:eastAsia="Times New Roman" w:hAnsi="Times New Roman"/>
          <w:sz w:val="16"/>
          <w:szCs w:val="16"/>
          <w:color w:val="auto"/>
        </w:rPr>
      </w:pPr>
    </w:p>
    <w:p>
      <w:pPr>
        <w:ind w:left="283" w:right="260" w:hanging="283"/>
        <w:spacing w:after="0" w:line="268" w:lineRule="auto"/>
        <w:tabs>
          <w:tab w:leader="none" w:pos="283"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a suitable allowance for impairment.</w:t>
      </w:r>
    </w:p>
    <w:p>
      <w:pPr>
        <w:spacing w:after="0" w:line="157" w:lineRule="exact"/>
        <w:rPr>
          <w:rFonts w:ascii="Times New Roman" w:cs="Times New Roman" w:eastAsia="Times New Roman" w:hAnsi="Times New Roman"/>
          <w:sz w:val="16"/>
          <w:szCs w:val="16"/>
          <w:color w:val="auto"/>
        </w:rPr>
      </w:pPr>
    </w:p>
    <w:p>
      <w:pPr>
        <w:ind w:left="283" w:right="540" w:hanging="283"/>
        <w:spacing w:after="0" w:line="285" w:lineRule="auto"/>
        <w:tabs>
          <w:tab w:leader="none" w:pos="283"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43" w:lineRule="exact"/>
        <w:rPr>
          <w:rFonts w:ascii="Times New Roman" w:cs="Times New Roman" w:eastAsia="Times New Roman" w:hAnsi="Times New Roman"/>
          <w:sz w:val="16"/>
          <w:szCs w:val="16"/>
          <w:color w:val="auto"/>
        </w:rPr>
      </w:pPr>
    </w:p>
    <w:p>
      <w:pPr>
        <w:ind w:left="283" w:right="120" w:hanging="283"/>
        <w:spacing w:after="0" w:line="285" w:lineRule="auto"/>
        <w:tabs>
          <w:tab w:leader="none" w:pos="283"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issues unit-linked contracts whereby the policyholder bears the investment risk on the financial assets held in the Company’s investment portfolio as the policy benefits are directly linked to the value of the assets in the portfolio. Therefore, the Group has no material credit risk on unit- linked financial assets.</w:t>
      </w:r>
    </w:p>
    <w:p>
      <w:pPr>
        <w:spacing w:after="0" w:line="336" w:lineRule="exact"/>
        <w:rPr>
          <w:rFonts w:ascii="Times New Roman" w:cs="Times New Roman" w:eastAsia="Times New Roman" w:hAnsi="Times New Roman"/>
          <w:sz w:val="16"/>
          <w:szCs w:val="16"/>
          <w:color w:val="auto"/>
        </w:rPr>
      </w:pPr>
    </w:p>
    <w:p>
      <w:pPr>
        <w:ind w:left="5603" w:hanging="95"/>
        <w:spacing w:after="0"/>
        <w:tabs>
          <w:tab w:leader="none" w:pos="5603"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141" w:name="page142"/>
    <w:bookmarkEnd w:id="141"/>
    <w:p>
      <w:pPr>
        <w:ind w:left="3"/>
        <w:spacing w:after="0"/>
        <w:rPr>
          <w:sz w:val="20"/>
          <w:szCs w:val="20"/>
          <w:color w:val="auto"/>
        </w:rPr>
      </w:pPr>
      <w:r>
        <w:rPr>
          <w:rFonts w:ascii="Times New Roman" w:cs="Times New Roman" w:eastAsia="Times New Roman" w:hAnsi="Times New Roman"/>
          <w:sz w:val="16"/>
          <w:szCs w:val="16"/>
          <w:b w:val="1"/>
          <w:bCs w:val="1"/>
          <w:color w:val="auto"/>
        </w:rPr>
        <w:t>34.6 Capital management -</w:t>
      </w:r>
    </w:p>
    <w:p>
      <w:pPr>
        <w:spacing w:after="0" w:line="205" w:lineRule="exact"/>
        <w:rPr>
          <w:sz w:val="20"/>
          <w:szCs w:val="20"/>
          <w:color w:val="auto"/>
        </w:rPr>
      </w:pPr>
    </w:p>
    <w:p>
      <w:pPr>
        <w:ind w:left="3"/>
        <w:spacing w:after="0" w:line="285" w:lineRule="auto"/>
        <w:rPr>
          <w:sz w:val="20"/>
          <w:szCs w:val="20"/>
          <w:color w:val="auto"/>
        </w:rPr>
      </w:pPr>
      <w:r>
        <w:rPr>
          <w:rFonts w:ascii="Times New Roman" w:cs="Times New Roman" w:eastAsia="Times New Roman" w:hAnsi="Times New Roman"/>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Group’s objectives when managing capital are: (i) to comply with the capital requirements set by the regulators of the markets where the entities within the Group operate;</w:t>
      </w:r>
    </w:p>
    <w:p>
      <w:pPr>
        <w:spacing w:after="0" w:line="26" w:lineRule="exact"/>
        <w:rPr>
          <w:sz w:val="20"/>
          <w:szCs w:val="20"/>
          <w:color w:val="auto"/>
        </w:rPr>
      </w:pPr>
    </w:p>
    <w:p>
      <w:pPr>
        <w:ind w:left="3" w:right="380" w:hanging="3"/>
        <w:spacing w:after="0" w:line="264" w:lineRule="auto"/>
        <w:tabs>
          <w:tab w:leader="none" w:pos="241"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59" w:lineRule="exact"/>
        <w:rPr>
          <w:sz w:val="20"/>
          <w:szCs w:val="20"/>
          <w:color w:val="auto"/>
        </w:rPr>
      </w:pPr>
    </w:p>
    <w:p>
      <w:pPr>
        <w:ind w:left="3" w:right="60"/>
        <w:spacing w:after="0" w:line="258" w:lineRule="auto"/>
        <w:rPr>
          <w:sz w:val="20"/>
          <w:szCs w:val="20"/>
          <w:color w:val="auto"/>
        </w:rPr>
      </w:pPr>
      <w:r>
        <w:rPr>
          <w:rFonts w:ascii="Times New Roman" w:cs="Times New Roman" w:eastAsia="Times New Roman" w:hAnsi="Times New Roman"/>
          <w:sz w:val="16"/>
          <w:szCs w:val="16"/>
          <w:color w:val="auto"/>
        </w:rPr>
        <w:t>Legislative Decree N° 1028 modified the Banking Law, establishing that regulatory capital must be equal to or more than 10 percent of total risk weighted assets and contingent operations, represented by the sum of: the regulatory capital requirement for market risk multiplied by 10, the regulatory capital requirement for operational risk multiplied by 10 and the weighted assets and contingent credits by credit risk. This calculation must include all balance sheet exposures or assets in local or foreign currency. As of December 31, 2016 and 2015, the minimum requirement is 10.0 percent. Also, by means of SBS Resolution No.8425- 2011 dated July 2011 the SBS requires an additional effective equity per economic cycle, concentration risk, market concentration risk, interest rate risk and other risks. Peruvian financial entities have a 5-year-term from July 2011 to adjust their total effective equity to the requested level.</w:t>
      </w:r>
    </w:p>
    <w:p>
      <w:pPr>
        <w:spacing w:after="0" w:line="167" w:lineRule="exact"/>
        <w:rPr>
          <w:sz w:val="20"/>
          <w:szCs w:val="20"/>
          <w:color w:val="auto"/>
        </w:rPr>
      </w:pPr>
    </w:p>
    <w:p>
      <w:pPr>
        <w:ind w:left="3"/>
        <w:spacing w:after="0" w:line="263" w:lineRule="auto"/>
        <w:rPr>
          <w:sz w:val="20"/>
          <w:szCs w:val="20"/>
          <w:color w:val="auto"/>
        </w:rPr>
      </w:pPr>
      <w:r>
        <w:rPr>
          <w:rFonts w:ascii="Times New Roman" w:cs="Times New Roman" w:eastAsia="Times New Roman" w:hAnsi="Times New Roman"/>
          <w:sz w:val="16"/>
          <w:szCs w:val="16"/>
          <w:color w:val="auto"/>
        </w:rPr>
        <w:t>As of December 31, 2016 and 2015, the regulatory capital for the subsidiaries engaged in financial and insurance activities amounted to approximately S/21,174.7 million and S/18,614.7 million, respectively. The regulatory capital has been determined in accordance with SBS regulations in force as of said dates. Under the SBS regulations, the Group’s regulatory capital exceeds by approximately S/3,915.7 million the minimum regulatory capital required as of December 31, 2016 (approximately S/1,834.4 million as of December 31, 2015)</w:t>
      </w:r>
    </w:p>
    <w:p>
      <w:pPr>
        <w:spacing w:after="0" w:line="35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2" w:right="239" w:bottom="1440" w:gutter="0" w:footer="0" w:header="0"/>
        </w:sectPr>
      </w:pPr>
    </w:p>
    <w:bookmarkStart w:id="142" w:name="page143"/>
    <w:bookmarkEnd w:id="142"/>
    <w:p>
      <w:pPr>
        <w:ind w:left="3"/>
        <w:spacing w:after="0"/>
        <w:rPr>
          <w:sz w:val="20"/>
          <w:szCs w:val="20"/>
          <w:color w:val="auto"/>
        </w:rPr>
      </w:pPr>
      <w:r>
        <w:rPr>
          <w:rFonts w:ascii="Times New Roman" w:cs="Times New Roman" w:eastAsia="Times New Roman" w:hAnsi="Times New Roman"/>
          <w:sz w:val="16"/>
          <w:szCs w:val="16"/>
          <w:b w:val="1"/>
          <w:bCs w:val="1"/>
          <w:color w:val="auto"/>
        </w:rPr>
        <w:t>34.7 Fair values -</w:t>
      </w:r>
    </w:p>
    <w:p>
      <w:pPr>
        <w:spacing w:after="0" w:line="205" w:lineRule="exact"/>
        <w:rPr>
          <w:sz w:val="20"/>
          <w:szCs w:val="20"/>
          <w:color w:val="auto"/>
        </w:rPr>
      </w:pPr>
    </w:p>
    <w:p>
      <w:pPr>
        <w:ind w:left="283" w:hanging="283"/>
        <w:spacing w:after="0"/>
        <w:tabs>
          <w:tab w:leader="none" w:pos="28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instruments recorded at fair value and fair value hierarchy -</w:t>
      </w:r>
    </w:p>
    <w:p>
      <w:pPr>
        <w:spacing w:after="0" w:line="203" w:lineRule="exact"/>
        <w:rPr>
          <w:sz w:val="20"/>
          <w:szCs w:val="20"/>
          <w:color w:val="auto"/>
        </w:rPr>
      </w:pPr>
    </w:p>
    <w:p>
      <w:pPr>
        <w:ind w:left="283"/>
        <w:spacing w:after="0" w:line="285" w:lineRule="auto"/>
        <w:rPr>
          <w:sz w:val="20"/>
          <w:szCs w:val="20"/>
          <w:color w:val="auto"/>
        </w:rPr>
      </w:pPr>
      <w:r>
        <w:rPr>
          <w:rFonts w:ascii="Times New Roman" w:cs="Times New Roman" w:eastAsia="Times New Roman" w:hAnsi="Times New Roman"/>
          <w:sz w:val="16"/>
          <w:szCs w:val="16"/>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50" w:lineRule="exact"/>
        <w:rPr>
          <w:sz w:val="20"/>
          <w:szCs w:val="20"/>
          <w:color w:val="auto"/>
        </w:rPr>
      </w:pPr>
    </w:p>
    <w:tbl>
      <w:tblPr>
        <w:tblLayout w:type="fixed"/>
        <w:tblInd w:w="3623" w:type="dxa"/>
        <w:tblCellMar>
          <w:top w:w="0" w:type="dxa"/>
          <w:left w:w="0" w:type="dxa"/>
          <w:bottom w:w="0" w:type="dxa"/>
          <w:right w:w="0" w:type="dxa"/>
        </w:tblCellMar>
      </w:tblPr>
      <w:tr>
        <w:trPr>
          <w:trHeight w:val="155"/>
        </w:trPr>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As of December 31, 2016</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As of December 31, 2015</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 w:type="dxa"/>
            <w:vAlign w:val="bottom"/>
            <w:gridSpan w:val="2"/>
            <w:vMerge w:val="continue"/>
          </w:tcPr>
          <w:p>
            <w:pPr>
              <w:spacing w:after="0"/>
              <w:rPr>
                <w:sz w:val="11"/>
                <w:szCs w:val="11"/>
                <w:color w:val="auto"/>
              </w:rPr>
            </w:pPr>
          </w:p>
        </w:tc>
        <w:tc>
          <w:tcPr>
            <w:tcW w:w="66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120" w:type="dxa"/>
            <w:vAlign w:val="bottom"/>
            <w:gridSpan w:val="3"/>
          </w:tcPr>
          <w:p>
            <w:pPr>
              <w:ind w:left="220"/>
              <w:spacing w:after="0" w:line="13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66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90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1"/>
                <w:szCs w:val="11"/>
                <w:color w:val="auto"/>
              </w:rPr>
            </w:pPr>
          </w:p>
        </w:tc>
        <w:tc>
          <w:tcPr>
            <w:tcW w:w="64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92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80" w:type="dxa"/>
            <w:vAlign w:val="bottom"/>
            <w:gridSpan w:val="3"/>
          </w:tcPr>
          <w:p>
            <w:pPr>
              <w:ind w:left="220"/>
              <w:spacing w:after="0" w:line="13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70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9"/>
        </w:trPr>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3" w:type="dxa"/>
        <w:tblCellMar>
          <w:top w:w="0" w:type="dxa"/>
          <w:left w:w="0" w:type="dxa"/>
          <w:bottom w:w="0" w:type="dxa"/>
          <w:right w:w="0" w:type="dxa"/>
        </w:tblCellMar>
      </w:tblPr>
      <w:tr>
        <w:trPr>
          <w:trHeight w:val="139"/>
        </w:trPr>
        <w:tc>
          <w:tcPr>
            <w:tcW w:w="3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Financial assets</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Derivative finnacial instruments:</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Forward foreign exchange</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73,722</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73,722</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92,132</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92,132</w:t>
            </w: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Interest rate swaps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310,221</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310,221</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470,477</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470,477</w:t>
            </w: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Cross currency swaps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108,241</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108,241</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63,748</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63,748</w:t>
            </w: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Currency swaps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428,928</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428,928</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839,087</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839,087</w:t>
            </w:r>
          </w:p>
        </w:tc>
      </w:tr>
      <w:tr>
        <w:trPr>
          <w:trHeight w:val="145"/>
        </w:trPr>
        <w:tc>
          <w:tcPr>
            <w:tcW w:w="3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Foreign currency options</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21,490</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21,490</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10,072</w:t>
            </w: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10,072</w:t>
            </w:r>
          </w:p>
        </w:tc>
      </w:tr>
      <w:tr>
        <w:trPr>
          <w:trHeight w:val="125"/>
        </w:trPr>
        <w:tc>
          <w:tcPr>
            <w:tcW w:w="3120" w:type="dxa"/>
            <w:vAlign w:val="bottom"/>
          </w:tcPr>
          <w:p>
            <w:pPr>
              <w:spacing w:after="0"/>
              <w:rPr>
                <w:sz w:val="10"/>
                <w:szCs w:val="10"/>
                <w:color w:val="auto"/>
              </w:rPr>
            </w:pPr>
          </w:p>
        </w:tc>
        <w:tc>
          <w:tcPr>
            <w:tcW w:w="860" w:type="dxa"/>
            <w:vAlign w:val="bottom"/>
          </w:tcPr>
          <w:p>
            <w:pPr>
              <w:jc w:val="center"/>
              <w:ind w:left="36"/>
              <w:spacing w:after="0" w:line="125" w:lineRule="exact"/>
              <w:rPr>
                <w:sz w:val="20"/>
                <w:szCs w:val="20"/>
                <w:color w:val="auto"/>
              </w:rPr>
            </w:pPr>
            <w:r>
              <w:rPr>
                <w:rFonts w:ascii="Times New Roman" w:cs="Times New Roman" w:eastAsia="Times New Roman" w:hAnsi="Times New Roman"/>
                <w:sz w:val="13"/>
                <w:szCs w:val="13"/>
                <w:color w:val="auto"/>
                <w:w w:val="99"/>
              </w:rPr>
              <w:t>12(b)</w:t>
            </w: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942,602</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942,602</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1,475,516</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1,475,516</w:t>
            </w:r>
          </w:p>
        </w:tc>
        <w:tc>
          <w:tcPr>
            <w:tcW w:w="100" w:type="dxa"/>
            <w:vAlign w:val="bottom"/>
          </w:tcPr>
          <w:p>
            <w:pPr>
              <w:spacing w:after="0"/>
              <w:rPr>
                <w:sz w:val="10"/>
                <w:szCs w:val="10"/>
                <w:color w:val="auto"/>
              </w:rPr>
            </w:pPr>
          </w:p>
        </w:tc>
      </w:tr>
      <w:tr>
        <w:trPr>
          <w:trHeight w:val="133"/>
        </w:trPr>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Trading securities</w:t>
            </w:r>
          </w:p>
        </w:tc>
        <w:tc>
          <w:tcPr>
            <w:tcW w:w="86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843,939</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3,162,322</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8,758</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4,015,019</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805,256</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1,513,746</w:t>
            </w: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4,094</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2,323,096</w:t>
            </w: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Financial assets at fair value through profit or loss</w:t>
            </w:r>
          </w:p>
        </w:tc>
        <w:tc>
          <w:tcPr>
            <w:tcW w:w="860" w:type="dxa"/>
            <w:vAlign w:val="bottom"/>
            <w:shd w:val="clear" w:color="auto" w:fill="CCEEFF"/>
          </w:tcPr>
          <w:p>
            <w:pPr>
              <w:jc w:val="center"/>
              <w:ind w:left="36"/>
              <w:spacing w:after="0" w:line="133" w:lineRule="exact"/>
              <w:rPr>
                <w:sz w:val="20"/>
                <w:szCs w:val="20"/>
                <w:color w:val="auto"/>
              </w:rPr>
            </w:pPr>
            <w:r>
              <w:rPr>
                <w:rFonts w:ascii="Times New Roman" w:cs="Times New Roman" w:eastAsia="Times New Roman" w:hAnsi="Times New Roman"/>
                <w:sz w:val="13"/>
                <w:szCs w:val="13"/>
                <w:color w:val="auto"/>
                <w:w w:val="95"/>
              </w:rPr>
              <w:t>8(a)</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377,552</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79,988</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1,559</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459,099</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260,435</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89,893</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350,328</w:t>
            </w:r>
          </w:p>
        </w:tc>
      </w:tr>
      <w:tr>
        <w:trPr>
          <w:trHeight w:val="133"/>
        </w:trPr>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Available-for-sale investments: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Debt instruments</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Certificates of deposit BCRP</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4,802,608</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4,802,608</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4,593,585</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4,593,585</w:t>
            </w: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Corporate bonds, leases and subordinate</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3,830,740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4,209,173</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109,493</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8,149,406</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3,574,627</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4,031,865</w:t>
            </w: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92,304</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7,698,796</w:t>
            </w: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Government treasury bonds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1,688,930</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558,693</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2,247,623</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1,987,849</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814,614</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2,802,463</w:t>
            </w: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Mutual funds</w:t>
            </w:r>
          </w:p>
        </w:tc>
        <w:tc>
          <w:tcPr>
            <w:tcW w:w="86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55,052</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466,574</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139,140</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660,766</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54,709</w:t>
            </w:r>
          </w:p>
        </w:tc>
        <w:tc>
          <w:tcPr>
            <w:tcW w:w="9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335,764</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106,153</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496,626</w:t>
            </w: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Other instruments</w:t>
            </w:r>
          </w:p>
        </w:tc>
        <w:tc>
          <w:tcPr>
            <w:tcW w:w="8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26,571</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804,192</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36,613</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867,376</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141,743</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798,566</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87,824</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1,028,133</w:t>
            </w:r>
          </w:p>
        </w:tc>
      </w:tr>
      <w:tr>
        <w:trPr>
          <w:trHeight w:val="145"/>
        </w:trPr>
        <w:tc>
          <w:tcPr>
            <w:tcW w:w="312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Equity instruments</w:t>
            </w:r>
          </w:p>
        </w:tc>
        <w:tc>
          <w:tcPr>
            <w:tcW w:w="8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1,197,358</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665,158</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95,372</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1,957,888</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1,320,114</w:t>
            </w:r>
          </w:p>
        </w:tc>
        <w:tc>
          <w:tcPr>
            <w:tcW w:w="92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715,170</w:t>
            </w:r>
          </w:p>
        </w:tc>
        <w:tc>
          <w:tcPr>
            <w:tcW w:w="86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114,033</w:t>
            </w:r>
          </w:p>
        </w:tc>
        <w:tc>
          <w:tcPr>
            <w:tcW w:w="80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2,149,317</w:t>
            </w:r>
          </w:p>
        </w:tc>
      </w:tr>
      <w:tr>
        <w:trPr>
          <w:trHeight w:val="125"/>
        </w:trPr>
        <w:tc>
          <w:tcPr>
            <w:tcW w:w="3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jc w:val="center"/>
              <w:ind w:left="36"/>
              <w:spacing w:after="0" w:line="125" w:lineRule="exact"/>
              <w:rPr>
                <w:sz w:val="20"/>
                <w:szCs w:val="20"/>
                <w:color w:val="auto"/>
              </w:rPr>
            </w:pPr>
            <w:r>
              <w:rPr>
                <w:rFonts w:ascii="Times New Roman" w:cs="Times New Roman" w:eastAsia="Times New Roman" w:hAnsi="Times New Roman"/>
                <w:sz w:val="13"/>
                <w:szCs w:val="13"/>
                <w:color w:val="auto"/>
                <w:w w:val="95"/>
              </w:rPr>
              <w:t>6(a)</w:t>
            </w: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6,798,651</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11,506,398</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380,618</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18,685,667</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7,079,042</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11,289,564</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400,314</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18,768,921</w:t>
            </w:r>
          </w:p>
        </w:tc>
        <w:tc>
          <w:tcPr>
            <w:tcW w:w="100" w:type="dxa"/>
            <w:vAlign w:val="bottom"/>
            <w:tcBorders>
              <w:top w:val="single" w:sz="8" w:color="CCEEFF"/>
            </w:tcBorders>
            <w:shd w:val="clear" w:color="auto" w:fill="CCEEFF"/>
          </w:tcPr>
          <w:p>
            <w:pPr>
              <w:spacing w:after="0"/>
              <w:rPr>
                <w:sz w:val="10"/>
                <w:szCs w:val="10"/>
                <w:color w:val="auto"/>
              </w:rPr>
            </w:pPr>
          </w:p>
        </w:tc>
      </w:tr>
      <w:tr>
        <w:trPr>
          <w:trHeight w:val="125"/>
        </w:trPr>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3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Total financial assets</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8,020,142</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15,691,310</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390,935</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24,102,387</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8,144,733</w:t>
            </w: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14,368,719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404,408</w:t>
            </w:r>
          </w:p>
        </w:tc>
        <w:tc>
          <w:tcPr>
            <w:tcW w:w="80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22,917,860</w:t>
            </w:r>
          </w:p>
        </w:tc>
      </w:tr>
      <w:tr>
        <w:trPr>
          <w:trHeight w:val="125"/>
        </w:trPr>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Financial liabilities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Derivatives financial instruments:</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Interest rate swaps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60,572</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60,572</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82,940</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82,940</w:t>
            </w: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Foreign exchange forwards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55,437</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55,437</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178,056</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178,056</w:t>
            </w: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Foreign currency swaps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49,329</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49,329</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31,467</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31,467</w:t>
            </w: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Currency swaps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490,475</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490,475</w:t>
            </w: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625,687</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625,687</w:t>
            </w:r>
          </w:p>
        </w:tc>
      </w:tr>
      <w:tr>
        <w:trPr>
          <w:trHeight w:val="145"/>
        </w:trPr>
        <w:tc>
          <w:tcPr>
            <w:tcW w:w="3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Foreign currency options</w:t>
            </w:r>
          </w:p>
        </w:tc>
        <w:tc>
          <w:tcPr>
            <w:tcW w:w="860" w:type="dxa"/>
            <w:vAlign w:val="bottom"/>
            <w:shd w:val="clear" w:color="auto" w:fill="CCEEFF"/>
          </w:tcPr>
          <w:p>
            <w:pPr>
              <w:jc w:val="center"/>
              <w:ind w:left="36"/>
              <w:spacing w:after="0" w:line="145" w:lineRule="exact"/>
              <w:rPr>
                <w:sz w:val="20"/>
                <w:szCs w:val="20"/>
                <w:color w:val="auto"/>
              </w:rPr>
            </w:pPr>
            <w:r>
              <w:rPr>
                <w:rFonts w:ascii="Times New Roman" w:cs="Times New Roman" w:eastAsia="Times New Roman" w:hAnsi="Times New Roman"/>
                <w:sz w:val="13"/>
                <w:szCs w:val="13"/>
                <w:color w:val="auto"/>
                <w:w w:val="99"/>
              </w:rPr>
              <w:t>12(b)</w:t>
            </w: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17,202</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17,202</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24,371</w:t>
            </w: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24,371</w:t>
            </w:r>
          </w:p>
        </w:tc>
      </w:tr>
      <w:tr>
        <w:trPr>
          <w:trHeight w:val="125"/>
        </w:trPr>
        <w:tc>
          <w:tcPr>
            <w:tcW w:w="3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673,015</w:t>
            </w:r>
          </w:p>
        </w:tc>
        <w:tc>
          <w:tcPr>
            <w:tcW w:w="22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673,015</w:t>
            </w:r>
          </w:p>
        </w:tc>
        <w:tc>
          <w:tcPr>
            <w:tcW w:w="2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942,521</w:t>
            </w:r>
          </w:p>
        </w:tc>
        <w:tc>
          <w:tcPr>
            <w:tcW w:w="2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942,521</w:t>
            </w:r>
          </w:p>
        </w:tc>
        <w:tc>
          <w:tcPr>
            <w:tcW w:w="100" w:type="dxa"/>
            <w:vAlign w:val="bottom"/>
            <w:tcBorders>
              <w:bottom w:val="single" w:sz="8" w:color="CCEEFF"/>
            </w:tcBorders>
          </w:tcPr>
          <w:p>
            <w:pPr>
              <w:spacing w:after="0"/>
              <w:rPr>
                <w:sz w:val="10"/>
                <w:szCs w:val="10"/>
                <w:color w:val="auto"/>
              </w:rPr>
            </w:pPr>
          </w:p>
        </w:tc>
      </w:tr>
      <w:tr>
        <w:trPr>
          <w:trHeight w:val="125"/>
        </w:trPr>
        <w:tc>
          <w:tcPr>
            <w:tcW w:w="3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3"/>
        </w:trPr>
        <w:tc>
          <w:tcPr>
            <w:tcW w:w="3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Bonds and notes issued at fair value</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8,412,515</w:t>
            </w:r>
          </w:p>
        </w:tc>
        <w:tc>
          <w:tcPr>
            <w:tcW w:w="8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8,412,515</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8,535,401</w:t>
            </w: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8,535,401</w:t>
            </w: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Financial liabilities at fair value through profit or loss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209,520</w:t>
            </w:r>
          </w:p>
        </w:tc>
        <w:tc>
          <w:tcPr>
            <w:tcW w:w="8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209,520</w:t>
            </w:r>
          </w:p>
        </w:tc>
        <w:tc>
          <w:tcPr>
            <w:tcW w:w="8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47,737</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47,737</w:t>
            </w:r>
          </w:p>
        </w:tc>
      </w:tr>
      <w:tr>
        <w:trPr>
          <w:trHeight w:val="145"/>
        </w:trPr>
        <w:tc>
          <w:tcPr>
            <w:tcW w:w="312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Put options of non-controlling interest</w:t>
            </w:r>
          </w:p>
        </w:tc>
        <w:tc>
          <w:tcPr>
            <w:tcW w:w="860" w:type="dxa"/>
            <w:vAlign w:val="bottom"/>
          </w:tcPr>
          <w:p>
            <w:pPr>
              <w:jc w:val="center"/>
              <w:ind w:left="36"/>
              <w:spacing w:after="0" w:line="145" w:lineRule="exact"/>
              <w:rPr>
                <w:sz w:val="20"/>
                <w:szCs w:val="20"/>
                <w:color w:val="auto"/>
              </w:rPr>
            </w:pPr>
            <w:r>
              <w:rPr>
                <w:rFonts w:ascii="Times New Roman" w:cs="Times New Roman" w:eastAsia="Times New Roman" w:hAnsi="Times New Roman"/>
                <w:sz w:val="13"/>
                <w:szCs w:val="13"/>
                <w:color w:val="auto"/>
                <w:w w:val="95"/>
              </w:rPr>
              <w:t>2(c)</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93,273</w:t>
            </w:r>
          </w:p>
        </w:tc>
        <w:tc>
          <w:tcPr>
            <w:tcW w:w="80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93,273</w:t>
            </w:r>
          </w:p>
        </w:tc>
      </w:tr>
      <w:tr>
        <w:trPr>
          <w:trHeight w:val="125"/>
        </w:trPr>
        <w:tc>
          <w:tcPr>
            <w:tcW w:w="31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 pasivos financieros</w:t>
            </w:r>
          </w:p>
        </w:tc>
        <w:tc>
          <w:tcPr>
            <w:tcW w:w="8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9,295,050</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9,295,050</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9,525,659</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93,273</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9,618,932</w:t>
            </w:r>
          </w:p>
        </w:tc>
        <w:tc>
          <w:tcPr>
            <w:tcW w:w="100" w:type="dxa"/>
            <w:vAlign w:val="bottom"/>
            <w:tcBorders>
              <w:top w:val="single" w:sz="8" w:color="CCEEFF"/>
            </w:tcBorders>
            <w:shd w:val="clear" w:color="auto" w:fill="CCEEFF"/>
          </w:tcPr>
          <w:p>
            <w:pPr>
              <w:spacing w:after="0"/>
              <w:rPr>
                <w:sz w:val="10"/>
                <w:szCs w:val="10"/>
                <w:color w:val="auto"/>
              </w:rPr>
            </w:pPr>
          </w:p>
        </w:tc>
      </w:tr>
    </w:tbl>
    <w:p>
      <w:pPr>
        <w:spacing w:after="0" w:line="370"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6"/>
          <w:szCs w:val="16"/>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2" w:right="279" w:bottom="1440" w:gutter="0" w:footer="0" w:header="0"/>
        </w:sectPr>
      </w:pPr>
    </w:p>
    <w:bookmarkStart w:id="143" w:name="page144"/>
    <w:bookmarkEnd w:id="143"/>
    <w:p>
      <w:pPr>
        <w:spacing w:after="0" w:line="268" w:lineRule="auto"/>
        <w:rPr>
          <w:sz w:val="20"/>
          <w:szCs w:val="20"/>
          <w:color w:val="auto"/>
        </w:rPr>
      </w:pPr>
      <w:r>
        <w:rPr>
          <w:rFonts w:ascii="Times New Roman" w:cs="Times New Roman" w:eastAsia="Times New Roman" w:hAnsi="Times New Roman"/>
          <w:sz w:val="16"/>
          <w:szCs w:val="16"/>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57"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6"/>
          <w:szCs w:val="16"/>
          <w:color w:val="auto"/>
        </w:rPr>
        <w:t>Financial instruments included in the Level 2 category are those that are measured on the basis of observable marke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57"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6"/>
          <w:szCs w:val="16"/>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4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Valuation of derivative financial instruments -</w:t>
      </w:r>
    </w:p>
    <w:p>
      <w:pPr>
        <w:spacing w:after="0" w:line="203" w:lineRule="exact"/>
        <w:rPr>
          <w:sz w:val="20"/>
          <w:szCs w:val="20"/>
          <w:color w:val="auto"/>
        </w:rPr>
      </w:pPr>
    </w:p>
    <w:p>
      <w:pPr>
        <w:ind w:left="300" w:right="160"/>
        <w:spacing w:after="0" w:line="268" w:lineRule="auto"/>
        <w:rPr>
          <w:sz w:val="20"/>
          <w:szCs w:val="20"/>
          <w:color w:val="auto"/>
        </w:rPr>
      </w:pPr>
      <w:r>
        <w:rPr>
          <w:rFonts w:ascii="Times New Roman" w:cs="Times New Roman" w:eastAsia="Times New Roman" w:hAnsi="Times New Roman"/>
          <w:sz w:val="16"/>
          <w:szCs w:val="16"/>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foreign exchange, forward rates and interest rate curves. Options are valued using well-known, widely accepted valuation models.</w:t>
      </w:r>
    </w:p>
    <w:p>
      <w:pPr>
        <w:spacing w:after="0" w:line="157" w:lineRule="exact"/>
        <w:rPr>
          <w:sz w:val="20"/>
          <w:szCs w:val="20"/>
          <w:color w:val="auto"/>
        </w:rPr>
      </w:pPr>
    </w:p>
    <w:p>
      <w:pPr>
        <w:jc w:val="both"/>
        <w:ind w:left="300" w:right="60"/>
        <w:spacing w:after="0" w:line="268" w:lineRule="auto"/>
        <w:rPr>
          <w:sz w:val="20"/>
          <w:szCs w:val="20"/>
          <w:color w:val="auto"/>
        </w:rPr>
      </w:pPr>
      <w:r>
        <w:rPr>
          <w:rFonts w:ascii="Times New Roman" w:cs="Times New Roman" w:eastAsia="Times New Roman" w:hAnsi="Times New Roman"/>
          <w:sz w:val="16"/>
          <w:szCs w:val="16"/>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57" w:lineRule="exact"/>
        <w:rPr>
          <w:sz w:val="20"/>
          <w:szCs w:val="20"/>
          <w:color w:val="auto"/>
        </w:rPr>
      </w:pPr>
    </w:p>
    <w:p>
      <w:pPr>
        <w:ind w:left="300" w:right="200"/>
        <w:spacing w:after="0" w:line="263" w:lineRule="auto"/>
        <w:rPr>
          <w:sz w:val="20"/>
          <w:szCs w:val="20"/>
          <w:color w:val="auto"/>
        </w:rPr>
      </w:pPr>
      <w:r>
        <w:rPr>
          <w:rFonts w:ascii="Times New Roman" w:cs="Times New Roman" w:eastAsia="Times New Roman" w:hAnsi="Times New Roman"/>
          <w:sz w:val="16"/>
          <w:szCs w:val="16"/>
          <w:color w:val="auto"/>
        </w:rPr>
        <w:t>Credicorp calculates EE using a Monte Carlo simulation at a counterparty level. The model inputs include market values from current market data and model parameters implied from quoted market prices. These are updated at each measurement date. Collateral and netting arrangements are taken into account where applicable. PDs and LGDs are derived from a credit spread simulation based on a deterministic model or a Monte-Carlo model that incorporates rating migration and market observable data where available.</w:t>
      </w:r>
    </w:p>
    <w:p>
      <w:pPr>
        <w:spacing w:after="0" w:line="161" w:lineRule="exact"/>
        <w:rPr>
          <w:sz w:val="20"/>
          <w:szCs w:val="20"/>
          <w:color w:val="auto"/>
        </w:rPr>
      </w:pPr>
    </w:p>
    <w:p>
      <w:pPr>
        <w:ind w:left="300" w:right="100"/>
        <w:spacing w:after="0" w:line="285" w:lineRule="auto"/>
        <w:rPr>
          <w:sz w:val="20"/>
          <w:szCs w:val="20"/>
          <w:color w:val="auto"/>
        </w:rPr>
      </w:pPr>
      <w:r>
        <w:rPr>
          <w:rFonts w:ascii="Times New Roman" w:cs="Times New Roman" w:eastAsia="Times New Roman" w:hAnsi="Times New Roman"/>
          <w:sz w:val="16"/>
          <w:szCs w:val="16"/>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143" w:lineRule="exact"/>
        <w:rPr>
          <w:sz w:val="20"/>
          <w:szCs w:val="20"/>
          <w:color w:val="auto"/>
        </w:rPr>
      </w:pPr>
    </w:p>
    <w:p>
      <w:pPr>
        <w:ind w:left="300" w:right="40"/>
        <w:spacing w:after="0" w:line="260" w:lineRule="auto"/>
        <w:rPr>
          <w:sz w:val="20"/>
          <w:szCs w:val="20"/>
          <w:color w:val="auto"/>
        </w:rPr>
      </w:pPr>
      <w:r>
        <w:rPr>
          <w:rFonts w:ascii="Times New Roman" w:cs="Times New Roman" w:eastAsia="Times New Roman" w:hAnsi="Times New Roman"/>
          <w:sz w:val="16"/>
          <w:szCs w:val="16"/>
          <w:color w:val="auto"/>
        </w:rPr>
        <w:t>As of December 31, 2016, the balance of receivables and payables corresponding to derivatives amounted to S/942.6 million and S/673.0 million, respectively, see note 12(b), generating DVA and CVA adjustments for approximately S/8.0 million and S/15.0 million, respectively. The net impact of both items in the consolidated statement of income amounted to S/9.3 million. As of December 31, 2015, the balance of receivables and payables corresponding to derivatives amounted to S/1,475.5 million and S/942.5 million, respectively, see note 12(b), generating DV and CVA adjustments for approximately S/7.3 million and S/24.4million, respectively. Also, the net impact of both items in the consolidated statement of income amounted to S/25.2 million.</w:t>
      </w:r>
    </w:p>
    <w:p>
      <w:pPr>
        <w:spacing w:after="0" w:line="35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- 145 -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4" w:right="239" w:bottom="1440" w:gutter="0" w:footer="0" w:header="0"/>
        </w:sectPr>
      </w:pPr>
    </w:p>
    <w:bookmarkStart w:id="144" w:name="page145"/>
    <w:bookmarkEnd w:id="144"/>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Valuation of debt securities available for sale classified in level 2 -</w:t>
      </w:r>
    </w:p>
    <w:p>
      <w:pPr>
        <w:spacing w:after="0" w:line="203" w:lineRule="exact"/>
        <w:rPr>
          <w:sz w:val="20"/>
          <w:szCs w:val="20"/>
          <w:color w:val="auto"/>
        </w:rPr>
      </w:pPr>
    </w:p>
    <w:p>
      <w:pPr>
        <w:ind w:left="300" w:right="280"/>
        <w:spacing w:after="0" w:line="268" w:lineRule="auto"/>
        <w:rPr>
          <w:sz w:val="20"/>
          <w:szCs w:val="20"/>
          <w:color w:val="auto"/>
        </w:rPr>
      </w:pPr>
      <w:r>
        <w:rPr>
          <w:rFonts w:ascii="Times New Roman" w:cs="Times New Roman" w:eastAsia="Times New Roman" w:hAnsi="Times New Roman"/>
          <w:sz w:val="16"/>
          <w:szCs w:val="16"/>
          <w:color w:val="auto"/>
        </w:rPr>
        <w:t>Valuation of BCRP certificates of deposit, corporate, leasing, subordinated bonds and Government treasury bonds are measured calculating their Net Present Values (NPV) through discounted cash flows, using appropriate and relevant zero coupon rate curves to discount cash flows in the respective currency and considering observable current market transactions.</w:t>
      </w:r>
    </w:p>
    <w:p>
      <w:pPr>
        <w:spacing w:after="0" w:line="157"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6"/>
          <w:szCs w:val="16"/>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57" w:lineRule="exact"/>
        <w:rPr>
          <w:sz w:val="20"/>
          <w:szCs w:val="20"/>
          <w:color w:val="auto"/>
        </w:rPr>
      </w:pPr>
    </w:p>
    <w:p>
      <w:pPr>
        <w:ind w:left="300" w:right="20"/>
        <w:spacing w:after="0" w:line="285" w:lineRule="auto"/>
        <w:rPr>
          <w:sz w:val="20"/>
          <w:szCs w:val="20"/>
          <w:color w:val="auto"/>
        </w:rPr>
      </w:pPr>
      <w:r>
        <w:rPr>
          <w:rFonts w:ascii="Times New Roman" w:cs="Times New Roman" w:eastAsia="Times New Roman" w:hAnsi="Times New Roman"/>
          <w:sz w:val="16"/>
          <w:szCs w:val="16"/>
          <w:color w:val="auto"/>
        </w:rPr>
        <w:t>Financial instruments included in the Level 3 category are those that are measured using valuation techniques based on assumptions that are neither supported by prices from observable current market transactions in the same instrument nor are they based on available market data.</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this regard, no significant differences were noted between the estimated fair values and the respective carrying amounts.</w:t>
      </w:r>
    </w:p>
    <w:p>
      <w:pPr>
        <w:spacing w:after="0" w:line="203" w:lineRule="exact"/>
        <w:rPr>
          <w:sz w:val="20"/>
          <w:szCs w:val="20"/>
          <w:color w:val="auto"/>
        </w:rPr>
      </w:pPr>
    </w:p>
    <w:p>
      <w:pPr>
        <w:jc w:val="both"/>
        <w:ind w:left="300" w:right="120"/>
        <w:spacing w:after="0" w:line="268" w:lineRule="auto"/>
        <w:rPr>
          <w:sz w:val="20"/>
          <w:szCs w:val="20"/>
          <w:color w:val="auto"/>
        </w:rPr>
      </w:pPr>
      <w:r>
        <w:rPr>
          <w:rFonts w:ascii="Times New Roman" w:cs="Times New Roman" w:eastAsia="Times New Roman" w:hAnsi="Times New Roman"/>
          <w:sz w:val="16"/>
          <w:szCs w:val="16"/>
          <w:color w:val="auto"/>
        </w:rPr>
        <w:t>As of December 31, 2016 and 2015, the net unrealized gain of Level 3 financial instruments amounted to S/40.6 million and S/50.5 million, respectively. During 2016 and 2015, changes in the carrying amount of Level 3 financial instruments have not been significant since there were no purchases, issuances, settlements or any other significant movements or transfers from level 3 to Level 1 or Level 2 or vice versa. Also, there have been no transfers between Level 1 and Level 2.</w:t>
      </w:r>
    </w:p>
    <w:p>
      <w:pPr>
        <w:spacing w:after="0" w:line="35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- 146 -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16510</wp:posOffset>
            </wp:positionV>
            <wp:extent cx="726122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4" w:right="239" w:bottom="1440" w:gutter="0" w:footer="0" w:header="0"/>
        </w:sectPr>
      </w:pPr>
    </w:p>
    <w:bookmarkStart w:id="145" w:name="page146"/>
    <w:bookmarkEnd w:id="145"/>
    <w:p>
      <w:pPr>
        <w:spacing w:after="0"/>
        <w:tabs>
          <w:tab w:leader="none" w:pos="260" w:val="left"/>
        </w:tabs>
        <w:rPr>
          <w:sz w:val="20"/>
          <w:szCs w:val="20"/>
          <w:color w:val="auto"/>
        </w:rPr>
      </w:pPr>
      <w:r>
        <w:rPr>
          <w:rFonts w:ascii="Times New Roman" w:cs="Times New Roman" w:eastAsia="Times New Roman" w:hAnsi="Times New Roman"/>
          <w:sz w:val="16"/>
          <w:szCs w:val="16"/>
          <w:color w:val="auto"/>
        </w:rPr>
        <w:t>b)</w:t>
        <w:tab/>
        <w:t>Financial instruments not measured at fair value -</w:t>
      </w:r>
    </w:p>
    <w:p>
      <w:pPr>
        <w:spacing w:after="0" w:line="203" w:lineRule="exact"/>
        <w:rPr>
          <w:sz w:val="20"/>
          <w:szCs w:val="20"/>
          <w:color w:val="auto"/>
        </w:rPr>
      </w:pPr>
    </w:p>
    <w:p>
      <w:pPr>
        <w:ind w:left="280"/>
        <w:spacing w:after="0" w:line="285" w:lineRule="auto"/>
        <w:rPr>
          <w:sz w:val="20"/>
          <w:szCs w:val="20"/>
          <w:color w:val="auto"/>
        </w:rPr>
      </w:pPr>
      <w:r>
        <w:rPr>
          <w:rFonts w:ascii="Times New Roman" w:cs="Times New Roman" w:eastAsia="Times New Roman" w:hAnsi="Times New Roman"/>
          <w:sz w:val="16"/>
          <w:szCs w:val="16"/>
          <w:color w:val="auto"/>
        </w:rPr>
        <w:t>Set out below is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50" w:lineRule="exact"/>
        <w:rPr>
          <w:sz w:val="20"/>
          <w:szCs w:val="20"/>
          <w:color w:val="auto"/>
        </w:rPr>
      </w:pPr>
    </w:p>
    <w:tbl>
      <w:tblPr>
        <w:tblLayout w:type="fixed"/>
        <w:tblInd w:w="2320" w:type="dxa"/>
        <w:tblCellMar>
          <w:top w:w="0" w:type="dxa"/>
          <w:left w:w="0" w:type="dxa"/>
          <w:bottom w:w="0" w:type="dxa"/>
          <w:right w:w="0" w:type="dxa"/>
        </w:tblCellMar>
      </w:tblPr>
      <w:tr>
        <w:trPr>
          <w:trHeight w:val="155"/>
        </w:trPr>
        <w:tc>
          <w:tcPr>
            <w:tcW w:w="15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As of December 31, 2016</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of December 31, 2015</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62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940" w:type="dxa"/>
            <w:vAlign w:val="bottom"/>
            <w:tcBorders>
              <w:top w:val="single" w:sz="8" w:color="auto"/>
            </w:tcBorders>
            <w:gridSpan w:val="2"/>
          </w:tcPr>
          <w:p>
            <w:pPr>
              <w:ind w:left="200"/>
              <w:spacing w:after="0" w:line="13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00" w:type="dxa"/>
            <w:vAlign w:val="bottom"/>
            <w:tcBorders>
              <w:top w:val="single" w:sz="8" w:color="auto"/>
            </w:tcBorders>
            <w:gridSpan w:val="3"/>
          </w:tcPr>
          <w:p>
            <w:pPr>
              <w:ind w:left="200"/>
              <w:spacing w:after="0" w:line="13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94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7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Book value</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7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40" w:type="dxa"/>
            <w:vAlign w:val="bottom"/>
            <w:tcBorders>
              <w:top w:val="single" w:sz="8" w:color="auto"/>
            </w:tcBorders>
            <w:gridSpan w:val="3"/>
          </w:tcPr>
          <w:p>
            <w:pPr>
              <w:ind w:left="180"/>
              <w:spacing w:after="0" w:line="13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98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7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Book value</w:t>
            </w:r>
          </w:p>
        </w:tc>
      </w:tr>
      <w:tr>
        <w:trPr>
          <w:trHeight w:val="119"/>
        </w:trPr>
        <w:tc>
          <w:tcPr>
            <w:tcW w:w="20" w:type="dxa"/>
            <w:vAlign w:val="bottom"/>
          </w:tcPr>
          <w:p>
            <w:pPr>
              <w:spacing w:after="0"/>
              <w:rPr>
                <w:sz w:val="10"/>
                <w:szCs w:val="10"/>
                <w:color w:val="auto"/>
              </w:rPr>
            </w:pPr>
          </w:p>
        </w:tc>
        <w:tc>
          <w:tcPr>
            <w:tcW w:w="6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S/(000)</w:t>
            </w: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39"/>
        </w:trPr>
        <w:tc>
          <w:tcPr>
            <w:tcW w:w="20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Cash and due from banks</w:t>
            </w:r>
          </w:p>
        </w:tc>
        <w:tc>
          <w:tcPr>
            <w:tcW w:w="8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16,645,769</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16,645,769</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16,645,769</w:t>
            </w: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22,391,744</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22,391,744</w:t>
            </w: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22,391,744</w:t>
            </w: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Cash collateral, reverse repurchase</w:t>
            </w:r>
          </w:p>
        </w:tc>
        <w:tc>
          <w:tcPr>
            <w:tcW w:w="8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10,919,624</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10,919,624</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10,919,624</w:t>
            </w: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11,026,698</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11,026,698</w:t>
            </w:r>
          </w:p>
        </w:tc>
        <w:tc>
          <w:tcPr>
            <w:tcW w:w="8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11,026,698</w:t>
            </w: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Held-to-maturity investments</w:t>
            </w:r>
          </w:p>
        </w:tc>
        <w:tc>
          <w:tcPr>
            <w:tcW w:w="8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5,215,704</w:t>
            </w:r>
          </w:p>
        </w:tc>
        <w:tc>
          <w:tcPr>
            <w:tcW w:w="9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5,215,704</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5,118,420</w:t>
            </w: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3,659,197</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3,659,197</w:t>
            </w: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3,582,129</w:t>
            </w: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Loans, net</w:t>
            </w:r>
          </w:p>
        </w:tc>
        <w:tc>
          <w:tcPr>
            <w:tcW w:w="8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110,137,973</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110,137,973</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110,393,753</w:t>
            </w: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105,132,492</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105,132,492</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105,132,492</w:t>
            </w:r>
          </w:p>
        </w:tc>
        <w:tc>
          <w:tcPr>
            <w:tcW w:w="0" w:type="dxa"/>
            <w:vAlign w:val="bottom"/>
          </w:tcPr>
          <w:p>
            <w:pPr>
              <w:spacing w:after="0"/>
              <w:rPr>
                <w:sz w:val="1"/>
                <w:szCs w:val="1"/>
                <w:color w:val="auto"/>
              </w:rPr>
            </w:pPr>
          </w:p>
        </w:tc>
      </w:tr>
      <w:tr>
        <w:trPr>
          <w:trHeight w:val="113"/>
        </w:trPr>
        <w:tc>
          <w:tcPr>
            <w:tcW w:w="20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Premiums and other policies</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643,224</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643,224</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643,224</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648,017</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648,017</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648,017</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receivable</w:t>
            </w: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Accounts receivable from reinsurers</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454,187</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454,187</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454,187</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457,189</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457,189</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457,189</w:t>
            </w: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coinsurers</w:t>
            </w:r>
          </w:p>
        </w:tc>
        <w:tc>
          <w:tcPr>
            <w:tcW w:w="84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Bank acceptances</w:t>
            </w:r>
          </w:p>
        </w:tc>
        <w:tc>
          <w:tcPr>
            <w:tcW w:w="8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491,139</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491,139</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491,139</w:t>
            </w: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222,496</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222,496</w:t>
            </w:r>
          </w:p>
        </w:tc>
        <w:tc>
          <w:tcPr>
            <w:tcW w:w="8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222,496</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 assets</w:t>
            </w:r>
          </w:p>
        </w:tc>
        <w:tc>
          <w:tcPr>
            <w:tcW w:w="8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1,286,082</w:t>
            </w:r>
          </w:p>
        </w:tc>
        <w:tc>
          <w:tcPr>
            <w:tcW w:w="80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1,286,082</w:t>
            </w:r>
          </w:p>
        </w:tc>
        <w:tc>
          <w:tcPr>
            <w:tcW w:w="9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1,286,082</w:t>
            </w:r>
          </w:p>
        </w:tc>
        <w:tc>
          <w:tcPr>
            <w:tcW w:w="8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1,769,789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1,769,789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1,769,789</w:t>
            </w:r>
          </w:p>
        </w:tc>
        <w:tc>
          <w:tcPr>
            <w:tcW w:w="0" w:type="dxa"/>
            <w:vAlign w:val="bottom"/>
          </w:tcPr>
          <w:p>
            <w:pPr>
              <w:spacing w:after="0"/>
              <w:rPr>
                <w:sz w:val="1"/>
                <w:szCs w:val="1"/>
                <w:color w:val="auto"/>
              </w:rPr>
            </w:pPr>
          </w:p>
        </w:tc>
      </w:tr>
      <w:tr>
        <w:trPr>
          <w:trHeight w:val="125"/>
        </w:trPr>
        <w:tc>
          <w:tcPr>
            <w:tcW w:w="204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5,215,704</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140,577,998</w:t>
            </w:r>
          </w:p>
        </w:tc>
        <w:tc>
          <w:tcPr>
            <w:tcW w:w="2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145,793,702</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145,952,198</w:t>
            </w:r>
          </w:p>
        </w:tc>
        <w:tc>
          <w:tcPr>
            <w:tcW w:w="18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3,659,197</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141,648,425</w:t>
            </w:r>
          </w:p>
        </w:tc>
        <w:tc>
          <w:tcPr>
            <w:tcW w:w="1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145,307,622</w:t>
            </w:r>
          </w:p>
        </w:tc>
        <w:tc>
          <w:tcPr>
            <w:tcW w:w="22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145,230,554</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Deposits and obligations</w:t>
            </w:r>
          </w:p>
        </w:tc>
        <w:tc>
          <w:tcPr>
            <w:tcW w:w="8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85,916,387</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85,916,387</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85,916,387</w:t>
            </w: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88,606,633</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88,606,633</w:t>
            </w: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88,606,633</w:t>
            </w: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Payables from repurchase</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15,127,999</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15,127,999</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15,127,999</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14,599,750</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14,599,750</w:t>
            </w:r>
          </w:p>
        </w:tc>
        <w:tc>
          <w:tcPr>
            <w:tcW w:w="2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14,599,750</w:t>
            </w: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agreements</w:t>
            </w:r>
          </w:p>
        </w:tc>
        <w:tc>
          <w:tcPr>
            <w:tcW w:w="84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4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Due to Banks and correspondents</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7,615,935</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7,615,935</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7,493,916</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12,357,513</w:t>
            </w:r>
          </w:p>
        </w:tc>
        <w:tc>
          <w:tcPr>
            <w:tcW w:w="18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12,357,513</w:t>
            </w:r>
          </w:p>
        </w:tc>
        <w:tc>
          <w:tcPr>
            <w:tcW w:w="220" w:type="dxa"/>
            <w:vAlign w:val="bottom"/>
          </w:tcPr>
          <w:p>
            <w:pPr>
              <w:spacing w:after="0"/>
              <w:rPr>
                <w:sz w:val="9"/>
                <w:szCs w:val="9"/>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7,762,497</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and other entities</w:t>
            </w: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Bank acceptances</w:t>
            </w:r>
          </w:p>
        </w:tc>
        <w:tc>
          <w:tcPr>
            <w:tcW w:w="8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491,139</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491,139</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491,139</w:t>
            </w: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222,496</w:t>
            </w: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222,496</w:t>
            </w:r>
          </w:p>
        </w:tc>
        <w:tc>
          <w:tcPr>
            <w:tcW w:w="8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222,496</w:t>
            </w:r>
          </w:p>
        </w:tc>
        <w:tc>
          <w:tcPr>
            <w:tcW w:w="0" w:type="dxa"/>
            <w:vAlign w:val="bottom"/>
          </w:tcPr>
          <w:p>
            <w:pPr>
              <w:spacing w:after="0"/>
              <w:rPr>
                <w:sz w:val="1"/>
                <w:szCs w:val="1"/>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Payable to reinsurers and coinsurers</w:t>
            </w:r>
          </w:p>
        </w:tc>
        <w:tc>
          <w:tcPr>
            <w:tcW w:w="8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233,892</w:t>
            </w: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233,892</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233,892</w:t>
            </w: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241,847</w:t>
            </w: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241,847</w:t>
            </w:r>
          </w:p>
        </w:tc>
        <w:tc>
          <w:tcPr>
            <w:tcW w:w="8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241,847</w:t>
            </w: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Bond and notes issued</w:t>
            </w:r>
          </w:p>
        </w:tc>
        <w:tc>
          <w:tcPr>
            <w:tcW w:w="8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8,137,945</w:t>
            </w:r>
          </w:p>
        </w:tc>
        <w:tc>
          <w:tcPr>
            <w:tcW w:w="8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8,137,945</w:t>
            </w:r>
          </w:p>
        </w:tc>
        <w:tc>
          <w:tcPr>
            <w:tcW w:w="9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7,527,088</w:t>
            </w: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8,125,918</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8,125,918</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7,752,561</w:t>
            </w:r>
          </w:p>
        </w:tc>
        <w:tc>
          <w:tcPr>
            <w:tcW w:w="0" w:type="dxa"/>
            <w:vAlign w:val="bottom"/>
          </w:tcPr>
          <w:p>
            <w:pPr>
              <w:spacing w:after="0"/>
              <w:rPr>
                <w:sz w:val="1"/>
                <w:szCs w:val="1"/>
                <w:color w:val="auto"/>
              </w:rPr>
            </w:pPr>
          </w:p>
        </w:tc>
      </w:tr>
      <w:tr>
        <w:trPr>
          <w:trHeight w:val="145"/>
        </w:trPr>
        <w:tc>
          <w:tcPr>
            <w:tcW w:w="20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Other liabilities</w:t>
            </w:r>
          </w:p>
        </w:tc>
        <w:tc>
          <w:tcPr>
            <w:tcW w:w="8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3"/>
                <w:szCs w:val="13"/>
                <w:color w:val="auto"/>
              </w:rPr>
              <w:t>2,540,980</w:t>
            </w:r>
          </w:p>
        </w:tc>
        <w:tc>
          <w:tcPr>
            <w:tcW w:w="80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2,540,980</w:t>
            </w:r>
          </w:p>
        </w:tc>
        <w:tc>
          <w:tcPr>
            <w:tcW w:w="9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2,540,980</w:t>
            </w:r>
          </w:p>
        </w:tc>
        <w:tc>
          <w:tcPr>
            <w:tcW w:w="8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2,843,131</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2,843,131</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2,707,563</w:t>
            </w:r>
          </w:p>
        </w:tc>
        <w:tc>
          <w:tcPr>
            <w:tcW w:w="0" w:type="dxa"/>
            <w:vAlign w:val="bottom"/>
          </w:tcPr>
          <w:p>
            <w:pPr>
              <w:spacing w:after="0"/>
              <w:rPr>
                <w:sz w:val="1"/>
                <w:szCs w:val="1"/>
                <w:color w:val="auto"/>
              </w:rPr>
            </w:pPr>
          </w:p>
        </w:tc>
      </w:tr>
      <w:tr>
        <w:trPr>
          <w:trHeight w:val="125"/>
        </w:trPr>
        <w:tc>
          <w:tcPr>
            <w:tcW w:w="20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120,064,277</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120,064,277</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119,331,401</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126,997,288</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126,997,288</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121,893,347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- 147 -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6122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46" w:name="page147"/>
    <w:bookmarkEnd w:id="146"/>
    <w:p>
      <w:pPr>
        <w:ind w:left="283" w:right="40"/>
        <w:spacing w:after="0" w:line="285" w:lineRule="auto"/>
        <w:rPr>
          <w:sz w:val="20"/>
          <w:szCs w:val="20"/>
          <w:color w:val="auto"/>
        </w:rPr>
      </w:pPr>
      <w:r>
        <w:rPr>
          <w:rFonts w:ascii="Times New Roman" w:cs="Times New Roman" w:eastAsia="Times New Roman" w:hAnsi="Times New Roman"/>
          <w:sz w:val="16"/>
          <w:szCs w:val="16"/>
          <w:color w:val="auto"/>
        </w:rPr>
        <w:t>The methodologies and assumptions used by the Group to determine fair values depend on the terms and risk characteristics of the various financial instruments and include the following:</w:t>
      </w:r>
    </w:p>
    <w:p>
      <w:pPr>
        <w:spacing w:after="0" w:line="143" w:lineRule="exact"/>
        <w:rPr>
          <w:sz w:val="20"/>
          <w:szCs w:val="20"/>
          <w:color w:val="auto"/>
        </w:rPr>
      </w:pPr>
    </w:p>
    <w:p>
      <w:pPr>
        <w:ind w:left="583" w:right="120" w:hanging="293"/>
        <w:spacing w:after="0" w:line="268" w:lineRule="auto"/>
        <w:tabs>
          <w:tab w:leader="none" w:pos="583"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2016 and 2015, the carrying amounts of loans, net of allowances, were not materially different from their calculated fair values.</w:t>
      </w:r>
    </w:p>
    <w:p>
      <w:pPr>
        <w:spacing w:after="0" w:line="157" w:lineRule="exact"/>
        <w:rPr>
          <w:rFonts w:ascii="Times New Roman" w:cs="Times New Roman" w:eastAsia="Times New Roman" w:hAnsi="Times New Roman"/>
          <w:sz w:val="16"/>
          <w:szCs w:val="16"/>
          <w:color w:val="auto"/>
        </w:rPr>
      </w:pPr>
    </w:p>
    <w:p>
      <w:pPr>
        <w:ind w:left="583" w:right="160" w:hanging="293"/>
        <w:spacing w:after="0" w:line="268" w:lineRule="auto"/>
        <w:tabs>
          <w:tab w:leader="none" w:pos="583"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57" w:lineRule="exact"/>
        <w:rPr>
          <w:rFonts w:ascii="Times New Roman" w:cs="Times New Roman" w:eastAsia="Times New Roman" w:hAnsi="Times New Roman"/>
          <w:sz w:val="16"/>
          <w:szCs w:val="16"/>
          <w:color w:val="auto"/>
        </w:rPr>
      </w:pPr>
    </w:p>
    <w:p>
      <w:pPr>
        <w:ind w:left="583" w:right="100" w:hanging="293"/>
        <w:spacing w:after="0" w:line="260" w:lineRule="auto"/>
        <w:tabs>
          <w:tab w:leader="none" w:pos="583"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34.8 Fiduciary activities, management of funds and pension funds -</w:t>
      </w:r>
    </w:p>
    <w:p>
      <w:pPr>
        <w:spacing w:after="0" w:line="205" w:lineRule="exact"/>
        <w:rPr>
          <w:sz w:val="20"/>
          <w:szCs w:val="20"/>
          <w:color w:val="auto"/>
        </w:rPr>
      </w:pPr>
    </w:p>
    <w:p>
      <w:pPr>
        <w:jc w:val="both"/>
        <w:ind w:left="3" w:right="120"/>
        <w:spacing w:after="0" w:line="268" w:lineRule="auto"/>
        <w:rPr>
          <w:sz w:val="20"/>
          <w:szCs w:val="20"/>
          <w:color w:val="auto"/>
        </w:rPr>
      </w:pPr>
      <w:r>
        <w:rPr>
          <w:rFonts w:ascii="Times New Roman" w:cs="Times New Roman" w:eastAsia="Times New Roman" w:hAnsi="Times New Roman"/>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As of December 31, 2016 and 2015, the assigned value of the financial assets under administration off the balance sheet (in millions of Peruvian soles) is as follows:</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8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r>
      <w:tr>
        <w:trPr>
          <w:trHeight w:val="186"/>
        </w:trPr>
        <w:tc>
          <w:tcPr>
            <w:tcW w:w="8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Pension funds</w:t>
            </w:r>
          </w:p>
        </w:tc>
        <w:tc>
          <w:tcPr>
            <w:tcW w:w="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39,009</w:t>
            </w:r>
          </w:p>
        </w:tc>
        <w:tc>
          <w:tcPr>
            <w:tcW w:w="120" w:type="dxa"/>
            <w:vAlign w:val="bottom"/>
            <w:tcBorders>
              <w:top w:val="single" w:sz="8" w:color="CCEEFF"/>
            </w:tcBorders>
            <w:shd w:val="clear" w:color="auto" w:fill="CCEEFF"/>
          </w:tcPr>
          <w:p>
            <w:pPr>
              <w:spacing w:after="0"/>
              <w:rPr>
                <w:sz w:val="16"/>
                <w:szCs w:val="16"/>
                <w:color w:val="auto"/>
              </w:rPr>
            </w:pPr>
          </w:p>
        </w:tc>
      </w:tr>
      <w:tr>
        <w:trPr>
          <w:trHeight w:val="193"/>
        </w:trPr>
        <w:tc>
          <w:tcPr>
            <w:tcW w:w="8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funds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51,281</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14,361</w:t>
            </w:r>
          </w:p>
        </w:tc>
      </w:tr>
      <w:tr>
        <w:trPr>
          <w:trHeight w:val="205"/>
        </w:trPr>
        <w:tc>
          <w:tcPr>
            <w:tcW w:w="8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managed</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18,253</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17,360</w:t>
            </w:r>
          </w:p>
        </w:tc>
      </w:tr>
      <w:tr>
        <w:trPr>
          <w:trHeight w:val="185"/>
        </w:trPr>
        <w:tc>
          <w:tcPr>
            <w:tcW w:w="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80" w:type="dxa"/>
            <w:vAlign w:val="bottom"/>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70,730</w:t>
            </w:r>
          </w:p>
        </w:tc>
        <w:tc>
          <w:tcPr>
            <w:tcW w:w="120" w:type="dxa"/>
            <w:vAlign w:val="bottom"/>
          </w:tcPr>
          <w:p>
            <w:pPr>
              <w:spacing w:after="0"/>
              <w:rPr>
                <w:sz w:val="16"/>
                <w:szCs w:val="16"/>
                <w:color w:val="auto"/>
              </w:rPr>
            </w:pPr>
          </w:p>
        </w:tc>
      </w:tr>
      <w:tr>
        <w:trPr>
          <w:trHeight w:val="379"/>
        </w:trPr>
        <w:tc>
          <w:tcPr>
            <w:tcW w:w="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35</w:t>
            </w:r>
          </w:p>
        </w:tc>
        <w:tc>
          <w:tcPr>
            <w:tcW w:w="8320" w:type="dxa"/>
            <w:vAlign w:val="bottom"/>
            <w:gridSpan w:val="2"/>
          </w:tcPr>
          <w:p>
            <w:pPr>
              <w:jc w:val="right"/>
              <w:ind w:right="51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Legal claim contingencies -</w:t>
      </w:r>
    </w:p>
    <w:p>
      <w:pPr>
        <w:spacing w:after="0" w:line="203" w:lineRule="exact"/>
        <w:rPr>
          <w:sz w:val="20"/>
          <w:szCs w:val="20"/>
          <w:color w:val="auto"/>
        </w:rPr>
      </w:pPr>
    </w:p>
    <w:p>
      <w:pPr>
        <w:ind w:left="283" w:hanging="283"/>
        <w:spacing w:after="0"/>
        <w:tabs>
          <w:tab w:leader="none" w:pos="283"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Madoff Trustee Litigations -</w:t>
      </w:r>
    </w:p>
    <w:p>
      <w:pPr>
        <w:spacing w:after="0" w:line="202" w:lineRule="exact"/>
        <w:rPr>
          <w:rFonts w:ascii="Times New Roman" w:cs="Times New Roman" w:eastAsia="Times New Roman" w:hAnsi="Times New Roman"/>
          <w:sz w:val="16"/>
          <w:szCs w:val="16"/>
          <w:color w:val="auto"/>
        </w:rPr>
      </w:pPr>
    </w:p>
    <w:p>
      <w:pPr>
        <w:ind w:left="283" w:right="6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22, 2011, the Trustee for the liquidations of Bernard L. Madoff Investment Securities LLC (BLMIS), and the substantively consolidated state of Bernard L. Madoff (“the Madoff Trustee”) filed a complaint against Credicorp’s subsidiary Atlantic Security Bank (ASB) in U.S. Bankruptcy Court Southern District of New York, for an amount of approximately US$120.0 million (“the Complaint”), equivalent to approximately S/402.7 million, which corresponds to the funds that ASB managed in Atlantic US Blue Chip Fund and that were redeemed between the end of 2004 and the beginning of 2005 from Fairfield Sentry Limited in Liquidation (hereafter “Fairfield”), a fund that invested in BLMIS.</w:t>
      </w:r>
    </w:p>
    <w:p>
      <w:pPr>
        <w:spacing w:after="0" w:line="357" w:lineRule="exact"/>
        <w:rPr>
          <w:rFonts w:ascii="Times New Roman" w:cs="Times New Roman" w:eastAsia="Times New Roman" w:hAnsi="Times New Roman"/>
          <w:sz w:val="16"/>
          <w:szCs w:val="16"/>
          <w:color w:val="auto"/>
        </w:rPr>
      </w:pPr>
    </w:p>
    <w:p>
      <w:pPr>
        <w:ind w:left="5603" w:hanging="95"/>
        <w:spacing w:after="0"/>
        <w:tabs>
          <w:tab w:leader="none" w:pos="5603"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47" w:name="page148"/>
    <w:bookmarkEnd w:id="147"/>
    <w:p>
      <w:pPr>
        <w:ind w:left="283" w:right="20"/>
        <w:spacing w:after="0" w:line="260" w:lineRule="auto"/>
        <w:rPr>
          <w:sz w:val="20"/>
          <w:szCs w:val="20"/>
          <w:color w:val="auto"/>
        </w:rPr>
      </w:pPr>
      <w:r>
        <w:rPr>
          <w:rFonts w:ascii="Times New Roman" w:cs="Times New Roman" w:eastAsia="Times New Roman" w:hAnsi="Times New Roman"/>
          <w:sz w:val="16"/>
          <w:szCs w:val="16"/>
          <w:color w:val="auto"/>
        </w:rPr>
        <w:t>The Complaint further alleges that the Madoff Trustee filed an adversary proceeding against Fairfield, seeking to avoid and recover the initial transfers of money from BLMIS to Fairfield; that on June 7 and 10, 2011, the Bankruptcy Court approved a settlement between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in and redeemed funds from BLMIS.</w:t>
      </w:r>
    </w:p>
    <w:p>
      <w:pPr>
        <w:spacing w:after="0" w:line="164" w:lineRule="exact"/>
        <w:rPr>
          <w:sz w:val="20"/>
          <w:szCs w:val="20"/>
          <w:color w:val="auto"/>
        </w:rPr>
      </w:pPr>
    </w:p>
    <w:p>
      <w:pPr>
        <w:jc w:val="both"/>
        <w:ind w:left="283" w:right="200"/>
        <w:spacing w:after="0" w:line="263" w:lineRule="auto"/>
        <w:rPr>
          <w:sz w:val="20"/>
          <w:szCs w:val="20"/>
          <w:color w:val="auto"/>
        </w:rPr>
      </w:pPr>
      <w:r>
        <w:rPr>
          <w:rFonts w:ascii="Times New Roman" w:cs="Times New Roman" w:eastAsia="Times New Roman" w:hAnsi="Times New Roman"/>
          <w:sz w:val="16"/>
          <w:szCs w:val="16"/>
          <w:color w:val="auto"/>
        </w:rPr>
        <w:t>Management believes that ASB has valid defense arguments against the Madoff Trustee’s claims alleged in the Complaint and intends to contest these claims vigorously.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resulting in a net loss in the funds that ASB managed on behalf of its clients for approximately US$78.0 million (equivalent to approximately S/261.8 million) as of December, 2008.</w:t>
      </w:r>
    </w:p>
    <w:p>
      <w:pPr>
        <w:spacing w:after="0" w:line="161" w:lineRule="exact"/>
        <w:rPr>
          <w:sz w:val="20"/>
          <w:szCs w:val="20"/>
          <w:color w:val="auto"/>
        </w:rPr>
      </w:pPr>
    </w:p>
    <w:p>
      <w:pPr>
        <w:ind w:left="283" w:hanging="283"/>
        <w:spacing w:after="0"/>
        <w:tabs>
          <w:tab w:leader="none" w:pos="283"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Fairfield Liquidator Litigation -</w:t>
      </w:r>
    </w:p>
    <w:p>
      <w:pPr>
        <w:spacing w:after="0" w:line="202" w:lineRule="exact"/>
        <w:rPr>
          <w:rFonts w:ascii="Times New Roman" w:cs="Times New Roman" w:eastAsia="Times New Roman" w:hAnsi="Times New Roman"/>
          <w:sz w:val="16"/>
          <w:szCs w:val="16"/>
          <w:color w:val="auto"/>
        </w:rPr>
      </w:pPr>
    </w:p>
    <w:p>
      <w:pPr>
        <w:ind w:left="283" w:right="4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13, 2012, Fairfield and its representative, Kenneth Krys (the “Fairfield Liquidator”), filed an adversary proceeding against ASB pursuant to Chapter 15 of the U.S. Bankruptcy Code, in the U.S Bankruptcy Court for the Southern District of New York, styled as Fairfield Sentry Limited (In Liquidation) v. Atlantic Security Bank, Adv. Pro. N° 12-01550 (BRL) (Bankr. S.D.N.Y.) (“Fairfield v. ASB Adversary Proceeding”). The complaint sought to recover the amount of approximately US$115.0 million, reflecting ASB’s redemptions of certain investments in Fairfield Sentry Limited, together with investment returns thereon. These are essentially the same moneys that the Madoff Trustee seeks to recover in the Madoff Litigation described above.</w:t>
      </w:r>
    </w:p>
    <w:p>
      <w:pPr>
        <w:spacing w:after="0" w:line="163" w:lineRule="exact"/>
        <w:rPr>
          <w:rFonts w:ascii="Times New Roman" w:cs="Times New Roman" w:eastAsia="Times New Roman" w:hAnsi="Times New Roman"/>
          <w:sz w:val="16"/>
          <w:szCs w:val="16"/>
          <w:color w:val="auto"/>
        </w:rPr>
      </w:pPr>
    </w:p>
    <w:p>
      <w:pPr>
        <w:ind w:left="283"/>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Thereafter, the Fairfield v. ASB Adversary Proceeding was procedurally consolidated by the Bankruptcy Court with other adversary actions by the Fairfield Liquidator against former investors in Fairfield Sentry. Pursuant to that consolidation, and by consent of the parties, the Bankruptcy Court decreed the suspension of all proceedings in the Fairfield Liquidator adversary actions (except for the filing of amended complaints) in the light of the pending litigation in the British Virgin Island courts (BVI litigation) calling into question the Fairfield Liquidator’s ability to seek recovery of funds invested with and redeemed from Fairfield Sentry. This suspension has been lifted, and on September 18, 2016, the Fairfield Liquidator filed a New Complaint (the modified original Complaint) against ASB. On January 13, 2017, ASB has presented, together with other defendants, a procedural motion/defense for the Complaint to be dismissed.</w:t>
      </w:r>
    </w:p>
    <w:p>
      <w:pPr>
        <w:spacing w:after="0" w:line="167" w:lineRule="exact"/>
        <w:rPr>
          <w:rFonts w:ascii="Times New Roman" w:cs="Times New Roman" w:eastAsia="Times New Roman" w:hAnsi="Times New Roman"/>
          <w:sz w:val="16"/>
          <w:szCs w:val="16"/>
          <w:color w:val="auto"/>
        </w:rPr>
      </w:pPr>
    </w:p>
    <w:p>
      <w:pPr>
        <w:ind w:left="283" w:right="2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considers that ASB has substantial defenses against the Fairfield Liquidator’s claims alleged in the Amended Complaint and intends to contest these claims vigorously</w:t>
      </w:r>
    </w:p>
    <w:p>
      <w:pPr>
        <w:spacing w:after="0" w:line="141"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b w:val="1"/>
          <w:bCs w:val="1"/>
          <w:color w:val="auto"/>
        </w:rPr>
        <w:t>36</w:t>
      </w:r>
      <w:r>
        <w:rPr>
          <w:sz w:val="20"/>
          <w:szCs w:val="20"/>
          <w:color w:val="auto"/>
        </w:rPr>
        <w:tab/>
      </w:r>
      <w:r>
        <w:rPr>
          <w:rFonts w:ascii="Times New Roman" w:cs="Times New Roman" w:eastAsia="Times New Roman" w:hAnsi="Times New Roman"/>
          <w:sz w:val="16"/>
          <w:szCs w:val="16"/>
          <w:b w:val="1"/>
          <w:bCs w:val="1"/>
          <w:color w:val="auto"/>
        </w:rPr>
        <w:t>SUBSEQUENT EVENT</w:t>
      </w:r>
    </w:p>
    <w:p>
      <w:pPr>
        <w:spacing w:after="0" w:line="203" w:lineRule="exact"/>
        <w:rPr>
          <w:sz w:val="20"/>
          <w:szCs w:val="20"/>
          <w:color w:val="auto"/>
        </w:rPr>
      </w:pPr>
    </w:p>
    <w:p>
      <w:pPr>
        <w:ind w:left="283" w:hanging="283"/>
        <w:spacing w:after="0"/>
        <w:tabs>
          <w:tab w:leader="none" w:pos="283"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Purchase/Sale of BCP Shares -</w:t>
      </w:r>
    </w:p>
    <w:p>
      <w:pPr>
        <w:spacing w:after="0" w:line="204" w:lineRule="exact"/>
        <w:rPr>
          <w:rFonts w:ascii="Times New Roman" w:cs="Times New Roman" w:eastAsia="Times New Roman" w:hAnsi="Times New Roman"/>
          <w:sz w:val="16"/>
          <w:szCs w:val="16"/>
          <w:b w:val="1"/>
          <w:bCs w:val="1"/>
          <w:color w:val="auto"/>
        </w:rPr>
      </w:pPr>
    </w:p>
    <w:p>
      <w:pPr>
        <w:ind w:left="283" w:right="440"/>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Executive Committee meeting of the Board of Directors of Credicorp held on January 11, 2017 approved the carrying out of a share simplification of BCP within Grupo Credicorp and subsidiaries.</w:t>
      </w:r>
    </w:p>
    <w:p>
      <w:pPr>
        <w:spacing w:after="0" w:line="143" w:lineRule="exact"/>
        <w:rPr>
          <w:rFonts w:ascii="Times New Roman" w:cs="Times New Roman" w:eastAsia="Times New Roman" w:hAnsi="Times New Roman"/>
          <w:sz w:val="16"/>
          <w:szCs w:val="16"/>
          <w:b w:val="1"/>
          <w:bCs w:val="1"/>
          <w:color w:val="auto"/>
        </w:rPr>
      </w:pPr>
    </w:p>
    <w:p>
      <w:pPr>
        <w:jc w:val="both"/>
        <w:ind w:left="283" w:right="40"/>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objective of the mentioned simplification is for Grupo Credito, a holding subsidiary of Credicorp with an 84.96 percent interest in BCP, to acquire the 9 percent interest of Credicorp in BCP, which, before the operation was 12.73 percent. In this manner, Grupo Crédito increased its interest in BCP from 84.96 percent to 93.96 percent, while the interest of Credicorp in BCP was reduced from 12.73 percent to 3.73 percent.</w:t>
      </w:r>
    </w:p>
    <w:p>
      <w:pPr>
        <w:spacing w:after="0" w:line="157" w:lineRule="exact"/>
        <w:rPr>
          <w:rFonts w:ascii="Times New Roman" w:cs="Times New Roman" w:eastAsia="Times New Roman" w:hAnsi="Times New Roman"/>
          <w:sz w:val="16"/>
          <w:szCs w:val="16"/>
          <w:b w:val="1"/>
          <w:bCs w:val="1"/>
          <w:color w:val="auto"/>
        </w:rPr>
      </w:pPr>
    </w:p>
    <w:p>
      <w:pPr>
        <w:ind w:left="283" w:right="220"/>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It is worth pointing out that the operation described did not entail any change in the control of BCP, since Credicorp, through its subsidiary Grupo Crédito, still maintains 97.69 of the shares of BCP.</w:t>
      </w:r>
    </w:p>
    <w:p>
      <w:pPr>
        <w:spacing w:after="0" w:line="336" w:lineRule="exact"/>
        <w:rPr>
          <w:rFonts w:ascii="Times New Roman" w:cs="Times New Roman" w:eastAsia="Times New Roman" w:hAnsi="Times New Roman"/>
          <w:sz w:val="16"/>
          <w:szCs w:val="16"/>
          <w:b w:val="1"/>
          <w:bCs w:val="1"/>
          <w:color w:val="auto"/>
        </w:rPr>
      </w:pPr>
    </w:p>
    <w:p>
      <w:pPr>
        <w:ind w:left="5603" w:hanging="95"/>
        <w:spacing w:after="0"/>
        <w:tabs>
          <w:tab w:leader="none" w:pos="5603"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148" w:name="page149"/>
    <w:bookmarkEnd w:id="148"/>
    <w:p>
      <w:pPr>
        <w:ind w:left="283" w:right="200"/>
        <w:spacing w:after="0" w:line="285" w:lineRule="auto"/>
        <w:rPr>
          <w:sz w:val="20"/>
          <w:szCs w:val="20"/>
          <w:color w:val="auto"/>
        </w:rPr>
      </w:pPr>
      <w:r>
        <w:rPr>
          <w:rFonts w:ascii="Times New Roman" w:cs="Times New Roman" w:eastAsia="Times New Roman" w:hAnsi="Times New Roman"/>
          <w:sz w:val="16"/>
          <w:szCs w:val="16"/>
          <w:color w:val="auto"/>
        </w:rPr>
        <w:t>Thus, on January 11,12 and 13 of 2017, Credicorp sold 269,500,000; 268,500,000 and 97,971,179 shares, respectively, which represent 3.81; 3.80 and 1.39 percent of the share capital of BCP. On said dates, the price per share was S/5.52; S/5.51 and S/5.50, respectively.</w:t>
      </w:r>
    </w:p>
    <w:p>
      <w:pPr>
        <w:spacing w:after="0" w:line="141" w:lineRule="exact"/>
        <w:rPr>
          <w:sz w:val="20"/>
          <w:szCs w:val="20"/>
          <w:color w:val="auto"/>
        </w:rPr>
      </w:pPr>
    </w:p>
    <w:p>
      <w:pPr>
        <w:ind w:left="283" w:hanging="283"/>
        <w:spacing w:after="0"/>
        <w:tabs>
          <w:tab w:leader="none" w:pos="283" w:val="left"/>
        </w:tabs>
        <w:numPr>
          <w:ilvl w:val="0"/>
          <w:numId w:val="1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First of bonds</w:t>
      </w:r>
    </w:p>
    <w:p>
      <w:pPr>
        <w:spacing w:after="0" w:line="204" w:lineRule="exact"/>
        <w:rPr>
          <w:rFonts w:ascii="Times New Roman" w:cs="Times New Roman" w:eastAsia="Times New Roman" w:hAnsi="Times New Roman"/>
          <w:sz w:val="16"/>
          <w:szCs w:val="16"/>
          <w:b w:val="1"/>
          <w:bCs w:val="1"/>
          <w:color w:val="auto"/>
        </w:rPr>
      </w:pPr>
    </w:p>
    <w:p>
      <w:pPr>
        <w:ind w:left="283" w:right="20"/>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25, 2017, BCP issued Corporate Bonds corresponding to the first issue of the fifth program – series D, for a nominal amount of S/182.4 million with maturity of January 25, 2020. Interest is paid halfyearly at an annual rate of 5.91 percent. The purpose of the issue is to cover the growth in BCP’s operations.</w:t>
      </w:r>
    </w:p>
    <w:p>
      <w:pPr>
        <w:spacing w:after="0" w:line="143" w:lineRule="exact"/>
        <w:rPr>
          <w:rFonts w:ascii="Times New Roman" w:cs="Times New Roman" w:eastAsia="Times New Roman" w:hAnsi="Times New Roman"/>
          <w:sz w:val="16"/>
          <w:szCs w:val="16"/>
          <w:b w:val="1"/>
          <w:bCs w:val="1"/>
          <w:color w:val="auto"/>
        </w:rPr>
      </w:pPr>
    </w:p>
    <w:p>
      <w:pPr>
        <w:ind w:left="283" w:right="520"/>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February 15, 2017, the Board of Directors of Mibanco approved the issue of the fourth program of subordinated bonds for the amount of up to S/600.0 million in accordance with the powers delegated by the General Shareholders’ Meeting of March 23, 2016.</w:t>
      </w:r>
    </w:p>
    <w:p>
      <w:pPr>
        <w:spacing w:after="0" w:line="141" w:lineRule="exact"/>
        <w:rPr>
          <w:rFonts w:ascii="Times New Roman" w:cs="Times New Roman" w:eastAsia="Times New Roman" w:hAnsi="Times New Roman"/>
          <w:sz w:val="16"/>
          <w:szCs w:val="16"/>
          <w:b w:val="1"/>
          <w:bCs w:val="1"/>
          <w:color w:val="auto"/>
        </w:rPr>
      </w:pPr>
    </w:p>
    <w:p>
      <w:pPr>
        <w:ind w:left="283" w:hanging="283"/>
        <w:spacing w:after="0"/>
        <w:tabs>
          <w:tab w:leader="none" w:pos="283" w:val="left"/>
        </w:tabs>
        <w:numPr>
          <w:ilvl w:val="0"/>
          <w:numId w:val="1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Merger between Pacifico Vida, as the absorbing entity and PPS as the absorbed entity.</w:t>
      </w:r>
    </w:p>
    <w:p>
      <w:pPr>
        <w:spacing w:after="0" w:line="204" w:lineRule="exact"/>
        <w:rPr>
          <w:rFonts w:ascii="Times New Roman" w:cs="Times New Roman" w:eastAsia="Times New Roman" w:hAnsi="Times New Roman"/>
          <w:sz w:val="16"/>
          <w:szCs w:val="16"/>
          <w:b w:val="1"/>
          <w:bCs w:val="1"/>
          <w:color w:val="auto"/>
        </w:rPr>
      </w:pPr>
    </w:p>
    <w:p>
      <w:pPr>
        <w:ind w:left="283" w:right="420"/>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meeting of the Board of Directors of PPS held on January 26, 2017 agreed to present for the consideration of the company’s General Shareholders’ Meeting the approval of the “Merger Project” between PPS and Pacifico Vida, by virtue of which Pacifico Vida will assume in its entirety and bloc the equity of PPS, including its property, rights and obligations and the other legal relationships derived from or related to the rights to assets and liabilities.</w:t>
      </w:r>
    </w:p>
    <w:p>
      <w:pPr>
        <w:spacing w:after="0" w:line="157" w:lineRule="exact"/>
        <w:rPr>
          <w:rFonts w:ascii="Times New Roman" w:cs="Times New Roman" w:eastAsia="Times New Roman" w:hAnsi="Times New Roman"/>
          <w:sz w:val="16"/>
          <w:szCs w:val="16"/>
          <w:b w:val="1"/>
          <w:bCs w:val="1"/>
          <w:color w:val="auto"/>
        </w:rPr>
      </w:pPr>
    </w:p>
    <w:p>
      <w:pPr>
        <w:ind w:left="283"/>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merger is in line with the process of corporate integration, which began in 2011, joining forces to strengthen the Pacifico brand, and continue its positioning as a unique, client-oriented company, with the ability to provide comprehensive solutions for the protection needs of companies and individuals. Finally, it is worth pointing out that the Merger will significantly strengthen the profitability, liquidity and solvency of the companies involved.</w:t>
      </w:r>
    </w:p>
    <w:p>
      <w:pPr>
        <w:spacing w:after="0" w:line="350" w:lineRule="exact"/>
        <w:rPr>
          <w:rFonts w:ascii="Times New Roman" w:cs="Times New Roman" w:eastAsia="Times New Roman" w:hAnsi="Times New Roman"/>
          <w:sz w:val="16"/>
          <w:szCs w:val="16"/>
          <w:b w:val="1"/>
          <w:bCs w:val="1"/>
          <w:color w:val="auto"/>
        </w:rPr>
      </w:pPr>
    </w:p>
    <w:p>
      <w:pPr>
        <w:ind w:left="5603" w:hanging="95"/>
        <w:spacing w:after="0"/>
        <w:tabs>
          <w:tab w:leader="none" w:pos="5603"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sectPr>
      <w:pgSz w:w="11900" w:h="16838" w:orient="portrait"/>
      <w:cols w:equalWidth="0" w:num="1">
        <w:col w:w="11423"/>
      </w:cols>
      <w:pgMar w:left="237" w:top="8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lvl w:ilvl="1">
      <w:lvlJc w:val="left"/>
      <w:lvlText w:val="%2."/>
      <w:numFmt w:val="lowerLetter"/>
      <w:start w:val="1"/>
    </w:lvl>
  </w:abstractNum>
  <w:abstractNum w:abstractNumId="1">
    <w:nsid w:val="540A471C"/>
    <w:multiLevelType w:val="hybridMultilevel"/>
    <w:lvl w:ilvl="0">
      <w:lvlJc w:val="left"/>
      <w:lvlText w:val="%1."/>
      <w:numFmt w:val="decimal"/>
      <w:start w:val="1"/>
    </w:lvl>
  </w:abstractNum>
  <w:abstractNum w:abstractNumId="2">
    <w:nsid w:val="7BD3EE7B"/>
    <w:multiLevelType w:val="hybridMultilevel"/>
    <w:lvl w:ilvl="0">
      <w:lvlJc w:val="left"/>
      <w:lvlText w:val="1"/>
      <w:numFmt w:val="bullet"/>
      <w:start w:val="1"/>
    </w:lvl>
  </w:abstractNum>
  <w:abstractNum w:abstractNumId="3">
    <w:nsid w:val="51D9C564"/>
    <w:multiLevelType w:val="hybridMultilevel"/>
    <w:lvl w:ilvl="0">
      <w:lvlJc w:val="left"/>
      <w:lvlText w:val="2"/>
      <w:numFmt w:val="bullet"/>
      <w:start w:val="1"/>
    </w:lvl>
  </w:abstractNum>
  <w:abstractNum w:abstractNumId="4">
    <w:nsid w:val="613EFDC5"/>
    <w:multiLevelType w:val="hybridMultilevel"/>
    <w:lvl w:ilvl="0">
      <w:lvlJc w:val="left"/>
      <w:lvlText w:val="%1)"/>
      <w:numFmt w:val="lowerLetter"/>
      <w:start w:val="1"/>
    </w:lvl>
    <w:lvl w:ilvl="1">
      <w:lvlJc w:val="left"/>
      <w:lvlText w:val="-"/>
      <w:numFmt w:val="bullet"/>
      <w:start w:val="1"/>
    </w:lvl>
  </w:abstractNum>
  <w:abstractNum w:abstractNumId="5">
    <w:nsid w:val="BF72B14"/>
    <w:multiLevelType w:val="hybridMultilevel"/>
    <w:lvl w:ilvl="0">
      <w:lvlJc w:val="left"/>
      <w:lvlText w:val="%1)"/>
      <w:numFmt w:val="lowerLetter"/>
      <w:start w:val="2"/>
    </w:lvl>
    <w:lvl w:ilvl="1">
      <w:lvlJc w:val="left"/>
      <w:lvlText w:val="-"/>
      <w:numFmt w:val="bullet"/>
      <w:start w:val="1"/>
    </w:lvl>
  </w:abstractNum>
  <w:abstractNum w:abstractNumId="6">
    <w:nsid w:val="11447B73"/>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
    <w:nsid w:val="42963E5A"/>
    <w:multiLevelType w:val="hybridMultilevel"/>
    <w:lvl w:ilvl="0">
      <w:lvlJc w:val="left"/>
      <w:lvlText w:val="%1"/>
      <w:numFmt w:val="lowerLetter"/>
      <w:start w:val="1"/>
    </w:lvl>
    <w:lvl w:ilvl="1">
      <w:lvlJc w:val="left"/>
      <w:lvlText w:val="(%2)"/>
      <w:numFmt w:val="lowerRoman"/>
      <w:start w:val="2"/>
    </w:lvl>
  </w:abstractNum>
  <w:abstractNum w:abstractNumId="8">
    <w:nsid w:val="A0382C5"/>
    <w:multiLevelType w:val="hybridMultilevel"/>
    <w:lvl w:ilvl="0">
      <w:lvlJc w:val="left"/>
      <w:lvlText w:val="%1)"/>
      <w:numFmt w:val="lowerLetter"/>
      <w:start w:val="5"/>
    </w:lvl>
    <w:lvl w:ilvl="1">
      <w:lvlJc w:val="left"/>
      <w:lvlText w:val="%2"/>
      <w:numFmt w:val="lowerRoman"/>
      <w:start w:val="1"/>
    </w:lvl>
  </w:abstractNum>
  <w:abstractNum w:abstractNumId="9">
    <w:nsid w:val="8F2B15E"/>
    <w:multiLevelType w:val="hybridMultilevel"/>
    <w:lvl w:ilvl="0">
      <w:lvlJc w:val="left"/>
      <w:lvlText w:val="3"/>
      <w:numFmt w:val="bullet"/>
      <w:start w:val="1"/>
    </w:lvl>
  </w:abstractNum>
  <w:abstractNum w:abstractNumId="10">
    <w:nsid w:val="1A32234B"/>
    <w:multiLevelType w:val="hybridMultilevel"/>
    <w:lvl w:ilvl="0">
      <w:lvlJc w:val="left"/>
      <w:lvlText w:val="%1)"/>
      <w:numFmt w:val="lowerLetter"/>
      <w:start w:val="1"/>
    </w:lvl>
    <w:lvl w:ilvl="1">
      <w:lvlJc w:val="left"/>
      <w:lvlText w:val="-"/>
      <w:numFmt w:val="bullet"/>
      <w:start w:val="1"/>
    </w:lvl>
  </w:abstractNum>
  <w:abstractNum w:abstractNumId="11">
    <w:nsid w:val="3B0FD379"/>
    <w:multiLevelType w:val="hybridMultilevel"/>
    <w:lvl w:ilvl="0">
      <w:lvlJc w:val="left"/>
      <w:lvlText w:val="-"/>
      <w:numFmt w:val="bullet"/>
      <w:start w:val="1"/>
    </w:lvl>
    <w:lvl w:ilvl="1">
      <w:lvlJc w:val="left"/>
      <w:lvlText w:val="-"/>
      <w:numFmt w:val="bullet"/>
      <w:start w:val="1"/>
    </w:lvl>
  </w:abstractNum>
  <w:abstractNum w:abstractNumId="12">
    <w:nsid w:val="68EB2F63"/>
    <w:multiLevelType w:val="hybridMultilevel"/>
    <w:lvl w:ilvl="0">
      <w:lvlJc w:val="left"/>
      <w:lvlText w:val="-"/>
      <w:numFmt w:val="bullet"/>
      <w:start w:val="1"/>
    </w:lvl>
    <w:lvl w:ilvl="1">
      <w:lvlJc w:val="left"/>
      <w:lvlText w:val="-"/>
      <w:numFmt w:val="bullet"/>
      <w:start w:val="1"/>
    </w:lvl>
  </w:abstractNum>
  <w:abstractNum w:abstractNumId="13">
    <w:nsid w:val="4962813B"/>
    <w:multiLevelType w:val="hybridMultilevel"/>
    <w:lvl w:ilvl="0">
      <w:lvlJc w:val="left"/>
      <w:lvlText w:val="%1)"/>
      <w:numFmt w:val="lowerLetter"/>
      <w:start w:val="1"/>
    </w:lvl>
    <w:lvl w:ilvl="1">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1)"/>
      <w:numFmt w:val="lowerRoman"/>
      <w:start w:val="1"/>
    </w:lvl>
    <w:lvl w:ilvl="1">
      <w:lvlJc w:val="left"/>
      <w:lvlText w:val="-"/>
      <w:numFmt w:val="bullet"/>
      <w:start w:val="1"/>
    </w:lvl>
  </w:abstractNum>
  <w:abstractNum w:abstractNumId="16">
    <w:nsid w:val="14330624"/>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7">
    <w:nsid w:val="7FFFCA1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8">
    <w:nsid w:val="1A27709E"/>
    <w:multiLevelType w:val="hybridMultilevel"/>
    <w:lvl w:ilvl="0">
      <w:lvlJc w:val="left"/>
      <w:lvlText w:val="(%1)"/>
      <w:numFmt w:val="lowerRoman"/>
      <w:start w:val="3"/>
    </w:lvl>
    <w:lvl w:ilvl="1">
      <w:lvlJc w:val="left"/>
      <w:lvlText w:val="-"/>
      <w:numFmt w:val="bullet"/>
      <w:start w:val="1"/>
    </w:lvl>
  </w:abstractNum>
  <w:abstractNum w:abstractNumId="19">
    <w:nsid w:val="71EA1109"/>
    <w:multiLevelType w:val="hybridMultilevel"/>
    <w:lvl w:ilvl="0">
      <w:lvlJc w:val="left"/>
      <w:lvlText w:val="%1)"/>
      <w:numFmt w:val="lowerLetter"/>
      <w:start w:val="4"/>
    </w:lvl>
    <w:lvl w:ilvl="1">
      <w:lvlJc w:val="left"/>
      <w:lvlText w:val="-"/>
      <w:numFmt w:val="bullet"/>
      <w:start w:val="1"/>
    </w:lvl>
  </w:abstractNum>
  <w:abstractNum w:abstractNumId="20">
    <w:nsid w:val="100F59DC"/>
    <w:multiLevelType w:val="hybridMultilevel"/>
    <w:lvl w:ilvl="0">
      <w:lvlJc w:val="left"/>
      <w:lvlText w:val="%1)"/>
      <w:numFmt w:val="lowerRoman"/>
      <w:start w:val="1"/>
    </w:lvl>
    <w:lvl w:ilvl="1">
      <w:lvlJc w:val="left"/>
      <w:lvlText w:val="-"/>
      <w:numFmt w:val="bullet"/>
      <w:start w:val="1"/>
    </w:lvl>
  </w:abstractNum>
  <w:abstractNum w:abstractNumId="21">
    <w:nsid w:val="7FB7E0AA"/>
    <w:multiLevelType w:val="hybridMultilevel"/>
    <w:lvl w:ilvl="0">
      <w:lvlJc w:val="left"/>
      <w:lvlText w:val="%1)"/>
      <w:numFmt w:val="lowerRoman"/>
      <w:start w:val="2"/>
    </w:lvl>
    <w:lvl w:ilvl="1">
      <w:lvlJc w:val="left"/>
      <w:lvlText w:val="-"/>
      <w:numFmt w:val="bullet"/>
      <w:start w:val="1"/>
    </w:lvl>
  </w:abstractNum>
  <w:abstractNum w:abstractNumId="22">
    <w:nsid w:val="6EB5BD4"/>
    <w:multiLevelType w:val="hybridMultilevel"/>
    <w:lvl w:ilvl="0">
      <w:lvlJc w:val="left"/>
      <w:lvlText w:val="(%1)"/>
      <w:numFmt w:val="lowerRoman"/>
      <w:start w:val="1"/>
    </w:lvl>
  </w:abstractNum>
  <w:abstractNum w:abstractNumId="23">
    <w:nsid w:val="6F6DD9AC"/>
    <w:multiLevelType w:val="hybridMultilevel"/>
    <w:lvl w:ilvl="0">
      <w:lvlJc w:val="left"/>
      <w:lvlText w:val="%1"/>
      <w:numFmt w:val="lowerRoman"/>
      <w:start w:val="1"/>
    </w:lvl>
    <w:lvl w:ilvl="1">
      <w:lvlJc w:val="left"/>
      <w:lvlText w:val="(%2)"/>
      <w:numFmt w:val="lowerRoman"/>
      <w:start w:val="1"/>
    </w:lvl>
  </w:abstractNum>
  <w:abstractNum w:abstractNumId="24">
    <w:nsid w:val="94211F2"/>
    <w:multiLevelType w:val="hybridMultilevel"/>
    <w:lvl w:ilvl="0">
      <w:lvlJc w:val="left"/>
      <w:lvlText w:val="(%1)"/>
      <w:numFmt w:val="lowerRoman"/>
      <w:start w:val="2"/>
    </w:lvl>
    <w:lvl w:ilvl="1">
      <w:lvlJc w:val="left"/>
      <w:lvlText w:val="%2"/>
      <w:numFmt w:val="lowerRoman"/>
      <w:start w:val="1"/>
    </w:lvl>
  </w:abstractNum>
  <w:abstractNum w:abstractNumId="25">
    <w:nsid w:val="885E1B"/>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1)"/>
      <w:numFmt w:val="lowerRoman"/>
      <w:start w:val="2"/>
    </w:lvl>
    <w:lvl w:ilvl="1">
      <w:lvlJc w:val="left"/>
      <w:lvlText w:val="(%2)"/>
      <w:numFmt w:val="lowerRoman"/>
      <w:start w:val="1"/>
    </w:lvl>
    <w:lvl w:ilvl="2">
      <w:lvlJc w:val="left"/>
      <w:lvlText w:val="-"/>
      <w:numFmt w:val="bullet"/>
      <w:start w:val="1"/>
    </w:lvl>
  </w:abstractNum>
  <w:abstractNum w:abstractNumId="28">
    <w:nsid w:val="1716703B"/>
    <w:multiLevelType w:val="hybridMultilevel"/>
    <w:lvl w:ilvl="0">
      <w:lvlJc w:val="left"/>
      <w:lvlText w:val="(%1)"/>
      <w:numFmt w:val="lowerRoman"/>
      <w:start w:val="4"/>
    </w:lvl>
    <w:lvl w:ilvl="1">
      <w:lvlJc w:val="left"/>
      <w:lvlText w:val="-"/>
      <w:numFmt w:val="bullet"/>
      <w:start w:val="1"/>
    </w:lvl>
  </w:abstractNum>
  <w:abstractNum w:abstractNumId="29">
    <w:nsid w:val="14E17E33"/>
    <w:multiLevelType w:val="hybridMultilevel"/>
    <w:lvl w:ilvl="0">
      <w:lvlJc w:val="left"/>
      <w:lvlText w:val="(%1)"/>
      <w:numFmt w:val="lowerRoman"/>
      <w:start w:val="6"/>
    </w:lvl>
    <w:lvl w:ilvl="1">
      <w:lvlJc w:val="left"/>
      <w:lvlText w:val="-"/>
      <w:numFmt w:val="bullet"/>
      <w:start w:val="1"/>
    </w:lvl>
  </w:abstractNum>
  <w:abstractNum w:abstractNumId="30">
    <w:nsid w:val="3222E7CD"/>
    <w:multiLevelType w:val="hybridMultilevel"/>
    <w:lvl w:ilvl="0">
      <w:lvlJc w:val="left"/>
      <w:lvlText w:val="%1)"/>
      <w:numFmt w:val="lowerLetter"/>
      <w:start w:val="7"/>
    </w:lvl>
    <w:lvl w:ilvl="1">
      <w:lvlJc w:val="left"/>
      <w:lvlText w:val="-"/>
      <w:numFmt w:val="bullet"/>
      <w:start w:val="1"/>
    </w:lvl>
  </w:abstractNum>
  <w:abstractNum w:abstractNumId="31">
    <w:nsid w:val="74DE0EE3"/>
    <w:multiLevelType w:val="hybridMultilevel"/>
    <w:lvl w:ilvl="0">
      <w:lvlJc w:val="left"/>
      <w:lvlText w:val="(%1)"/>
      <w:numFmt w:val="lowerRoman"/>
      <w:start w:val="1"/>
    </w:lvl>
    <w:lvl w:ilvl="1">
      <w:lvlJc w:val="left"/>
      <w:lvlText w:val="-"/>
      <w:numFmt w:val="bullet"/>
      <w:start w:val="1"/>
    </w:lvl>
  </w:abstractNum>
  <w:abstractNum w:abstractNumId="32">
    <w:nsid w:val="68EBC550"/>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33">
    <w:nsid w:val="2DF6D648"/>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34">
    <w:nsid w:val="46B7D447"/>
    <w:multiLevelType w:val="hybridMultilevel"/>
    <w:lvl w:ilvl="0">
      <w:lvlJc w:val="left"/>
      <w:lvlText w:val="%1)"/>
      <w:numFmt w:val="lowerLetter"/>
      <w:start w:val="11"/>
    </w:lvl>
  </w:abstractNum>
  <w:abstractNum w:abstractNumId="35">
    <w:nsid w:val="4A2AC315"/>
    <w:multiLevelType w:val="hybridMultilevel"/>
    <w:lvl w:ilvl="0">
      <w:lvlJc w:val="left"/>
      <w:lvlText w:val="%1)"/>
      <w:numFmt w:val="lowerLetter"/>
      <w:start w:val="12"/>
    </w:lvl>
    <w:lvl w:ilvl="1">
      <w:lvlJc w:val="left"/>
      <w:lvlText w:val="-"/>
      <w:numFmt w:val="bullet"/>
      <w:start w:val="1"/>
    </w:lvl>
  </w:abstractNum>
  <w:abstractNum w:abstractNumId="36">
    <w:nsid w:val="39EE015C"/>
    <w:multiLevelType w:val="hybridMultilevel"/>
    <w:lvl w:ilvl="0">
      <w:lvlJc w:val="left"/>
      <w:lvlText w:val="%1)"/>
      <w:numFmt w:val="lowerLetter"/>
      <w:start w:val="13"/>
    </w:lvl>
    <w:lvl w:ilvl="1">
      <w:lvlJc w:val="left"/>
      <w:lvlText w:val="-"/>
      <w:numFmt w:val="bullet"/>
      <w:start w:val="1"/>
    </w:lvl>
  </w:abstractNum>
  <w:abstractNum w:abstractNumId="37">
    <w:nsid w:val="57FC4FBB"/>
    <w:multiLevelType w:val="hybridMultilevel"/>
    <w:lvl w:ilvl="0">
      <w:lvlJc w:val="left"/>
      <w:lvlText w:val="%1)"/>
      <w:numFmt w:val="lowerLetter"/>
      <w:start w:val="16"/>
    </w:lvl>
    <w:lvl w:ilvl="1">
      <w:lvlJc w:val="left"/>
      <w:lvlText w:val="-"/>
      <w:numFmt w:val="bullet"/>
      <w:start w:val="1"/>
    </w:lvl>
  </w:abstractNum>
  <w:abstractNum w:abstractNumId="38">
    <w:nsid w:val="CC1016F"/>
    <w:multiLevelType w:val="hybridMultilevel"/>
    <w:lvl w:ilvl="0">
      <w:lvlJc w:val="left"/>
      <w:lvlText w:val="%1)"/>
      <w:numFmt w:val="lowerLetter"/>
      <w:start w:val="17"/>
    </w:lvl>
    <w:lvl w:ilvl="1">
      <w:lvlJc w:val="left"/>
      <w:lvlText w:val="-"/>
      <w:numFmt w:val="bullet"/>
      <w:start w:val="1"/>
    </w:lvl>
  </w:abstractNum>
  <w:abstractNum w:abstractNumId="39">
    <w:nsid w:val="43F18422"/>
    <w:multiLevelType w:val="hybridMultilevel"/>
    <w:lvl w:ilvl="0">
      <w:lvlJc w:val="left"/>
      <w:lvlText w:val="%1)"/>
      <w:numFmt w:val="lowerLetter"/>
      <w:start w:val="19"/>
    </w:lvl>
    <w:lvl w:ilvl="1">
      <w:lvlJc w:val="left"/>
      <w:lvlText w:val="-"/>
      <w:numFmt w:val="bullet"/>
      <w:start w:val="1"/>
    </w:lvl>
  </w:abstractNum>
  <w:abstractNum w:abstractNumId="40">
    <w:nsid w:val="60EF0119"/>
    <w:multiLevelType w:val="hybridMultilevel"/>
    <w:lvl w:ilvl="0">
      <w:lvlJc w:val="left"/>
      <w:lvlText w:val="%1)"/>
      <w:numFmt w:val="lowerLetter"/>
      <w:start w:val="24"/>
    </w:lvl>
    <w:lvl w:ilvl="1">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1)"/>
      <w:numFmt w:val="lowerRoman"/>
      <w:start w:val="1"/>
    </w:lvl>
    <w:lvl w:ilvl="1">
      <w:lvlJc w:val="left"/>
      <w:lvlText w:val="-"/>
      <w:numFmt w:val="bullet"/>
      <w:start w:val="1"/>
    </w:lvl>
  </w:abstractNum>
  <w:abstractNum w:abstractNumId="43">
    <w:nsid w:val="49DA307D"/>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4">
    <w:nsid w:val="7055A5F5"/>
    <w:multiLevelType w:val="hybridMultilevel"/>
    <w:lvl w:ilvl="0">
      <w:lvlJc w:val="left"/>
      <w:lvlText w:val="%1)"/>
      <w:numFmt w:val="lowerLetter"/>
      <w:start w:val="27"/>
    </w:lvl>
    <w:lvl w:ilvl="1">
      <w:lvlJc w:val="left"/>
      <w:lvlText w:val="%2"/>
      <w:numFmt w:val="lowerRoman"/>
      <w:start w:val="1"/>
    </w:lvl>
    <w:lvl w:ilvl="2">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1)"/>
      <w:numFmt w:val="lowerRoman"/>
      <w:start w:val="1"/>
    </w:lvl>
    <w:lvl w:ilvl="1">
      <w:lvlJc w:val="left"/>
      <w:lvlText w:val="-"/>
      <w:numFmt w:val="bullet"/>
      <w:start w:val="1"/>
    </w:lvl>
  </w:abstractNum>
  <w:abstractNum w:abstractNumId="47">
    <w:nsid w:val="488AC1A"/>
    <w:multiLevelType w:val="hybridMultilevel"/>
    <w:lvl w:ilvl="0">
      <w:lvlJc w:val="left"/>
      <w:lvlText w:val="(%1)"/>
      <w:numFmt w:val="lowerRoman"/>
      <w:start w:val="2"/>
    </w:lvl>
    <w:lvl w:ilvl="1">
      <w:lvlJc w:val="left"/>
      <w:lvlText w:val="·"/>
      <w:numFmt w:val="bullet"/>
      <w:start w:val="1"/>
    </w:lvl>
  </w:abstractNum>
  <w:abstractNum w:abstractNumId="48">
    <w:nsid w:val="5FB8011C"/>
    <w:multiLevelType w:val="hybridMultilevel"/>
    <w:lvl w:ilvl="0">
      <w:lvlJc w:val="left"/>
      <w:lvlText w:val="(%1)"/>
      <w:numFmt w:val="lowerRoman"/>
      <w:start w:val="3"/>
    </w:lvl>
    <w:lvl w:ilvl="1">
      <w:lvlJc w:val="left"/>
      <w:lvlText w:val="-"/>
      <w:numFmt w:val="bullet"/>
      <w:start w:val="1"/>
    </w:lvl>
  </w:abstractNum>
  <w:abstractNum w:abstractNumId="49">
    <w:nsid w:val="6AA78F7F"/>
    <w:multiLevelType w:val="hybridMultilevel"/>
    <w:lvl w:ilvl="0">
      <w:lvlJc w:val="left"/>
      <w:lvlText w:val="(%1)"/>
      <w:numFmt w:val="lowerRoman"/>
      <w:start w:val="4"/>
    </w:lvl>
    <w:lvl w:ilvl="1">
      <w:lvlJc w:val="left"/>
      <w:lvlText w:val="-"/>
      <w:numFmt w:val="bullet"/>
      <w:start w:val="1"/>
    </w:lvl>
  </w:abstractNum>
  <w:abstractNum w:abstractNumId="50">
    <w:nsid w:val="7672BD23"/>
    <w:multiLevelType w:val="hybridMultilevel"/>
    <w:lvl w:ilvl="0">
      <w:lvlJc w:val="left"/>
      <w:lvlText w:val="(%1)"/>
      <w:numFmt w:val="lowerRoman"/>
      <w:start w:val="5"/>
    </w:lvl>
    <w:lvl w:ilvl="1">
      <w:lvlJc w:val="left"/>
      <w:lvlText w:val="-"/>
      <w:numFmt w:val="bullet"/>
      <w:start w:val="1"/>
    </w:lvl>
  </w:abstractNum>
  <w:abstractNum w:abstractNumId="51">
    <w:nsid w:val="6FC75AF8"/>
    <w:multiLevelType w:val="hybridMultilevel"/>
    <w:lvl w:ilvl="0">
      <w:lvlJc w:val="left"/>
      <w:lvlText w:val="4"/>
      <w:numFmt w:val="bullet"/>
      <w:start w:val="1"/>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5"/>
      <w:numFmt w:val="bullet"/>
      <w:start w:val="1"/>
    </w:lvl>
  </w:abstractNum>
  <w:abstractNum w:abstractNumId="54">
    <w:nsid w:val="5F3534A4"/>
    <w:multiLevelType w:val="hybridMultilevel"/>
    <w:lvl w:ilvl="0">
      <w:lvlJc w:val="left"/>
      <w:lvlText w:val="(%1)"/>
      <w:numFmt w:val="lowerRoman"/>
      <w:start w:val="1"/>
    </w:lvl>
    <w:lvl w:ilvl="1">
      <w:lvlJc w:val="left"/>
      <w:lvlText w:val="-"/>
      <w:numFmt w:val="bullet"/>
      <w:start w:val="1"/>
    </w:lvl>
  </w:abstractNum>
  <w:abstractNum w:abstractNumId="55">
    <w:nsid w:val="73A1821B"/>
    <w:multiLevelType w:val="hybridMultilevel"/>
    <w:lvl w:ilvl="0">
      <w:lvlJc w:val="left"/>
      <w:lvlText w:val="(%1)"/>
      <w:numFmt w:val="lowerRoman"/>
      <w:start w:val="2"/>
    </w:lvl>
  </w:abstractNum>
  <w:abstractNum w:abstractNumId="56">
    <w:nsid w:val="7DE67713"/>
    <w:multiLevelType w:val="hybridMultilevel"/>
    <w:lvl w:ilvl="0">
      <w:lvlJc w:val="left"/>
      <w:lvlText w:val="%1)"/>
      <w:numFmt w:val="lowerLetter"/>
      <w:start w:val="2"/>
    </w:lvl>
  </w:abstractNum>
  <w:abstractNum w:abstractNumId="57">
    <w:nsid w:val="555C55B5"/>
    <w:multiLevelType w:val="hybridMultilevel"/>
    <w:lvl w:ilvl="0">
      <w:lvlJc w:val="left"/>
      <w:lvlText w:val="%1)"/>
      <w:numFmt w:val="lowerLetter"/>
      <w:start w:val="3"/>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6"/>
      <w:numFmt w:val="bullet"/>
      <w:start w:val="1"/>
    </w:lvl>
  </w:abstractNum>
  <w:abstractNum w:abstractNumId="62">
    <w:nsid w:val="9DAF632"/>
    <w:multiLevelType w:val="hybridMultilevel"/>
    <w:lvl w:ilvl="0">
      <w:lvlJc w:val="left"/>
      <w:lvlText w:val="%1)"/>
      <w:numFmt w:val="lowerLetter"/>
      <w:start w:val="1"/>
    </w:lvl>
  </w:abstractNum>
  <w:abstractNum w:abstractNumId="63">
    <w:nsid w:val="53299938"/>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64">
    <w:nsid w:val="1FBFE8E0"/>
    <w:multiLevelType w:val="hybridMultilevel"/>
    <w:lvl w:ilvl="0">
      <w:lvlJc w:val="left"/>
      <w:lvlText w:val="%1"/>
      <w:numFmt w:val="lowerLetter"/>
      <w:start w:val="1"/>
    </w:lvl>
    <w:lvl w:ilvl="1">
      <w:lvlJc w:val="left"/>
      <w:lvlText w:val="(%2)"/>
      <w:numFmt w:val="lowerRoman"/>
      <w:start w:val="7"/>
    </w:lvl>
  </w:abstractNum>
  <w:abstractNum w:abstractNumId="65">
    <w:nsid w:val="5092CA79"/>
    <w:multiLevelType w:val="hybridMultilevel"/>
    <w:lvl w:ilvl="0">
      <w:lvlJc w:val="left"/>
      <w:lvlText w:val="%1)"/>
      <w:numFmt w:val="lowerLetter"/>
      <w:start w:val="2"/>
    </w:lvl>
    <w:lvl w:ilvl="1">
      <w:lvlJc w:val="left"/>
      <w:lvlText w:val="%2"/>
      <w:numFmt w:val="lowerRoman"/>
      <w:start w:val="1"/>
    </w:lvl>
  </w:abstractNum>
  <w:abstractNum w:abstractNumId="66">
    <w:nsid w:val="1D545C4D"/>
    <w:multiLevelType w:val="hybridMultilevel"/>
    <w:lvl w:ilvl="0">
      <w:lvlJc w:val="left"/>
      <w:lvlText w:val="%1)"/>
      <w:numFmt w:val="lowerLetter"/>
      <w:start w:val="2"/>
    </w:lvl>
    <w:lvl w:ilvl="1">
      <w:lvlJc w:val="left"/>
      <w:lvlText w:val="(*)"/>
      <w:numFmt w:val="bullet"/>
      <w:start w:val="1"/>
    </w:lvl>
  </w:abstractNum>
  <w:abstractNum w:abstractNumId="67">
    <w:nsid w:val="59ADEA3D"/>
    <w:multiLevelType w:val="hybridMultilevel"/>
    <w:lvl w:ilvl="0">
      <w:lvlJc w:val="left"/>
      <w:lvlText w:val="7"/>
      <w:numFmt w:val="bullet"/>
      <w:start w:val="1"/>
    </w:lvl>
  </w:abstractNum>
  <w:abstractNum w:abstractNumId="68">
    <w:nsid w:val="288F1A34"/>
    <w:multiLevelType w:val="hybridMultilevel"/>
    <w:lvl w:ilvl="0">
      <w:lvlJc w:val="left"/>
      <w:lvlText w:val="%1)"/>
      <w:numFmt w:val="lowerLetter"/>
      <w:start w:val="3"/>
    </w:lvl>
    <w:lvl w:ilvl="1">
      <w:lvlJc w:val="left"/>
      <w:lvlText w:val="-"/>
      <w:numFmt w:val="bullet"/>
      <w:start w:val="1"/>
    </w:lvl>
  </w:abstractNum>
  <w:abstractNum w:abstractNumId="69">
    <w:nsid w:val="2A155DBC"/>
    <w:multiLevelType w:val="hybridMultilevel"/>
    <w:lvl w:ilvl="0">
      <w:lvlJc w:val="left"/>
      <w:lvlText w:val="%1)"/>
      <w:numFmt w:val="lowerLetter"/>
      <w:start w:val="4"/>
    </w:lvl>
    <w:lvl w:ilvl="1">
      <w:lvlJc w:val="left"/>
      <w:lvlText w:val="(*)"/>
      <w:numFmt w:val="bullet"/>
      <w:start w:val="1"/>
    </w:lvl>
  </w:abstractNum>
  <w:abstractNum w:abstractNumId="70">
    <w:nsid w:val="1D9F6E5F"/>
    <w:multiLevelType w:val="hybridMultilevel"/>
    <w:lvl w:ilvl="0">
      <w:lvlJc w:val="left"/>
      <w:lvlText w:val="8"/>
      <w:numFmt w:val="bullet"/>
      <w:start w:val="1"/>
    </w:lvl>
  </w:abstractNum>
  <w:abstractNum w:abstractNumId="71">
    <w:nsid w:val="97E1B4E"/>
    <w:multiLevelType w:val="hybridMultilevel"/>
    <w:lvl w:ilvl="0">
      <w:lvlJc w:val="left"/>
      <w:lvlText w:val="9"/>
      <w:numFmt w:val="bullet"/>
      <w:start w:val="1"/>
    </w:lvl>
  </w:abstractNum>
  <w:abstractNum w:abstractNumId="72">
    <w:nsid w:val="51088277"/>
    <w:multiLevelType w:val="hybridMultilevel"/>
    <w:lvl w:ilvl="0">
      <w:lvlJc w:val="left"/>
      <w:lvlText w:val="%1)"/>
      <w:numFmt w:val="lowerLetter"/>
      <w:start w:val="1"/>
    </w:lvl>
    <w:lvl w:ilvl="1">
      <w:lvlJc w:val="left"/>
      <w:lvlText w:val="-"/>
      <w:numFmt w:val="bullet"/>
      <w:start w:val="1"/>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2"/>
    </w:lvl>
  </w:abstractNum>
  <w:abstractNum w:abstractNumId="76">
    <w:nsid w:val="7C58FD05"/>
    <w:multiLevelType w:val="hybridMultilevel"/>
    <w:lvl w:ilvl="0">
      <w:lvlJc w:val="left"/>
      <w:lvlText w:val="%1)"/>
      <w:numFmt w:val="lowerLetter"/>
      <w:start w:val="2"/>
    </w:lvl>
  </w:abstractNum>
  <w:abstractNum w:abstractNumId="77">
    <w:nsid w:val="23D86AAC"/>
    <w:multiLevelType w:val="hybridMultilevel"/>
    <w:lvl w:ilvl="0">
      <w:lvlJc w:val="left"/>
      <w:lvlText w:val="(%1)"/>
      <w:numFmt w:val="lowerRoman"/>
      <w:start w:val="1"/>
    </w:lvl>
  </w:abstractNum>
  <w:abstractNum w:abstractNumId="78">
    <w:nsid w:val="45E6D486"/>
    <w:multiLevelType w:val="hybridMultilevel"/>
    <w:lvl w:ilvl="0">
      <w:lvlJc w:val="left"/>
      <w:lvlText w:val="(%1)"/>
      <w:numFmt w:val="lowerRoman"/>
      <w:start w:val="2"/>
    </w:lvl>
  </w:abstractNum>
  <w:abstractNum w:abstractNumId="79">
    <w:nsid w:val="5C10FE21"/>
    <w:multiLevelType w:val="hybridMultilevel"/>
    <w:lvl w:ilvl="0">
      <w:lvlJc w:val="left"/>
      <w:lvlText w:val="%1)"/>
      <w:numFmt w:val="lowerLetter"/>
      <w:start w:val="3"/>
    </w:lvl>
    <w:lvl w:ilvl="1">
      <w:lvlJc w:val="left"/>
      <w:lvlText w:val="-"/>
      <w:numFmt w:val="bullet"/>
      <w:start w:val="1"/>
    </w:lvl>
  </w:abstractNum>
  <w:abstractNum w:abstractNumId="80">
    <w:nsid w:val="E7FFA2B"/>
    <w:multiLevelType w:val="hybridMultilevel"/>
    <w:lvl w:ilvl="0">
      <w:lvlJc w:val="left"/>
      <w:lvlText w:val="%1)"/>
      <w:numFmt w:val="lowerLetter"/>
      <w:start w:val="5"/>
    </w:lvl>
  </w:abstractNum>
  <w:abstractNum w:abstractNumId="81">
    <w:nsid w:val="3C5991AA"/>
    <w:multiLevelType w:val="hybridMultilevel"/>
    <w:lvl w:ilvl="0">
      <w:lvlJc w:val="left"/>
      <w:lvlText w:val="(%1)"/>
      <w:numFmt w:val="lowerRoman"/>
      <w:start w:val="1"/>
    </w:lvl>
  </w:abstractNum>
  <w:abstractNum w:abstractNumId="82">
    <w:nsid w:val="4BD8591A"/>
    <w:multiLevelType w:val="hybridMultilevel"/>
    <w:lvl w:ilvl="0">
      <w:lvlJc w:val="left"/>
      <w:lvlText w:val="(%1)"/>
      <w:numFmt w:val="lowerRoman"/>
      <w:start w:val="2"/>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lvl w:ilvl="1">
      <w:lvlJc w:val="left"/>
      <w:lvlText w:val="-"/>
      <w:numFmt w:val="bullet"/>
      <w:start w:val="1"/>
    </w:lvl>
  </w:abstractNum>
  <w:abstractNum w:abstractNumId="87">
    <w:nsid w:val="379E21B5"/>
    <w:multiLevelType w:val="hybridMultilevel"/>
    <w:lvl w:ilvl="0">
      <w:lvlJc w:val="left"/>
      <w:lvlText w:val="%1"/>
      <w:numFmt w:val="lowerLetter"/>
      <w:start w:val="1"/>
    </w:lvl>
    <w:lvl w:ilvl="1">
      <w:lvlJc w:val="left"/>
      <w:lvlText w:val="(%2)"/>
      <w:numFmt w:val="lowerRoman"/>
      <w:start w:val="2"/>
    </w:lvl>
  </w:abstractNum>
  <w:abstractNum w:abstractNumId="88">
    <w:nsid w:val="69E373"/>
    <w:multiLevelType w:val="hybridMultilevel"/>
    <w:lvl w:ilvl="0">
      <w:lvlJc w:val="left"/>
      <w:lvlText w:val="%1)"/>
      <w:numFmt w:val="lowerLetter"/>
      <w:start w:val="2"/>
    </w:lvl>
    <w:lvl w:ilvl="1">
      <w:lvlJc w:val="left"/>
      <w:lvlText w:val="%2"/>
      <w:numFmt w:val="lowerRoman"/>
      <w:start w:val="1"/>
    </w:lvl>
  </w:abstractNum>
  <w:abstractNum w:abstractNumId="89">
    <w:nsid w:val="2C27173B"/>
    <w:multiLevelType w:val="hybridMultilevel"/>
    <w:lvl w:ilvl="0">
      <w:lvlJc w:val="left"/>
      <w:lvlText w:val="%1)"/>
      <w:numFmt w:val="lowerLetter"/>
      <w:start w:val="3"/>
    </w:lvl>
    <w:lvl w:ilvl="1">
      <w:lvlJc w:val="left"/>
      <w:lvlText w:val="-"/>
      <w:numFmt w:val="bullet"/>
      <w:start w:val="1"/>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lvl w:ilvl="1">
      <w:lvlJc w:val="left"/>
      <w:lvlText w:val="-"/>
      <w:numFmt w:val="bullet"/>
      <w:start w:val="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Roman"/>
      <w:start w:val="1"/>
    </w:lvl>
    <w:lvl w:ilvl="1">
      <w:lvlJc w:val="left"/>
      <w:lvlText w:val="-"/>
      <w:numFmt w:val="bullet"/>
      <w:start w:val="1"/>
    </w:lvl>
  </w:abstractNum>
  <w:abstractNum w:abstractNumId="95">
    <w:nsid w:val="3DB012B3"/>
    <w:multiLevelType w:val="hybridMultilevel"/>
    <w:lvl w:ilvl="0">
      <w:lvlJc w:val="left"/>
      <w:lvlText w:val="%1"/>
      <w:numFmt w:val="lowerLetter"/>
      <w:start w:val="1"/>
    </w:lvl>
    <w:lvl w:ilvl="1">
      <w:lvlJc w:val="left"/>
      <w:lvlText w:val="(%2)"/>
      <w:numFmt w:val="lowerRoman"/>
      <w:start w:val="7"/>
    </w:lvl>
  </w:abstractNum>
  <w:abstractNum w:abstractNumId="96">
    <w:nsid w:val="2708C9AF"/>
    <w:multiLevelType w:val="hybridMultilevel"/>
    <w:lvl w:ilvl="0">
      <w:lvlJc w:val="left"/>
      <w:lvlText w:val="%1)"/>
      <w:numFmt w:val="lowerLetter"/>
      <w:start w:val="2"/>
    </w:lvl>
    <w:lvl w:ilvl="1">
      <w:lvlJc w:val="left"/>
      <w:lvlText w:val="%2"/>
      <w:numFmt w:val="lowerRoman"/>
      <w:start w:val="1"/>
    </w:lvl>
  </w:abstractNum>
  <w:abstractNum w:abstractNumId="97">
    <w:nsid w:val="5B25ACE2"/>
    <w:multiLevelType w:val="hybridMultilevel"/>
    <w:lvl w:ilvl="0">
      <w:lvlJc w:val="left"/>
      <w:lvlText w:val="%1)"/>
      <w:numFmt w:val="lowerLetter"/>
      <w:start w:val="1"/>
    </w:lvl>
    <w:lvl w:ilvl="1">
      <w:lvlJc w:val="left"/>
      <w:lvlText w:val="-"/>
      <w:numFmt w:val="bullet"/>
      <w:start w:val="1"/>
    </w:lvl>
  </w:abstractNum>
  <w:abstractNum w:abstractNumId="98">
    <w:nsid w:val="175DFCF0"/>
    <w:multiLevelType w:val="hybridMultilevel"/>
    <w:lvl w:ilvl="0">
      <w:lvlJc w:val="left"/>
      <w:lvlText w:val="%1)"/>
      <w:numFmt w:val="lowerLetter"/>
      <w:start w:val="3"/>
    </w:lvl>
  </w:abstractNum>
  <w:abstractNum w:abstractNumId="99">
    <w:nsid w:val="4F97E3E4"/>
    <w:multiLevelType w:val="hybridMultilevel"/>
    <w:lvl w:ilvl="0">
      <w:lvlJc w:val="left"/>
      <w:lvlText w:val="%1)"/>
      <w:numFmt w:val="lowerLetter"/>
      <w:start w:val="4"/>
    </w:lvl>
  </w:abstractNum>
  <w:abstractNum w:abstractNumId="100">
    <w:nsid w:val="53B0A9E"/>
    <w:multiLevelType w:val="hybridMultilevel"/>
    <w:lvl w:ilvl="0">
      <w:lvlJc w:val="left"/>
      <w:lvlText w:val="%1)"/>
      <w:numFmt w:val="lowerLetter"/>
      <w:start w:val="5"/>
    </w:lvl>
  </w:abstractNum>
  <w:abstractNum w:abstractNumId="101">
    <w:nsid w:val="34FD6B4F"/>
    <w:multiLevelType w:val="hybridMultilevel"/>
    <w:lvl w:ilvl="0">
      <w:lvlJc w:val="left"/>
      <w:lvlText w:val="%1)"/>
      <w:numFmt w:val="lowerLetter"/>
      <w:start w:val="1"/>
    </w:lvl>
    <w:lvl w:ilvl="1">
      <w:lvlJc w:val="left"/>
      <w:lvlText w:val="-"/>
      <w:numFmt w:val="bullet"/>
      <w:start w:val="1"/>
    </w:lvl>
  </w:abstractNum>
  <w:abstractNum w:abstractNumId="102">
    <w:nsid w:val="5915FF32"/>
    <w:multiLevelType w:val="hybridMultilevel"/>
    <w:lvl w:ilvl="0">
      <w:lvlJc w:val="left"/>
      <w:lvlText w:val="%1)"/>
      <w:numFmt w:val="lowerLetter"/>
      <w:start w:val="4"/>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2"/>
    </w:lvl>
    <w:lvl w:ilvl="1">
      <w:lvlJc w:val="left"/>
      <w:lvlText w:val="-"/>
      <w:numFmt w:val="bullet"/>
      <w:start w:val="1"/>
    </w:lvl>
  </w:abstractNum>
  <w:abstractNum w:abstractNumId="105">
    <w:nsid w:val="2C6E4AFD"/>
    <w:multiLevelType w:val="hybridMultilevel"/>
    <w:lvl w:ilvl="0">
      <w:lvlJc w:val="left"/>
      <w:lvlText w:val="(*)"/>
      <w:numFmt w:val="bullet"/>
      <w:start w:val="1"/>
    </w:lvl>
    <w:lvl w:ilvl="1">
      <w:lvlJc w:val="left"/>
      <w:lvlText w:val="-"/>
      <w:numFmt w:val="bullet"/>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1)"/>
      <w:numFmt w:val="lowerRoman"/>
      <w:start w:val="2"/>
    </w:lvl>
    <w:lvl w:ilvl="1">
      <w:lvlJc w:val="left"/>
      <w:lvlText w:val="-"/>
      <w:numFmt w:val="bullet"/>
      <w:start w:val="1"/>
    </w:lvl>
  </w:abstractNum>
  <w:abstractNum w:abstractNumId="108">
    <w:nsid w:val="5046B5A9"/>
    <w:multiLevelType w:val="hybridMultilevel"/>
    <w:lvl w:ilvl="0">
      <w:lvlJc w:val="left"/>
      <w:lvlText w:val="(*)"/>
      <w:numFmt w:val="bullet"/>
      <w:start w:val="1"/>
    </w:lvl>
    <w:lvl w:ilvl="1">
      <w:lvlJc w:val="left"/>
      <w:lvlText w:val="-"/>
      <w:numFmt w:val="bullet"/>
      <w:start w:val="1"/>
    </w:lvl>
  </w:abstractNum>
  <w:abstractNum w:abstractNumId="109">
    <w:nsid w:val="5D888A08"/>
    <w:multiLevelType w:val="hybridMultilevel"/>
    <w:lvl w:ilvl="0">
      <w:lvlJc w:val="left"/>
      <w:lvlText w:val="(*)"/>
      <w:numFmt w:val="bullet"/>
      <w:start w:val="1"/>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1)"/>
      <w:numFmt w:val="lowerRoman"/>
      <w:start w:val="1"/>
    </w:lvl>
  </w:abstractNum>
  <w:abstractNum w:abstractNumId="112">
    <w:nsid w:val="19E21BB2"/>
    <w:multiLevelType w:val="hybridMultilevel"/>
    <w:lvl w:ilvl="0">
      <w:lvlJc w:val="left"/>
      <w:lvlText w:val="(%1)"/>
      <w:numFmt w:val="lowerRoman"/>
      <w:start w:val="2"/>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lvl w:ilvl="1">
      <w:lvlJc w:val="left"/>
      <w:lvlText w:val="-"/>
      <w:numFmt w:val="bullet"/>
      <w:start w:val="1"/>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1)"/>
      <w:numFmt w:val="lowerLetter"/>
      <w:start w:val="1"/>
    </w:lvl>
  </w:abstractNum>
  <w:abstractNum w:abstractNumId="118">
    <w:nsid w:val="B37E80A"/>
    <w:multiLevelType w:val="hybridMultilevel"/>
    <w:lvl w:ilvl="0">
      <w:lvlJc w:val="left"/>
      <w:lvlText w:val="%1)"/>
      <w:numFmt w:val="lowerLetter"/>
      <w:start w:val="3"/>
    </w:lvl>
  </w:abstractNum>
  <w:abstractNum w:abstractNumId="119">
    <w:nsid w:val="2157F6BC"/>
    <w:multiLevelType w:val="hybridMultilevel"/>
    <w:lvl w:ilvl="0">
      <w:lvlJc w:val="left"/>
      <w:lvlText w:val="%1)"/>
      <w:numFmt w:val="lowerLetter"/>
      <w:start w:val="6"/>
    </w:lvl>
  </w:abstractNum>
  <w:abstractNum w:abstractNumId="120">
    <w:nsid w:val="704E1DD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1">
    <w:nsid w:val="57D2F10E"/>
    <w:multiLevelType w:val="hybridMultilevel"/>
    <w:lvl w:ilvl="0">
      <w:lvlJc w:val="left"/>
      <w:lvlText w:val="(%1)"/>
      <w:numFmt w:val="lowerRoman"/>
      <w:start w:val="3"/>
    </w:lvl>
    <w:lvl w:ilvl="1">
      <w:lvlJc w:val="left"/>
      <w:lvlText w:val="-"/>
      <w:numFmt w:val="bullet"/>
      <w:start w:val="1"/>
    </w:lvl>
  </w:abstractNum>
  <w:abstractNum w:abstractNumId="122">
    <w:nsid w:val="BFFAE18"/>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23">
    <w:nsid w:val="E3E47A8"/>
    <w:multiLevelType w:val="hybridMultilevel"/>
    <w:lvl w:ilvl="0">
      <w:lvlJc w:val="left"/>
      <w:lvlText w:val="%1)"/>
      <w:numFmt w:val="lowerLetter"/>
      <w:start w:val="5"/>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
      <w:numFmt w:val="bullet"/>
      <w:start w:val="1"/>
    </w:lvl>
    <w:lvl w:ilvl="1">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1)"/>
      <w:numFmt w:val="lowerRoman"/>
      <w:start w:val="2"/>
    </w:lvl>
    <w:lvl w:ilvl="1">
      <w:lvlJc w:val="left"/>
      <w:lvlText w:val="-"/>
      <w:numFmt w:val="bullet"/>
      <w:start w:val="1"/>
    </w:lvl>
  </w:abstractNum>
  <w:abstractNum w:abstractNumId="128">
    <w:nsid w:val="24F6AB8E"/>
    <w:multiLevelType w:val="hybridMultilevel"/>
    <w:lvl w:ilvl="0">
      <w:lvlJc w:val="left"/>
      <w:lvlText w:val="%1)"/>
      <w:numFmt w:val="lowerLetter"/>
      <w:start w:val="2"/>
    </w:lvl>
    <w:lvl w:ilvl="1">
      <w:lvlJc w:val="left"/>
      <w:lvlText w:val="-"/>
      <w:numFmt w:val="bullet"/>
      <w:start w:val="1"/>
    </w:lvl>
  </w:abstractNum>
  <w:abstractNum w:abstractNumId="129">
    <w:nsid w:val="634C574C"/>
    <w:multiLevelType w:val="hybridMultilevel"/>
    <w:lvl w:ilvl="0">
      <w:lvlJc w:val="left"/>
      <w:lvlText w:val="(%1)"/>
      <w:numFmt w:val="lowerRoman"/>
      <w:start w:val="1"/>
    </w:lvl>
  </w:abstractNum>
  <w:abstractNum w:abstractNumId="130">
    <w:nsid w:val="24E99DD7"/>
    <w:multiLevelType w:val="hybridMultilevel"/>
    <w:lvl w:ilvl="0">
      <w:lvlJc w:val="left"/>
      <w:lvlText w:val="(%1)"/>
      <w:numFmt w:val="lowerRoman"/>
      <w:start w:val="1"/>
    </w:lvl>
  </w:abstractNum>
  <w:abstractNum w:abstractNumId="131">
    <w:nsid w:val="2A31B62D"/>
    <w:multiLevelType w:val="hybridMultilevel"/>
    <w:lvl w:ilvl="0">
      <w:lvlJc w:val="left"/>
      <w:lvlText w:val="%1)"/>
      <w:numFmt w:val="lowerLetter"/>
      <w:start w:val="4"/>
    </w:lvl>
    <w:lvl w:ilvl="1">
      <w:lvlJc w:val="left"/>
      <w:lvlText w:val="-"/>
      <w:numFmt w:val="bullet"/>
      <w:start w:val="1"/>
    </w:lvl>
  </w:abstractNum>
  <w:abstractNum w:abstractNumId="132">
    <w:nsid w:val="1849C29B"/>
    <w:multiLevelType w:val="hybridMultilevel"/>
    <w:lvl w:ilvl="0">
      <w:lvlJc w:val="left"/>
      <w:lvlText w:val="%1)"/>
      <w:numFmt w:val="lowerLetter"/>
      <w:start w:val="6"/>
    </w:lvl>
  </w:abstractNum>
  <w:abstractNum w:abstractNumId="133">
    <w:nsid w:val="7DFF9D09"/>
    <w:multiLevelType w:val="hybridMultilevel"/>
    <w:lvl w:ilvl="0">
      <w:lvlJc w:val="left"/>
      <w:lvlText w:val="%1)"/>
      <w:numFmt w:val="lowerLetter"/>
      <w:start w:val="7"/>
    </w:lvl>
    <w:lvl w:ilvl="1">
      <w:lvlJc w:val="left"/>
      <w:lvlText w:val="-"/>
      <w:numFmt w:val="bullet"/>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
      <w:numFmt w:val="bullet"/>
      <w:start w:val="1"/>
    </w:lvl>
  </w:abstractNum>
  <w:abstractNum w:abstractNumId="136">
    <w:nsid w:val="2A6DE80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7">
    <w:nsid w:val="1816F8C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8">
    <w:nsid w:val="37DF2233"/>
    <w:multiLevelType w:val="hybridMultilevel"/>
    <w:lvl w:ilvl="0">
      <w:lvlJc w:val="left"/>
      <w:lvlText w:val="(%1)"/>
      <w:numFmt w:val="lowerRoman"/>
      <w:start w:val="2"/>
    </w:lvl>
    <w:lvl w:ilvl="1">
      <w:lvlJc w:val="left"/>
      <w:lvlText w:val="-"/>
      <w:numFmt w:val="bullet"/>
      <w:start w:val="1"/>
    </w:lvl>
  </w:abstractNum>
  <w:abstractNum w:abstractNumId="139">
    <w:nsid w:val="7AB49DAF"/>
    <w:multiLevelType w:val="hybridMultilevel"/>
    <w:lvl w:ilvl="0">
      <w:lvlJc w:val="left"/>
      <w:lvlText w:val="-"/>
      <w:numFmt w:val="bullet"/>
      <w:start w:val="1"/>
    </w:lvl>
    <w:lvl w:ilvl="1">
      <w:lvlJc w:val="left"/>
      <w:lvlText w:val="-"/>
      <w:numFmt w:val="bullet"/>
      <w:start w:val="1"/>
    </w:lvl>
  </w:abstractNum>
  <w:abstractNum w:abstractNumId="140">
    <w:nsid w:val="759F82CD"/>
    <w:multiLevelType w:val="hybridMultilevel"/>
    <w:lvl w:ilvl="0">
      <w:lvlJc w:val="left"/>
      <w:lvlText w:val="(%1)"/>
      <w:numFmt w:val="lowerRoman"/>
      <w:start w:val="2"/>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lowerRoman"/>
      <w:start w:val="1"/>
    </w:lvl>
  </w:abstractNum>
  <w:abstractNum w:abstractNumId="143">
    <w:nsid w:val="F819E7F"/>
    <w:multiLevelType w:val="hybridMultilevel"/>
    <w:lvl w:ilvl="0">
      <w:lvlJc w:val="left"/>
      <w:lvlText w:val="(%1)"/>
      <w:numFmt w:val="lowerRoman"/>
      <w:start w:val="1"/>
    </w:lvl>
    <w:lvl w:ilvl="1">
      <w:lvlJc w:val="left"/>
      <w:lvlText w:val="-"/>
      <w:numFmt w:val="bullet"/>
      <w:start w:val="1"/>
    </w:lvl>
  </w:abstractNum>
  <w:abstractNum w:abstractNumId="144">
    <w:nsid w:val="57C7D42D"/>
    <w:multiLevelType w:val="hybridMultilevel"/>
    <w:lvl w:ilvl="0">
      <w:lvlJc w:val="left"/>
      <w:lvlText w:val="(%1)"/>
      <w:numFmt w:val="lowerRoman"/>
      <w:start w:val="2"/>
    </w:lvl>
  </w:abstractNum>
  <w:abstractNum w:abstractNumId="145">
    <w:nsid w:val="312167AD"/>
    <w:multiLevelType w:val="hybridMultilevel"/>
    <w:lvl w:ilvl="0">
      <w:lvlJc w:val="left"/>
      <w:lvlText w:val="%1)"/>
      <w:numFmt w:val="lowerRoman"/>
      <w:start w:val="1"/>
    </w:lvl>
    <w:lvl w:ilvl="1">
      <w:lvlJc w:val="left"/>
      <w:lvlText w:val="-"/>
      <w:numFmt w:val="bullet"/>
      <w:start w:val="1"/>
    </w:lvl>
  </w:abstractNum>
  <w:abstractNum w:abstractNumId="146">
    <w:nsid w:val="631B64D4"/>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2019-12-06T03:39:57Z</dcterms:created>
  <dcterms:modified xsi:type="dcterms:W3CDTF">2019-12-06T03:39:57Z</dcterms:modified>
</cp:coreProperties>
</file>