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January 2015</w:t>
      </w:r>
    </w:p>
    <w:p>
      <w:pPr>
        <w:spacing w:after="0" w:line="22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tabs>
          <w:tab w:leader="none" w:pos="55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324485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Lima, January 19</w:t>
      </w:r>
      <w:r>
        <w:rPr>
          <w:rFonts w:ascii="Arial" w:cs="Arial" w:eastAsia="Arial" w:hAnsi="Arial"/>
          <w:sz w:val="30"/>
          <w:szCs w:val="30"/>
          <w:color w:val="auto"/>
          <w:vertAlign w:val="superscript"/>
        </w:rPr>
        <w:t>th</w:t>
      </w:r>
      <w:r>
        <w:rPr>
          <w:rFonts w:ascii="Arial" w:cs="Arial" w:eastAsia="Arial" w:hAnsi="Arial"/>
          <w:sz w:val="18"/>
          <w:szCs w:val="18"/>
          <w:color w:val="auto"/>
        </w:rPr>
        <w:t>,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has acquired in the Stock Exchange of Chile a total of 4,239,092 shares of Banco de Crédito e Inversiones de Chile (BCI) at CLP 27,776 (Chilean Pesos) per share. The acquisition was equivalent to 3.9% of BCI’s shareholding structure and totaled US$ 188,936,167.19. The seller of such shares was Inversiones BCP S.A (Chilean Company), a subsidiary of Banco de Credito del Peru.</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19th,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2019-12-06T14:33:18Z</dcterms:created>
  <dcterms:modified xsi:type="dcterms:W3CDTF">2019-12-06T14:33:18Z</dcterms:modified>
</cp:coreProperties>
</file>