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341630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2021</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CREDICORP LTD.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1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71348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590550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638"/>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Aug 12</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1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Bottger</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-130175</wp:posOffset>
            </wp:positionV>
            <wp:extent cx="3347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426085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182880</wp:posOffset>
            </wp:positionV>
            <wp:extent cx="7134860" cy="8753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75347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 w:name="page4"/>
    <w:bookmarkEnd w:id="3"/>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4558665</wp:posOffset>
            </wp:positionH>
            <wp:positionV relativeFrom="page">
              <wp:posOffset>577850</wp:posOffset>
            </wp:positionV>
            <wp:extent cx="2783205" cy="404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83205" cy="404495"/>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060" w:type="dxa"/>
            <w:vAlign w:val="bottom"/>
          </w:tcPr>
          <w:p>
            <w:pPr>
              <w:spacing w:after="0"/>
              <w:rPr>
                <w:sz w:val="19"/>
                <w:szCs w:val="19"/>
                <w:color w:val="auto"/>
              </w:rPr>
            </w:pPr>
          </w:p>
        </w:tc>
      </w:tr>
      <w:tr>
        <w:trPr>
          <w:trHeight w:val="425"/>
        </w:trPr>
        <w:tc>
          <w:tcPr>
            <w:tcW w:w="4460" w:type="dxa"/>
            <w:vAlign w:val="bottom"/>
            <w:gridSpan w:val="2"/>
          </w:tcPr>
          <w:p>
            <w:pPr>
              <w:spacing w:after="0"/>
              <w:rPr>
                <w:sz w:val="20"/>
                <w:szCs w:val="20"/>
                <w:color w:val="auto"/>
              </w:rPr>
            </w:pPr>
            <w:r>
              <w:rPr>
                <w:rFonts w:ascii="Arial" w:cs="Arial" w:eastAsia="Arial" w:hAnsi="Arial"/>
                <w:sz w:val="18"/>
                <w:szCs w:val="18"/>
                <w:color w:val="auto"/>
              </w:rPr>
              <w:t>Credicorp Ltd. (NYSE:BAP)</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25"/>
        </w:trPr>
        <w:tc>
          <w:tcPr>
            <w:tcW w:w="4460" w:type="dxa"/>
            <w:vAlign w:val="bottom"/>
            <w:gridSpan w:val="2"/>
          </w:tcPr>
          <w:p>
            <w:pPr>
              <w:ind w:left="160"/>
              <w:spacing w:after="0"/>
              <w:rPr>
                <w:sz w:val="20"/>
                <w:szCs w:val="20"/>
                <w:color w:val="auto"/>
              </w:rPr>
            </w:pPr>
            <w:r>
              <w:rPr>
                <w:rFonts w:ascii="Arial" w:cs="Arial" w:eastAsia="Arial" w:hAnsi="Arial"/>
                <w:sz w:val="18"/>
                <w:szCs w:val="18"/>
                <w:color w:val="auto"/>
              </w:rPr>
              <w:t>Financial Overview</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01</w:t>
            </w:r>
          </w:p>
        </w:tc>
        <w:tc>
          <w:tcPr>
            <w:tcW w:w="4200" w:type="dxa"/>
            <w:vAlign w:val="bottom"/>
          </w:tcPr>
          <w:p>
            <w:pPr>
              <w:ind w:left="100"/>
              <w:spacing w:after="0"/>
              <w:rPr>
                <w:sz w:val="20"/>
                <w:szCs w:val="20"/>
                <w:color w:val="auto"/>
              </w:rPr>
            </w:pPr>
            <w:r>
              <w:rPr>
                <w:rFonts w:ascii="Arial" w:cs="Arial" w:eastAsia="Arial" w:hAnsi="Arial"/>
                <w:sz w:val="18"/>
                <w:szCs w:val="18"/>
                <w:color w:val="auto"/>
              </w:rPr>
              <w:t>lnterest-Earning Assets (IEA)</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02</w:t>
            </w:r>
          </w:p>
        </w:tc>
        <w:tc>
          <w:tcPr>
            <w:tcW w:w="4200" w:type="dxa"/>
            <w:vAlign w:val="bottom"/>
          </w:tcPr>
          <w:p>
            <w:pPr>
              <w:ind w:left="100"/>
              <w:spacing w:after="0"/>
              <w:rPr>
                <w:sz w:val="20"/>
                <w:szCs w:val="20"/>
                <w:color w:val="auto"/>
              </w:rPr>
            </w:pPr>
            <w:r>
              <w:rPr>
                <w:rFonts w:ascii="Arial" w:cs="Arial" w:eastAsia="Arial" w:hAnsi="Arial"/>
                <w:sz w:val="18"/>
                <w:szCs w:val="18"/>
                <w:color w:val="auto"/>
              </w:rPr>
              <w:t>Funding Structure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03</w:t>
            </w:r>
          </w:p>
        </w:tc>
        <w:tc>
          <w:tcPr>
            <w:tcW w:w="4200" w:type="dxa"/>
            <w:vAlign w:val="bottom"/>
          </w:tcPr>
          <w:p>
            <w:pPr>
              <w:ind w:left="100"/>
              <w:spacing w:after="0"/>
              <w:rPr>
                <w:sz w:val="20"/>
                <w:szCs w:val="20"/>
                <w:color w:val="auto"/>
              </w:rPr>
            </w:pPr>
            <w:r>
              <w:rPr>
                <w:rFonts w:ascii="Arial" w:cs="Arial" w:eastAsia="Arial" w:hAnsi="Arial"/>
                <w:sz w:val="18"/>
                <w:szCs w:val="18"/>
                <w:color w:val="auto"/>
              </w:rPr>
              <w:t>Net lnterest lncome (Nll)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04</w:t>
            </w:r>
          </w:p>
        </w:tc>
        <w:tc>
          <w:tcPr>
            <w:tcW w:w="4200" w:type="dxa"/>
            <w:vAlign w:val="bottom"/>
          </w:tcPr>
          <w:p>
            <w:pPr>
              <w:ind w:left="100"/>
              <w:spacing w:after="0"/>
              <w:rPr>
                <w:sz w:val="20"/>
                <w:szCs w:val="20"/>
                <w:color w:val="auto"/>
              </w:rPr>
            </w:pPr>
            <w:r>
              <w:rPr>
                <w:rFonts w:ascii="Arial" w:cs="Arial" w:eastAsia="Arial" w:hAnsi="Arial"/>
                <w:sz w:val="18"/>
                <w:szCs w:val="18"/>
                <w:color w:val="auto"/>
              </w:rPr>
              <w:t>Portfolio Quality</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05</w:t>
            </w:r>
          </w:p>
        </w:tc>
        <w:tc>
          <w:tcPr>
            <w:tcW w:w="4200" w:type="dxa"/>
            <w:vAlign w:val="bottom"/>
          </w:tcPr>
          <w:p>
            <w:pPr>
              <w:ind w:left="100"/>
              <w:spacing w:after="0"/>
              <w:rPr>
                <w:sz w:val="20"/>
                <w:szCs w:val="20"/>
                <w:color w:val="auto"/>
              </w:rPr>
            </w:pPr>
            <w:r>
              <w:rPr>
                <w:rFonts w:ascii="Arial" w:cs="Arial" w:eastAsia="Arial" w:hAnsi="Arial"/>
                <w:sz w:val="18"/>
                <w:szCs w:val="18"/>
                <w:color w:val="auto"/>
              </w:rPr>
              <w:t>Non-Financial Income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06</w:t>
            </w:r>
          </w:p>
        </w:tc>
        <w:tc>
          <w:tcPr>
            <w:tcW w:w="4200" w:type="dxa"/>
            <w:vAlign w:val="bottom"/>
          </w:tcPr>
          <w:p>
            <w:pPr>
              <w:ind w:left="100"/>
              <w:spacing w:after="0"/>
              <w:rPr>
                <w:sz w:val="20"/>
                <w:szCs w:val="20"/>
                <w:color w:val="auto"/>
              </w:rPr>
            </w:pPr>
            <w:r>
              <w:rPr>
                <w:rFonts w:ascii="Arial" w:cs="Arial" w:eastAsia="Arial" w:hAnsi="Arial"/>
                <w:sz w:val="18"/>
                <w:szCs w:val="18"/>
                <w:color w:val="auto"/>
              </w:rPr>
              <w:t>lnsurance Underwriting Results</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07</w:t>
            </w:r>
          </w:p>
        </w:tc>
        <w:tc>
          <w:tcPr>
            <w:tcW w:w="420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08</w:t>
            </w:r>
          </w:p>
        </w:tc>
        <w:tc>
          <w:tcPr>
            <w:tcW w:w="4200" w:type="dxa"/>
            <w:vAlign w:val="bottom"/>
          </w:tcPr>
          <w:p>
            <w:pPr>
              <w:ind w:left="100"/>
              <w:spacing w:after="0"/>
              <w:rPr>
                <w:sz w:val="20"/>
                <w:szCs w:val="20"/>
                <w:color w:val="auto"/>
              </w:rPr>
            </w:pPr>
            <w:r>
              <w:rPr>
                <w:rFonts w:ascii="Arial" w:cs="Arial" w:eastAsia="Arial" w:hAnsi="Arial"/>
                <w:sz w:val="18"/>
                <w:szCs w:val="18"/>
                <w:color w:val="auto"/>
              </w:rPr>
              <w:t>Operating Efficiency</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09</w:t>
            </w:r>
          </w:p>
        </w:tc>
        <w:tc>
          <w:tcPr>
            <w:tcW w:w="4200" w:type="dxa"/>
            <w:vAlign w:val="bottom"/>
          </w:tcPr>
          <w:p>
            <w:pPr>
              <w:ind w:left="100"/>
              <w:spacing w:after="0"/>
              <w:rPr>
                <w:sz w:val="20"/>
                <w:szCs w:val="20"/>
                <w:color w:val="auto"/>
              </w:rPr>
            </w:pPr>
            <w:r>
              <w:rPr>
                <w:rFonts w:ascii="Arial" w:cs="Arial" w:eastAsia="Arial" w:hAnsi="Arial"/>
                <w:sz w:val="18"/>
                <w:szCs w:val="18"/>
                <w:color w:val="auto"/>
              </w:rPr>
              <w:t>Regulatory Capital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10</w:t>
            </w:r>
          </w:p>
        </w:tc>
        <w:tc>
          <w:tcPr>
            <w:tcW w:w="4200" w:type="dxa"/>
            <w:vAlign w:val="bottom"/>
          </w:tcPr>
          <w:p>
            <w:pPr>
              <w:ind w:left="100"/>
              <w:spacing w:after="0"/>
              <w:rPr>
                <w:sz w:val="20"/>
                <w:szCs w:val="20"/>
                <w:color w:val="auto"/>
              </w:rPr>
            </w:pPr>
            <w:r>
              <w:rPr>
                <w:rFonts w:ascii="Arial" w:cs="Arial" w:eastAsia="Arial" w:hAnsi="Arial"/>
                <w:sz w:val="18"/>
                <w:szCs w:val="18"/>
                <w:color w:val="auto"/>
              </w:rPr>
              <w:t>Credicorp’s Distribution Model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11</w:t>
            </w:r>
          </w:p>
        </w:tc>
        <w:tc>
          <w:tcPr>
            <w:tcW w:w="4200" w:type="dxa"/>
            <w:vAlign w:val="bottom"/>
          </w:tcPr>
          <w:p>
            <w:pPr>
              <w:ind w:left="100"/>
              <w:spacing w:after="0"/>
              <w:rPr>
                <w:sz w:val="20"/>
                <w:szCs w:val="20"/>
                <w:color w:val="auto"/>
              </w:rPr>
            </w:pPr>
            <w:r>
              <w:rPr>
                <w:rFonts w:ascii="Arial" w:cs="Arial" w:eastAsia="Arial" w:hAnsi="Arial"/>
                <w:sz w:val="18"/>
                <w:szCs w:val="18"/>
                <w:color w:val="auto"/>
              </w:rPr>
              <w:t>Economic Perspectives</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rPr>
              <w:t>12</w:t>
            </w:r>
          </w:p>
        </w:tc>
        <w:tc>
          <w:tcPr>
            <w:tcW w:w="4200" w:type="dxa"/>
            <w:vAlign w:val="bottom"/>
          </w:tcPr>
          <w:p>
            <w:pPr>
              <w:ind w:left="100"/>
              <w:spacing w:after="0"/>
              <w:rPr>
                <w:sz w:val="20"/>
                <w:szCs w:val="20"/>
                <w:color w:val="auto"/>
              </w:rPr>
            </w:pPr>
            <w:r>
              <w:rPr>
                <w:rFonts w:ascii="Arial" w:cs="Arial" w:eastAsia="Arial" w:hAnsi="Arial"/>
                <w:sz w:val="18"/>
                <w:szCs w:val="18"/>
                <w:color w:val="auto"/>
              </w:rPr>
              <w:t>Appendix</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-3911600</wp:posOffset>
            </wp:positionV>
            <wp:extent cx="2445385" cy="6560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5385" cy="656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8526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52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149860</wp:posOffset>
            </wp:positionV>
            <wp:extent cx="6063615" cy="107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3615" cy="107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is getting close to pre-pandemic levels, showing during the first half of the year a rebound of around 20% YoY, and standing only 0.5%</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the figure reported for the same period in 2019. This recovery occurs amid a favorable external environment of high copper prices, expansionary monetary and fiscal policies, as well as a greater opening of the economy as the sanitary conditions improve (the mortality rate has rapidly fallen after a peak in the beginning of 2Q21, and the vaccination rate has accelerated to almost 35% of the population over 18 with at least one shot). However, the current political and regulatory uncertainty is raising the risk perception.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Growth</w:t>
      </w:r>
    </w:p>
    <w:p>
      <w:pPr>
        <w:spacing w:after="0" w:line="224" w:lineRule="exact"/>
        <w:rPr>
          <w:sz w:val="20"/>
          <w:szCs w:val="20"/>
          <w:color w:val="auto"/>
        </w:rPr>
      </w:pPr>
    </w:p>
    <w:p>
      <w:pPr>
        <w:jc w:val="both"/>
        <w:ind w:left="3960"/>
        <w:spacing w:after="0" w:line="319" w:lineRule="auto"/>
        <w:rPr>
          <w:sz w:val="20"/>
          <w:szCs w:val="20"/>
          <w:color w:val="auto"/>
        </w:rPr>
      </w:pPr>
      <w:r>
        <w:rPr>
          <w:rFonts w:ascii="Arial" w:cs="Arial" w:eastAsia="Arial" w:hAnsi="Arial"/>
          <w:sz w:val="15"/>
          <w:szCs w:val="15"/>
          <w:color w:val="auto"/>
        </w:rPr>
        <w:t>QoQ growth in average daily balances and quarter-end balances was driven primarily by an uptick in structural loans in the Wholesale Banking and SME-Business segments; this was offset by a drop in balances in Government Program (“GP”) loans. YoY and YTD, the result was spurred by growth in GP loans at very attractive rates in the SME-Pyme and SME-Business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-574040</wp:posOffset>
            </wp:positionV>
            <wp:extent cx="2277110" cy="809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7110" cy="80962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Margin</w:t>
      </w:r>
    </w:p>
    <w:p>
      <w:pPr>
        <w:spacing w:after="0" w:line="224" w:lineRule="exact"/>
        <w:rPr>
          <w:sz w:val="20"/>
          <w:szCs w:val="20"/>
          <w:color w:val="auto"/>
        </w:rPr>
      </w:pPr>
    </w:p>
    <w:p>
      <w:pPr>
        <w:jc w:val="both"/>
        <w:ind w:left="3600"/>
        <w:spacing w:after="0" w:line="272" w:lineRule="auto"/>
        <w:rPr>
          <w:sz w:val="20"/>
          <w:szCs w:val="20"/>
          <w:color w:val="auto"/>
        </w:rPr>
      </w:pPr>
      <w:r>
        <w:rPr>
          <w:rFonts w:ascii="Arial" w:cs="Arial" w:eastAsia="Arial" w:hAnsi="Arial"/>
          <w:sz w:val="17"/>
          <w:szCs w:val="17"/>
          <w:color w:val="auto"/>
        </w:rPr>
        <w:t>NII increased QoQ due to a context marked by structural loan growth, improved funding mix to lower funding deposits, and the fact that in 1Q21, a non-recurring expense was reported for a subordinated bond exchange. If we exclude the effect of the bond exchange, NII still registers growth and shows an upward trend, due to the loan portfolio evolution and the reduction in the cost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-554355</wp:posOffset>
            </wp:positionV>
            <wp:extent cx="2192655" cy="2344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2655"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600"/>
        <w:spacing w:after="0" w:line="252" w:lineRule="auto"/>
        <w:rPr>
          <w:sz w:val="20"/>
          <w:szCs w:val="20"/>
          <w:color w:val="auto"/>
        </w:rPr>
      </w:pPr>
      <w:r>
        <w:rPr>
          <w:rFonts w:ascii="Arial" w:cs="Arial" w:eastAsia="Arial" w:hAnsi="Arial"/>
          <w:sz w:val="18"/>
          <w:szCs w:val="18"/>
          <w:color w:val="auto"/>
        </w:rPr>
        <w:t>NII in YoY and YTD terms grew due to the one-off impairment charge registered in 2Q20. If we exclude this charge, YoY and YTD NII contracts due to the mix of less profitable assets from the lower volume of structural loans, which is partially offset by a decrease in funding rates and an improvement in the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Provisions for Loan Losses and Portfolio Quality</w:t>
      </w:r>
    </w:p>
    <w:p>
      <w:pPr>
        <w:spacing w:after="0" w:line="224" w:lineRule="exact"/>
        <w:rPr>
          <w:sz w:val="20"/>
          <w:szCs w:val="20"/>
          <w:color w:val="auto"/>
        </w:rPr>
      </w:pPr>
    </w:p>
    <w:p>
      <w:pPr>
        <w:jc w:val="both"/>
        <w:ind w:left="3600"/>
        <w:spacing w:after="0" w:line="319" w:lineRule="auto"/>
        <w:rPr>
          <w:sz w:val="20"/>
          <w:szCs w:val="20"/>
          <w:color w:val="auto"/>
        </w:rPr>
      </w:pPr>
      <w:r>
        <w:rPr>
          <w:rFonts w:ascii="Arial" w:cs="Arial" w:eastAsia="Arial" w:hAnsi="Arial"/>
          <w:sz w:val="15"/>
          <w:szCs w:val="15"/>
          <w:color w:val="auto"/>
        </w:rPr>
        <w:t>Provisions fell QoQ due to improvements in the Probability of Default (“PD”) for Retail Banking and a decrease in the volume of loans that advanced to stage 3. This was offset by an increase in net provisions for loan losses in Wholesale Banking, which accompanied loan growth. The YoY and YTD decreased due to the forward-looking provisions that were set aside at the beginning of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-574040</wp:posOffset>
            </wp:positionV>
            <wp:extent cx="2192655" cy="817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2655"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600"/>
        <w:spacing w:after="0" w:line="331" w:lineRule="auto"/>
        <w:rPr>
          <w:sz w:val="20"/>
          <w:szCs w:val="20"/>
          <w:color w:val="auto"/>
        </w:rPr>
      </w:pPr>
      <w:r>
        <w:rPr>
          <w:rFonts w:ascii="Arial" w:cs="Arial" w:eastAsia="Arial" w:hAnsi="Arial"/>
          <w:sz w:val="15"/>
          <w:szCs w:val="15"/>
          <w:color w:val="auto"/>
        </w:rPr>
        <w:t>NPL ratio registered a contraction, due to the reduction of the refinanced portfolio and, in the other hand, an increase of structural loans. The aforementioned offsets the uptick of the IOL portfolio, driven by higher maturities of GP loans. If we exclude GP effect, the structural NPL ratio ascends to 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-444500</wp:posOffset>
            </wp:positionV>
            <wp:extent cx="2192655" cy="851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2655" cy="85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Core non-financial income</w:t>
      </w:r>
    </w:p>
    <w:p>
      <w:pPr>
        <w:spacing w:after="0" w:line="224" w:lineRule="exact"/>
        <w:rPr>
          <w:sz w:val="20"/>
          <w:szCs w:val="20"/>
          <w:color w:val="auto"/>
        </w:rPr>
      </w:pPr>
    </w:p>
    <w:p>
      <w:pPr>
        <w:jc w:val="both"/>
        <w:ind w:left="3600"/>
        <w:spacing w:after="0" w:line="256" w:lineRule="auto"/>
        <w:rPr>
          <w:sz w:val="20"/>
          <w:szCs w:val="20"/>
          <w:color w:val="auto"/>
        </w:rPr>
      </w:pPr>
      <w:r>
        <w:rPr>
          <w:rFonts w:ascii="Arial" w:cs="Arial" w:eastAsia="Arial" w:hAnsi="Arial"/>
          <w:sz w:val="18"/>
          <w:szCs w:val="18"/>
          <w:color w:val="auto"/>
        </w:rPr>
        <w:t>Growth in Core NII, which was fueled by an uptick in fees at BCP driven by international transfer and at Credicorp Capital due to brokerage fees and up-front fee to clients that entered to international platform through 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2108200" cy="429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8200" cy="42989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income</w:t>
      </w:r>
    </w:p>
    <w:p>
      <w:pPr>
        <w:spacing w:after="0" w:line="224" w:lineRule="exact"/>
        <w:rPr>
          <w:sz w:val="20"/>
          <w:szCs w:val="20"/>
          <w:color w:val="auto"/>
        </w:rPr>
      </w:pPr>
    </w:p>
    <w:p>
      <w:pPr>
        <w:jc w:val="both"/>
        <w:ind w:left="3600"/>
        <w:spacing w:after="0" w:line="251" w:lineRule="auto"/>
        <w:rPr>
          <w:sz w:val="20"/>
          <w:szCs w:val="20"/>
          <w:color w:val="auto"/>
        </w:rPr>
      </w:pPr>
      <w:r>
        <w:rPr>
          <w:rFonts w:ascii="Arial" w:cs="Arial" w:eastAsia="Arial" w:hAnsi="Arial"/>
          <w:sz w:val="18"/>
          <w:szCs w:val="18"/>
          <w:color w:val="auto"/>
        </w:rPr>
        <w:t>BCP Stand-alone made a move to reduce interest rates sensitivity in its investment at fair value with changes in other comprehensive income portfolio by selling sovereign bonds at a loss. This was partially offset by a gain on the exchange position. This strategy led to a contraction in the non-core NFI in the quarter and in QoQ NFI. YoY and YTD increase, which was spurred primarily by a recovery in fee income in Universal Banking and 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-678815</wp:posOffset>
            </wp:positionV>
            <wp:extent cx="2192655" cy="447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92655" cy="44704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w:t>
      </w:r>
    </w:p>
    <w:p>
      <w:pPr>
        <w:spacing w:after="0" w:line="22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underwriting result was negative QoQ, YoY and YTD due to an increase in claims in the Life business after a peak in mortality was reached in April during the second wave. This trend has begun to turn around.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efficiency ratio was 43.7%, which represented a 30-bps improvement QoQ. This increase was spurred by growth in core income, including NII as well as fees and gains on foreign exchange transactions, which combined, lifted core income to levels close to those seen pre-pandemic. YoY and YTD, the ratio improved 650 bps and 250 bps respectively, driven by growth in NII, fee income and net premiums.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 Credicorp and Contribution by Business Line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ROAE by subsidiary in 2Q21 (S/ millions)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Consolidated: Net Income of S/699 million, ROAE of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149860</wp:posOffset>
            </wp:positionV>
            <wp:extent cx="6746875" cy="301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6875" cy="301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2" w:lineRule="exact"/>
        <w:rPr>
          <w:sz w:val="20"/>
          <w:szCs w:val="20"/>
          <w:color w:val="auto"/>
        </w:rPr>
      </w:pPr>
    </w:p>
    <w:p>
      <w:pPr>
        <w:jc w:val="both"/>
        <w:ind w:firstLine="6"/>
        <w:spacing w:after="0" w:line="246" w:lineRule="auto"/>
        <w:tabs>
          <w:tab w:leader="none" w:pos="11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Mibanco, the figure is lower than the net income because Credicorp owns 99.921% of Mibanco (directly and indirectly). ROAE including goodwill of BCP from the acquisition of Edyficar (Approximately US$ 50.7 million) was 52.2% in 2Q20, 2.5% in 1Q21 and 9.7% in 2Q21. YTD was -23.1% for June 2020 and 6.1% for June 2021.</w:t>
      </w:r>
    </w:p>
    <w:p>
      <w:pPr>
        <w:jc w:val="both"/>
        <w:ind w:firstLine="6"/>
        <w:spacing w:after="0" w:line="260" w:lineRule="auto"/>
        <w:tabs>
          <w:tab w:leader="none" w:pos="12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Grupo Pacifico, the contribution is higher than the net income because Credicorp owns 65.20% directly, and 33.57% through Grupo Credito. Figures include unrealized gains or losses that are considered in Pacifico’s Net Equity from the investment portfolio of Pacifico Vida. ROAE excluding such unrealized gains was 16.7% in 2Q20, -17.6% in 1Q21 and -32.6% in 2Q21. YTD was 17.0% for June 2020 and -24.2% for June 2021.</w:t>
      </w:r>
    </w:p>
    <w:p>
      <w:pPr>
        <w:spacing w:after="0" w:line="2" w:lineRule="exact"/>
        <w:rPr>
          <w:rFonts w:ascii="Arial" w:cs="Arial" w:eastAsia="Arial" w:hAnsi="Arial"/>
          <w:sz w:val="17"/>
          <w:szCs w:val="17"/>
          <w:color w:val="auto"/>
        </w:rPr>
      </w:pPr>
    </w:p>
    <w:p>
      <w:pPr>
        <w:ind w:firstLine="6"/>
        <w:spacing w:after="0" w:line="252" w:lineRule="auto"/>
        <w:tabs>
          <w:tab w:leader="none" w:pos="127"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Others includes Grupo Credito excluding Prima (Servicorp and Emisiones BCP Latam), others of Atlantic Security Holding Corporation and others of Credicorp Ltd.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98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8526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52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Overview Financial Information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Second Quarter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Credicorp Ltd.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6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2Q20</w:t>
            </w:r>
          </w:p>
        </w:tc>
        <w:tc>
          <w:tcPr>
            <w:tcW w:w="22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89"/>
              <w:spacing w:after="0" w:line="153" w:lineRule="exact"/>
              <w:rPr>
                <w:sz w:val="20"/>
                <w:szCs w:val="20"/>
                <w:color w:val="auto"/>
              </w:rPr>
            </w:pPr>
            <w:r>
              <w:rPr>
                <w:rFonts w:ascii="Arial" w:cs="Arial" w:eastAsia="Arial" w:hAnsi="Arial"/>
                <w:sz w:val="14"/>
                <w:szCs w:val="14"/>
                <w:b w:val="1"/>
                <w:bCs w:val="1"/>
                <w:color w:val="auto"/>
              </w:rPr>
              <w:t>1Q21</w:t>
            </w:r>
          </w:p>
        </w:tc>
        <w:tc>
          <w:tcPr>
            <w:tcW w:w="20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2Q21</w:t>
            </w:r>
          </w:p>
        </w:tc>
        <w:tc>
          <w:tcPr>
            <w:tcW w:w="2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QoQ</w:t>
            </w:r>
          </w:p>
        </w:tc>
        <w:tc>
          <w:tcPr>
            <w:tcW w:w="3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YoY</w:t>
            </w:r>
          </w:p>
        </w:tc>
        <w:tc>
          <w:tcPr>
            <w:tcW w:w="3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Jun 20</w:t>
            </w: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Jun 21</w:t>
            </w:r>
          </w:p>
        </w:tc>
        <w:tc>
          <w:tcPr>
            <w:tcW w:w="2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2021 / 2020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Net interest, similar income and expenses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86"/>
              </w:rPr>
              <w:t>1,961,350</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2,123,383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2,309,042</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17.7%</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4,340,877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4,432,425</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60" w:type="dxa"/>
            <w:vAlign w:val="bottom"/>
            <w:gridSpan w:val="2"/>
          </w:tcPr>
          <w:p>
            <w:pPr>
              <w:spacing w:after="0" w:line="128" w:lineRule="exact"/>
              <w:rPr>
                <w:sz w:val="20"/>
                <w:szCs w:val="20"/>
                <w:color w:val="auto"/>
              </w:rPr>
            </w:pPr>
            <w:r>
              <w:rPr>
                <w:rFonts w:ascii="Arial" w:cs="Arial" w:eastAsia="Arial" w:hAnsi="Arial"/>
                <w:sz w:val="14"/>
                <w:szCs w:val="14"/>
                <w:color w:val="auto"/>
              </w:rPr>
              <w:t>Provision for credit losses on loan portfolio, net of</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gridSpan w:val="3"/>
          </w:tcPr>
          <w:p>
            <w:pPr>
              <w:spacing w:after="0"/>
              <w:rPr>
                <w:sz w:val="20"/>
                <w:szCs w:val="20"/>
                <w:color w:val="auto"/>
              </w:rPr>
            </w:pPr>
            <w:r>
              <w:rPr>
                <w:rFonts w:ascii="Arial" w:cs="Arial" w:eastAsia="Arial" w:hAnsi="Arial"/>
                <w:sz w:val="14"/>
                <w:szCs w:val="14"/>
                <w:color w:val="auto"/>
              </w:rPr>
              <w:t>recoveries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(2,540,457)</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(557,647)</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(363,380)</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-85.7%</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(3,881,938)</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(921,027)</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gridSpan w:val="2"/>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Net interest, similar income and expenses, after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(579,107)</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1,565,736</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1,945,662</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24.3%</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n.a</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458,939</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3,511,398</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665.1%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 for credit losses on loan portfolio</w:t>
            </w: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Total other income</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1,015,663</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1,194,530</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1,191,694</w:t>
            </w: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17.3%</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1,973,918</w:t>
            </w:r>
          </w:p>
        </w:tc>
        <w:tc>
          <w:tcPr>
            <w:tcW w:w="8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4"/>
                <w:szCs w:val="14"/>
                <w:color w:val="auto"/>
              </w:rPr>
              <w:t>2,386,224</w:t>
            </w:r>
          </w:p>
        </w:tc>
        <w:tc>
          <w:tcPr>
            <w:tcW w:w="22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Insurance underwriting result</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135,680</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(65,247)</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(136,335)</w:t>
            </w:r>
          </w:p>
        </w:tc>
        <w:tc>
          <w:tcPr>
            <w:tcW w:w="9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109.0%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277,606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(201,582)</w:t>
            </w:r>
          </w:p>
        </w:tc>
        <w:tc>
          <w:tcPr>
            <w:tcW w:w="9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Total other expenses</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(1,628,398)</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(1,680,271)</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(1,860,447)</w:t>
            </w: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(3,407,704)</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(3,540,718)</w:t>
            </w: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Profit (loss) before income tax</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(1,056,162)</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1,014,748</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1,140,574</w:t>
            </w:r>
          </w:p>
        </w:tc>
        <w:tc>
          <w:tcPr>
            <w:tcW w:w="9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12.4%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4"/>
                <w:szCs w:val="14"/>
                <w:b w:val="1"/>
                <w:bCs w:val="1"/>
                <w:color w:val="auto"/>
              </w:rPr>
              <w:t>n.a</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(697,241)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2,155,322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414,726</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(337,599)</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(423,491)</w:t>
            </w: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25.4%</w:t>
            </w:r>
          </w:p>
        </w:tc>
        <w:tc>
          <w:tcPr>
            <w:tcW w:w="160" w:type="dxa"/>
            <w:vAlign w:val="bottom"/>
          </w:tcPr>
          <w:p>
            <w:pPr>
              <w:spacing w:after="0"/>
              <w:rPr>
                <w:sz w:val="12"/>
                <w:szCs w:val="12"/>
                <w:color w:val="auto"/>
              </w:rPr>
            </w:pPr>
          </w:p>
        </w:tc>
        <w:tc>
          <w:tcPr>
            <w:tcW w:w="74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268,980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(761,090)</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Net profit (loss)</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(641,436)</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677,149</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717,083</w:t>
            </w:r>
          </w:p>
        </w:tc>
        <w:tc>
          <w:tcPr>
            <w:tcW w:w="9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5.9%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4"/>
                <w:szCs w:val="14"/>
                <w:b w:val="1"/>
                <w:bCs w:val="1"/>
                <w:color w:val="auto"/>
              </w:rPr>
              <w:t>n.a</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(428,261)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1,394,232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(21,046)</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16,351</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17,614</w:t>
            </w: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2"/>
                <w:szCs w:val="12"/>
                <w:color w:val="auto"/>
              </w:rPr>
            </w:pPr>
          </w:p>
        </w:tc>
        <w:tc>
          <w:tcPr>
            <w:tcW w:w="74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(17,145)</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33,965</w:t>
            </w:r>
          </w:p>
        </w:tc>
        <w:tc>
          <w:tcPr>
            <w:tcW w:w="9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Net profit (loss) attributable to Credicorp</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(620,390)</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660,798</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699,469</w:t>
            </w:r>
          </w:p>
        </w:tc>
        <w:tc>
          <w:tcPr>
            <w:tcW w:w="9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5.9%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4"/>
                <w:szCs w:val="14"/>
                <w:b w:val="1"/>
                <w:bCs w:val="1"/>
                <w:color w:val="auto"/>
              </w:rPr>
              <w:t>n.a</w:t>
            </w:r>
          </w:p>
        </w:tc>
        <w:tc>
          <w:tcPr>
            <w:tcW w:w="10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(411,116)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1,360,267</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tcPr>
          <w:p>
            <w:pPr>
              <w:spacing w:after="0" w:line="159" w:lineRule="exact"/>
              <w:rPr>
                <w:sz w:val="20"/>
                <w:szCs w:val="20"/>
                <w:color w:val="auto"/>
              </w:rPr>
            </w:pPr>
            <w:r>
              <w:rPr>
                <w:rFonts w:ascii="Arial" w:cs="Arial" w:eastAsia="Arial" w:hAnsi="Arial"/>
                <w:sz w:val="14"/>
                <w:szCs w:val="14"/>
                <w:color w:val="auto"/>
              </w:rPr>
              <w:t>Net profit (loss) / share (S/)</w:t>
            </w: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(7.78)</w:t>
            </w: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8.28</w:t>
            </w: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8.77</w:t>
            </w: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3"/>
                <w:szCs w:val="13"/>
                <w:color w:val="auto"/>
              </w:rPr>
            </w:pP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(5.15)</w:t>
            </w:r>
          </w:p>
        </w:tc>
        <w:tc>
          <w:tcPr>
            <w:tcW w:w="8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17.05</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Loans</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132,741,720</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137,031,239</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143,091,752</w:t>
            </w:r>
          </w:p>
        </w:tc>
        <w:tc>
          <w:tcPr>
            <w:tcW w:w="9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7.8%</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132,741,720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w w:val="92"/>
              </w:rPr>
              <w:t>143,091,752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129,664,332</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148,626,339</w:t>
            </w:r>
          </w:p>
        </w:tc>
        <w:tc>
          <w:tcPr>
            <w:tcW w:w="102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149,161,803</w:t>
            </w: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15.0%</w:t>
            </w:r>
          </w:p>
        </w:tc>
        <w:tc>
          <w:tcPr>
            <w:tcW w:w="10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129,664,332</w:t>
            </w:r>
          </w:p>
        </w:tc>
        <w:tc>
          <w:tcPr>
            <w:tcW w:w="8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4"/>
                <w:szCs w:val="14"/>
                <w:color w:val="auto"/>
                <w:w w:val="92"/>
              </w:rPr>
              <w:t>149,161,803</w:t>
            </w:r>
          </w:p>
        </w:tc>
        <w:tc>
          <w:tcPr>
            <w:tcW w:w="22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Net equity</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23,396,062</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24,529,958</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25,073,706</w:t>
            </w: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23,396,062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25,073,706</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Profitability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Net interest margin</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4.03%</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3.73%</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4.01%</w:t>
            </w:r>
          </w:p>
        </w:tc>
        <w:tc>
          <w:tcPr>
            <w:tcW w:w="108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28bps</w:t>
            </w: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-2bps</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3.90%</w:t>
            </w:r>
          </w:p>
        </w:tc>
        <w:tc>
          <w:tcPr>
            <w:tcW w:w="9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-65bps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Risk-adjusted Net interest margin</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-1.19%</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2.75%</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3.38%</w:t>
            </w:r>
          </w:p>
        </w:tc>
        <w:tc>
          <w:tcPr>
            <w:tcW w:w="108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63bps</w:t>
            </w: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457bps</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0.48%</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3.09%</w:t>
            </w:r>
          </w:p>
        </w:tc>
        <w:tc>
          <w:tcPr>
            <w:tcW w:w="92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261bps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Funding cost</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1.86%</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1.18%</w:t>
            </w:r>
          </w:p>
        </w:tc>
        <w:tc>
          <w:tcPr>
            <w:tcW w:w="108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-25bps</w:t>
            </w: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-68bps</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1.31%</w:t>
            </w:r>
          </w:p>
        </w:tc>
        <w:tc>
          <w:tcPr>
            <w:tcW w:w="9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-64bps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ROAE</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-10.7%</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10.7%</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11.3%</w:t>
            </w:r>
          </w:p>
        </w:tc>
        <w:tc>
          <w:tcPr>
            <w:tcW w:w="108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60bps</w:t>
            </w: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2200bps</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10.9%</w:t>
            </w:r>
          </w:p>
        </w:tc>
        <w:tc>
          <w:tcPr>
            <w:tcW w:w="92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1420bps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ROAA</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10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0bps</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230bps</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Loan portfolio quality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3.53%</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-2bps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color w:val="auto"/>
              </w:rPr>
              <w:t>Internal overdue ratio over 90 days</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2.35%</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2.77%</w:t>
            </w:r>
          </w:p>
        </w:tc>
        <w:tc>
          <w:tcPr>
            <w:tcW w:w="1020" w:type="dxa"/>
            <w:vAlign w:val="bottom"/>
            <w:gridSpan w:val="2"/>
          </w:tcPr>
          <w:p>
            <w:pPr>
              <w:jc w:val="right"/>
              <w:ind w:right="80"/>
              <w:spacing w:after="0" w:line="146" w:lineRule="exact"/>
              <w:rPr>
                <w:sz w:val="20"/>
                <w:szCs w:val="20"/>
                <w:color w:val="auto"/>
              </w:rPr>
            </w:pPr>
            <w:r>
              <w:rPr>
                <w:rFonts w:ascii="Arial" w:cs="Arial" w:eastAsia="Arial" w:hAnsi="Arial"/>
                <w:sz w:val="14"/>
                <w:szCs w:val="14"/>
                <w:color w:val="auto"/>
              </w:rPr>
              <w:t>2.67%</w:t>
            </w:r>
          </w:p>
        </w:tc>
        <w:tc>
          <w:tcPr>
            <w:tcW w:w="108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-10bps</w:t>
            </w: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32bps</w:t>
            </w:r>
          </w:p>
        </w:tc>
        <w:tc>
          <w:tcPr>
            <w:tcW w:w="10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2.35%</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2.67%</w:t>
            </w:r>
          </w:p>
        </w:tc>
        <w:tc>
          <w:tcPr>
            <w:tcW w:w="92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32bps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-19bps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101bps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7.66%</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1.63%</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-61bps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-664bps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5.85%</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-456bps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Coverage ratio of IOLs</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218.9%</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200.2%</w:t>
            </w:r>
          </w:p>
        </w:tc>
        <w:tc>
          <w:tcPr>
            <w:tcW w:w="10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185.8%</w:t>
            </w:r>
          </w:p>
        </w:tc>
        <w:tc>
          <w:tcPr>
            <w:tcW w:w="108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-1440bps</w:t>
            </w: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-3310bps</w:t>
            </w:r>
          </w:p>
        </w:tc>
        <w:tc>
          <w:tcPr>
            <w:tcW w:w="10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218.9%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185.8%</w:t>
            </w:r>
          </w:p>
        </w:tc>
        <w:tc>
          <w:tcPr>
            <w:tcW w:w="9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-3310bps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tcPr>
          <w:p>
            <w:pPr>
              <w:spacing w:after="0" w:line="159" w:lineRule="exact"/>
              <w:rPr>
                <w:sz w:val="20"/>
                <w:szCs w:val="20"/>
                <w:color w:val="auto"/>
              </w:rPr>
            </w:pPr>
            <w:r>
              <w:rPr>
                <w:rFonts w:ascii="Arial" w:cs="Arial" w:eastAsia="Arial" w:hAnsi="Arial"/>
                <w:sz w:val="14"/>
                <w:szCs w:val="14"/>
                <w:color w:val="auto"/>
              </w:rPr>
              <w:t>Coverage ratio of NPLs</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167.5%</w:t>
            </w:r>
          </w:p>
        </w:tc>
        <w:tc>
          <w:tcPr>
            <w:tcW w:w="10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142.9%</w:t>
            </w:r>
          </w:p>
        </w:tc>
        <w:tc>
          <w:tcPr>
            <w:tcW w:w="10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137.0%</w:t>
            </w:r>
          </w:p>
        </w:tc>
        <w:tc>
          <w:tcPr>
            <w:tcW w:w="10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-590bps</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-3050bps</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167.5%</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137.0%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-3050bps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Operating efficiency</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50.2%</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44.0%</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43.7%</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-30bps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-650bps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46.4%</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-250bps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Operating expenses / Total average assets</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3.07%</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2.83%</w:t>
            </w: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2.96%</w:t>
            </w:r>
          </w:p>
        </w:tc>
        <w:tc>
          <w:tcPr>
            <w:tcW w:w="10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13bps</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-11bps</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Insurance ratios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 (6)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340bps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910bps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910bps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60" w:type="dxa"/>
            <w:vAlign w:val="bottom"/>
            <w:gridSpan w:val="2"/>
          </w:tcPr>
          <w:p>
            <w:pPr>
              <w:spacing w:after="0" w:line="199" w:lineRule="exact"/>
              <w:rPr>
                <w:sz w:val="20"/>
                <w:szCs w:val="20"/>
                <w:color w:val="auto"/>
              </w:rPr>
            </w:pPr>
            <w:r>
              <w:rPr>
                <w:rFonts w:ascii="Arial" w:cs="Arial" w:eastAsia="Arial" w:hAnsi="Arial"/>
                <w:sz w:val="14"/>
                <w:szCs w:val="14"/>
                <w:color w:val="auto"/>
              </w:rPr>
              <w:t xml:space="preserve">Loss ratio </w:t>
            </w:r>
            <w:r>
              <w:rPr>
                <w:rFonts w:ascii="Arial" w:cs="Arial" w:eastAsia="Arial" w:hAnsi="Arial"/>
                <w:sz w:val="23"/>
                <w:szCs w:val="23"/>
                <w:color w:val="auto"/>
                <w:vertAlign w:val="superscript"/>
              </w:rPr>
              <w:t>(6)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59.8%</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96.4%</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107.4%</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1100bps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4760bps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101.8%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4200bps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Capital adequacy - BCP Stand-alone (7)</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14.80%</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16.46%</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15.34%</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-112bps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54bps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14.80%</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15.34%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54bps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10.59%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10.31%</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-28bps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-23bps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60" w:type="dxa"/>
            <w:vAlign w:val="bottom"/>
            <w:gridSpan w:val="2"/>
          </w:tcPr>
          <w:p>
            <w:pPr>
              <w:spacing w:after="0" w:line="199"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11.22%</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11.11%</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11.23%</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12bps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11.22%</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11.23%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1bps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b w:val="1"/>
                <w:bCs w:val="1"/>
                <w:color w:val="auto"/>
              </w:rPr>
              <w:t xml:space="preserve">Capital adequacy - Mibanco </w:t>
            </w:r>
            <w:r>
              <w:rPr>
                <w:rFonts w:ascii="Arial" w:cs="Arial" w:eastAsia="Arial" w:hAnsi="Arial"/>
                <w:sz w:val="21"/>
                <w:szCs w:val="21"/>
                <w:b w:val="1"/>
                <w:bCs w:val="1"/>
                <w:color w:val="auto"/>
                <w:vertAlign w:val="superscript"/>
              </w:rPr>
              <w:t>(7)</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15.94%</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17.87%</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17.22%</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-65bps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128bps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17.22%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128bps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line="186"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14.66%</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18bps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83bps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60" w:type="dxa"/>
            <w:vAlign w:val="bottom"/>
            <w:gridSpan w:val="2"/>
          </w:tcPr>
          <w:p>
            <w:pPr>
              <w:spacing w:after="0" w:line="199"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14.54%</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14.88%</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15.26%</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38bps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72bps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14.54%</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72bps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Employees</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38,219</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36,233</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35,776</w:t>
            </w: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-6.4%</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38,219</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35,776</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Share Information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Outstanding Shares</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94,382</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94,382</w:t>
            </w:r>
          </w:p>
        </w:tc>
        <w:tc>
          <w:tcPr>
            <w:tcW w:w="10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94,382</w:t>
            </w:r>
          </w:p>
        </w:tc>
        <w:tc>
          <w:tcPr>
            <w:tcW w:w="9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94,382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94,382</w:t>
            </w:r>
          </w:p>
        </w:tc>
        <w:tc>
          <w:tcPr>
            <w:tcW w:w="9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14,977</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14,872</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14,866</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-0.7%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14,977</w:t>
            </w:r>
          </w:p>
        </w:tc>
        <w:tc>
          <w:tcPr>
            <w:tcW w:w="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14,866</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Floating Shares</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79,405</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79,510</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79,516</w:t>
            </w: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0.1%</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79,405</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79,516</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hanging="194"/>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Internal overdue loans includes overdue loans and loans under legal collection, according to our internal policy for overdue loans. Internal Overdue ratio: Internal overdue loans / Total loans.</w:t>
      </w:r>
    </w:p>
    <w:p>
      <w:pPr>
        <w:spacing w:after="0" w:line="8" w:lineRule="exact"/>
        <w:rPr>
          <w:rFonts w:ascii="Arial" w:cs="Arial" w:eastAsia="Arial" w:hAnsi="Arial"/>
          <w:sz w:val="13"/>
          <w:szCs w:val="13"/>
          <w:color w:val="auto"/>
        </w:rPr>
      </w:pP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Non-performing loans (NPL): Internal overdue loans + Refinanced loans. NPL ratio: NPL / Total loans.</w:t>
      </w: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Cost of risk: Annualized provision for loan losses, net of recoveries / Total loans.</w:t>
      </w:r>
    </w:p>
    <w:p>
      <w:pPr>
        <w:jc w:val="both"/>
        <w:ind w:firstLine="6"/>
        <w:spacing w:after="0" w:line="217" w:lineRule="auto"/>
        <w:tabs>
          <w:tab w:leader="none" w:pos="209" w:val="left"/>
        </w:tabs>
        <w:numPr>
          <w:ilvl w:val="0"/>
          <w:numId w:val="2"/>
        </w:numPr>
        <w:rPr>
          <w:rFonts w:ascii="Arial" w:cs="Arial" w:eastAsia="Arial" w:hAnsi="Arial"/>
          <w:sz w:val="14"/>
          <w:szCs w:val="14"/>
          <w:color w:val="auto"/>
        </w:rPr>
      </w:pPr>
      <w:r>
        <w:rPr>
          <w:rFonts w:ascii="Arial" w:cs="Arial" w:eastAsia="Arial" w:hAnsi="Arial"/>
          <w:sz w:val="14"/>
          <w:szCs w:val="14"/>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4"/>
          <w:szCs w:val="14"/>
          <w:color w:val="auto"/>
        </w:rPr>
      </w:pP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Combined ratio = (Net claims / Net earned premiums) + [(Acquisition cost + Operating expenses) / Net earned premiums]. Does not include Life insurance business.</w:t>
      </w: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Considers Grupo Pacifico's figures before eliminations for consolidation to Credicorp.</w:t>
      </w: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Capital ratios are for BCP Stand-alone and based on Peru GAAP.</w:t>
      </w:r>
    </w:p>
    <w:p>
      <w:pPr>
        <w:ind w:left="200" w:hanging="194"/>
        <w:spacing w:after="0" w:line="217"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Regulatory Capital / Risk-weighted assets (legal minimum = 10% since July 2011).</w:t>
      </w:r>
    </w:p>
    <w:p>
      <w:pPr>
        <w:jc w:val="both"/>
        <w:ind w:firstLine="6"/>
        <w:spacing w:after="0" w:line="217" w:lineRule="auto"/>
        <w:tabs>
          <w:tab w:leader="none" w:pos="198" w:val="left"/>
        </w:tabs>
        <w:numPr>
          <w:ilvl w:val="0"/>
          <w:numId w:val="2"/>
        </w:numPr>
        <w:rPr>
          <w:rFonts w:ascii="Arial" w:cs="Arial" w:eastAsia="Arial" w:hAnsi="Arial"/>
          <w:sz w:val="14"/>
          <w:szCs w:val="14"/>
          <w:color w:val="auto"/>
        </w:rPr>
      </w:pPr>
      <w:r>
        <w:rPr>
          <w:rFonts w:ascii="Arial" w:cs="Arial" w:eastAsia="Arial" w:hAnsi="Arial"/>
          <w:sz w:val="14"/>
          <w:szCs w:val="14"/>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4"/>
          <w:szCs w:val="14"/>
          <w:color w:val="auto"/>
        </w:rPr>
      </w:pPr>
    </w:p>
    <w:p>
      <w:pPr>
        <w:ind w:firstLine="6"/>
        <w:spacing w:after="0" w:line="217" w:lineRule="auto"/>
        <w:tabs>
          <w:tab w:leader="none" w:pos="273"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Common Equity Tier I = Capital + Reserves – 100% of applicable deductions (investment in subsidiaries, goodwill, intangibles and net deferred taxes that rely on future profitability) + retained earnings + unrealized gains.</w:t>
      </w:r>
    </w:p>
    <w:p>
      <w:pPr>
        <w:spacing w:after="0" w:line="1" w:lineRule="exact"/>
        <w:rPr>
          <w:rFonts w:ascii="Arial" w:cs="Arial" w:eastAsia="Arial" w:hAnsi="Arial"/>
          <w:sz w:val="14"/>
          <w:szCs w:val="14"/>
          <w:color w:val="auto"/>
        </w:rPr>
      </w:pPr>
    </w:p>
    <w:p>
      <w:pPr>
        <w:spacing w:after="0" w:line="217" w:lineRule="auto"/>
        <w:rPr>
          <w:rFonts w:ascii="Arial" w:cs="Arial" w:eastAsia="Arial" w:hAnsi="Arial"/>
          <w:sz w:val="14"/>
          <w:szCs w:val="14"/>
          <w:color w:val="auto"/>
        </w:rPr>
      </w:pPr>
      <w:r>
        <w:rPr>
          <w:rFonts w:ascii="Arial" w:cs="Arial" w:eastAsia="Arial" w:hAnsi="Arial"/>
          <w:sz w:val="14"/>
          <w:szCs w:val="14"/>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4"/>
          <w:szCs w:val="14"/>
          <w:color w:val="auto"/>
        </w:rPr>
      </w:pPr>
    </w:p>
    <w:p>
      <w:pPr>
        <w:ind w:left="280" w:hanging="274"/>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shares are held by Atlantic Security Holding Corporation (ASHC) and for shared based payments.</w:t>
      </w:r>
    </w:p>
    <w:p>
      <w:pPr>
        <w:spacing w:after="0" w:line="19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443230</wp:posOffset>
            </wp:positionV>
            <wp:extent cx="7134860" cy="9487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1.  Interest Earning Assets (IEAs)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Mar 21</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46"/>
        </w:trPr>
        <w:tc>
          <w:tcPr>
            <w:tcW w:w="50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Cash and due from banks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29,425,115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31,831,948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29,058,684</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51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63,301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16,790</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210.8%</w:t>
            </w:r>
          </w:p>
        </w:tc>
      </w:tr>
      <w:tr>
        <w:trPr>
          <w:trHeight w:val="212"/>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41,637,044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59,412,732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54,772,644</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00"/>
        </w:trPr>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Cash collateral, reverse repurchase agreements and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4"/>
        </w:trPr>
        <w:tc>
          <w:tcPr>
            <w:tcW w:w="5140" w:type="dxa"/>
            <w:vAlign w:val="bottom"/>
            <w:gridSpan w:val="2"/>
          </w:tcPr>
          <w:p>
            <w:pPr>
              <w:spacing w:after="0"/>
              <w:rPr>
                <w:sz w:val="20"/>
                <w:szCs w:val="20"/>
                <w:color w:val="auto"/>
              </w:rPr>
            </w:pPr>
            <w:r>
              <w:rPr>
                <w:rFonts w:ascii="Arial" w:cs="Arial" w:eastAsia="Arial" w:hAnsi="Arial"/>
                <w:sz w:val="18"/>
                <w:szCs w:val="18"/>
                <w:color w:val="auto"/>
              </w:rPr>
              <w:t>borrowing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2,920,789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1,769,690</w:t>
            </w:r>
          </w:p>
        </w:tc>
        <w:tc>
          <w:tcPr>
            <w:tcW w:w="1000" w:type="dxa"/>
            <w:vAlign w:val="bottom"/>
          </w:tcPr>
          <w:p>
            <w:pPr>
              <w:jc w:val="right"/>
              <w:spacing w:after="0"/>
              <w:rPr>
                <w:sz w:val="20"/>
                <w:szCs w:val="20"/>
                <w:color w:val="auto"/>
              </w:rPr>
            </w:pPr>
            <w:r>
              <w:rPr>
                <w:rFonts w:ascii="Arial" w:cs="Arial" w:eastAsia="Arial" w:hAnsi="Arial"/>
                <w:sz w:val="18"/>
                <w:szCs w:val="18"/>
                <w:color w:val="auto"/>
              </w:rPr>
              <w:t>1,616,654</w:t>
            </w:r>
          </w:p>
        </w:tc>
        <w:tc>
          <w:tcPr>
            <w:tcW w:w="220" w:type="dxa"/>
            <w:vAlign w:val="bottom"/>
          </w:tcPr>
          <w:p>
            <w:pPr>
              <w:spacing w:after="0"/>
              <w:rPr>
                <w:sz w:val="19"/>
                <w:szCs w:val="19"/>
                <w:color w:val="auto"/>
              </w:rPr>
            </w:pP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w:t>
            </w:r>
          </w:p>
        </w:tc>
      </w:tr>
      <w:tr>
        <w:trPr>
          <w:trHeight w:val="214"/>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662,634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888,420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921,851</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5"/>
        </w:trPr>
        <w:tc>
          <w:tcPr>
            <w:tcW w:w="51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132,741,720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137,031,239</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143,091,752</w:t>
            </w:r>
          </w:p>
        </w:tc>
        <w:tc>
          <w:tcPr>
            <w:tcW w:w="220" w:type="dxa"/>
            <w:vAlign w:val="bottom"/>
          </w:tcPr>
          <w:p>
            <w:pPr>
              <w:spacing w:after="0"/>
              <w:rPr>
                <w:sz w:val="19"/>
                <w:szCs w:val="19"/>
                <w:color w:val="auto"/>
              </w:rPr>
            </w:pP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2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207,392,705</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230,997,330</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229,478,375</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please consider the data presented on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Structure and Evolution of IEA</w:t>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Composition of IEA</w:t>
      </w:r>
    </w:p>
    <w:p>
      <w:pPr>
        <w:spacing w:after="0" w:line="224" w:lineRule="exact"/>
        <w:rPr>
          <w:sz w:val="20"/>
          <w:szCs w:val="20"/>
          <w:color w:val="auto"/>
        </w:rPr>
      </w:pPr>
    </w:p>
    <w:p>
      <w:pPr>
        <w:jc w:val="both"/>
        <w:ind w:left="3600"/>
        <w:spacing w:after="0" w:line="282" w:lineRule="auto"/>
        <w:rPr>
          <w:sz w:val="20"/>
          <w:szCs w:val="20"/>
          <w:color w:val="auto"/>
        </w:rPr>
      </w:pPr>
      <w:r>
        <w:rPr>
          <w:rFonts w:ascii="Arial" w:cs="Arial" w:eastAsia="Arial" w:hAnsi="Arial"/>
          <w:sz w:val="18"/>
          <w:szCs w:val="18"/>
          <w:color w:val="auto"/>
        </w:rPr>
        <w:t xml:space="preserve">At the end of June 2021, loans, our most profitable asset, represented 62.3% of IEAs, followed by investments with 23.9%, and other assets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with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-394970</wp:posOffset>
            </wp:positionV>
            <wp:extent cx="1973580" cy="1239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3580" cy="1239520"/>
                    </a:xfrm>
                    <a:prstGeom prst="rect">
                      <a:avLst/>
                    </a:prstGeom>
                    <a:noFill/>
                  </pic:spPr>
                </pic:pic>
              </a:graphicData>
            </a:graphic>
          </wp:anchor>
        </w:drawing>
      </w:r>
    </w:p>
    <w:p>
      <w:pPr>
        <w:spacing w:after="0" w:line="22" w:lineRule="exact"/>
        <w:rPr>
          <w:sz w:val="20"/>
          <w:szCs w:val="20"/>
          <w:color w:val="auto"/>
        </w:rPr>
      </w:pPr>
    </w:p>
    <w:p>
      <w:pPr>
        <w:jc w:val="both"/>
        <w:ind w:left="3600"/>
        <w:spacing w:after="0" w:line="319" w:lineRule="auto"/>
        <w:rPr>
          <w:sz w:val="20"/>
          <w:szCs w:val="20"/>
          <w:color w:val="auto"/>
        </w:rPr>
      </w:pPr>
      <w:r>
        <w:rPr>
          <w:rFonts w:ascii="Arial" w:cs="Arial" w:eastAsia="Arial" w:hAnsi="Arial"/>
          <w:sz w:val="15"/>
          <w:szCs w:val="15"/>
          <w:color w:val="auto"/>
        </w:rPr>
        <w:t>The IEA structure evolved favorably QoQ due to the loan growth and a drop in investments and available funds, which led loans to register an increase in their share of total IEA. YoY, the IEA structure followed an opposite trend, which was driven by an uptick in liquidity due to GP loans and growth in investment purchases to make surplus cash more profitable. This scenario led the share of loans in total IEAs to drop.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Loans in Quarter-end Balances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QoQ, quarter-end balances increased 4.4% in a context of mixed evolutions at the portfolio level:</w:t>
      </w:r>
    </w:p>
    <w:p>
      <w:pPr>
        <w:spacing w:after="0" w:line="218" w:lineRule="exact"/>
        <w:rPr>
          <w:sz w:val="20"/>
          <w:szCs w:val="20"/>
          <w:color w:val="auto"/>
        </w:rPr>
      </w:pPr>
    </w:p>
    <w:p>
      <w:pPr>
        <w:ind w:left="640" w:hanging="315"/>
        <w:spacing w:after="0" w:line="29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Growth was driven by Wholesale Banking, which registered an increase in loan disbursements for working capital and medium-term financing in LC in a context marked by economic recovery and an uptick in financing needs in the Corporate and Middle-Market segments.</w:t>
      </w:r>
    </w:p>
    <w:p>
      <w:pPr>
        <w:spacing w:after="0" w:line="156" w:lineRule="exact"/>
        <w:rPr>
          <w:rFonts w:ascii="Arial" w:cs="Arial" w:eastAsia="Arial" w:hAnsi="Arial"/>
          <w:sz w:val="17"/>
          <w:szCs w:val="17"/>
          <w:color w:val="auto"/>
        </w:rPr>
      </w:pPr>
    </w:p>
    <w:p>
      <w:pPr>
        <w:ind w:left="640" w:hanging="315"/>
        <w:spacing w:after="0" w:line="26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Retail Banking portfolio fell slightly, which partially offset growth in Wholesale Banking. Growth in the SME-Business and Consumer segments was insufficient to offset the drop in balances in the SME-Pyme, Mortgage and Credit Card segments.</w:t>
      </w:r>
    </w:p>
    <w:p>
      <w:pPr>
        <w:spacing w:after="0" w:line="180" w:lineRule="exact"/>
        <w:rPr>
          <w:rFonts w:ascii="Arial" w:cs="Arial" w:eastAsia="Arial" w:hAnsi="Arial"/>
          <w:sz w:val="18"/>
          <w:szCs w:val="18"/>
          <w:color w:val="auto"/>
        </w:rPr>
      </w:pPr>
    </w:p>
    <w:p>
      <w:pPr>
        <w:ind w:left="640" w:hanging="315"/>
        <w:spacing w:after="0" w:line="26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Mibanco’s portfolio registered a modest increase, where disbursement levels for structural loans fell slightly below those reported last quarter. Balances at BCP Bolivia posted a more marked increase due to the depreciation of LC.</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If we exclude the loans issued under government programs (Reactiva Perú and FAE-Mype) from the calculation base, structural loans registered growth of +6.5% QoQ.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YoY, loans measured in quarter-end balances increased +7.8% due to:</w:t>
      </w:r>
    </w:p>
    <w:p>
      <w:pPr>
        <w:spacing w:after="0" w:line="218" w:lineRule="exact"/>
        <w:rPr>
          <w:sz w:val="20"/>
          <w:szCs w:val="20"/>
          <w:color w:val="auto"/>
        </w:rPr>
      </w:pPr>
    </w:p>
    <w:p>
      <w:pPr>
        <w:jc w:val="both"/>
        <w:ind w:left="640" w:hanging="315"/>
        <w:spacing w:after="0" w:line="25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the Retail Banking portfolio at BCP Stand-alone, which was led by SME-Pyme and SME-Business (in order of contribution to growth) after both registered an uptick in disbursements for working capital loans in LC through Reactiva Peru. The Mortgage and Consumer segments also drove the overall increase, albeit to a lesser extent. On the contrary, the Credit Card segment registered a contraction in balances due to a decrease in card use during the pandemic.</w:t>
      </w:r>
    </w:p>
    <w:p>
      <w:pPr>
        <w:spacing w:after="0" w:line="193"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the Mibanco portfolio, which was driven by disbursements through Reactiva Peru and FAE-Mype and to an increase in balances for Bolivia’s portfolio. The uptick in the latter was mainly attributable to the exchange rate effect generated by a depreciation in LC and, in a lesser extent, disbursements for wholesale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1788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34" w:lineRule="exact"/>
        <w:rPr>
          <w:sz w:val="20"/>
          <w:szCs w:val="20"/>
          <w:color w:val="auto"/>
        </w:rPr>
      </w:pPr>
    </w:p>
    <w:p>
      <w:pPr>
        <w:ind w:right="480" w:firstLine="6"/>
        <w:spacing w:after="0" w:line="189" w:lineRule="auto"/>
        <w:tabs>
          <w:tab w:leader="none" w:pos="118"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Includes Cash and Due from Banks; Interbank Funds; Cash Collateral,reverse repurchase agreements, and securities borrowings, and Financial Assets designated at fair value through profit or loss.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640" w:hanging="315"/>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total portfolio was partially offset by a decrease in Wholesale Banking, after fewer businesses sought out loans due to confinement measures and/or to the fact that many had already shored up their liquidity at the beginning of the pandemic.</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we exclude loans granted through GP loans from the calculation base, we find that loans in the “Structural Portfolio” in quarter-end balances register +2.0% growth YoY.</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It is important to note that growth QoQ and YoY in loans in quarter-end balances is attributable to the exchange rate effect generated by a +2.7% QoQ and +9.0% YoY appreciation in the US dollar. If we isolate the exchange rate effect, in real terms, total loans rose +3.5% QoQ and +4.7% YoY while structural loans reported an increase of +5.3% QoQ but dropped -1.5% YoY. At the end of June 2021, FC loans registered a 34.2% share of total loans, which topped the 32.6% reported in March 2021 but fell below the 35.5% reported in June 2020. QoQ growth was attributable to an increase in disbursements for FC loans in the Middle Market Banking, SME-Business and Credit Card segments while the YoY drop was driven by disbursements for GP loans in LC and a decline in FC loans, particularly in the Wholesale Banking portfolio.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Mar 21</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206"/>
        </w:trPr>
        <w:tc>
          <w:tcPr>
            <w:tcW w:w="5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Fair value through profit or loss investments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5,118,994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8,083,128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6,791,288</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00"/>
              <w:spacing w:after="0" w:line="206" w:lineRule="exact"/>
              <w:rPr>
                <w:sz w:val="20"/>
                <w:szCs w:val="20"/>
                <w:color w:val="auto"/>
              </w:rPr>
            </w:pPr>
            <w:r>
              <w:rPr>
                <w:rFonts w:ascii="Arial" w:cs="Arial" w:eastAsia="Arial" w:hAnsi="Arial"/>
                <w:sz w:val="18"/>
                <w:szCs w:val="18"/>
                <w:color w:val="auto"/>
                <w:w w:val="93"/>
              </w:rPr>
              <w:t>32.6%</w:t>
            </w:r>
          </w:p>
        </w:tc>
      </w:tr>
      <w:tr>
        <w:trPr>
          <w:trHeight w:val="212"/>
        </w:trPr>
        <w:tc>
          <w:tcPr>
            <w:tcW w:w="5140" w:type="dxa"/>
            <w:vAlign w:val="bottom"/>
            <w:gridSpan w:val="2"/>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32,213,665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45,681,969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40,273,400</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25.0%</w:t>
            </w:r>
          </w:p>
        </w:tc>
      </w:tr>
      <w:tr>
        <w:trPr>
          <w:trHeight w:val="22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4,304,385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5,647,635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7,707,956</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79.1%</w:t>
            </w:r>
          </w:p>
        </w:tc>
      </w:tr>
      <w:tr>
        <w:trPr>
          <w:trHeight w:val="219"/>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41,637,044</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59,412,732</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54,772,644</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w w:val="85"/>
              </w:rPr>
              <w:t>31.5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Total investments fell -7.8% but increased +31.5% YoY. The QoQ evolution was primarily driven by the strategy to reduce exposure to interest rate movements through the sale in the fair value through profit or loss and other comprehensive income investment portfolios and increase the amortized cost accounting portfolio at BCP Stand-alone. Efforts to purchase certificates of deposit after their expirations ceased to maintain liquidity levels.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YoY, growth in investments was driven by loans through government programs, whose funds drove an uptick in deposit balances and liquidity system-wide that was reflected in a considerable increase in liquidity at BCP Stand-alone. This surplus liquidity was used profitably through investments in certificates of deposit and sovereign bonds, particularly in LC.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IEA</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Available funds fell -8.7% QoQ and -1.2% YoY. This evolution was driven by capital flight from BCP and Mibanco accounts after balances were transferred abroad in a context of high political uncertainty and to take advantage of deposits in US Dollars in other financial entities that offer more attractive rates. Liquid assets associated with liability management operations at BCP Stand-alone in 1Q21, and the subsequent payment of the balance for bond repurchases in 2Q21, also fueled this account’s result.</w:t>
      </w:r>
    </w:p>
    <w:p>
      <w:pPr>
        <w:sectPr>
          <w:pgSz w:w="11900" w:h="16838" w:orient="portrait"/>
          <w:cols w:equalWidth="0" w:num="1">
            <w:col w:w="11240"/>
          </w:cols>
          <w:pgMar w:left="320" w:top="897"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Evolution of loans in average daily balances (ADB)</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ADB for loans registered growth of +2.2% QoQ and +8.7% YoY. The QoQ evolution was driven primarily to growth in the Wholesale portfolio. YoY growth was attributable to an uptick in balances in the SME-Pyme segment and Retail Bankings at BCP Stand-alone, which was driven by BCP’s participation in Reactiva Peru. If we exclude loans from government programs from the calculation base, we see that Structural Loans grew 3.3% QoQ but fell -4.0% YoY. Higher growth in the structural portfolio in QoQ terms versus YoY terms was attributable to gradual amortization of loans under government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ADB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415" w:lineRule="exact"/>
        <w:rPr>
          <w:sz w:val="20"/>
          <w:szCs w:val="20"/>
          <w:color w:val="auto"/>
        </w:rPr>
      </w:pPr>
    </w:p>
    <w:p>
      <w:pPr>
        <w:sectPr>
          <w:pgSz w:w="11900" w:h="16838" w:orient="portrait"/>
          <w:cols w:equalWidth="0" w:num="2">
            <w:col w:w="5640" w:space="440"/>
            <w:col w:w="5160"/>
          </w:cols>
          <w:pgMar w:left="320" w:top="897" w:right="339" w:bottom="1440" w:gutter="0" w:footer="0" w:header="0"/>
          <w:type w:val="continuous"/>
        </w:sectPr>
      </w:pPr>
    </w:p>
    <w:p>
      <w:pPr>
        <w:spacing w:after="0" w:line="195"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 xml:space="preserve">Evolution of ADB of loans by business segment </w:t>
      </w:r>
      <w:r>
        <w:rPr>
          <w:rFonts w:ascii="Arial" w:cs="Arial" w:eastAsia="Arial" w:hAnsi="Arial"/>
          <w:sz w:val="29"/>
          <w:szCs w:val="29"/>
          <w:b w:val="1"/>
          <w:bCs w:val="1"/>
          <w:color w:val="auto"/>
          <w:vertAlign w:val="superscript"/>
        </w:rPr>
        <w:t>(1)(2)(3)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2"/>
                <w:szCs w:val="12"/>
                <w:b w:val="1"/>
                <w:bCs w:val="1"/>
                <w:color w:val="auto"/>
              </w:rPr>
              <w:t>TOTAL LOANS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ind w:left="18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9"/>
          </w:tcPr>
          <w:p>
            <w:pPr>
              <w:ind w:left="280"/>
              <w:spacing w:after="0"/>
              <w:rPr>
                <w:sz w:val="20"/>
                <w:szCs w:val="20"/>
                <w:color w:val="auto"/>
              </w:rPr>
            </w:pPr>
            <w:r>
              <w:rPr>
                <w:rFonts w:ascii="Arial" w:cs="Arial" w:eastAsia="Arial" w:hAnsi="Arial"/>
                <w:sz w:val="12"/>
                <w:szCs w:val="12"/>
                <w:i w:val="1"/>
                <w:iCs w:val="1"/>
                <w:color w:val="auto"/>
              </w:rPr>
              <w:t>Expressed in million 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ind w:left="100"/>
              <w:spacing w:after="0"/>
              <w:rPr>
                <w:sz w:val="20"/>
                <w:szCs w:val="20"/>
                <w:color w:val="auto"/>
              </w:rPr>
            </w:pPr>
            <w:r>
              <w:rPr>
                <w:rFonts w:ascii="Arial" w:cs="Arial" w:eastAsia="Arial" w:hAnsi="Arial"/>
                <w:sz w:val="12"/>
                <w:szCs w:val="12"/>
                <w:b w:val="1"/>
                <w:bCs w:val="1"/>
                <w:color w:val="auto"/>
              </w:rPr>
              <w:t>Structural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right"/>
              <w:ind w:right="358"/>
              <w:spacing w:after="0"/>
              <w:rPr>
                <w:sz w:val="20"/>
                <w:szCs w:val="20"/>
                <w:color w:val="auto"/>
              </w:rPr>
            </w:pPr>
            <w:r>
              <w:rPr>
                <w:rFonts w:ascii="Arial" w:cs="Arial" w:eastAsia="Arial" w:hAnsi="Arial"/>
                <w:sz w:val="12"/>
                <w:szCs w:val="12"/>
                <w:b w:val="1"/>
                <w:bCs w:val="1"/>
                <w:color w:val="auto"/>
              </w:rPr>
              <w:t>% change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6"/>
          </w:tcPr>
          <w:p>
            <w:pPr>
              <w:ind w:left="160"/>
              <w:spacing w:after="0"/>
              <w:rPr>
                <w:sz w:val="20"/>
                <w:szCs w:val="20"/>
                <w:color w:val="auto"/>
              </w:rPr>
            </w:pPr>
            <w:r>
              <w:rPr>
                <w:rFonts w:ascii="Arial" w:cs="Arial" w:eastAsia="Arial" w:hAnsi="Arial"/>
                <w:sz w:val="12"/>
                <w:szCs w:val="12"/>
                <w:b w:val="1"/>
                <w:bCs w:val="1"/>
                <w:color w:val="auto"/>
              </w:rPr>
              <w:t>Structural</w:t>
            </w:r>
          </w:p>
        </w:tc>
        <w:tc>
          <w:tcPr>
            <w:tcW w:w="100" w:type="dxa"/>
            <w:vAlign w:val="bottom"/>
          </w:tcPr>
          <w:p>
            <w:pPr>
              <w:spacing w:after="0"/>
              <w:rPr>
                <w:sz w:val="12"/>
                <w:szCs w:val="12"/>
                <w:color w:val="auto"/>
              </w:rPr>
            </w:pPr>
          </w:p>
        </w:tc>
        <w:tc>
          <w:tcPr>
            <w:tcW w:w="1860" w:type="dxa"/>
            <w:vAlign w:val="bottom"/>
            <w:gridSpan w:val="8"/>
          </w:tcPr>
          <w:p>
            <w:pPr>
              <w:jc w:val="center"/>
              <w:ind w:right="218"/>
              <w:spacing w:after="0"/>
              <w:rPr>
                <w:sz w:val="20"/>
                <w:szCs w:val="20"/>
                <w:color w:val="auto"/>
              </w:rPr>
            </w:pPr>
            <w:r>
              <w:rPr>
                <w:rFonts w:ascii="Arial" w:cs="Arial" w:eastAsia="Arial" w:hAnsi="Arial"/>
                <w:sz w:val="12"/>
                <w:szCs w:val="12"/>
                <w:b w:val="1"/>
                <w:bCs w:val="1"/>
                <w:color w:val="auto"/>
                <w:w w:val="96"/>
              </w:rPr>
              <w:t>% Part. in total loans</w:t>
            </w:r>
          </w:p>
        </w:tc>
        <w:tc>
          <w:tcPr>
            <w:tcW w:w="7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8"/>
              </w:rPr>
              <w:t>Structural</w:t>
            </w:r>
          </w:p>
        </w:tc>
      </w:tr>
      <w:tr>
        <w:trPr>
          <w:trHeight w:val="139"/>
        </w:trPr>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95"/>
              </w:rPr>
              <w:t>2Q20</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1Q21</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95"/>
              </w:rPr>
              <w:t>2Q21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95"/>
              </w:rPr>
              <w:t>2Q20</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95"/>
              </w:rPr>
              <w:t>1Q21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88"/>
              </w:rPr>
              <w:t>2Q21</w:t>
            </w:r>
          </w:p>
        </w:tc>
        <w:tc>
          <w:tcPr>
            <w:tcW w:w="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38"/>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2"/>
                <w:szCs w:val="12"/>
                <w:b w:val="1"/>
                <w:bCs w:val="1"/>
                <w:color w:val="auto"/>
              </w:rPr>
              <w:t>YoY</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2"/>
                <w:szCs w:val="12"/>
                <w:b w:val="1"/>
                <w:bCs w:val="1"/>
                <w:color w:val="auto"/>
              </w:rPr>
              <w:t>2Q20</w:t>
            </w:r>
          </w:p>
        </w:tc>
        <w:tc>
          <w:tcPr>
            <w:tcW w:w="2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1Q21</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2"/>
                <w:szCs w:val="12"/>
                <w:b w:val="1"/>
                <w:bCs w:val="1"/>
                <w:color w:val="auto"/>
              </w:rPr>
              <w:t>2Q21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2Q21</w:t>
            </w:r>
          </w:p>
        </w:tc>
        <w:tc>
          <w:tcPr>
            <w:tcW w:w="140" w:type="dxa"/>
            <w:vAlign w:val="bottom"/>
            <w:tcBorders>
              <w:bottom w:val="single" w:sz="8" w:color="CCEEFF"/>
            </w:tcBorders>
          </w:tcPr>
          <w:p>
            <w:pPr>
              <w:spacing w:after="0"/>
              <w:rPr>
                <w:sz w:val="12"/>
                <w:szCs w:val="12"/>
                <w:color w:val="auto"/>
              </w:rPr>
            </w:pPr>
          </w:p>
        </w:tc>
      </w:tr>
      <w:tr>
        <w:trPr>
          <w:trHeight w:val="126"/>
        </w:trPr>
        <w:tc>
          <w:tcPr>
            <w:tcW w:w="1660" w:type="dxa"/>
            <w:vAlign w:val="bottom"/>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BCP Stand-alone</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106,610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111,969</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114,614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99,218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90,319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93,595</w:t>
            </w:r>
          </w:p>
        </w:tc>
        <w:tc>
          <w:tcPr>
            <w:tcW w:w="20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ind w:right="58"/>
              <w:spacing w:after="0" w:line="126" w:lineRule="exact"/>
              <w:rPr>
                <w:sz w:val="20"/>
                <w:szCs w:val="20"/>
                <w:color w:val="auto"/>
              </w:rPr>
            </w:pPr>
            <w:r>
              <w:rPr>
                <w:rFonts w:ascii="Arial" w:cs="Arial" w:eastAsia="Arial" w:hAnsi="Arial"/>
                <w:sz w:val="12"/>
                <w:szCs w:val="12"/>
                <w:b w:val="1"/>
                <w:bCs w:val="1"/>
                <w:color w:val="auto"/>
              </w:rPr>
              <w:t>2.4%</w:t>
            </w:r>
          </w:p>
        </w:tc>
        <w:tc>
          <w:tcPr>
            <w:tcW w:w="56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7.5%</w:t>
            </w:r>
          </w:p>
        </w:tc>
        <w:tc>
          <w:tcPr>
            <w:tcW w:w="12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58"/>
              <w:spacing w:after="0" w:line="126" w:lineRule="exact"/>
              <w:rPr>
                <w:sz w:val="20"/>
                <w:szCs w:val="20"/>
                <w:color w:val="auto"/>
              </w:rPr>
            </w:pPr>
            <w:r>
              <w:rPr>
                <w:rFonts w:ascii="Arial" w:cs="Arial" w:eastAsia="Arial" w:hAnsi="Arial"/>
                <w:sz w:val="12"/>
                <w:szCs w:val="12"/>
                <w:b w:val="1"/>
                <w:bCs w:val="1"/>
                <w:color w:val="auto"/>
              </w:rPr>
              <w:t>3.6%</w:t>
            </w:r>
          </w:p>
        </w:tc>
        <w:tc>
          <w:tcPr>
            <w:tcW w:w="56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-5.7%</w:t>
            </w:r>
          </w:p>
        </w:tc>
        <w:tc>
          <w:tcPr>
            <w:tcW w:w="12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8"/>
              <w:spacing w:after="0" w:line="126" w:lineRule="exact"/>
              <w:rPr>
                <w:sz w:val="20"/>
                <w:szCs w:val="20"/>
                <w:color w:val="auto"/>
              </w:rPr>
            </w:pPr>
            <w:r>
              <w:rPr>
                <w:rFonts w:ascii="Arial" w:cs="Arial" w:eastAsia="Arial" w:hAnsi="Arial"/>
                <w:sz w:val="12"/>
                <w:szCs w:val="12"/>
                <w:b w:val="1"/>
                <w:bCs w:val="1"/>
                <w:color w:val="auto"/>
              </w:rPr>
              <w:t>82.9%</w:t>
            </w:r>
          </w:p>
        </w:tc>
        <w:tc>
          <w:tcPr>
            <w:tcW w:w="680" w:type="dxa"/>
            <w:vAlign w:val="bottom"/>
            <w:gridSpan w:val="3"/>
            <w:shd w:val="clear" w:color="auto" w:fill="CCEEFF"/>
          </w:tcPr>
          <w:p>
            <w:pPr>
              <w:jc w:val="right"/>
              <w:ind w:right="38"/>
              <w:spacing w:after="0" w:line="126" w:lineRule="exact"/>
              <w:rPr>
                <w:sz w:val="20"/>
                <w:szCs w:val="20"/>
                <w:color w:val="auto"/>
              </w:rPr>
            </w:pPr>
            <w:r>
              <w:rPr>
                <w:rFonts w:ascii="Arial" w:cs="Arial" w:eastAsia="Arial" w:hAnsi="Arial"/>
                <w:sz w:val="12"/>
                <w:szCs w:val="12"/>
                <w:b w:val="1"/>
                <w:bCs w:val="1"/>
                <w:color w:val="auto"/>
              </w:rPr>
              <w:t>81.9%</w:t>
            </w:r>
          </w:p>
        </w:tc>
        <w:tc>
          <w:tcPr>
            <w:tcW w:w="62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82.0%</w:t>
            </w:r>
          </w:p>
        </w:tc>
        <w:tc>
          <w:tcPr>
            <w:tcW w:w="60" w:type="dxa"/>
            <w:vAlign w:val="bottom"/>
            <w:shd w:val="clear" w:color="auto" w:fill="CCEEFF"/>
          </w:tcPr>
          <w:p>
            <w:pPr>
              <w:spacing w:after="0"/>
              <w:rPr>
                <w:sz w:val="10"/>
                <w:szCs w:val="10"/>
                <w:color w:val="auto"/>
              </w:rPr>
            </w:pPr>
          </w:p>
        </w:tc>
        <w:tc>
          <w:tcPr>
            <w:tcW w:w="680" w:type="dxa"/>
            <w:vAlign w:val="bottom"/>
            <w:gridSpan w:val="3"/>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80.7%</w:t>
            </w:r>
          </w:p>
        </w:tc>
      </w:tr>
      <w:tr>
        <w:trPr>
          <w:trHeight w:val="133"/>
        </w:trPr>
        <w:tc>
          <w:tcPr>
            <w:tcW w:w="1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Wholesale Banking</w:t>
            </w: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55,940</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49,860</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51,862</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52,628</w:t>
            </w:r>
          </w:p>
        </w:tc>
        <w:tc>
          <w:tcPr>
            <w:tcW w:w="820" w:type="dxa"/>
            <w:vAlign w:val="bottom"/>
            <w:gridSpan w:val="4"/>
          </w:tcPr>
          <w:p>
            <w:pPr>
              <w:jc w:val="right"/>
              <w:ind w:right="220"/>
              <w:spacing w:after="0" w:line="133" w:lineRule="exact"/>
              <w:rPr>
                <w:sz w:val="20"/>
                <w:szCs w:val="20"/>
                <w:color w:val="auto"/>
              </w:rPr>
            </w:pPr>
            <w:r>
              <w:rPr>
                <w:rFonts w:ascii="Arial" w:cs="Arial" w:eastAsia="Arial" w:hAnsi="Arial"/>
                <w:sz w:val="12"/>
                <w:szCs w:val="12"/>
                <w:b w:val="1"/>
                <w:bCs w:val="1"/>
                <w:color w:val="auto"/>
              </w:rPr>
              <w:t>43,518</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3" w:lineRule="exact"/>
              <w:rPr>
                <w:sz w:val="20"/>
                <w:szCs w:val="20"/>
                <w:color w:val="auto"/>
              </w:rPr>
            </w:pPr>
            <w:r>
              <w:rPr>
                <w:rFonts w:ascii="Arial" w:cs="Arial" w:eastAsia="Arial" w:hAnsi="Arial"/>
                <w:sz w:val="12"/>
                <w:szCs w:val="12"/>
                <w:b w:val="1"/>
                <w:bCs w:val="1"/>
                <w:color w:val="auto"/>
              </w:rPr>
              <w:t>46,067</w:t>
            </w:r>
          </w:p>
        </w:tc>
        <w:tc>
          <w:tcPr>
            <w:tcW w:w="680" w:type="dxa"/>
            <w:vAlign w:val="bottom"/>
            <w:gridSpan w:val="3"/>
          </w:tcPr>
          <w:p>
            <w:pPr>
              <w:jc w:val="right"/>
              <w:ind w:right="58"/>
              <w:spacing w:after="0" w:line="133" w:lineRule="exact"/>
              <w:rPr>
                <w:sz w:val="20"/>
                <w:szCs w:val="20"/>
                <w:color w:val="auto"/>
              </w:rPr>
            </w:pPr>
            <w:r>
              <w:rPr>
                <w:rFonts w:ascii="Arial" w:cs="Arial" w:eastAsia="Arial" w:hAnsi="Arial"/>
                <w:sz w:val="12"/>
                <w:szCs w:val="12"/>
                <w:b w:val="1"/>
                <w:bCs w:val="1"/>
                <w:color w:val="auto"/>
              </w:rPr>
              <w:t>4.0%</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-7.3%</w:t>
            </w:r>
          </w:p>
        </w:tc>
        <w:tc>
          <w:tcPr>
            <w:tcW w:w="780" w:type="dxa"/>
            <w:vAlign w:val="bottom"/>
            <w:gridSpan w:val="4"/>
          </w:tcPr>
          <w:p>
            <w:pPr>
              <w:jc w:val="right"/>
              <w:ind w:right="58"/>
              <w:spacing w:after="0" w:line="133" w:lineRule="exact"/>
              <w:rPr>
                <w:sz w:val="20"/>
                <w:szCs w:val="20"/>
                <w:color w:val="auto"/>
              </w:rPr>
            </w:pPr>
            <w:r>
              <w:rPr>
                <w:rFonts w:ascii="Arial" w:cs="Arial" w:eastAsia="Arial" w:hAnsi="Arial"/>
                <w:sz w:val="12"/>
                <w:szCs w:val="12"/>
                <w:b w:val="1"/>
                <w:bCs w:val="1"/>
                <w:color w:val="auto"/>
              </w:rPr>
              <w:t>5.9%</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-12.5%</w:t>
            </w:r>
          </w:p>
        </w:tc>
        <w:tc>
          <w:tcPr>
            <w:tcW w:w="120" w:type="dxa"/>
            <w:vAlign w:val="bottom"/>
          </w:tcPr>
          <w:p>
            <w:pPr>
              <w:spacing w:after="0"/>
              <w:rPr>
                <w:sz w:val="11"/>
                <w:szCs w:val="11"/>
                <w:color w:val="auto"/>
              </w:rPr>
            </w:pPr>
          </w:p>
        </w:tc>
        <w:tc>
          <w:tcPr>
            <w:tcW w:w="660" w:type="dxa"/>
            <w:vAlign w:val="bottom"/>
            <w:gridSpan w:val="3"/>
          </w:tcPr>
          <w:p>
            <w:pPr>
              <w:jc w:val="right"/>
              <w:ind w:right="38"/>
              <w:spacing w:after="0" w:line="133" w:lineRule="exact"/>
              <w:rPr>
                <w:sz w:val="20"/>
                <w:szCs w:val="20"/>
                <w:color w:val="auto"/>
              </w:rPr>
            </w:pPr>
            <w:r>
              <w:rPr>
                <w:rFonts w:ascii="Arial" w:cs="Arial" w:eastAsia="Arial" w:hAnsi="Arial"/>
                <w:sz w:val="12"/>
                <w:szCs w:val="12"/>
                <w:b w:val="1"/>
                <w:bCs w:val="1"/>
                <w:color w:val="auto"/>
              </w:rPr>
              <w:t>43.5%</w:t>
            </w:r>
          </w:p>
        </w:tc>
        <w:tc>
          <w:tcPr>
            <w:tcW w:w="680" w:type="dxa"/>
            <w:vAlign w:val="bottom"/>
            <w:gridSpan w:val="3"/>
          </w:tcPr>
          <w:p>
            <w:pPr>
              <w:jc w:val="right"/>
              <w:ind w:right="38"/>
              <w:spacing w:after="0" w:line="133" w:lineRule="exact"/>
              <w:rPr>
                <w:sz w:val="20"/>
                <w:szCs w:val="20"/>
                <w:color w:val="auto"/>
              </w:rPr>
            </w:pPr>
            <w:r>
              <w:rPr>
                <w:rFonts w:ascii="Arial" w:cs="Arial" w:eastAsia="Arial" w:hAnsi="Arial"/>
                <w:sz w:val="12"/>
                <w:szCs w:val="12"/>
                <w:b w:val="1"/>
                <w:bCs w:val="1"/>
                <w:color w:val="auto"/>
              </w:rPr>
              <w:t>36.5%</w:t>
            </w:r>
          </w:p>
        </w:tc>
        <w:tc>
          <w:tcPr>
            <w:tcW w:w="62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37.1%</w:t>
            </w:r>
          </w:p>
        </w:tc>
        <w:tc>
          <w:tcPr>
            <w:tcW w:w="740" w:type="dxa"/>
            <w:vAlign w:val="bottom"/>
            <w:gridSpan w:val="4"/>
          </w:tcPr>
          <w:p>
            <w:pPr>
              <w:jc w:val="right"/>
              <w:spacing w:after="0" w:line="133" w:lineRule="exact"/>
              <w:rPr>
                <w:sz w:val="20"/>
                <w:szCs w:val="20"/>
                <w:color w:val="auto"/>
              </w:rPr>
            </w:pPr>
            <w:r>
              <w:rPr>
                <w:rFonts w:ascii="Arial" w:cs="Arial" w:eastAsia="Arial" w:hAnsi="Arial"/>
                <w:sz w:val="12"/>
                <w:szCs w:val="12"/>
                <w:b w:val="1"/>
                <w:bCs w:val="1"/>
                <w:color w:val="auto"/>
              </w:rPr>
              <w:t>39.7%</w:t>
            </w:r>
          </w:p>
        </w:tc>
      </w:tr>
      <w:tr>
        <w:trPr>
          <w:trHeight w:val="133"/>
        </w:trPr>
        <w:tc>
          <w:tcPr>
            <w:tcW w:w="176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2"/>
                <w:szCs w:val="12"/>
                <w:color w:val="auto"/>
              </w:rPr>
              <w:t>Corporate</w:t>
            </w: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34,028</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27,271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28,869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2"/>
                <w:szCs w:val="12"/>
                <w:color w:val="auto"/>
              </w:rPr>
              <w:t>33,572</w:t>
            </w:r>
          </w:p>
        </w:tc>
        <w:tc>
          <w:tcPr>
            <w:tcW w:w="820" w:type="dxa"/>
            <w:vAlign w:val="bottom"/>
            <w:gridSpan w:val="4"/>
            <w:shd w:val="clear" w:color="auto" w:fill="CCEEFF"/>
          </w:tcPr>
          <w:p>
            <w:pPr>
              <w:jc w:val="right"/>
              <w:ind w:right="220"/>
              <w:spacing w:after="0" w:line="119" w:lineRule="exact"/>
              <w:rPr>
                <w:sz w:val="20"/>
                <w:szCs w:val="20"/>
                <w:color w:val="auto"/>
              </w:rPr>
            </w:pPr>
            <w:r>
              <w:rPr>
                <w:rFonts w:ascii="Arial" w:cs="Arial" w:eastAsia="Arial" w:hAnsi="Arial"/>
                <w:sz w:val="12"/>
                <w:szCs w:val="12"/>
                <w:color w:val="auto"/>
              </w:rPr>
              <w:t>26,621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2"/>
                <w:szCs w:val="12"/>
                <w:color w:val="auto"/>
              </w:rPr>
              <w:t>28,288</w:t>
            </w:r>
          </w:p>
        </w:tc>
        <w:tc>
          <w:tcPr>
            <w:tcW w:w="120" w:type="dxa"/>
            <w:vAlign w:val="bottom"/>
            <w:shd w:val="clear" w:color="auto" w:fill="66E0DA"/>
          </w:tcPr>
          <w:p>
            <w:pPr>
              <w:spacing w:after="0"/>
              <w:rPr>
                <w:sz w:val="11"/>
                <w:szCs w:val="11"/>
                <w:color w:val="auto"/>
              </w:rPr>
            </w:pPr>
          </w:p>
        </w:tc>
        <w:tc>
          <w:tcPr>
            <w:tcW w:w="560" w:type="dxa"/>
            <w:vAlign w:val="bottom"/>
            <w:gridSpan w:val="2"/>
            <w:shd w:val="clear" w:color="auto" w:fill="66E0DA"/>
          </w:tcPr>
          <w:p>
            <w:pPr>
              <w:jc w:val="right"/>
              <w:ind w:right="78"/>
              <w:spacing w:after="0" w:line="119" w:lineRule="exact"/>
              <w:rPr>
                <w:sz w:val="20"/>
                <w:szCs w:val="20"/>
                <w:color w:val="auto"/>
              </w:rPr>
            </w:pPr>
            <w:r>
              <w:rPr>
                <w:rFonts w:ascii="Arial" w:cs="Arial" w:eastAsia="Arial" w:hAnsi="Arial"/>
                <w:sz w:val="12"/>
                <w:szCs w:val="12"/>
                <w:color w:val="auto"/>
              </w:rPr>
              <w:t>5.9%</w:t>
            </w:r>
          </w:p>
        </w:tc>
        <w:tc>
          <w:tcPr>
            <w:tcW w:w="56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12"/>
                <w:szCs w:val="12"/>
                <w:color w:val="auto"/>
              </w:rPr>
              <w:t>-15.2%</w:t>
            </w:r>
          </w:p>
        </w:tc>
        <w:tc>
          <w:tcPr>
            <w:tcW w:w="120" w:type="dxa"/>
            <w:vAlign w:val="bottom"/>
            <w:shd w:val="clear" w:color="auto" w:fill="66E0DA"/>
          </w:tcPr>
          <w:p>
            <w:pPr>
              <w:spacing w:after="0"/>
              <w:rPr>
                <w:sz w:val="11"/>
                <w:szCs w:val="11"/>
                <w:color w:val="auto"/>
              </w:rPr>
            </w:pPr>
          </w:p>
        </w:tc>
        <w:tc>
          <w:tcPr>
            <w:tcW w:w="660" w:type="dxa"/>
            <w:vAlign w:val="bottom"/>
            <w:gridSpan w:val="3"/>
            <w:shd w:val="clear" w:color="auto" w:fill="66E0DA"/>
          </w:tcPr>
          <w:p>
            <w:pPr>
              <w:jc w:val="right"/>
              <w:ind w:right="78"/>
              <w:spacing w:after="0" w:line="119" w:lineRule="exact"/>
              <w:rPr>
                <w:sz w:val="20"/>
                <w:szCs w:val="20"/>
                <w:color w:val="auto"/>
              </w:rPr>
            </w:pPr>
            <w:r>
              <w:rPr>
                <w:rFonts w:ascii="Arial" w:cs="Arial" w:eastAsia="Arial" w:hAnsi="Arial"/>
                <w:sz w:val="12"/>
                <w:szCs w:val="12"/>
                <w:color w:val="auto"/>
              </w:rPr>
              <w:t>6.3%</w:t>
            </w:r>
          </w:p>
        </w:tc>
        <w:tc>
          <w:tcPr>
            <w:tcW w:w="100" w:type="dxa"/>
            <w:vAlign w:val="bottom"/>
            <w:shd w:val="clear" w:color="auto" w:fill="F17CC5"/>
          </w:tcPr>
          <w:p>
            <w:pPr>
              <w:spacing w:after="0"/>
              <w:rPr>
                <w:sz w:val="11"/>
                <w:szCs w:val="11"/>
                <w:color w:val="auto"/>
              </w:rPr>
            </w:pPr>
          </w:p>
        </w:tc>
        <w:tc>
          <w:tcPr>
            <w:tcW w:w="4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58"/>
              <w:spacing w:after="0" w:line="119" w:lineRule="exact"/>
              <w:rPr>
                <w:sz w:val="20"/>
                <w:szCs w:val="20"/>
                <w:color w:val="auto"/>
              </w:rPr>
            </w:pPr>
            <w:r>
              <w:rPr>
                <w:rFonts w:ascii="Arial" w:cs="Arial" w:eastAsia="Arial" w:hAnsi="Arial"/>
                <w:sz w:val="12"/>
                <w:szCs w:val="12"/>
                <w:color w:val="auto"/>
              </w:rPr>
              <w:t>26.5%</w:t>
            </w:r>
          </w:p>
        </w:tc>
        <w:tc>
          <w:tcPr>
            <w:tcW w:w="680" w:type="dxa"/>
            <w:vAlign w:val="bottom"/>
            <w:gridSpan w:val="3"/>
            <w:shd w:val="clear" w:color="auto" w:fill="CCEEFF"/>
          </w:tcPr>
          <w:p>
            <w:pPr>
              <w:jc w:val="right"/>
              <w:ind w:right="58"/>
              <w:spacing w:after="0" w:line="119" w:lineRule="exact"/>
              <w:rPr>
                <w:sz w:val="20"/>
                <w:szCs w:val="20"/>
                <w:color w:val="auto"/>
              </w:rPr>
            </w:pPr>
            <w:r>
              <w:rPr>
                <w:rFonts w:ascii="Arial" w:cs="Arial" w:eastAsia="Arial" w:hAnsi="Arial"/>
                <w:sz w:val="12"/>
                <w:szCs w:val="12"/>
                <w:color w:val="auto"/>
              </w:rPr>
              <w:t>19.9%</w:t>
            </w:r>
          </w:p>
        </w:tc>
        <w:tc>
          <w:tcPr>
            <w:tcW w:w="620" w:type="dxa"/>
            <w:vAlign w:val="bottom"/>
            <w:gridSpan w:val="3"/>
            <w:shd w:val="clear" w:color="auto" w:fill="CCEEFF"/>
          </w:tcPr>
          <w:p>
            <w:pPr>
              <w:jc w:val="right"/>
              <w:ind w:right="18"/>
              <w:spacing w:after="0" w:line="119" w:lineRule="exact"/>
              <w:rPr>
                <w:sz w:val="20"/>
                <w:szCs w:val="20"/>
                <w:color w:val="auto"/>
              </w:rPr>
            </w:pPr>
            <w:r>
              <w:rPr>
                <w:rFonts w:ascii="Arial" w:cs="Arial" w:eastAsia="Arial" w:hAnsi="Arial"/>
                <w:sz w:val="12"/>
                <w:szCs w:val="12"/>
                <w:color w:val="auto"/>
              </w:rPr>
              <w:t>20.7%</w:t>
            </w:r>
          </w:p>
        </w:tc>
        <w:tc>
          <w:tcPr>
            <w:tcW w:w="740" w:type="dxa"/>
            <w:vAlign w:val="bottom"/>
            <w:gridSpan w:val="4"/>
            <w:shd w:val="clear" w:color="auto" w:fill="CCEEFF"/>
          </w:tcPr>
          <w:p>
            <w:pPr>
              <w:jc w:val="right"/>
              <w:spacing w:after="0" w:line="119" w:lineRule="exact"/>
              <w:rPr>
                <w:sz w:val="20"/>
                <w:szCs w:val="20"/>
                <w:color w:val="auto"/>
              </w:rPr>
            </w:pPr>
            <w:r>
              <w:rPr>
                <w:rFonts w:ascii="Arial" w:cs="Arial" w:eastAsia="Arial" w:hAnsi="Arial"/>
                <w:sz w:val="12"/>
                <w:szCs w:val="12"/>
                <w:color w:val="auto"/>
              </w:rPr>
              <w:t>24.4%</w:t>
            </w:r>
          </w:p>
        </w:tc>
      </w:tr>
      <w:tr>
        <w:trPr>
          <w:trHeight w:val="133"/>
        </w:trPr>
        <w:tc>
          <w:tcPr>
            <w:tcW w:w="1760" w:type="dxa"/>
            <w:vAlign w:val="bottom"/>
            <w:gridSpan w:val="2"/>
          </w:tcPr>
          <w:p>
            <w:pPr>
              <w:ind w:left="200"/>
              <w:spacing w:after="0" w:line="133" w:lineRule="exact"/>
              <w:rPr>
                <w:sz w:val="20"/>
                <w:szCs w:val="20"/>
                <w:color w:val="auto"/>
              </w:rPr>
            </w:pPr>
            <w:r>
              <w:rPr>
                <w:rFonts w:ascii="Arial" w:cs="Arial" w:eastAsia="Arial" w:hAnsi="Arial"/>
                <w:sz w:val="12"/>
                <w:szCs w:val="12"/>
                <w:color w:val="auto"/>
              </w:rPr>
              <w:t>Middle - Market</w:t>
            </w: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21,912</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22,590</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22,993</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19,056</w:t>
            </w:r>
          </w:p>
        </w:tc>
        <w:tc>
          <w:tcPr>
            <w:tcW w:w="820" w:type="dxa"/>
            <w:vAlign w:val="bottom"/>
            <w:gridSpan w:val="4"/>
          </w:tcPr>
          <w:p>
            <w:pPr>
              <w:jc w:val="right"/>
              <w:ind w:right="220"/>
              <w:spacing w:after="0" w:line="133" w:lineRule="exact"/>
              <w:rPr>
                <w:sz w:val="20"/>
                <w:szCs w:val="20"/>
                <w:color w:val="auto"/>
              </w:rPr>
            </w:pPr>
            <w:r>
              <w:rPr>
                <w:rFonts w:ascii="Arial" w:cs="Arial" w:eastAsia="Arial" w:hAnsi="Arial"/>
                <w:sz w:val="12"/>
                <w:szCs w:val="12"/>
                <w:color w:val="auto"/>
              </w:rPr>
              <w:t>16,898</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17,780</w:t>
            </w:r>
          </w:p>
        </w:tc>
        <w:tc>
          <w:tcPr>
            <w:tcW w:w="120" w:type="dxa"/>
            <w:vAlign w:val="bottom"/>
            <w:shd w:val="clear" w:color="auto" w:fill="66E0DA"/>
          </w:tcPr>
          <w:p>
            <w:pPr>
              <w:spacing w:after="0"/>
              <w:rPr>
                <w:sz w:val="11"/>
                <w:szCs w:val="11"/>
                <w:color w:val="auto"/>
              </w:rPr>
            </w:pPr>
          </w:p>
        </w:tc>
        <w:tc>
          <w:tcPr>
            <w:tcW w:w="560" w:type="dxa"/>
            <w:vAlign w:val="bottom"/>
            <w:gridSpan w:val="2"/>
            <w:shd w:val="clear" w:color="auto" w:fill="66E0DA"/>
          </w:tcPr>
          <w:p>
            <w:pPr>
              <w:jc w:val="right"/>
              <w:ind w:right="78"/>
              <w:spacing w:after="0" w:line="133" w:lineRule="exact"/>
              <w:rPr>
                <w:sz w:val="20"/>
                <w:szCs w:val="20"/>
                <w:color w:val="auto"/>
              </w:rPr>
            </w:pPr>
            <w:r>
              <w:rPr>
                <w:rFonts w:ascii="Arial" w:cs="Arial" w:eastAsia="Arial" w:hAnsi="Arial"/>
                <w:sz w:val="12"/>
                <w:szCs w:val="12"/>
                <w:color w:val="auto"/>
              </w:rPr>
              <w:t>1.8%</w:t>
            </w:r>
          </w:p>
        </w:tc>
        <w:tc>
          <w:tcPr>
            <w:tcW w:w="560" w:type="dxa"/>
            <w:vAlign w:val="bottom"/>
            <w:gridSpan w:val="3"/>
            <w:shd w:val="clear" w:color="auto" w:fill="66E0DA"/>
          </w:tcPr>
          <w:p>
            <w:pPr>
              <w:jc w:val="right"/>
              <w:spacing w:after="0" w:line="133" w:lineRule="exact"/>
              <w:rPr>
                <w:sz w:val="20"/>
                <w:szCs w:val="20"/>
                <w:color w:val="auto"/>
              </w:rPr>
            </w:pPr>
            <w:r>
              <w:rPr>
                <w:rFonts w:ascii="Arial" w:cs="Arial" w:eastAsia="Arial" w:hAnsi="Arial"/>
                <w:sz w:val="12"/>
                <w:szCs w:val="12"/>
                <w:color w:val="auto"/>
              </w:rPr>
              <w:t>4.9%</w:t>
            </w:r>
          </w:p>
        </w:tc>
        <w:tc>
          <w:tcPr>
            <w:tcW w:w="120" w:type="dxa"/>
            <w:vAlign w:val="bottom"/>
            <w:shd w:val="clear" w:color="auto" w:fill="66E0DA"/>
          </w:tcPr>
          <w:p>
            <w:pPr>
              <w:spacing w:after="0"/>
              <w:rPr>
                <w:sz w:val="11"/>
                <w:szCs w:val="11"/>
                <w:color w:val="auto"/>
              </w:rPr>
            </w:pPr>
          </w:p>
        </w:tc>
        <w:tc>
          <w:tcPr>
            <w:tcW w:w="660" w:type="dxa"/>
            <w:vAlign w:val="bottom"/>
            <w:gridSpan w:val="3"/>
            <w:shd w:val="clear" w:color="auto" w:fill="66E0DA"/>
          </w:tcPr>
          <w:p>
            <w:pPr>
              <w:jc w:val="right"/>
              <w:ind w:right="78"/>
              <w:spacing w:after="0" w:line="133" w:lineRule="exact"/>
              <w:rPr>
                <w:sz w:val="20"/>
                <w:szCs w:val="20"/>
                <w:color w:val="auto"/>
              </w:rPr>
            </w:pPr>
            <w:r>
              <w:rPr>
                <w:rFonts w:ascii="Arial" w:cs="Arial" w:eastAsia="Arial" w:hAnsi="Arial"/>
                <w:sz w:val="12"/>
                <w:szCs w:val="12"/>
                <w:color w:val="auto"/>
              </w:rPr>
              <w:t>5.2%</w:t>
            </w:r>
          </w:p>
        </w:tc>
        <w:tc>
          <w:tcPr>
            <w:tcW w:w="100" w:type="dxa"/>
            <w:vAlign w:val="bottom"/>
            <w:shd w:val="clear" w:color="auto" w:fill="F17CC5"/>
          </w:tcPr>
          <w:p>
            <w:pPr>
              <w:spacing w:after="0"/>
              <w:rPr>
                <w:sz w:val="11"/>
                <w:szCs w:val="11"/>
                <w:color w:val="auto"/>
              </w:rPr>
            </w:pPr>
          </w:p>
        </w:tc>
        <w:tc>
          <w:tcPr>
            <w:tcW w:w="4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-6.7%</w:t>
            </w:r>
          </w:p>
        </w:tc>
        <w:tc>
          <w:tcPr>
            <w:tcW w:w="120" w:type="dxa"/>
            <w:vAlign w:val="bottom"/>
            <w:shd w:val="clear" w:color="auto" w:fill="F17AC4"/>
          </w:tcPr>
          <w:p>
            <w:pPr>
              <w:spacing w:after="0"/>
              <w:rPr>
                <w:sz w:val="11"/>
                <w:szCs w:val="11"/>
                <w:color w:val="auto"/>
              </w:rPr>
            </w:pPr>
          </w:p>
        </w:tc>
        <w:tc>
          <w:tcPr>
            <w:tcW w:w="66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17.0%</w:t>
            </w:r>
          </w:p>
        </w:tc>
        <w:tc>
          <w:tcPr>
            <w:tcW w:w="68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16.5%</w:t>
            </w:r>
          </w:p>
        </w:tc>
        <w:tc>
          <w:tcPr>
            <w:tcW w:w="620" w:type="dxa"/>
            <w:vAlign w:val="bottom"/>
            <w:gridSpan w:val="3"/>
          </w:tcPr>
          <w:p>
            <w:pPr>
              <w:jc w:val="right"/>
              <w:ind w:right="18"/>
              <w:spacing w:after="0" w:line="133" w:lineRule="exact"/>
              <w:rPr>
                <w:sz w:val="20"/>
                <w:szCs w:val="20"/>
                <w:color w:val="auto"/>
              </w:rPr>
            </w:pPr>
            <w:r>
              <w:rPr>
                <w:rFonts w:ascii="Arial" w:cs="Arial" w:eastAsia="Arial" w:hAnsi="Arial"/>
                <w:sz w:val="12"/>
                <w:szCs w:val="12"/>
                <w:color w:val="auto"/>
              </w:rPr>
              <w:t>16.5%</w:t>
            </w:r>
          </w:p>
        </w:tc>
        <w:tc>
          <w:tcPr>
            <w:tcW w:w="740" w:type="dxa"/>
            <w:vAlign w:val="bottom"/>
            <w:gridSpan w:val="4"/>
          </w:tcPr>
          <w:p>
            <w:pPr>
              <w:jc w:val="right"/>
              <w:spacing w:after="0" w:line="133" w:lineRule="exact"/>
              <w:rPr>
                <w:sz w:val="20"/>
                <w:szCs w:val="20"/>
                <w:color w:val="auto"/>
              </w:rPr>
            </w:pPr>
            <w:r>
              <w:rPr>
                <w:rFonts w:ascii="Arial" w:cs="Arial" w:eastAsia="Arial" w:hAnsi="Arial"/>
                <w:sz w:val="12"/>
                <w:szCs w:val="12"/>
                <w:color w:val="auto"/>
              </w:rPr>
              <w:t>15.3%</w:t>
            </w:r>
          </w:p>
        </w:tc>
      </w:tr>
      <w:tr>
        <w:trPr>
          <w:trHeight w:val="133"/>
        </w:trPr>
        <w:tc>
          <w:tcPr>
            <w:tcW w:w="176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Retail Banking</w:t>
            </w: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50,670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62,109</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62,752</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b w:val="1"/>
                <w:bCs w:val="1"/>
                <w:color w:val="auto"/>
              </w:rPr>
              <w:t>46,590</w:t>
            </w:r>
          </w:p>
        </w:tc>
        <w:tc>
          <w:tcPr>
            <w:tcW w:w="820" w:type="dxa"/>
            <w:vAlign w:val="bottom"/>
            <w:gridSpan w:val="4"/>
            <w:shd w:val="clear" w:color="auto" w:fill="CCEEFF"/>
          </w:tcPr>
          <w:p>
            <w:pPr>
              <w:jc w:val="right"/>
              <w:ind w:right="220"/>
              <w:spacing w:after="0" w:line="133" w:lineRule="exact"/>
              <w:rPr>
                <w:sz w:val="20"/>
                <w:szCs w:val="20"/>
                <w:color w:val="auto"/>
              </w:rPr>
            </w:pPr>
            <w:r>
              <w:rPr>
                <w:rFonts w:ascii="Arial" w:cs="Arial" w:eastAsia="Arial" w:hAnsi="Arial"/>
                <w:sz w:val="12"/>
                <w:szCs w:val="12"/>
                <w:b w:val="1"/>
                <w:bCs w:val="1"/>
                <w:color w:val="auto"/>
              </w:rPr>
              <w:t>46,801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b w:val="1"/>
                <w:bCs w:val="1"/>
                <w:color w:val="auto"/>
              </w:rPr>
              <w:t>47,528</w:t>
            </w:r>
          </w:p>
        </w:tc>
        <w:tc>
          <w:tcPr>
            <w:tcW w:w="68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1.0%</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23.8%</w:t>
            </w:r>
          </w:p>
        </w:tc>
        <w:tc>
          <w:tcPr>
            <w:tcW w:w="780" w:type="dxa"/>
            <w:vAlign w:val="bottom"/>
            <w:gridSpan w:val="4"/>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1.6%</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2.0%</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39.4%</w:t>
            </w:r>
          </w:p>
        </w:tc>
        <w:tc>
          <w:tcPr>
            <w:tcW w:w="68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45.4%</w:t>
            </w:r>
          </w:p>
        </w:tc>
        <w:tc>
          <w:tcPr>
            <w:tcW w:w="6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44.9%</w:t>
            </w:r>
          </w:p>
        </w:tc>
        <w:tc>
          <w:tcPr>
            <w:tcW w:w="74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41.0%</w:t>
            </w:r>
          </w:p>
        </w:tc>
      </w:tr>
      <w:tr>
        <w:trPr>
          <w:trHeight w:val="133"/>
        </w:trPr>
        <w:tc>
          <w:tcPr>
            <w:tcW w:w="1760" w:type="dxa"/>
            <w:vAlign w:val="bottom"/>
            <w:gridSpan w:val="2"/>
          </w:tcPr>
          <w:p>
            <w:pPr>
              <w:ind w:left="200"/>
              <w:spacing w:after="0" w:line="119" w:lineRule="exact"/>
              <w:rPr>
                <w:sz w:val="20"/>
                <w:szCs w:val="20"/>
                <w:color w:val="auto"/>
              </w:rPr>
            </w:pPr>
            <w:r>
              <w:rPr>
                <w:rFonts w:ascii="Arial" w:cs="Arial" w:eastAsia="Arial" w:hAnsi="Arial"/>
                <w:sz w:val="12"/>
                <w:szCs w:val="12"/>
                <w:color w:val="auto"/>
              </w:rPr>
              <w:t>SME - Business</w:t>
            </w: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7,532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19" w:lineRule="exact"/>
              <w:rPr>
                <w:sz w:val="20"/>
                <w:szCs w:val="20"/>
                <w:color w:val="auto"/>
              </w:rPr>
            </w:pPr>
            <w:r>
              <w:rPr>
                <w:rFonts w:ascii="Arial" w:cs="Arial" w:eastAsia="Arial" w:hAnsi="Arial"/>
                <w:sz w:val="12"/>
                <w:szCs w:val="12"/>
                <w:color w:val="auto"/>
              </w:rPr>
              <w:t>10,793</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19" w:lineRule="exact"/>
              <w:rPr>
                <w:sz w:val="20"/>
                <w:szCs w:val="20"/>
                <w:color w:val="auto"/>
              </w:rPr>
            </w:pPr>
            <w:r>
              <w:rPr>
                <w:rFonts w:ascii="Arial" w:cs="Arial" w:eastAsia="Arial" w:hAnsi="Arial"/>
                <w:sz w:val="12"/>
                <w:szCs w:val="12"/>
                <w:color w:val="auto"/>
              </w:rPr>
              <w:t>11,279</w:t>
            </w:r>
          </w:p>
        </w:tc>
        <w:tc>
          <w:tcPr>
            <w:tcW w:w="100" w:type="dxa"/>
            <w:vAlign w:val="bottom"/>
          </w:tcPr>
          <w:p>
            <w:pPr>
              <w:spacing w:after="0"/>
              <w:rPr>
                <w:sz w:val="11"/>
                <w:szCs w:val="11"/>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2"/>
                <w:szCs w:val="12"/>
                <w:color w:val="auto"/>
              </w:rPr>
              <w:t>5,262</w:t>
            </w:r>
          </w:p>
        </w:tc>
        <w:tc>
          <w:tcPr>
            <w:tcW w:w="80" w:type="dxa"/>
            <w:vAlign w:val="bottom"/>
          </w:tcPr>
          <w:p>
            <w:pPr>
              <w:spacing w:after="0"/>
              <w:rPr>
                <w:sz w:val="11"/>
                <w:szCs w:val="11"/>
                <w:color w:val="auto"/>
              </w:rPr>
            </w:pPr>
          </w:p>
        </w:tc>
        <w:tc>
          <w:tcPr>
            <w:tcW w:w="820" w:type="dxa"/>
            <w:vAlign w:val="bottom"/>
            <w:gridSpan w:val="4"/>
          </w:tcPr>
          <w:p>
            <w:pPr>
              <w:jc w:val="right"/>
              <w:ind w:right="220"/>
              <w:spacing w:after="0" w:line="119" w:lineRule="exact"/>
              <w:rPr>
                <w:sz w:val="20"/>
                <w:szCs w:val="20"/>
                <w:color w:val="auto"/>
              </w:rPr>
            </w:pPr>
            <w:r>
              <w:rPr>
                <w:rFonts w:ascii="Arial" w:cs="Arial" w:eastAsia="Arial" w:hAnsi="Arial"/>
                <w:sz w:val="12"/>
                <w:szCs w:val="12"/>
                <w:color w:val="auto"/>
              </w:rPr>
              <w:t>4,287</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19" w:lineRule="exact"/>
              <w:rPr>
                <w:sz w:val="20"/>
                <w:szCs w:val="20"/>
                <w:color w:val="auto"/>
              </w:rPr>
            </w:pPr>
            <w:r>
              <w:rPr>
                <w:rFonts w:ascii="Arial" w:cs="Arial" w:eastAsia="Arial" w:hAnsi="Arial"/>
                <w:sz w:val="12"/>
                <w:szCs w:val="12"/>
                <w:color w:val="auto"/>
              </w:rPr>
              <w:t>4,866</w:t>
            </w:r>
          </w:p>
        </w:tc>
        <w:tc>
          <w:tcPr>
            <w:tcW w:w="680" w:type="dxa"/>
            <w:vAlign w:val="bottom"/>
            <w:gridSpan w:val="3"/>
            <w:shd w:val="clear" w:color="auto" w:fill="66E0DA"/>
          </w:tcPr>
          <w:p>
            <w:pPr>
              <w:jc w:val="right"/>
              <w:ind w:right="78"/>
              <w:spacing w:after="0" w:line="119" w:lineRule="exact"/>
              <w:rPr>
                <w:sz w:val="20"/>
                <w:szCs w:val="20"/>
                <w:color w:val="auto"/>
              </w:rPr>
            </w:pPr>
            <w:r>
              <w:rPr>
                <w:rFonts w:ascii="Arial" w:cs="Arial" w:eastAsia="Arial" w:hAnsi="Arial"/>
                <w:sz w:val="12"/>
                <w:szCs w:val="12"/>
                <w:color w:val="auto"/>
              </w:rPr>
              <w:t>4.5%</w:t>
            </w:r>
          </w:p>
        </w:tc>
        <w:tc>
          <w:tcPr>
            <w:tcW w:w="560" w:type="dxa"/>
            <w:vAlign w:val="bottom"/>
            <w:gridSpan w:val="3"/>
            <w:shd w:val="clear" w:color="auto" w:fill="66E0DA"/>
          </w:tcPr>
          <w:p>
            <w:pPr>
              <w:jc w:val="right"/>
              <w:spacing w:after="0" w:line="119" w:lineRule="exact"/>
              <w:rPr>
                <w:sz w:val="20"/>
                <w:szCs w:val="20"/>
                <w:color w:val="auto"/>
              </w:rPr>
            </w:pPr>
            <w:r>
              <w:rPr>
                <w:rFonts w:ascii="Arial" w:cs="Arial" w:eastAsia="Arial" w:hAnsi="Arial"/>
                <w:sz w:val="12"/>
                <w:szCs w:val="12"/>
                <w:color w:val="auto"/>
              </w:rPr>
              <w:t>49.8%</w:t>
            </w:r>
          </w:p>
        </w:tc>
        <w:tc>
          <w:tcPr>
            <w:tcW w:w="780" w:type="dxa"/>
            <w:vAlign w:val="bottom"/>
            <w:gridSpan w:val="4"/>
            <w:shd w:val="clear" w:color="auto" w:fill="66E0DA"/>
          </w:tcPr>
          <w:p>
            <w:pPr>
              <w:jc w:val="right"/>
              <w:ind w:right="78"/>
              <w:spacing w:after="0" w:line="119" w:lineRule="exact"/>
              <w:rPr>
                <w:sz w:val="20"/>
                <w:szCs w:val="20"/>
                <w:color w:val="auto"/>
              </w:rPr>
            </w:pPr>
            <w:r>
              <w:rPr>
                <w:rFonts w:ascii="Arial" w:cs="Arial" w:eastAsia="Arial" w:hAnsi="Arial"/>
                <w:sz w:val="12"/>
                <w:szCs w:val="12"/>
                <w:color w:val="auto"/>
              </w:rPr>
              <w:t>13.5%</w:t>
            </w:r>
          </w:p>
        </w:tc>
        <w:tc>
          <w:tcPr>
            <w:tcW w:w="560" w:type="dxa"/>
            <w:vAlign w:val="bottom"/>
            <w:gridSpan w:val="3"/>
          </w:tcPr>
          <w:p>
            <w:pPr>
              <w:jc w:val="right"/>
              <w:spacing w:after="0" w:line="119" w:lineRule="exact"/>
              <w:rPr>
                <w:sz w:val="20"/>
                <w:szCs w:val="20"/>
                <w:color w:val="auto"/>
              </w:rPr>
            </w:pPr>
            <w:r>
              <w:rPr>
                <w:rFonts w:ascii="Arial" w:cs="Arial" w:eastAsia="Arial" w:hAnsi="Arial"/>
                <w:sz w:val="12"/>
                <w:szCs w:val="12"/>
                <w:color w:val="auto"/>
              </w:rPr>
              <w:t>-7.5%</w:t>
            </w:r>
          </w:p>
        </w:tc>
        <w:tc>
          <w:tcPr>
            <w:tcW w:w="120" w:type="dxa"/>
            <w:vAlign w:val="bottom"/>
          </w:tcPr>
          <w:p>
            <w:pPr>
              <w:spacing w:after="0"/>
              <w:rPr>
                <w:sz w:val="11"/>
                <w:szCs w:val="11"/>
                <w:color w:val="auto"/>
              </w:rPr>
            </w:pPr>
          </w:p>
        </w:tc>
        <w:tc>
          <w:tcPr>
            <w:tcW w:w="660" w:type="dxa"/>
            <w:vAlign w:val="bottom"/>
            <w:gridSpan w:val="3"/>
          </w:tcPr>
          <w:p>
            <w:pPr>
              <w:jc w:val="right"/>
              <w:ind w:right="58"/>
              <w:spacing w:after="0" w:line="119" w:lineRule="exact"/>
              <w:rPr>
                <w:sz w:val="20"/>
                <w:szCs w:val="20"/>
                <w:color w:val="auto"/>
              </w:rPr>
            </w:pPr>
            <w:r>
              <w:rPr>
                <w:rFonts w:ascii="Arial" w:cs="Arial" w:eastAsia="Arial" w:hAnsi="Arial"/>
                <w:sz w:val="12"/>
                <w:szCs w:val="12"/>
                <w:color w:val="auto"/>
              </w:rPr>
              <w:t>5.9%</w:t>
            </w:r>
          </w:p>
        </w:tc>
        <w:tc>
          <w:tcPr>
            <w:tcW w:w="680" w:type="dxa"/>
            <w:vAlign w:val="bottom"/>
            <w:gridSpan w:val="3"/>
          </w:tcPr>
          <w:p>
            <w:pPr>
              <w:jc w:val="right"/>
              <w:ind w:right="58"/>
              <w:spacing w:after="0" w:line="119" w:lineRule="exact"/>
              <w:rPr>
                <w:sz w:val="20"/>
                <w:szCs w:val="20"/>
                <w:color w:val="auto"/>
              </w:rPr>
            </w:pPr>
            <w:r>
              <w:rPr>
                <w:rFonts w:ascii="Arial" w:cs="Arial" w:eastAsia="Arial" w:hAnsi="Arial"/>
                <w:sz w:val="12"/>
                <w:szCs w:val="12"/>
                <w:color w:val="auto"/>
              </w:rPr>
              <w:t>7.9%</w:t>
            </w:r>
          </w:p>
        </w:tc>
        <w:tc>
          <w:tcPr>
            <w:tcW w:w="620" w:type="dxa"/>
            <w:vAlign w:val="bottom"/>
            <w:gridSpan w:val="3"/>
          </w:tcPr>
          <w:p>
            <w:pPr>
              <w:jc w:val="right"/>
              <w:ind w:right="18"/>
              <w:spacing w:after="0" w:line="119" w:lineRule="exact"/>
              <w:rPr>
                <w:sz w:val="20"/>
                <w:szCs w:val="20"/>
                <w:color w:val="auto"/>
              </w:rPr>
            </w:pPr>
            <w:r>
              <w:rPr>
                <w:rFonts w:ascii="Arial" w:cs="Arial" w:eastAsia="Arial" w:hAnsi="Arial"/>
                <w:sz w:val="12"/>
                <w:szCs w:val="12"/>
                <w:color w:val="auto"/>
              </w:rPr>
              <w:t>8.1%</w:t>
            </w:r>
          </w:p>
        </w:tc>
        <w:tc>
          <w:tcPr>
            <w:tcW w:w="740" w:type="dxa"/>
            <w:vAlign w:val="bottom"/>
            <w:gridSpan w:val="4"/>
          </w:tcPr>
          <w:p>
            <w:pPr>
              <w:jc w:val="right"/>
              <w:spacing w:after="0" w:line="119" w:lineRule="exact"/>
              <w:rPr>
                <w:sz w:val="20"/>
                <w:szCs w:val="20"/>
                <w:color w:val="auto"/>
              </w:rPr>
            </w:pPr>
            <w:r>
              <w:rPr>
                <w:rFonts w:ascii="Arial" w:cs="Arial" w:eastAsia="Arial" w:hAnsi="Arial"/>
                <w:sz w:val="12"/>
                <w:szCs w:val="12"/>
                <w:color w:val="auto"/>
              </w:rPr>
              <w:t>4.2%</w:t>
            </w:r>
          </w:p>
        </w:tc>
      </w:tr>
      <w:tr>
        <w:trPr>
          <w:trHeight w:val="133"/>
        </w:trPr>
        <w:tc>
          <w:tcPr>
            <w:tcW w:w="176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2"/>
                <w:szCs w:val="12"/>
                <w:color w:val="auto"/>
              </w:rPr>
              <w:t>SME - Pyme</w:t>
            </w: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11,928</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19,562</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2"/>
                <w:szCs w:val="12"/>
                <w:color w:val="auto"/>
              </w:rPr>
              <w:t>19,647</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2"/>
                <w:szCs w:val="12"/>
                <w:color w:val="auto"/>
              </w:rPr>
              <w:t>10,118</w:t>
            </w:r>
          </w:p>
        </w:tc>
        <w:tc>
          <w:tcPr>
            <w:tcW w:w="820" w:type="dxa"/>
            <w:vAlign w:val="bottom"/>
            <w:gridSpan w:val="4"/>
            <w:shd w:val="clear" w:color="auto" w:fill="CCEEFF"/>
          </w:tcPr>
          <w:p>
            <w:pPr>
              <w:jc w:val="right"/>
              <w:ind w:right="220"/>
              <w:spacing w:after="0" w:line="119" w:lineRule="exact"/>
              <w:rPr>
                <w:sz w:val="20"/>
                <w:szCs w:val="20"/>
                <w:color w:val="auto"/>
              </w:rPr>
            </w:pPr>
            <w:r>
              <w:rPr>
                <w:rFonts w:ascii="Arial" w:cs="Arial" w:eastAsia="Arial" w:hAnsi="Arial"/>
                <w:sz w:val="12"/>
                <w:szCs w:val="12"/>
                <w:color w:val="auto"/>
              </w:rPr>
              <w:t>10,760</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2"/>
                <w:szCs w:val="12"/>
                <w:color w:val="auto"/>
              </w:rPr>
              <w:t>10,836</w:t>
            </w:r>
          </w:p>
        </w:tc>
        <w:tc>
          <w:tcPr>
            <w:tcW w:w="680" w:type="dxa"/>
            <w:vAlign w:val="bottom"/>
            <w:gridSpan w:val="3"/>
            <w:shd w:val="clear" w:color="auto" w:fill="CCEEFF"/>
          </w:tcPr>
          <w:p>
            <w:pPr>
              <w:jc w:val="right"/>
              <w:ind w:right="78"/>
              <w:spacing w:after="0" w:line="119" w:lineRule="exact"/>
              <w:rPr>
                <w:sz w:val="20"/>
                <w:szCs w:val="20"/>
                <w:color w:val="auto"/>
              </w:rPr>
            </w:pPr>
            <w:r>
              <w:rPr>
                <w:rFonts w:ascii="Arial" w:cs="Arial" w:eastAsia="Arial" w:hAnsi="Arial"/>
                <w:sz w:val="12"/>
                <w:szCs w:val="12"/>
                <w:color w:val="auto"/>
              </w:rPr>
              <w:t>0.4%</w:t>
            </w:r>
          </w:p>
        </w:tc>
        <w:tc>
          <w:tcPr>
            <w:tcW w:w="560" w:type="dxa"/>
            <w:vAlign w:val="bottom"/>
            <w:gridSpan w:val="3"/>
            <w:shd w:val="clear" w:color="auto" w:fill="66E0DA"/>
          </w:tcPr>
          <w:p>
            <w:pPr>
              <w:jc w:val="right"/>
              <w:spacing w:after="0" w:line="133" w:lineRule="exact"/>
              <w:rPr>
                <w:sz w:val="20"/>
                <w:szCs w:val="20"/>
                <w:color w:val="auto"/>
              </w:rPr>
            </w:pPr>
            <w:r>
              <w:rPr>
                <w:rFonts w:ascii="Arial" w:cs="Arial" w:eastAsia="Arial" w:hAnsi="Arial"/>
                <w:sz w:val="12"/>
                <w:szCs w:val="12"/>
                <w:color w:val="auto"/>
              </w:rPr>
              <w:t>64.7%</w:t>
            </w:r>
          </w:p>
        </w:tc>
        <w:tc>
          <w:tcPr>
            <w:tcW w:w="120" w:type="dxa"/>
            <w:vAlign w:val="bottom"/>
            <w:shd w:val="clear" w:color="auto" w:fill="66E0DA"/>
          </w:tcPr>
          <w:p>
            <w:pPr>
              <w:spacing w:after="0"/>
              <w:rPr>
                <w:sz w:val="11"/>
                <w:szCs w:val="11"/>
                <w:color w:val="auto"/>
              </w:rPr>
            </w:pPr>
          </w:p>
        </w:tc>
        <w:tc>
          <w:tcPr>
            <w:tcW w:w="660" w:type="dxa"/>
            <w:vAlign w:val="bottom"/>
            <w:gridSpan w:val="3"/>
            <w:shd w:val="clear" w:color="auto" w:fill="CCEEFF"/>
          </w:tcPr>
          <w:p>
            <w:pPr>
              <w:jc w:val="right"/>
              <w:ind w:right="78"/>
              <w:spacing w:after="0" w:line="119" w:lineRule="exact"/>
              <w:rPr>
                <w:sz w:val="20"/>
                <w:szCs w:val="20"/>
                <w:color w:val="auto"/>
              </w:rPr>
            </w:pPr>
            <w:r>
              <w:rPr>
                <w:rFonts w:ascii="Arial" w:cs="Arial" w:eastAsia="Arial" w:hAnsi="Arial"/>
                <w:sz w:val="12"/>
                <w:szCs w:val="12"/>
                <w:color w:val="auto"/>
              </w:rPr>
              <w:t>0.7%</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66E0DA"/>
          </w:tcPr>
          <w:p>
            <w:pPr>
              <w:jc w:val="right"/>
              <w:spacing w:after="0" w:line="119" w:lineRule="exact"/>
              <w:rPr>
                <w:sz w:val="20"/>
                <w:szCs w:val="20"/>
                <w:color w:val="auto"/>
              </w:rPr>
            </w:pPr>
            <w:r>
              <w:rPr>
                <w:rFonts w:ascii="Arial" w:cs="Arial" w:eastAsia="Arial" w:hAnsi="Arial"/>
                <w:sz w:val="12"/>
                <w:szCs w:val="12"/>
                <w:color w:val="auto"/>
              </w:rPr>
              <w:t>7.1%</w:t>
            </w:r>
          </w:p>
        </w:tc>
        <w:tc>
          <w:tcPr>
            <w:tcW w:w="120" w:type="dxa"/>
            <w:vAlign w:val="bottom"/>
            <w:shd w:val="clear" w:color="auto" w:fill="66E0DA"/>
          </w:tcPr>
          <w:p>
            <w:pPr>
              <w:spacing w:after="0"/>
              <w:rPr>
                <w:sz w:val="11"/>
                <w:szCs w:val="11"/>
                <w:color w:val="auto"/>
              </w:rPr>
            </w:pPr>
          </w:p>
        </w:tc>
        <w:tc>
          <w:tcPr>
            <w:tcW w:w="660" w:type="dxa"/>
            <w:vAlign w:val="bottom"/>
            <w:gridSpan w:val="3"/>
            <w:shd w:val="clear" w:color="auto" w:fill="CCEEFF"/>
          </w:tcPr>
          <w:p>
            <w:pPr>
              <w:jc w:val="right"/>
              <w:ind w:right="58"/>
              <w:spacing w:after="0" w:line="119" w:lineRule="exact"/>
              <w:rPr>
                <w:sz w:val="20"/>
                <w:szCs w:val="20"/>
                <w:color w:val="auto"/>
              </w:rPr>
            </w:pPr>
            <w:r>
              <w:rPr>
                <w:rFonts w:ascii="Arial" w:cs="Arial" w:eastAsia="Arial" w:hAnsi="Arial"/>
                <w:sz w:val="12"/>
                <w:szCs w:val="12"/>
                <w:color w:val="auto"/>
              </w:rPr>
              <w:t>9.3%</w:t>
            </w:r>
          </w:p>
        </w:tc>
        <w:tc>
          <w:tcPr>
            <w:tcW w:w="680" w:type="dxa"/>
            <w:vAlign w:val="bottom"/>
            <w:gridSpan w:val="3"/>
            <w:shd w:val="clear" w:color="auto" w:fill="CCEEFF"/>
          </w:tcPr>
          <w:p>
            <w:pPr>
              <w:jc w:val="right"/>
              <w:ind w:right="58"/>
              <w:spacing w:after="0" w:line="119" w:lineRule="exact"/>
              <w:rPr>
                <w:sz w:val="20"/>
                <w:szCs w:val="20"/>
                <w:color w:val="auto"/>
              </w:rPr>
            </w:pPr>
            <w:r>
              <w:rPr>
                <w:rFonts w:ascii="Arial" w:cs="Arial" w:eastAsia="Arial" w:hAnsi="Arial"/>
                <w:sz w:val="12"/>
                <w:szCs w:val="12"/>
                <w:color w:val="auto"/>
              </w:rPr>
              <w:t>14.3%</w:t>
            </w:r>
          </w:p>
        </w:tc>
        <w:tc>
          <w:tcPr>
            <w:tcW w:w="620" w:type="dxa"/>
            <w:vAlign w:val="bottom"/>
            <w:gridSpan w:val="3"/>
            <w:shd w:val="clear" w:color="auto" w:fill="CCEEFF"/>
          </w:tcPr>
          <w:p>
            <w:pPr>
              <w:jc w:val="right"/>
              <w:ind w:right="18"/>
              <w:spacing w:after="0" w:line="119" w:lineRule="exact"/>
              <w:rPr>
                <w:sz w:val="20"/>
                <w:szCs w:val="20"/>
                <w:color w:val="auto"/>
              </w:rPr>
            </w:pPr>
            <w:r>
              <w:rPr>
                <w:rFonts w:ascii="Arial" w:cs="Arial" w:eastAsia="Arial" w:hAnsi="Arial"/>
                <w:sz w:val="12"/>
                <w:szCs w:val="12"/>
                <w:color w:val="auto"/>
              </w:rPr>
              <w:t>14.1%</w:t>
            </w:r>
          </w:p>
        </w:tc>
        <w:tc>
          <w:tcPr>
            <w:tcW w:w="740" w:type="dxa"/>
            <w:vAlign w:val="bottom"/>
            <w:gridSpan w:val="4"/>
            <w:shd w:val="clear" w:color="auto" w:fill="CCEEFF"/>
          </w:tcPr>
          <w:p>
            <w:pPr>
              <w:jc w:val="right"/>
              <w:spacing w:after="0" w:line="119" w:lineRule="exact"/>
              <w:rPr>
                <w:sz w:val="20"/>
                <w:szCs w:val="20"/>
                <w:color w:val="auto"/>
              </w:rPr>
            </w:pPr>
            <w:r>
              <w:rPr>
                <w:rFonts w:ascii="Arial" w:cs="Arial" w:eastAsia="Arial" w:hAnsi="Arial"/>
                <w:sz w:val="12"/>
                <w:szCs w:val="12"/>
                <w:color w:val="auto"/>
              </w:rPr>
              <w:t>9.3%</w:t>
            </w:r>
          </w:p>
        </w:tc>
      </w:tr>
      <w:tr>
        <w:trPr>
          <w:trHeight w:val="133"/>
        </w:trPr>
        <w:tc>
          <w:tcPr>
            <w:tcW w:w="1760" w:type="dxa"/>
            <w:vAlign w:val="bottom"/>
            <w:gridSpan w:val="2"/>
          </w:tcPr>
          <w:p>
            <w:pPr>
              <w:ind w:left="200"/>
              <w:spacing w:after="0" w:line="133" w:lineRule="exact"/>
              <w:rPr>
                <w:sz w:val="20"/>
                <w:szCs w:val="20"/>
                <w:color w:val="auto"/>
              </w:rPr>
            </w:pPr>
            <w:r>
              <w:rPr>
                <w:rFonts w:ascii="Arial" w:cs="Arial" w:eastAsia="Arial" w:hAnsi="Arial"/>
                <w:sz w:val="12"/>
                <w:szCs w:val="12"/>
                <w:color w:val="auto"/>
              </w:rPr>
              <w:t>Mortgage</w:t>
            </w: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16,939</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17,720</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17,884</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16,939</w:t>
            </w:r>
          </w:p>
        </w:tc>
        <w:tc>
          <w:tcPr>
            <w:tcW w:w="820" w:type="dxa"/>
            <w:vAlign w:val="bottom"/>
            <w:gridSpan w:val="4"/>
          </w:tcPr>
          <w:p>
            <w:pPr>
              <w:jc w:val="right"/>
              <w:ind w:right="220"/>
              <w:spacing w:after="0" w:line="133" w:lineRule="exact"/>
              <w:rPr>
                <w:sz w:val="20"/>
                <w:szCs w:val="20"/>
                <w:color w:val="auto"/>
              </w:rPr>
            </w:pPr>
            <w:r>
              <w:rPr>
                <w:rFonts w:ascii="Arial" w:cs="Arial" w:eastAsia="Arial" w:hAnsi="Arial"/>
                <w:sz w:val="12"/>
                <w:szCs w:val="12"/>
                <w:color w:val="auto"/>
              </w:rPr>
              <w:t>17,720</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17,884</w:t>
            </w:r>
          </w:p>
        </w:tc>
        <w:tc>
          <w:tcPr>
            <w:tcW w:w="680" w:type="dxa"/>
            <w:vAlign w:val="bottom"/>
            <w:gridSpan w:val="3"/>
          </w:tcPr>
          <w:p>
            <w:pPr>
              <w:jc w:val="right"/>
              <w:ind w:right="78"/>
              <w:spacing w:after="0" w:line="133" w:lineRule="exact"/>
              <w:rPr>
                <w:sz w:val="20"/>
                <w:szCs w:val="20"/>
                <w:color w:val="auto"/>
              </w:rPr>
            </w:pPr>
            <w:r>
              <w:rPr>
                <w:rFonts w:ascii="Arial" w:cs="Arial" w:eastAsia="Arial" w:hAnsi="Arial"/>
                <w:sz w:val="12"/>
                <w:szCs w:val="12"/>
                <w:color w:val="auto"/>
              </w:rPr>
              <w:t>0.9%</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5.6%</w:t>
            </w:r>
          </w:p>
        </w:tc>
        <w:tc>
          <w:tcPr>
            <w:tcW w:w="780" w:type="dxa"/>
            <w:vAlign w:val="bottom"/>
            <w:gridSpan w:val="4"/>
          </w:tcPr>
          <w:p>
            <w:pPr>
              <w:jc w:val="right"/>
              <w:ind w:right="78"/>
              <w:spacing w:after="0" w:line="133" w:lineRule="exact"/>
              <w:rPr>
                <w:sz w:val="20"/>
                <w:szCs w:val="20"/>
                <w:color w:val="auto"/>
              </w:rPr>
            </w:pPr>
            <w:r>
              <w:rPr>
                <w:rFonts w:ascii="Arial" w:cs="Arial" w:eastAsia="Arial" w:hAnsi="Arial"/>
                <w:sz w:val="12"/>
                <w:szCs w:val="12"/>
                <w:color w:val="auto"/>
              </w:rPr>
              <w:t>0.9%</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66E0DA"/>
          </w:tcPr>
          <w:p>
            <w:pPr>
              <w:jc w:val="right"/>
              <w:spacing w:after="0" w:line="133" w:lineRule="exact"/>
              <w:rPr>
                <w:sz w:val="20"/>
                <w:szCs w:val="20"/>
                <w:color w:val="auto"/>
              </w:rPr>
            </w:pPr>
            <w:r>
              <w:rPr>
                <w:rFonts w:ascii="Arial" w:cs="Arial" w:eastAsia="Arial" w:hAnsi="Arial"/>
                <w:sz w:val="12"/>
                <w:szCs w:val="12"/>
                <w:color w:val="auto"/>
              </w:rPr>
              <w:t>5.6%</w:t>
            </w:r>
          </w:p>
        </w:tc>
        <w:tc>
          <w:tcPr>
            <w:tcW w:w="120" w:type="dxa"/>
            <w:vAlign w:val="bottom"/>
            <w:shd w:val="clear" w:color="auto" w:fill="66E0DA"/>
          </w:tcPr>
          <w:p>
            <w:pPr>
              <w:spacing w:after="0"/>
              <w:rPr>
                <w:sz w:val="11"/>
                <w:szCs w:val="11"/>
                <w:color w:val="auto"/>
              </w:rPr>
            </w:pPr>
          </w:p>
        </w:tc>
        <w:tc>
          <w:tcPr>
            <w:tcW w:w="66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13.2%</w:t>
            </w:r>
          </w:p>
        </w:tc>
        <w:tc>
          <w:tcPr>
            <w:tcW w:w="68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13.0%</w:t>
            </w:r>
          </w:p>
        </w:tc>
        <w:tc>
          <w:tcPr>
            <w:tcW w:w="620" w:type="dxa"/>
            <w:vAlign w:val="bottom"/>
            <w:gridSpan w:val="3"/>
          </w:tcPr>
          <w:p>
            <w:pPr>
              <w:jc w:val="right"/>
              <w:ind w:right="18"/>
              <w:spacing w:after="0" w:line="133" w:lineRule="exact"/>
              <w:rPr>
                <w:sz w:val="20"/>
                <w:szCs w:val="20"/>
                <w:color w:val="auto"/>
              </w:rPr>
            </w:pPr>
            <w:r>
              <w:rPr>
                <w:rFonts w:ascii="Arial" w:cs="Arial" w:eastAsia="Arial" w:hAnsi="Arial"/>
                <w:sz w:val="12"/>
                <w:szCs w:val="12"/>
                <w:color w:val="auto"/>
              </w:rPr>
              <w:t>12.8%</w:t>
            </w:r>
          </w:p>
        </w:tc>
        <w:tc>
          <w:tcPr>
            <w:tcW w:w="740" w:type="dxa"/>
            <w:vAlign w:val="bottom"/>
            <w:gridSpan w:val="4"/>
          </w:tcPr>
          <w:p>
            <w:pPr>
              <w:jc w:val="right"/>
              <w:spacing w:after="0" w:line="133" w:lineRule="exact"/>
              <w:rPr>
                <w:sz w:val="20"/>
                <w:szCs w:val="20"/>
                <w:color w:val="auto"/>
              </w:rPr>
            </w:pPr>
            <w:r>
              <w:rPr>
                <w:rFonts w:ascii="Arial" w:cs="Arial" w:eastAsia="Arial" w:hAnsi="Arial"/>
                <w:sz w:val="12"/>
                <w:szCs w:val="12"/>
                <w:color w:val="auto"/>
              </w:rPr>
              <w:t>15.4%</w:t>
            </w:r>
          </w:p>
        </w:tc>
      </w:tr>
      <w:tr>
        <w:trPr>
          <w:trHeight w:val="133"/>
        </w:trPr>
        <w:tc>
          <w:tcPr>
            <w:tcW w:w="176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2"/>
                <w:szCs w:val="12"/>
                <w:color w:val="auto"/>
              </w:rPr>
              <w:t>Consumer</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9,118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9,958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10,076</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9,118</w:t>
            </w:r>
          </w:p>
        </w:tc>
        <w:tc>
          <w:tcPr>
            <w:tcW w:w="8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9,958</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10,076</w:t>
            </w:r>
          </w:p>
        </w:tc>
        <w:tc>
          <w:tcPr>
            <w:tcW w:w="680" w:type="dxa"/>
            <w:vAlign w:val="bottom"/>
            <w:gridSpan w:val="3"/>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1.2%</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10.5%</w:t>
            </w:r>
          </w:p>
        </w:tc>
        <w:tc>
          <w:tcPr>
            <w:tcW w:w="780" w:type="dxa"/>
            <w:vAlign w:val="bottom"/>
            <w:gridSpan w:val="4"/>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1.2%</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10.5%</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7.1%</w:t>
            </w:r>
          </w:p>
        </w:tc>
        <w:tc>
          <w:tcPr>
            <w:tcW w:w="68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7.3%</w:t>
            </w:r>
          </w:p>
        </w:tc>
        <w:tc>
          <w:tcPr>
            <w:tcW w:w="620" w:type="dxa"/>
            <w:vAlign w:val="bottom"/>
            <w:gridSpan w:val="3"/>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7.2%</w:t>
            </w:r>
          </w:p>
        </w:tc>
        <w:tc>
          <w:tcPr>
            <w:tcW w:w="74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color w:val="auto"/>
              </w:rPr>
              <w:t>8.7%</w:t>
            </w:r>
          </w:p>
        </w:tc>
      </w:tr>
      <w:tr>
        <w:trPr>
          <w:trHeight w:val="133"/>
        </w:trPr>
        <w:tc>
          <w:tcPr>
            <w:tcW w:w="1760" w:type="dxa"/>
            <w:vAlign w:val="bottom"/>
            <w:gridSpan w:val="2"/>
          </w:tcPr>
          <w:p>
            <w:pPr>
              <w:ind w:left="200"/>
              <w:spacing w:after="0" w:line="133" w:lineRule="exact"/>
              <w:rPr>
                <w:sz w:val="20"/>
                <w:szCs w:val="20"/>
                <w:color w:val="auto"/>
              </w:rPr>
            </w:pPr>
            <w:r>
              <w:rPr>
                <w:rFonts w:ascii="Arial" w:cs="Arial" w:eastAsia="Arial" w:hAnsi="Arial"/>
                <w:sz w:val="12"/>
                <w:szCs w:val="12"/>
                <w:color w:val="auto"/>
              </w:rPr>
              <w:t>Credit Card</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5,153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4,075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3,866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5,153</w:t>
            </w:r>
          </w:p>
        </w:tc>
        <w:tc>
          <w:tcPr>
            <w:tcW w:w="80" w:type="dxa"/>
            <w:vAlign w:val="bottom"/>
          </w:tcPr>
          <w:p>
            <w:pPr>
              <w:spacing w:after="0"/>
              <w:rPr>
                <w:sz w:val="11"/>
                <w:szCs w:val="11"/>
                <w:color w:val="auto"/>
              </w:rPr>
            </w:pPr>
          </w:p>
        </w:tc>
        <w:tc>
          <w:tcPr>
            <w:tcW w:w="820" w:type="dxa"/>
            <w:vAlign w:val="bottom"/>
            <w:gridSpan w:val="4"/>
          </w:tcPr>
          <w:p>
            <w:pPr>
              <w:jc w:val="right"/>
              <w:ind w:right="220"/>
              <w:spacing w:after="0" w:line="133" w:lineRule="exact"/>
              <w:rPr>
                <w:sz w:val="20"/>
                <w:szCs w:val="20"/>
                <w:color w:val="auto"/>
              </w:rPr>
            </w:pPr>
            <w:r>
              <w:rPr>
                <w:rFonts w:ascii="Arial" w:cs="Arial" w:eastAsia="Arial" w:hAnsi="Arial"/>
                <w:sz w:val="12"/>
                <w:szCs w:val="12"/>
                <w:color w:val="auto"/>
              </w:rPr>
              <w:t>4,075</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3,866</w:t>
            </w:r>
          </w:p>
        </w:tc>
        <w:tc>
          <w:tcPr>
            <w:tcW w:w="680" w:type="dxa"/>
            <w:vAlign w:val="bottom"/>
            <w:gridSpan w:val="3"/>
          </w:tcPr>
          <w:p>
            <w:pPr>
              <w:jc w:val="right"/>
              <w:ind w:right="78"/>
              <w:spacing w:after="0" w:line="133" w:lineRule="exact"/>
              <w:rPr>
                <w:sz w:val="20"/>
                <w:szCs w:val="20"/>
                <w:color w:val="auto"/>
              </w:rPr>
            </w:pPr>
            <w:r>
              <w:rPr>
                <w:rFonts w:ascii="Arial" w:cs="Arial" w:eastAsia="Arial" w:hAnsi="Arial"/>
                <w:sz w:val="12"/>
                <w:szCs w:val="12"/>
                <w:color w:val="auto"/>
              </w:rPr>
              <w:t>-5.1%</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-25.0%</w:t>
            </w:r>
          </w:p>
        </w:tc>
        <w:tc>
          <w:tcPr>
            <w:tcW w:w="780" w:type="dxa"/>
            <w:vAlign w:val="bottom"/>
            <w:gridSpan w:val="4"/>
          </w:tcPr>
          <w:p>
            <w:pPr>
              <w:jc w:val="right"/>
              <w:ind w:right="78"/>
              <w:spacing w:after="0" w:line="133" w:lineRule="exact"/>
              <w:rPr>
                <w:sz w:val="20"/>
                <w:szCs w:val="20"/>
                <w:color w:val="auto"/>
              </w:rPr>
            </w:pPr>
            <w:r>
              <w:rPr>
                <w:rFonts w:ascii="Arial" w:cs="Arial" w:eastAsia="Arial" w:hAnsi="Arial"/>
                <w:sz w:val="12"/>
                <w:szCs w:val="12"/>
                <w:color w:val="auto"/>
              </w:rPr>
              <w:t>-5.1%</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-25.0%</w:t>
            </w:r>
          </w:p>
        </w:tc>
        <w:tc>
          <w:tcPr>
            <w:tcW w:w="120" w:type="dxa"/>
            <w:vAlign w:val="bottom"/>
          </w:tcPr>
          <w:p>
            <w:pPr>
              <w:spacing w:after="0"/>
              <w:rPr>
                <w:sz w:val="11"/>
                <w:szCs w:val="11"/>
                <w:color w:val="auto"/>
              </w:rPr>
            </w:pPr>
          </w:p>
        </w:tc>
        <w:tc>
          <w:tcPr>
            <w:tcW w:w="66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4.0%</w:t>
            </w:r>
          </w:p>
        </w:tc>
        <w:tc>
          <w:tcPr>
            <w:tcW w:w="680" w:type="dxa"/>
            <w:vAlign w:val="bottom"/>
            <w:gridSpan w:val="3"/>
          </w:tcPr>
          <w:p>
            <w:pPr>
              <w:jc w:val="right"/>
              <w:ind w:right="58"/>
              <w:spacing w:after="0" w:line="133" w:lineRule="exact"/>
              <w:rPr>
                <w:sz w:val="20"/>
                <w:szCs w:val="20"/>
                <w:color w:val="auto"/>
              </w:rPr>
            </w:pPr>
            <w:r>
              <w:rPr>
                <w:rFonts w:ascii="Arial" w:cs="Arial" w:eastAsia="Arial" w:hAnsi="Arial"/>
                <w:sz w:val="12"/>
                <w:szCs w:val="12"/>
                <w:color w:val="auto"/>
              </w:rPr>
              <w:t>3.0%</w:t>
            </w:r>
          </w:p>
        </w:tc>
        <w:tc>
          <w:tcPr>
            <w:tcW w:w="620" w:type="dxa"/>
            <w:vAlign w:val="bottom"/>
            <w:gridSpan w:val="3"/>
          </w:tcPr>
          <w:p>
            <w:pPr>
              <w:jc w:val="right"/>
              <w:ind w:right="18"/>
              <w:spacing w:after="0" w:line="133" w:lineRule="exact"/>
              <w:rPr>
                <w:sz w:val="20"/>
                <w:szCs w:val="20"/>
                <w:color w:val="auto"/>
              </w:rPr>
            </w:pPr>
            <w:r>
              <w:rPr>
                <w:rFonts w:ascii="Arial" w:cs="Arial" w:eastAsia="Arial" w:hAnsi="Arial"/>
                <w:sz w:val="12"/>
                <w:szCs w:val="12"/>
                <w:color w:val="auto"/>
              </w:rPr>
              <w:t>2.8%</w:t>
            </w:r>
          </w:p>
        </w:tc>
        <w:tc>
          <w:tcPr>
            <w:tcW w:w="740" w:type="dxa"/>
            <w:vAlign w:val="bottom"/>
            <w:gridSpan w:val="4"/>
          </w:tcPr>
          <w:p>
            <w:pPr>
              <w:jc w:val="right"/>
              <w:spacing w:after="0" w:line="133" w:lineRule="exact"/>
              <w:rPr>
                <w:sz w:val="20"/>
                <w:szCs w:val="20"/>
                <w:color w:val="auto"/>
              </w:rPr>
            </w:pPr>
            <w:r>
              <w:rPr>
                <w:rFonts w:ascii="Arial" w:cs="Arial" w:eastAsia="Arial" w:hAnsi="Arial"/>
                <w:sz w:val="12"/>
                <w:szCs w:val="12"/>
                <w:color w:val="auto"/>
              </w:rPr>
              <w:t>3.3%</w:t>
            </w:r>
          </w:p>
        </w:tc>
      </w:tr>
      <w:tr>
        <w:trPr>
          <w:trHeight w:val="133"/>
        </w:trPr>
        <w:tc>
          <w:tcPr>
            <w:tcW w:w="17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Mibanco</w:t>
            </w: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10,823</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12,923</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b w:val="1"/>
                <w:bCs w:val="1"/>
                <w:color w:val="auto"/>
              </w:rPr>
              <w:t>13,023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b w:val="1"/>
                <w:bCs w:val="1"/>
                <w:color w:val="auto"/>
              </w:rPr>
              <w:t>10,508</w:t>
            </w:r>
          </w:p>
        </w:tc>
        <w:tc>
          <w:tcPr>
            <w:tcW w:w="820" w:type="dxa"/>
            <w:vAlign w:val="bottom"/>
            <w:gridSpan w:val="4"/>
            <w:shd w:val="clear" w:color="auto" w:fill="CCEEFF"/>
          </w:tcPr>
          <w:p>
            <w:pPr>
              <w:jc w:val="right"/>
              <w:ind w:right="220"/>
              <w:spacing w:after="0" w:line="133" w:lineRule="exact"/>
              <w:rPr>
                <w:sz w:val="20"/>
                <w:szCs w:val="20"/>
                <w:color w:val="auto"/>
              </w:rPr>
            </w:pPr>
            <w:r>
              <w:rPr>
                <w:rFonts w:ascii="Arial" w:cs="Arial" w:eastAsia="Arial" w:hAnsi="Arial"/>
                <w:sz w:val="12"/>
                <w:szCs w:val="12"/>
                <w:b w:val="1"/>
                <w:bCs w:val="1"/>
                <w:color w:val="auto"/>
              </w:rPr>
              <w:t>10,102</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b w:val="1"/>
                <w:bCs w:val="1"/>
                <w:color w:val="auto"/>
              </w:rPr>
              <w:t>10,232</w:t>
            </w:r>
          </w:p>
        </w:tc>
        <w:tc>
          <w:tcPr>
            <w:tcW w:w="68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0.8%</w:t>
            </w:r>
          </w:p>
        </w:tc>
        <w:tc>
          <w:tcPr>
            <w:tcW w:w="560" w:type="dxa"/>
            <w:vAlign w:val="bottom"/>
            <w:gridSpan w:val="3"/>
            <w:shd w:val="clear" w:color="auto" w:fill="66E0DA"/>
          </w:tcPr>
          <w:p>
            <w:pPr>
              <w:jc w:val="right"/>
              <w:spacing w:after="0" w:line="133" w:lineRule="exact"/>
              <w:rPr>
                <w:sz w:val="20"/>
                <w:szCs w:val="20"/>
                <w:color w:val="auto"/>
              </w:rPr>
            </w:pPr>
            <w:r>
              <w:rPr>
                <w:rFonts w:ascii="Arial" w:cs="Arial" w:eastAsia="Arial" w:hAnsi="Arial"/>
                <w:sz w:val="12"/>
                <w:szCs w:val="12"/>
                <w:b w:val="1"/>
                <w:bCs w:val="1"/>
                <w:color w:val="auto"/>
              </w:rPr>
              <w:t>20.3%</w:t>
            </w:r>
          </w:p>
        </w:tc>
        <w:tc>
          <w:tcPr>
            <w:tcW w:w="120" w:type="dxa"/>
            <w:vAlign w:val="bottom"/>
            <w:shd w:val="clear" w:color="auto" w:fill="66E0DA"/>
          </w:tcPr>
          <w:p>
            <w:pPr>
              <w:spacing w:after="0"/>
              <w:rPr>
                <w:sz w:val="11"/>
                <w:szCs w:val="11"/>
                <w:color w:val="auto"/>
              </w:rPr>
            </w:pPr>
          </w:p>
        </w:tc>
        <w:tc>
          <w:tcPr>
            <w:tcW w:w="66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1.3%</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-2.6%</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8.4%</w:t>
            </w:r>
          </w:p>
        </w:tc>
        <w:tc>
          <w:tcPr>
            <w:tcW w:w="68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9.5%</w:t>
            </w:r>
          </w:p>
        </w:tc>
        <w:tc>
          <w:tcPr>
            <w:tcW w:w="6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9.3%</w:t>
            </w:r>
          </w:p>
        </w:tc>
        <w:tc>
          <w:tcPr>
            <w:tcW w:w="74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8.8%</w:t>
            </w:r>
          </w:p>
        </w:tc>
      </w:tr>
      <w:tr>
        <w:trPr>
          <w:trHeight w:val="133"/>
        </w:trPr>
        <w:tc>
          <w:tcPr>
            <w:tcW w:w="1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Mibanco Colombia</w:t>
            </w: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758</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909</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963</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758</w:t>
            </w:r>
          </w:p>
        </w:tc>
        <w:tc>
          <w:tcPr>
            <w:tcW w:w="820" w:type="dxa"/>
            <w:vAlign w:val="bottom"/>
            <w:gridSpan w:val="4"/>
          </w:tcPr>
          <w:p>
            <w:pPr>
              <w:jc w:val="right"/>
              <w:ind w:right="220"/>
              <w:spacing w:after="0" w:line="133" w:lineRule="exact"/>
              <w:rPr>
                <w:sz w:val="20"/>
                <w:szCs w:val="20"/>
                <w:color w:val="auto"/>
              </w:rPr>
            </w:pPr>
            <w:r>
              <w:rPr>
                <w:rFonts w:ascii="Arial" w:cs="Arial" w:eastAsia="Arial" w:hAnsi="Arial"/>
                <w:sz w:val="12"/>
                <w:szCs w:val="12"/>
                <w:b w:val="1"/>
                <w:bCs w:val="1"/>
                <w:color w:val="auto"/>
              </w:rPr>
              <w:t>909</w:t>
            </w: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33" w:lineRule="exact"/>
              <w:rPr>
                <w:sz w:val="20"/>
                <w:szCs w:val="20"/>
                <w:color w:val="auto"/>
              </w:rPr>
            </w:pPr>
            <w:r>
              <w:rPr>
                <w:rFonts w:ascii="Arial" w:cs="Arial" w:eastAsia="Arial" w:hAnsi="Arial"/>
                <w:sz w:val="12"/>
                <w:szCs w:val="12"/>
                <w:b w:val="1"/>
                <w:bCs w:val="1"/>
                <w:color w:val="auto"/>
              </w:rPr>
              <w:t>963</w:t>
            </w:r>
          </w:p>
        </w:tc>
        <w:tc>
          <w:tcPr>
            <w:tcW w:w="680" w:type="dxa"/>
            <w:vAlign w:val="bottom"/>
            <w:gridSpan w:val="3"/>
          </w:tcPr>
          <w:p>
            <w:pPr>
              <w:jc w:val="right"/>
              <w:ind w:right="58"/>
              <w:spacing w:after="0" w:line="133" w:lineRule="exact"/>
              <w:rPr>
                <w:sz w:val="20"/>
                <w:szCs w:val="20"/>
                <w:color w:val="auto"/>
              </w:rPr>
            </w:pPr>
            <w:r>
              <w:rPr>
                <w:rFonts w:ascii="Arial" w:cs="Arial" w:eastAsia="Arial" w:hAnsi="Arial"/>
                <w:sz w:val="12"/>
                <w:szCs w:val="12"/>
                <w:b w:val="1"/>
                <w:bCs w:val="1"/>
                <w:color w:val="auto"/>
              </w:rPr>
              <w:t>5.9%</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27.0%</w:t>
            </w:r>
          </w:p>
        </w:tc>
        <w:tc>
          <w:tcPr>
            <w:tcW w:w="780" w:type="dxa"/>
            <w:vAlign w:val="bottom"/>
            <w:gridSpan w:val="4"/>
          </w:tcPr>
          <w:p>
            <w:pPr>
              <w:jc w:val="right"/>
              <w:ind w:right="58"/>
              <w:spacing w:after="0" w:line="133" w:lineRule="exact"/>
              <w:rPr>
                <w:sz w:val="20"/>
                <w:szCs w:val="20"/>
                <w:color w:val="auto"/>
              </w:rPr>
            </w:pPr>
            <w:r>
              <w:rPr>
                <w:rFonts w:ascii="Arial" w:cs="Arial" w:eastAsia="Arial" w:hAnsi="Arial"/>
                <w:sz w:val="12"/>
                <w:szCs w:val="12"/>
                <w:b w:val="1"/>
                <w:bCs w:val="1"/>
                <w:color w:val="auto"/>
              </w:rPr>
              <w:t>5.9%</w:t>
            </w:r>
          </w:p>
        </w:tc>
        <w:tc>
          <w:tcPr>
            <w:tcW w:w="56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27.0%</w:t>
            </w:r>
          </w:p>
        </w:tc>
        <w:tc>
          <w:tcPr>
            <w:tcW w:w="120" w:type="dxa"/>
            <w:vAlign w:val="bottom"/>
          </w:tcPr>
          <w:p>
            <w:pPr>
              <w:spacing w:after="0"/>
              <w:rPr>
                <w:sz w:val="11"/>
                <w:szCs w:val="11"/>
                <w:color w:val="auto"/>
              </w:rPr>
            </w:pPr>
          </w:p>
        </w:tc>
        <w:tc>
          <w:tcPr>
            <w:tcW w:w="660" w:type="dxa"/>
            <w:vAlign w:val="bottom"/>
            <w:gridSpan w:val="3"/>
          </w:tcPr>
          <w:p>
            <w:pPr>
              <w:jc w:val="right"/>
              <w:ind w:right="38"/>
              <w:spacing w:after="0" w:line="133" w:lineRule="exact"/>
              <w:rPr>
                <w:sz w:val="20"/>
                <w:szCs w:val="20"/>
                <w:color w:val="auto"/>
              </w:rPr>
            </w:pPr>
            <w:r>
              <w:rPr>
                <w:rFonts w:ascii="Arial" w:cs="Arial" w:eastAsia="Arial" w:hAnsi="Arial"/>
                <w:sz w:val="12"/>
                <w:szCs w:val="12"/>
                <w:b w:val="1"/>
                <w:bCs w:val="1"/>
                <w:color w:val="auto"/>
              </w:rPr>
              <w:t>0.6%</w:t>
            </w:r>
          </w:p>
        </w:tc>
        <w:tc>
          <w:tcPr>
            <w:tcW w:w="680" w:type="dxa"/>
            <w:vAlign w:val="bottom"/>
            <w:gridSpan w:val="3"/>
          </w:tcPr>
          <w:p>
            <w:pPr>
              <w:jc w:val="right"/>
              <w:ind w:right="38"/>
              <w:spacing w:after="0" w:line="133" w:lineRule="exact"/>
              <w:rPr>
                <w:sz w:val="20"/>
                <w:szCs w:val="20"/>
                <w:color w:val="auto"/>
              </w:rPr>
            </w:pPr>
            <w:r>
              <w:rPr>
                <w:rFonts w:ascii="Arial" w:cs="Arial" w:eastAsia="Arial" w:hAnsi="Arial"/>
                <w:sz w:val="12"/>
                <w:szCs w:val="12"/>
                <w:b w:val="1"/>
                <w:bCs w:val="1"/>
                <w:color w:val="auto"/>
              </w:rPr>
              <w:t>0.7%</w:t>
            </w:r>
          </w:p>
        </w:tc>
        <w:tc>
          <w:tcPr>
            <w:tcW w:w="62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0.7%</w:t>
            </w:r>
          </w:p>
        </w:tc>
        <w:tc>
          <w:tcPr>
            <w:tcW w:w="740" w:type="dxa"/>
            <w:vAlign w:val="bottom"/>
            <w:gridSpan w:val="4"/>
          </w:tcPr>
          <w:p>
            <w:pPr>
              <w:jc w:val="right"/>
              <w:spacing w:after="0" w:line="133" w:lineRule="exact"/>
              <w:rPr>
                <w:sz w:val="20"/>
                <w:szCs w:val="20"/>
                <w:color w:val="auto"/>
              </w:rPr>
            </w:pPr>
            <w:r>
              <w:rPr>
                <w:rFonts w:ascii="Arial" w:cs="Arial" w:eastAsia="Arial" w:hAnsi="Arial"/>
                <w:sz w:val="12"/>
                <w:szCs w:val="12"/>
                <w:b w:val="1"/>
                <w:bCs w:val="1"/>
                <w:color w:val="auto"/>
              </w:rPr>
              <w:t>0.8%</w:t>
            </w:r>
          </w:p>
        </w:tc>
      </w:tr>
      <w:tr>
        <w:trPr>
          <w:trHeight w:val="133"/>
        </w:trPr>
        <w:tc>
          <w:tcPr>
            <w:tcW w:w="17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Bolivia</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7,902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8,420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8,747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7,902</w:t>
            </w:r>
          </w:p>
        </w:tc>
        <w:tc>
          <w:tcPr>
            <w:tcW w:w="8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20"/>
              <w:spacing w:after="0" w:line="133" w:lineRule="exact"/>
              <w:rPr>
                <w:sz w:val="20"/>
                <w:szCs w:val="20"/>
                <w:color w:val="auto"/>
              </w:rPr>
            </w:pPr>
            <w:r>
              <w:rPr>
                <w:rFonts w:ascii="Arial" w:cs="Arial" w:eastAsia="Arial" w:hAnsi="Arial"/>
                <w:sz w:val="12"/>
                <w:szCs w:val="12"/>
                <w:b w:val="1"/>
                <w:bCs w:val="1"/>
                <w:color w:val="auto"/>
              </w:rPr>
              <w:t>8,420</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b w:val="1"/>
                <w:bCs w:val="1"/>
                <w:color w:val="auto"/>
              </w:rPr>
              <w:t>8,747</w:t>
            </w:r>
          </w:p>
        </w:tc>
        <w:tc>
          <w:tcPr>
            <w:tcW w:w="680" w:type="dxa"/>
            <w:vAlign w:val="bottom"/>
            <w:gridSpan w:val="3"/>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3.9%</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10.7%</w:t>
            </w:r>
          </w:p>
        </w:tc>
        <w:tc>
          <w:tcPr>
            <w:tcW w:w="780" w:type="dxa"/>
            <w:vAlign w:val="bottom"/>
            <w:gridSpan w:val="4"/>
            <w:shd w:val="clear" w:color="auto" w:fill="CCEEFF"/>
          </w:tcPr>
          <w:p>
            <w:pPr>
              <w:jc w:val="right"/>
              <w:ind w:right="58"/>
              <w:spacing w:after="0" w:line="133" w:lineRule="exact"/>
              <w:rPr>
                <w:sz w:val="20"/>
                <w:szCs w:val="20"/>
                <w:color w:val="auto"/>
              </w:rPr>
            </w:pPr>
            <w:r>
              <w:rPr>
                <w:rFonts w:ascii="Arial" w:cs="Arial" w:eastAsia="Arial" w:hAnsi="Arial"/>
                <w:sz w:val="12"/>
                <w:szCs w:val="12"/>
                <w:b w:val="1"/>
                <w:bCs w:val="1"/>
                <w:color w:val="auto"/>
              </w:rPr>
              <w:t>3.9%</w:t>
            </w:r>
          </w:p>
        </w:tc>
        <w:tc>
          <w:tcPr>
            <w:tcW w:w="5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10.7%</w:t>
            </w:r>
          </w:p>
        </w:tc>
        <w:tc>
          <w:tcPr>
            <w:tcW w:w="1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6.1%</w:t>
            </w:r>
          </w:p>
        </w:tc>
        <w:tc>
          <w:tcPr>
            <w:tcW w:w="680" w:type="dxa"/>
            <w:vAlign w:val="bottom"/>
            <w:gridSpan w:val="3"/>
            <w:shd w:val="clear" w:color="auto" w:fill="CCEEFF"/>
          </w:tcPr>
          <w:p>
            <w:pPr>
              <w:jc w:val="right"/>
              <w:ind w:right="38"/>
              <w:spacing w:after="0" w:line="133" w:lineRule="exact"/>
              <w:rPr>
                <w:sz w:val="20"/>
                <w:szCs w:val="20"/>
                <w:color w:val="auto"/>
              </w:rPr>
            </w:pPr>
            <w:r>
              <w:rPr>
                <w:rFonts w:ascii="Arial" w:cs="Arial" w:eastAsia="Arial" w:hAnsi="Arial"/>
                <w:sz w:val="12"/>
                <w:szCs w:val="12"/>
                <w:b w:val="1"/>
                <w:bCs w:val="1"/>
                <w:color w:val="auto"/>
              </w:rPr>
              <w:t>6.2%</w:t>
            </w:r>
          </w:p>
        </w:tc>
        <w:tc>
          <w:tcPr>
            <w:tcW w:w="6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6.3%</w:t>
            </w:r>
          </w:p>
        </w:tc>
        <w:tc>
          <w:tcPr>
            <w:tcW w:w="74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7.5%</w:t>
            </w:r>
          </w:p>
        </w:tc>
      </w:tr>
      <w:tr>
        <w:trPr>
          <w:trHeight w:val="146"/>
        </w:trPr>
        <w:tc>
          <w:tcPr>
            <w:tcW w:w="1760" w:type="dxa"/>
            <w:vAlign w:val="bottom"/>
            <w:gridSpan w:val="2"/>
          </w:tcPr>
          <w:p>
            <w:pPr>
              <w:spacing w:after="0"/>
              <w:rPr>
                <w:sz w:val="20"/>
                <w:szCs w:val="20"/>
                <w:color w:val="auto"/>
              </w:rPr>
            </w:pPr>
            <w:r>
              <w:rPr>
                <w:rFonts w:ascii="Arial" w:cs="Arial" w:eastAsia="Arial" w:hAnsi="Arial"/>
                <w:sz w:val="12"/>
                <w:szCs w:val="12"/>
                <w:b w:val="1"/>
                <w:bCs w:val="1"/>
                <w:color w:val="auto"/>
              </w:rPr>
              <w:t>ASB</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2,443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2,509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2,390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2,443</w:t>
            </w:r>
          </w:p>
        </w:tc>
        <w:tc>
          <w:tcPr>
            <w:tcW w:w="80" w:type="dxa"/>
            <w:vAlign w:val="bottom"/>
          </w:tcPr>
          <w:p>
            <w:pPr>
              <w:spacing w:after="0"/>
              <w:rPr>
                <w:sz w:val="12"/>
                <w:szCs w:val="12"/>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2,509</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2,390</w:t>
            </w:r>
          </w:p>
        </w:tc>
        <w:tc>
          <w:tcPr>
            <w:tcW w:w="680" w:type="dxa"/>
            <w:vAlign w:val="bottom"/>
            <w:gridSpan w:val="3"/>
          </w:tcPr>
          <w:p>
            <w:pPr>
              <w:jc w:val="right"/>
              <w:ind w:right="58"/>
              <w:spacing w:after="0"/>
              <w:rPr>
                <w:sz w:val="20"/>
                <w:szCs w:val="20"/>
                <w:color w:val="auto"/>
              </w:rPr>
            </w:pPr>
            <w:r>
              <w:rPr>
                <w:rFonts w:ascii="Arial" w:cs="Arial" w:eastAsia="Arial" w:hAnsi="Arial"/>
                <w:sz w:val="12"/>
                <w:szCs w:val="12"/>
                <w:b w:val="1"/>
                <w:bCs w:val="1"/>
                <w:color w:val="auto"/>
              </w:rPr>
              <w:t>-4.7%</w:t>
            </w:r>
          </w:p>
        </w:tc>
        <w:tc>
          <w:tcPr>
            <w:tcW w:w="560" w:type="dxa"/>
            <w:vAlign w:val="bottom"/>
            <w:gridSpan w:val="3"/>
          </w:tcPr>
          <w:p>
            <w:pPr>
              <w:jc w:val="right"/>
              <w:spacing w:after="0"/>
              <w:rPr>
                <w:sz w:val="20"/>
                <w:szCs w:val="20"/>
                <w:color w:val="auto"/>
              </w:rPr>
            </w:pPr>
            <w:r>
              <w:rPr>
                <w:rFonts w:ascii="Arial" w:cs="Arial" w:eastAsia="Arial" w:hAnsi="Arial"/>
                <w:sz w:val="12"/>
                <w:szCs w:val="12"/>
                <w:b w:val="1"/>
                <w:bCs w:val="1"/>
                <w:color w:val="auto"/>
              </w:rPr>
              <w:t>-2.2%</w:t>
            </w:r>
          </w:p>
        </w:tc>
        <w:tc>
          <w:tcPr>
            <w:tcW w:w="780" w:type="dxa"/>
            <w:vAlign w:val="bottom"/>
            <w:gridSpan w:val="4"/>
          </w:tcPr>
          <w:p>
            <w:pPr>
              <w:jc w:val="right"/>
              <w:ind w:right="58"/>
              <w:spacing w:after="0"/>
              <w:rPr>
                <w:sz w:val="20"/>
                <w:szCs w:val="20"/>
                <w:color w:val="auto"/>
              </w:rPr>
            </w:pPr>
            <w:r>
              <w:rPr>
                <w:rFonts w:ascii="Arial" w:cs="Arial" w:eastAsia="Arial" w:hAnsi="Arial"/>
                <w:sz w:val="12"/>
                <w:szCs w:val="12"/>
                <w:b w:val="1"/>
                <w:bCs w:val="1"/>
                <w:color w:val="auto"/>
              </w:rPr>
              <w:t>-4.7%</w:t>
            </w:r>
          </w:p>
        </w:tc>
        <w:tc>
          <w:tcPr>
            <w:tcW w:w="560" w:type="dxa"/>
            <w:vAlign w:val="bottom"/>
            <w:gridSpan w:val="3"/>
          </w:tcPr>
          <w:p>
            <w:pPr>
              <w:jc w:val="right"/>
              <w:spacing w:after="0"/>
              <w:rPr>
                <w:sz w:val="20"/>
                <w:szCs w:val="20"/>
                <w:color w:val="auto"/>
              </w:rPr>
            </w:pPr>
            <w:r>
              <w:rPr>
                <w:rFonts w:ascii="Arial" w:cs="Arial" w:eastAsia="Arial" w:hAnsi="Arial"/>
                <w:sz w:val="12"/>
                <w:szCs w:val="12"/>
                <w:b w:val="1"/>
                <w:bCs w:val="1"/>
                <w:color w:val="auto"/>
              </w:rPr>
              <w:t>-2.2%</w:t>
            </w:r>
          </w:p>
        </w:tc>
        <w:tc>
          <w:tcPr>
            <w:tcW w:w="120" w:type="dxa"/>
            <w:vAlign w:val="bottom"/>
          </w:tcPr>
          <w:p>
            <w:pPr>
              <w:spacing w:after="0"/>
              <w:rPr>
                <w:sz w:val="12"/>
                <w:szCs w:val="12"/>
                <w:color w:val="auto"/>
              </w:rPr>
            </w:pPr>
          </w:p>
        </w:tc>
        <w:tc>
          <w:tcPr>
            <w:tcW w:w="660" w:type="dxa"/>
            <w:vAlign w:val="bottom"/>
            <w:gridSpan w:val="3"/>
          </w:tcPr>
          <w:p>
            <w:pPr>
              <w:jc w:val="right"/>
              <w:ind w:right="38"/>
              <w:spacing w:after="0"/>
              <w:rPr>
                <w:sz w:val="20"/>
                <w:szCs w:val="20"/>
                <w:color w:val="auto"/>
              </w:rPr>
            </w:pPr>
            <w:r>
              <w:rPr>
                <w:rFonts w:ascii="Arial" w:cs="Arial" w:eastAsia="Arial" w:hAnsi="Arial"/>
                <w:sz w:val="12"/>
                <w:szCs w:val="12"/>
                <w:b w:val="1"/>
                <w:bCs w:val="1"/>
                <w:color w:val="auto"/>
              </w:rPr>
              <w:t>1.9%</w:t>
            </w:r>
          </w:p>
        </w:tc>
        <w:tc>
          <w:tcPr>
            <w:tcW w:w="680" w:type="dxa"/>
            <w:vAlign w:val="bottom"/>
            <w:gridSpan w:val="3"/>
          </w:tcPr>
          <w:p>
            <w:pPr>
              <w:jc w:val="right"/>
              <w:ind w:right="38"/>
              <w:spacing w:after="0"/>
              <w:rPr>
                <w:sz w:val="20"/>
                <w:szCs w:val="20"/>
                <w:color w:val="auto"/>
              </w:rPr>
            </w:pPr>
            <w:r>
              <w:rPr>
                <w:rFonts w:ascii="Arial" w:cs="Arial" w:eastAsia="Arial" w:hAnsi="Arial"/>
                <w:sz w:val="12"/>
                <w:szCs w:val="12"/>
                <w:b w:val="1"/>
                <w:bCs w:val="1"/>
                <w:color w:val="auto"/>
              </w:rPr>
              <w:t>1.8%</w:t>
            </w:r>
          </w:p>
        </w:tc>
        <w:tc>
          <w:tcPr>
            <w:tcW w:w="620" w:type="dxa"/>
            <w:vAlign w:val="bottom"/>
            <w:gridSpan w:val="3"/>
          </w:tcPr>
          <w:p>
            <w:pPr>
              <w:jc w:val="right"/>
              <w:spacing w:after="0"/>
              <w:rPr>
                <w:sz w:val="20"/>
                <w:szCs w:val="20"/>
                <w:color w:val="auto"/>
              </w:rPr>
            </w:pPr>
            <w:r>
              <w:rPr>
                <w:rFonts w:ascii="Arial" w:cs="Arial" w:eastAsia="Arial" w:hAnsi="Arial"/>
                <w:sz w:val="12"/>
                <w:szCs w:val="12"/>
                <w:b w:val="1"/>
                <w:bCs w:val="1"/>
                <w:color w:val="auto"/>
              </w:rPr>
              <w:t>1.7%</w:t>
            </w: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2.1%</w:t>
            </w:r>
          </w:p>
        </w:tc>
      </w:tr>
      <w:tr>
        <w:trPr>
          <w:trHeight w:val="126"/>
        </w:trPr>
        <w:tc>
          <w:tcPr>
            <w:tcW w:w="176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BAP's total loans</w:t>
            </w:r>
          </w:p>
        </w:tc>
        <w:tc>
          <w:tcPr>
            <w:tcW w:w="4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128,536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136,730</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2"/>
              </w:rPr>
              <w:t>139,736</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87"/>
              </w:rPr>
              <w:t>120,829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87"/>
              </w:rPr>
              <w:t>112,258</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87"/>
              </w:rPr>
              <w:t>115,927</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2.2</w:t>
            </w:r>
          </w:p>
        </w:tc>
        <w:tc>
          <w:tcPr>
            <w:tcW w:w="240" w:type="dxa"/>
            <w:vAlign w:val="bottom"/>
            <w:tcBorders>
              <w:top w:val="single" w:sz="8" w:color="CCEEFF"/>
            </w:tcBorders>
            <w:shd w:val="clear" w:color="auto" w:fill="CCEEFF"/>
          </w:tcPr>
          <w:p>
            <w:pPr>
              <w:jc w:val="right"/>
              <w:ind w:right="58"/>
              <w:spacing w:after="0" w:line="126" w:lineRule="exact"/>
              <w:rPr>
                <w:sz w:val="20"/>
                <w:szCs w:val="20"/>
                <w:color w:val="auto"/>
              </w:rPr>
            </w:pPr>
            <w:r>
              <w:rPr>
                <w:rFonts w:ascii="Arial" w:cs="Arial" w:eastAsia="Arial" w:hAnsi="Arial"/>
                <w:sz w:val="12"/>
                <w:szCs w:val="12"/>
                <w:b w:val="1"/>
                <w:bCs w:val="1"/>
                <w:color w:val="auto"/>
                <w:w w:val="93"/>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8.7</w:t>
            </w:r>
          </w:p>
        </w:tc>
        <w:tc>
          <w:tcPr>
            <w:tcW w:w="120" w:type="dxa"/>
            <w:vAlign w:val="bottom"/>
            <w:tcBorders>
              <w:top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3"/>
              </w:rPr>
              <w:t>%</w:t>
            </w:r>
          </w:p>
        </w:tc>
        <w:tc>
          <w:tcPr>
            <w:tcW w:w="220" w:type="dxa"/>
            <w:vAlign w:val="bottom"/>
            <w:tcBorders>
              <w:top w:val="single" w:sz="8" w:color="CCEEFF"/>
            </w:tcBorders>
            <w:gridSpan w:val="2"/>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3.3</w:t>
            </w:r>
          </w:p>
        </w:tc>
        <w:tc>
          <w:tcPr>
            <w:tcW w:w="240" w:type="dxa"/>
            <w:vAlign w:val="bottom"/>
            <w:tcBorders>
              <w:top w:val="single" w:sz="8" w:color="CCEEFF"/>
            </w:tcBorders>
            <w:shd w:val="clear" w:color="auto" w:fill="CCEEFF"/>
          </w:tcPr>
          <w:p>
            <w:pPr>
              <w:jc w:val="right"/>
              <w:ind w:right="58"/>
              <w:spacing w:after="0" w:line="126" w:lineRule="exact"/>
              <w:rPr>
                <w:sz w:val="20"/>
                <w:szCs w:val="20"/>
                <w:color w:val="auto"/>
              </w:rPr>
            </w:pPr>
            <w:r>
              <w:rPr>
                <w:rFonts w:ascii="Arial" w:cs="Arial" w:eastAsia="Arial" w:hAnsi="Arial"/>
                <w:sz w:val="12"/>
                <w:szCs w:val="12"/>
                <w:b w:val="1"/>
                <w:bCs w:val="1"/>
                <w:color w:val="auto"/>
                <w:w w:val="93"/>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-4.1</w:t>
            </w:r>
          </w:p>
        </w:tc>
        <w:tc>
          <w:tcPr>
            <w:tcW w:w="120" w:type="dxa"/>
            <w:vAlign w:val="bottom"/>
            <w:tcBorders>
              <w:top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3"/>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100.0</w:t>
            </w:r>
          </w:p>
        </w:tc>
        <w:tc>
          <w:tcPr>
            <w:tcW w:w="220" w:type="dxa"/>
            <w:vAlign w:val="bottom"/>
            <w:tcBorders>
              <w:top w:val="single" w:sz="8" w:color="CCEEFF"/>
            </w:tcBorders>
            <w:shd w:val="clear" w:color="auto" w:fill="CCEEFF"/>
          </w:tcPr>
          <w:p>
            <w:pPr>
              <w:jc w:val="right"/>
              <w:ind w:right="38"/>
              <w:spacing w:after="0" w:line="126" w:lineRule="exact"/>
              <w:rPr>
                <w:sz w:val="20"/>
                <w:szCs w:val="20"/>
                <w:color w:val="auto"/>
              </w:rPr>
            </w:pPr>
            <w:r>
              <w:rPr>
                <w:rFonts w:ascii="Arial" w:cs="Arial" w:eastAsia="Arial" w:hAnsi="Arial"/>
                <w:sz w:val="12"/>
                <w:szCs w:val="12"/>
                <w:b w:val="1"/>
                <w:bCs w:val="1"/>
                <w:color w:val="auto"/>
                <w:w w:val="93"/>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9"/>
              </w:rPr>
              <w:t>100.0</w:t>
            </w:r>
          </w:p>
        </w:tc>
        <w:tc>
          <w:tcPr>
            <w:tcW w:w="240" w:type="dxa"/>
            <w:vAlign w:val="bottom"/>
            <w:tcBorders>
              <w:top w:val="single" w:sz="8" w:color="CCEEFF"/>
            </w:tcBorders>
            <w:shd w:val="clear" w:color="auto" w:fill="CCEEFF"/>
          </w:tcPr>
          <w:p>
            <w:pPr>
              <w:jc w:val="right"/>
              <w:ind w:right="38"/>
              <w:spacing w:after="0" w:line="126" w:lineRule="exact"/>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9"/>
              </w:rPr>
              <w:t>100.0</w:t>
            </w:r>
          </w:p>
        </w:tc>
        <w:tc>
          <w:tcPr>
            <w:tcW w:w="180" w:type="dxa"/>
            <w:vAlign w:val="bottom"/>
            <w:tcBorders>
              <w:top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93"/>
              </w:rPr>
              <w:t>%</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100.0</w:t>
            </w:r>
          </w:p>
        </w:tc>
        <w:tc>
          <w:tcPr>
            <w:tcW w:w="140" w:type="dxa"/>
            <w:vAlign w:val="bottom"/>
            <w:tcBorders>
              <w:top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-1120775</wp:posOffset>
            </wp:positionV>
            <wp:extent cx="278130" cy="84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130" cy="844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-1120775</wp:posOffset>
            </wp:positionV>
            <wp:extent cx="429895" cy="168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9895" cy="16891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-699135</wp:posOffset>
            </wp:positionV>
            <wp:extent cx="1703705" cy="252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3705" cy="252730"/>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210820" cy="59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820" cy="590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219075" cy="5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9075" cy="590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FC are converted to LC.</w:t>
      </w:r>
    </w:p>
    <w:p>
      <w:pPr>
        <w:ind w:left="180" w:hanging="174"/>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 work out unit and other banking.</w:t>
      </w:r>
    </w:p>
    <w:p>
      <w:pPr>
        <w:ind w:left="180" w:hanging="174"/>
        <w:spacing w:after="0" w:line="230" w:lineRule="auto"/>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Structural Portfolio excludes the average daily balances from loans offered through de Reactiva Peru y FAE-Mype Government Programs.</w:t>
      </w:r>
    </w:p>
    <w:p>
      <w:pPr>
        <w:ind w:left="180" w:hanging="174"/>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Figures differ from previously reporte, please consider the data presented on this report that now inclides Mibanco Colombia.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growth in ADB for loans by segments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 (+3.3%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149860</wp:posOffset>
            </wp:positionV>
            <wp:extent cx="5633720" cy="2479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3720" cy="247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Government Programs (Reactiva y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261620" cy="76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1620" cy="7620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252730" cy="67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730" cy="67310"/>
                    </a:xfrm>
                    <a:prstGeom prst="rect">
                      <a:avLst/>
                    </a:prstGeom>
                    <a:noFill/>
                  </pic:spPr>
                </pic:pic>
              </a:graphicData>
            </a:graphic>
          </wp:anchor>
        </w:drawing>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figure above shows that the +2.2% increase QoQ (+3.3% structural) in loans measured in ADB was the result of the evolution of the Wholesale Banking portfolio:</w:t>
      </w:r>
    </w:p>
    <w:p>
      <w:pPr>
        <w:spacing w:after="0" w:line="18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Wholesale Banking portfolio increased +4.0% QoQ in ADB, which was attributable to growth in structural balances in the Corporate Segment and, to a lesser extent, in the Middle-Market Segment balances. These upticks were primarily driven by economic recovery and by campaigns in the fishing and agricultural sector. Consequently, financing needs in the Wholesale Segment increased, in particular for working capital and medium-term loans.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Retail Banking portfolio registered a positive evolution of +1.0 QoQ in ADB after the increase of the balances in the SME-Business, Mortgage, Consumer and SME-Pyme segments. Structural loans in the SME-Business segment reversed a downward trend this quarter after GP loans ceased and economic recovery launched. The Mortgage, Consumer and SME-Pyme segments presented slight growth since 4Q20 after having been highly impacted by the sanitary crisis and contention measures in 2020. On the contrary, loans in the Credit Card segment continued to register a downward trend after the use of this product fell due to the pandemic and after clients has used liquidity to reduce their balances.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8"/>
          <w:szCs w:val="18"/>
          <w:color w:val="auto"/>
        </w:rPr>
        <w:t>Mibanco’s loan portfolio grew +0.8% QoQ due to the structural loan disbursements, which fell slightly with regard to last quarter. If we exclude GP loans from the calculation base, the structural portfolio at Mibanco grew +1.3% QoQ. Mibanco Colombia registered high levels of disbursements until June, when the company and clients adopted a more cautious attitude in a context of social protests and elevated tension. The exchange rate effect generated by an uptick in the value of the US dollar also impacted growth in this portfolio.</w:t>
      </w:r>
    </w:p>
    <w:p>
      <w:pPr>
        <w:spacing w:after="0" w:line="19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At BCP Bolivia, the loan portfolio grew +3.9% QoQ mainly due to an increase in the exchange rate and some disbursements to wholesale clients that offset the drop in the SME-Pyme and micro segments.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growth in ADB of loans by segment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+8.7% (-4.1%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149860</wp:posOffset>
            </wp:positionV>
            <wp:extent cx="6628765" cy="3120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876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YoY growth per segment measured in ADB shows: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Within Retail Banking, growth was led by significant expansion in the business segments of SME (+64.7% YoY) and SME-Business (+49.8% YoY) due to the influx of loans under Reactiva Peru. Growth in Consumer (+10.5% YoY) and Mortgage (+5.6% YoY), which absorbed the brunt of the pandemic and quarantine measures in 2020 through the third quarter but registered an upward trend in 4Q20 due to economic recovery, also drove overall growth year-on-year. Credit Card balances fell (-25% YoY) due to the impact of the sanitary crisis, containment measures, a decrease in the appetite for risk and the fact that clients have used liquidity to reduce their balances. If we exclude government programs from the calculation base, SME-Pyme grew +7.1% YoY while SME-Business contracted -7.5% YoY.</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Wholesale Banking portfolio dropped -7.3% YoY. Within this portfolio, Middle Market banking registered growth of +4.9% YoY due to Reactiva Peru while Corporate Banking fell -15.2% YoY given that clients requested less financing. Variations were also impacted by the exchange rate effect generated by the appreciation of the US dollar. It is important to note that 42.2% of the loans in the Middle Market segment and 56.5% of the Corporate Segment are in FC. If we exclude the exchange rate effect, the Middle Market segment reported growth of +1.6% while Corporate Banking registered a decrease of -18.7% in real terms. If we exclude loans granted under government programs from the calculation base, Middle Market Banking fell -6.7% YoY and Corporate Banking, -15.7%.</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Loan growth of +20.3% YoY at Mibanco was driven by government loans under Reactiva Peru and FAE-Mype. Reactiva and FAE loans represented approximately 21% of Mibanco’s portfolio in average daily balances in 2Q21. If we exclude government loans from the calculation base, Mibanco’s structural loans fell -2.6% YoY in ADB. At Mibanco Colombia, the portfolio grew +27% YoY due to an uptick in disbursements and on-target operating and commercial strategies, which have been implemented hand-in-hand with the sales force. Nevertheless, dynamism has been affected by a decrease in the commercial appetite in a context of social tensions. It is important to note that the exchange rate effect has also contributed to this growth. If we exclude this effect, the portfolio at Mibanco Colombia grew 17.6% YoY.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t>Growth of +10.7% YoY in loans at BCP Bolivia was mainly driven by the exchange rate effect. If we exclude this effect, loans at BCP Bolivia grew +2.5% YoY mainly because of an uptick in wholesale disbursements and refinancing. It is important to note that uncertainty due to the on-going sanitary crisis has reduced the commercial appetite at BCP Bolivia, which is reflected by a drop in disbursements rates.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growth in ADB of loans by segment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+12.8% (-3.9%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139065</wp:posOffset>
            </wp:positionV>
            <wp:extent cx="6628765" cy="3061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2876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Variations in YTD figures for ADB registered a trend similar to that same YoY, where the Retail Banking portfolio led expansion through Reactive loans to the SME-Pyme and Business segments. Next in line as drivers of growth were the Consumer and Mortgage segments, whose recovery, however, only partially offset the drop in Credit Card balances. Corporate Banking reported a decrease in balances due to a drop in the structural of loan disbursements; the uptick in Middle Market Banking was insufficient to offset this decline. YTD, growth at Mibanco Peru, Colombia and BCP Bolivia evolved along the lines similar to those seen YoY while ASB’s result reflects growth registered in 1Q21.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dollarization level of Credicorp loans by segment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average daily balances by currency </w:t>
      </w:r>
      <w:r>
        <w:rPr>
          <w:rFonts w:ascii="Arial" w:cs="Arial" w:eastAsia="Arial" w:hAnsi="Arial"/>
          <w:sz w:val="29"/>
          <w:szCs w:val="29"/>
          <w:b w:val="1"/>
          <w:bCs w:val="1"/>
          <w:color w:val="auto"/>
          <w:vertAlign w:val="superscript"/>
        </w:rPr>
        <w:t>(1)(2)(3)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jc w:val="center"/>
              <w:ind w:right="47"/>
              <w:spacing w:after="0"/>
              <w:rPr>
                <w:sz w:val="20"/>
                <w:szCs w:val="20"/>
                <w:color w:val="auto"/>
              </w:rPr>
            </w:pPr>
            <w:r>
              <w:rPr>
                <w:rFonts w:ascii="Arial" w:cs="Arial" w:eastAsia="Arial" w:hAnsi="Arial"/>
                <w:sz w:val="11"/>
                <w:szCs w:val="11"/>
                <w:b w:val="1"/>
                <w:bCs w:val="1"/>
                <w:color w:val="auto"/>
                <w:w w:val="95"/>
              </w:rPr>
              <w:t>% part. by</w:t>
            </w:r>
          </w:p>
        </w:tc>
      </w:tr>
      <w:tr>
        <w:trPr>
          <w:trHeight w:val="133"/>
        </w:trPr>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95"/>
              </w:rPr>
              <w:t>DOMESTIC CURRENCY LOANS</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b w:val="1"/>
                <w:bCs w:val="1"/>
                <w:color w:val="auto"/>
                <w:w w:val="93"/>
              </w:rPr>
              <w:t>% change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11"/>
          </w:tcPr>
          <w:p>
            <w:pPr>
              <w:jc w:val="right"/>
              <w:ind w:right="207"/>
              <w:spacing w:after="0"/>
              <w:rPr>
                <w:sz w:val="20"/>
                <w:szCs w:val="20"/>
                <w:color w:val="auto"/>
              </w:rPr>
            </w:pPr>
            <w:r>
              <w:rPr>
                <w:rFonts w:ascii="Arial" w:cs="Arial" w:eastAsia="Arial" w:hAnsi="Arial"/>
                <w:sz w:val="11"/>
                <w:szCs w:val="11"/>
                <w:b w:val="1"/>
                <w:bCs w:val="1"/>
                <w:i w:val="1"/>
                <w:iCs w:val="1"/>
                <w:color w:val="auto"/>
              </w:rPr>
              <w:t>FOREIGN CURRENCY LOANS</w:t>
            </w:r>
          </w:p>
        </w:tc>
        <w:tc>
          <w:tcPr>
            <w:tcW w:w="20" w:type="dxa"/>
            <w:vAlign w:val="bottom"/>
          </w:tcPr>
          <w:p>
            <w:pPr>
              <w:spacing w:after="0"/>
              <w:rPr>
                <w:sz w:val="11"/>
                <w:szCs w:val="11"/>
                <w:color w:val="auto"/>
              </w:rPr>
            </w:pPr>
          </w:p>
        </w:tc>
        <w:tc>
          <w:tcPr>
            <w:tcW w:w="720" w:type="dxa"/>
            <w:vAlign w:val="bottom"/>
            <w:gridSpan w:val="4"/>
          </w:tcPr>
          <w:p>
            <w:pPr>
              <w:jc w:val="center"/>
              <w:ind w:right="47"/>
              <w:spacing w:after="0"/>
              <w:rPr>
                <w:sz w:val="20"/>
                <w:szCs w:val="20"/>
                <w:color w:val="auto"/>
              </w:rPr>
            </w:pPr>
            <w:r>
              <w:rPr>
                <w:rFonts w:ascii="Arial" w:cs="Arial" w:eastAsia="Arial" w:hAnsi="Arial"/>
                <w:sz w:val="11"/>
                <w:szCs w:val="11"/>
                <w:b w:val="1"/>
                <w:bCs w:val="1"/>
                <w:color w:val="auto"/>
                <w:w w:val="90"/>
              </w:rPr>
              <w:t>currency</w:t>
            </w:r>
          </w:p>
        </w:tc>
      </w:tr>
      <w:tr>
        <w:trPr>
          <w:trHeight w:val="126"/>
        </w:trPr>
        <w:tc>
          <w:tcPr>
            <w:tcW w:w="820" w:type="dxa"/>
            <w:vAlign w:val="bottom"/>
          </w:tcPr>
          <w:p>
            <w:pPr>
              <w:spacing w:after="0"/>
              <w:rPr>
                <w:sz w:val="10"/>
                <w:szCs w:val="10"/>
                <w:color w:val="auto"/>
              </w:rPr>
            </w:pPr>
          </w:p>
        </w:tc>
        <w:tc>
          <w:tcPr>
            <w:tcW w:w="2380" w:type="dxa"/>
            <w:vAlign w:val="bottom"/>
            <w:tcBorders>
              <w:top w:val="single" w:sz="8" w:color="auto"/>
            </w:tcBorders>
            <w:gridSpan w:val="6"/>
          </w:tcPr>
          <w:p>
            <w:pPr>
              <w:jc w:val="right"/>
              <w:ind w:right="800"/>
              <w:spacing w:after="0"/>
              <w:rPr>
                <w:sz w:val="20"/>
                <w:szCs w:val="20"/>
                <w:color w:val="auto"/>
              </w:rPr>
            </w:pPr>
            <w:r>
              <w:rPr>
                <w:rFonts w:ascii="Arial" w:cs="Arial" w:eastAsia="Arial" w:hAnsi="Arial"/>
                <w:sz w:val="11"/>
                <w:szCs w:val="11"/>
                <w:i w:val="1"/>
                <w:iCs w:val="1"/>
                <w:color w:val="auto"/>
              </w:rPr>
              <w:t>Expressed in million S/</w:t>
            </w: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2"/>
              </w:rPr>
              <w:t>Structural</w:t>
            </w: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ind w:left="460"/>
              <w:spacing w:after="0"/>
              <w:rPr>
                <w:sz w:val="20"/>
                <w:szCs w:val="20"/>
                <w:color w:val="auto"/>
              </w:rPr>
            </w:pPr>
            <w:r>
              <w:rPr>
                <w:rFonts w:ascii="Arial" w:cs="Arial" w:eastAsia="Arial" w:hAnsi="Arial"/>
                <w:sz w:val="11"/>
                <w:szCs w:val="11"/>
                <w:b w:val="1"/>
                <w:bCs w:val="1"/>
                <w:color w:val="auto"/>
                <w:w w:val="93"/>
              </w:rPr>
              <w:t>% change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b w:val="1"/>
                <w:bCs w:val="1"/>
                <w:color w:val="auto"/>
                <w:w w:val="92"/>
              </w:rPr>
              <w:t>Structural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8"/>
          </w:tcPr>
          <w:p>
            <w:pPr>
              <w:jc w:val="right"/>
              <w:ind w:right="7"/>
              <w:spacing w:after="0"/>
              <w:rPr>
                <w:sz w:val="20"/>
                <w:szCs w:val="20"/>
                <w:color w:val="auto"/>
              </w:rPr>
            </w:pPr>
            <w:r>
              <w:rPr>
                <w:rFonts w:ascii="Arial" w:cs="Arial" w:eastAsia="Arial" w:hAnsi="Arial"/>
                <w:sz w:val="11"/>
                <w:szCs w:val="11"/>
                <w:b w:val="1"/>
                <w:bCs w:val="1"/>
                <w:i w:val="1"/>
                <w:iCs w:val="1"/>
                <w:color w:val="auto"/>
                <w:w w:val="83"/>
              </w:rPr>
              <w:t>Expressed in million US$</w:t>
            </w: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jc w:val="center"/>
              <w:ind w:right="47"/>
              <w:spacing w:after="0"/>
              <w:rPr>
                <w:sz w:val="20"/>
                <w:szCs w:val="20"/>
                <w:color w:val="auto"/>
              </w:rPr>
            </w:pPr>
            <w:r>
              <w:rPr>
                <w:rFonts w:ascii="Arial" w:cs="Arial" w:eastAsia="Arial" w:hAnsi="Arial"/>
                <w:sz w:val="11"/>
                <w:szCs w:val="11"/>
                <w:b w:val="1"/>
                <w:bCs w:val="1"/>
                <w:color w:val="auto"/>
                <w:w w:val="96"/>
              </w:rPr>
              <w:t>2Q21</w:t>
            </w:r>
          </w:p>
        </w:tc>
      </w:tr>
      <w:tr>
        <w:trPr>
          <w:trHeight w:val="126"/>
        </w:trPr>
        <w:tc>
          <w:tcPr>
            <w:tcW w:w="82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2Q20</w:t>
            </w:r>
          </w:p>
        </w:tc>
        <w:tc>
          <w:tcPr>
            <w:tcW w:w="8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1Q21</w:t>
            </w:r>
          </w:p>
        </w:tc>
        <w:tc>
          <w:tcPr>
            <w:tcW w:w="660" w:type="dxa"/>
            <w:vAlign w:val="bottom"/>
            <w:tcBorders>
              <w:top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2Q21</w:t>
            </w: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2Q20</w:t>
            </w:r>
          </w:p>
        </w:tc>
        <w:tc>
          <w:tcPr>
            <w:tcW w:w="8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6"/>
              </w:rPr>
              <w:t>1Q21</w:t>
            </w:r>
          </w:p>
        </w:tc>
        <w:tc>
          <w:tcPr>
            <w:tcW w:w="680" w:type="dxa"/>
            <w:vAlign w:val="bottom"/>
            <w:tcBorders>
              <w:top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2Q21</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QoQ</w:t>
            </w:r>
          </w:p>
        </w:tc>
        <w:tc>
          <w:tcPr>
            <w:tcW w:w="480" w:type="dxa"/>
            <w:vAlign w:val="bottom"/>
            <w:tcBorders>
              <w:top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YoY</w:t>
            </w:r>
          </w:p>
        </w:tc>
        <w:tc>
          <w:tcPr>
            <w:tcW w:w="180" w:type="dxa"/>
            <w:vAlign w:val="bottom"/>
            <w:gridSpan w:val="2"/>
          </w:tcPr>
          <w:p>
            <w:pPr>
              <w:spacing w:after="0"/>
              <w:rPr>
                <w:sz w:val="10"/>
                <w:szCs w:val="10"/>
                <w:color w:val="auto"/>
              </w:rPr>
            </w:pPr>
          </w:p>
        </w:tc>
        <w:tc>
          <w:tcPr>
            <w:tcW w:w="820" w:type="dxa"/>
            <w:vAlign w:val="bottom"/>
            <w:tcBorders>
              <w:top w:val="single" w:sz="8" w:color="auto"/>
            </w:tcBorders>
            <w:gridSpan w:val="2"/>
          </w:tcPr>
          <w:p>
            <w:pPr>
              <w:jc w:val="right"/>
              <w:ind w:right="307"/>
              <w:spacing w:after="0"/>
              <w:rPr>
                <w:sz w:val="20"/>
                <w:szCs w:val="20"/>
                <w:color w:val="auto"/>
              </w:rPr>
            </w:pPr>
            <w:r>
              <w:rPr>
                <w:rFonts w:ascii="Arial" w:cs="Arial" w:eastAsia="Arial" w:hAnsi="Arial"/>
                <w:sz w:val="11"/>
                <w:szCs w:val="11"/>
                <w:b w:val="1"/>
                <w:bCs w:val="1"/>
                <w:color w:val="auto"/>
              </w:rPr>
              <w:t>QoQ</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YoY</w:t>
            </w:r>
          </w:p>
        </w:tc>
        <w:tc>
          <w:tcPr>
            <w:tcW w:w="120" w:type="dxa"/>
            <w:vAlign w:val="bottom"/>
          </w:tcPr>
          <w:p>
            <w:pPr>
              <w:spacing w:after="0"/>
              <w:rPr>
                <w:sz w:val="10"/>
                <w:szCs w:val="1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2Q20</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1Q21</w:t>
            </w:r>
          </w:p>
        </w:tc>
        <w:tc>
          <w:tcPr>
            <w:tcW w:w="3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w w:val="96"/>
              </w:rPr>
              <w:t>2Q21</w:t>
            </w:r>
          </w:p>
        </w:tc>
        <w:tc>
          <w:tcPr>
            <w:tcW w:w="38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1"/>
                <w:szCs w:val="11"/>
                <w:b w:val="1"/>
                <w:bCs w:val="1"/>
                <w:color w:val="auto"/>
                <w:w w:val="83"/>
              </w:rPr>
              <w:t>QoQ</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YoY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gridSpan w:val="2"/>
          </w:tcPr>
          <w:p>
            <w:pPr>
              <w:jc w:val="right"/>
              <w:ind w:right="107"/>
              <w:spacing w:after="0"/>
              <w:rPr>
                <w:sz w:val="20"/>
                <w:szCs w:val="20"/>
                <w:color w:val="auto"/>
              </w:rPr>
            </w:pPr>
            <w:r>
              <w:rPr>
                <w:rFonts w:ascii="Arial" w:cs="Arial" w:eastAsia="Arial" w:hAnsi="Arial"/>
                <w:sz w:val="11"/>
                <w:szCs w:val="11"/>
                <w:b w:val="1"/>
                <w:bCs w:val="1"/>
                <w:color w:val="auto"/>
              </w:rPr>
              <w:t>LC</w:t>
            </w:r>
          </w:p>
        </w:tc>
        <w:tc>
          <w:tcPr>
            <w:tcW w:w="2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FC</w:t>
            </w:r>
          </w:p>
        </w:tc>
        <w:tc>
          <w:tcPr>
            <w:tcW w:w="100" w:type="dxa"/>
            <w:vAlign w:val="bottom"/>
          </w:tcPr>
          <w:p>
            <w:pPr>
              <w:spacing w:after="0"/>
              <w:rPr>
                <w:sz w:val="10"/>
                <w:szCs w:val="10"/>
                <w:color w:val="auto"/>
              </w:rPr>
            </w:pPr>
          </w:p>
        </w:tc>
      </w:tr>
      <w:tr>
        <w:trPr>
          <w:trHeight w:val="86"/>
        </w:trPr>
        <w:tc>
          <w:tcPr>
            <w:tcW w:w="82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8"/>
                <w:szCs w:val="8"/>
                <w:b w:val="1"/>
                <w:bCs w:val="1"/>
                <w:color w:val="auto"/>
              </w:rPr>
              <w:t>BCP Stand-</w:t>
            </w: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lef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left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r>
        <w:trPr>
          <w:trHeight w:val="133"/>
        </w:trPr>
        <w:tc>
          <w:tcPr>
            <w:tcW w:w="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alone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70,856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80,117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80,960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63,464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58,466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59,941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14.3%</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-5.6% 10,371</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8,805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-15.1%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70.6%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29.4%</w:t>
            </w:r>
          </w:p>
        </w:tc>
      </w:tr>
      <w:tr>
        <w:trPr>
          <w:trHeight w:val="106"/>
        </w:trPr>
        <w:tc>
          <w:tcPr>
            <w:tcW w:w="820" w:type="dxa"/>
            <w:vAlign w:val="bottom"/>
          </w:tcPr>
          <w:p>
            <w:pPr>
              <w:ind w:left="160"/>
              <w:spacing w:after="0" w:line="106" w:lineRule="exact"/>
              <w:rPr>
                <w:sz w:val="20"/>
                <w:szCs w:val="20"/>
                <w:color w:val="auto"/>
              </w:rPr>
            </w:pPr>
            <w:r>
              <w:rPr>
                <w:rFonts w:ascii="Arial" w:cs="Arial" w:eastAsia="Arial" w:hAnsi="Arial"/>
                <w:sz w:val="11"/>
                <w:szCs w:val="11"/>
                <w:b w:val="1"/>
                <w:bCs w:val="1"/>
                <w:color w:val="auto"/>
              </w:rPr>
              <w:t>Wholesale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3"/>
        </w:trPr>
        <w:tc>
          <w:tcPr>
            <w:tcW w:w="820" w:type="dxa"/>
            <w:vAlign w:val="bottom"/>
          </w:tcPr>
          <w:p>
            <w:pPr>
              <w:ind w:left="160"/>
              <w:spacing w:after="0"/>
              <w:rPr>
                <w:sz w:val="20"/>
                <w:szCs w:val="20"/>
                <w:color w:val="auto"/>
              </w:rPr>
            </w:pPr>
            <w:r>
              <w:rPr>
                <w:rFonts w:ascii="Arial" w:cs="Arial" w:eastAsia="Arial" w:hAnsi="Arial"/>
                <w:sz w:val="11"/>
                <w:szCs w:val="11"/>
                <w:b w:val="1"/>
                <w:bCs w:val="1"/>
                <w:color w:val="auto"/>
              </w:rPr>
              <w:t>Banking</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27,207</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24,935</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25,860</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23,895</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18,593</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20,065</w:t>
            </w:r>
          </w:p>
        </w:tc>
        <w:tc>
          <w:tcPr>
            <w:tcW w:w="8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b w:val="1"/>
                <w:bCs w:val="1"/>
                <w:color w:val="auto"/>
              </w:rPr>
              <w:t>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-5.0%</w:t>
            </w: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rPr>
              <w:t>7.9%</w:t>
            </w: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-16.0%</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8,335</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6,772</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6,803</w:t>
            </w:r>
          </w:p>
        </w:tc>
        <w:tc>
          <w:tcPr>
            <w:tcW w:w="380" w:type="dxa"/>
            <w:vAlign w:val="bottom"/>
            <w:gridSpan w:val="3"/>
          </w:tcPr>
          <w:p>
            <w:pPr>
              <w:jc w:val="right"/>
              <w:spacing w:after="0"/>
              <w:rPr>
                <w:sz w:val="20"/>
                <w:szCs w:val="20"/>
                <w:color w:val="auto"/>
              </w:rPr>
            </w:pPr>
            <w:r>
              <w:rPr>
                <w:rFonts w:ascii="Arial" w:cs="Arial" w:eastAsia="Arial" w:hAnsi="Arial"/>
                <w:sz w:val="11"/>
                <w:szCs w:val="11"/>
                <w:b w:val="1"/>
                <w:bCs w:val="1"/>
                <w:color w:val="auto"/>
              </w:rPr>
              <w:t>0.5%</w:t>
            </w: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-18.4%</w:t>
            </w:r>
          </w:p>
        </w:tc>
        <w:tc>
          <w:tcPr>
            <w:tcW w:w="360" w:type="dxa"/>
            <w:vAlign w:val="bottom"/>
            <w:gridSpan w:val="3"/>
          </w:tcPr>
          <w:p>
            <w:pPr>
              <w:jc w:val="right"/>
              <w:spacing w:after="0"/>
              <w:rPr>
                <w:sz w:val="20"/>
                <w:szCs w:val="20"/>
                <w:color w:val="auto"/>
              </w:rPr>
            </w:pPr>
            <w:r>
              <w:rPr>
                <w:rFonts w:ascii="Arial" w:cs="Arial" w:eastAsia="Arial" w:hAnsi="Arial"/>
                <w:sz w:val="11"/>
                <w:szCs w:val="11"/>
                <w:b w:val="1"/>
                <w:bCs w:val="1"/>
                <w:color w:val="auto"/>
              </w:rPr>
              <w:t>49.9%</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50.1%</w:t>
            </w:r>
          </w:p>
        </w:tc>
      </w:tr>
      <w:tr>
        <w:trPr>
          <w:trHeight w:val="120"/>
        </w:trPr>
        <w:tc>
          <w:tcPr>
            <w:tcW w:w="820" w:type="dxa"/>
            <w:vAlign w:val="bottom"/>
            <w:shd w:val="clear" w:color="auto" w:fill="CCEEFF"/>
          </w:tcPr>
          <w:p>
            <w:pPr>
              <w:ind w:left="320"/>
              <w:spacing w:after="0" w:line="120" w:lineRule="exact"/>
              <w:rPr>
                <w:sz w:val="20"/>
                <w:szCs w:val="20"/>
                <w:color w:val="auto"/>
              </w:rPr>
            </w:pPr>
            <w:r>
              <w:rPr>
                <w:rFonts w:ascii="Arial" w:cs="Arial" w:eastAsia="Arial" w:hAnsi="Arial"/>
                <w:sz w:val="11"/>
                <w:szCs w:val="11"/>
                <w:color w:val="auto"/>
                <w:w w:val="98"/>
              </w:rPr>
              <w:t>Corporate</w:t>
            </w:r>
          </w:p>
        </w:tc>
        <w:tc>
          <w:tcPr>
            <w:tcW w:w="78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15,245</w:t>
            </w:r>
          </w:p>
        </w:tc>
        <w:tc>
          <w:tcPr>
            <w:tcW w:w="8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11,538</w:t>
            </w: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12,572</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14,789</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color w:val="auto"/>
              </w:rPr>
              <w:t>10,887</w:t>
            </w:r>
          </w:p>
        </w:tc>
        <w:tc>
          <w:tcPr>
            <w:tcW w:w="8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color w:val="auto"/>
              </w:rPr>
              <w:t>11,990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66E0DA"/>
          </w:tcPr>
          <w:p>
            <w:pPr>
              <w:jc w:val="right"/>
              <w:spacing w:after="0" w:line="120" w:lineRule="exact"/>
              <w:rPr>
                <w:sz w:val="20"/>
                <w:szCs w:val="20"/>
                <w:color w:val="auto"/>
              </w:rPr>
            </w:pPr>
            <w:r>
              <w:rPr>
                <w:rFonts w:ascii="Arial" w:cs="Arial" w:eastAsia="Arial" w:hAnsi="Arial"/>
                <w:sz w:val="11"/>
                <w:szCs w:val="11"/>
                <w:color w:val="auto"/>
              </w:rPr>
              <w:t>9.0%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-17.5%</w:t>
            </w:r>
          </w:p>
        </w:tc>
        <w:tc>
          <w:tcPr>
            <w:tcW w:w="80" w:type="dxa"/>
            <w:vAlign w:val="bottom"/>
            <w:shd w:val="clear" w:color="auto" w:fill="66E0DA"/>
          </w:tcPr>
          <w:p>
            <w:pPr>
              <w:spacing w:after="0"/>
              <w:rPr>
                <w:sz w:val="10"/>
                <w:szCs w:val="10"/>
                <w:color w:val="auto"/>
              </w:rPr>
            </w:pPr>
          </w:p>
        </w:tc>
        <w:tc>
          <w:tcPr>
            <w:tcW w:w="820" w:type="dxa"/>
            <w:vAlign w:val="bottom"/>
            <w:tcBorders>
              <w:right w:val="single" w:sz="8" w:color="F17BC5"/>
            </w:tcBorders>
            <w:gridSpan w:val="2"/>
            <w:shd w:val="clear" w:color="auto" w:fill="66E0DA"/>
          </w:tcPr>
          <w:p>
            <w:pPr>
              <w:jc w:val="right"/>
              <w:ind w:right="7"/>
              <w:spacing w:after="0" w:line="120" w:lineRule="exact"/>
              <w:rPr>
                <w:sz w:val="20"/>
                <w:szCs w:val="20"/>
                <w:color w:val="auto"/>
              </w:rPr>
            </w:pPr>
            <w:r>
              <w:rPr>
                <w:rFonts w:ascii="Arial" w:cs="Arial" w:eastAsia="Arial" w:hAnsi="Arial"/>
                <w:sz w:val="11"/>
                <w:szCs w:val="11"/>
                <w:color w:val="auto"/>
              </w:rPr>
              <w:t>10.1%</w:t>
            </w:r>
          </w:p>
        </w:tc>
        <w:tc>
          <w:tcPr>
            <w:tcW w:w="360" w:type="dxa"/>
            <w:vAlign w:val="bottom"/>
            <w:gridSpan w:val="2"/>
            <w:shd w:val="clear" w:color="auto" w:fill="F17BC5"/>
          </w:tcPr>
          <w:p>
            <w:pPr>
              <w:jc w:val="right"/>
              <w:spacing w:after="0" w:line="120" w:lineRule="exact"/>
              <w:rPr>
                <w:sz w:val="20"/>
                <w:szCs w:val="20"/>
                <w:color w:val="auto"/>
              </w:rPr>
            </w:pPr>
            <w:r>
              <w:rPr>
                <w:rFonts w:ascii="Arial" w:cs="Arial" w:eastAsia="Arial" w:hAnsi="Arial"/>
                <w:sz w:val="11"/>
                <w:szCs w:val="11"/>
                <w:color w:val="auto"/>
                <w:w w:val="91"/>
                <w:shd w:val="clear" w:color="auto" w:fill="F17BC5"/>
              </w:rPr>
              <w:t>-18.9%</w:t>
            </w:r>
          </w:p>
        </w:tc>
        <w:tc>
          <w:tcPr>
            <w:tcW w:w="340" w:type="dxa"/>
            <w:vAlign w:val="bottom"/>
            <w:tcBorders>
              <w:left w:val="single" w:sz="8" w:color="CCEEFF"/>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5,449</w:t>
            </w:r>
          </w:p>
        </w:tc>
        <w:tc>
          <w:tcPr>
            <w:tcW w:w="420" w:type="dxa"/>
            <w:vAlign w:val="bottom"/>
            <w:gridSpan w:val="3"/>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4,275</w:t>
            </w:r>
          </w:p>
        </w:tc>
        <w:tc>
          <w:tcPr>
            <w:tcW w:w="38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4,264</w:t>
            </w:r>
          </w:p>
        </w:tc>
        <w:tc>
          <w:tcPr>
            <w:tcW w:w="38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color w:val="auto"/>
              </w:rPr>
              <w:t>-0.3%</w:t>
            </w:r>
          </w:p>
        </w:tc>
        <w:tc>
          <w:tcPr>
            <w:tcW w:w="360" w:type="dxa"/>
            <w:vAlign w:val="bottom"/>
            <w:tcBorders>
              <w:left w:val="single" w:sz="8" w:color="CCEEFF"/>
            </w:tcBorders>
            <w:gridSpan w:val="2"/>
            <w:shd w:val="clear" w:color="auto" w:fill="F17BC5"/>
          </w:tcPr>
          <w:p>
            <w:pPr>
              <w:jc w:val="right"/>
              <w:spacing w:after="0" w:line="120" w:lineRule="exact"/>
              <w:rPr>
                <w:sz w:val="20"/>
                <w:szCs w:val="20"/>
                <w:color w:val="auto"/>
              </w:rPr>
            </w:pPr>
            <w:r>
              <w:rPr>
                <w:rFonts w:ascii="Arial" w:cs="Arial" w:eastAsia="Arial" w:hAnsi="Arial"/>
                <w:sz w:val="11"/>
                <w:szCs w:val="11"/>
                <w:color w:val="auto"/>
                <w:w w:val="91"/>
                <w:shd w:val="clear" w:color="auto" w:fill="F17BC5"/>
              </w:rPr>
              <w:t>-21.8%</w:t>
            </w:r>
          </w:p>
        </w:tc>
        <w:tc>
          <w:tcPr>
            <w:tcW w:w="36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color w:val="auto"/>
                <w:w w:val="96"/>
              </w:rPr>
              <w:t>43.5%</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56.5%</w:t>
            </w:r>
          </w:p>
        </w:tc>
      </w:tr>
      <w:tr>
        <w:trPr>
          <w:trHeight w:val="110"/>
        </w:trPr>
        <w:tc>
          <w:tcPr>
            <w:tcW w:w="820" w:type="dxa"/>
            <w:vAlign w:val="bottom"/>
          </w:tcPr>
          <w:p>
            <w:pPr>
              <w:ind w:left="320"/>
              <w:spacing w:after="0" w:line="110" w:lineRule="exact"/>
              <w:rPr>
                <w:sz w:val="20"/>
                <w:szCs w:val="20"/>
                <w:color w:val="auto"/>
              </w:rPr>
            </w:pPr>
            <w:r>
              <w:rPr>
                <w:rFonts w:ascii="Arial" w:cs="Arial" w:eastAsia="Arial" w:hAnsi="Arial"/>
                <w:sz w:val="11"/>
                <w:szCs w:val="11"/>
                <w:color w:val="auto"/>
              </w:rPr>
              <w:t>Middle-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shd w:val="clear" w:color="auto" w:fill="66E0DA"/>
          </w:tcPr>
          <w:p>
            <w:pPr>
              <w:spacing w:after="0"/>
              <w:rPr>
                <w:sz w:val="9"/>
                <w:szCs w:val="9"/>
                <w:color w:val="auto"/>
              </w:rPr>
            </w:pPr>
          </w:p>
        </w:tc>
        <w:tc>
          <w:tcPr>
            <w:tcW w:w="180" w:type="dxa"/>
            <w:vAlign w:val="bottom"/>
            <w:shd w:val="clear" w:color="auto" w:fill="66E0DA"/>
          </w:tcPr>
          <w:p>
            <w:pPr>
              <w:spacing w:after="0"/>
              <w:rPr>
                <w:sz w:val="9"/>
                <w:szCs w:val="9"/>
                <w:color w:val="auto"/>
              </w:rPr>
            </w:pPr>
          </w:p>
        </w:tc>
        <w:tc>
          <w:tcPr>
            <w:tcW w:w="480" w:type="dxa"/>
            <w:vAlign w:val="bottom"/>
            <w:shd w:val="clear" w:color="auto" w:fill="66E0DA"/>
          </w:tcPr>
          <w:p>
            <w:pPr>
              <w:spacing w:after="0"/>
              <w:rPr>
                <w:sz w:val="9"/>
                <w:szCs w:val="9"/>
                <w:color w:val="auto"/>
              </w:rPr>
            </w:pPr>
          </w:p>
        </w:tc>
        <w:tc>
          <w:tcPr>
            <w:tcW w:w="100" w:type="dxa"/>
            <w:vAlign w:val="bottom"/>
            <w:shd w:val="clear" w:color="auto" w:fill="66E0DA"/>
          </w:tcPr>
          <w:p>
            <w:pPr>
              <w:spacing w:after="0"/>
              <w:rPr>
                <w:sz w:val="9"/>
                <w:szCs w:val="9"/>
                <w:color w:val="auto"/>
              </w:rPr>
            </w:pPr>
          </w:p>
        </w:tc>
        <w:tc>
          <w:tcPr>
            <w:tcW w:w="80" w:type="dxa"/>
            <w:vAlign w:val="bottom"/>
            <w:shd w:val="clear" w:color="auto" w:fill="66E0DA"/>
          </w:tcPr>
          <w:p>
            <w:pPr>
              <w:spacing w:after="0"/>
              <w:rPr>
                <w:sz w:val="9"/>
                <w:szCs w:val="9"/>
                <w:color w:val="auto"/>
              </w:rPr>
            </w:pPr>
          </w:p>
        </w:tc>
        <w:tc>
          <w:tcPr>
            <w:tcW w:w="680" w:type="dxa"/>
            <w:vAlign w:val="bottom"/>
            <w:shd w:val="clear" w:color="auto" w:fill="66E0DA"/>
          </w:tcPr>
          <w:p>
            <w:pPr>
              <w:spacing w:after="0"/>
              <w:rPr>
                <w:sz w:val="9"/>
                <w:szCs w:val="9"/>
                <w:color w:val="auto"/>
              </w:rPr>
            </w:pPr>
          </w:p>
        </w:tc>
        <w:tc>
          <w:tcPr>
            <w:tcW w:w="140" w:type="dxa"/>
            <w:vAlign w:val="bottom"/>
            <w:tcBorders>
              <w:right w:val="single" w:sz="8" w:color="F17BC5"/>
            </w:tcBorders>
            <w:shd w:val="clear" w:color="auto" w:fill="66E0DA"/>
          </w:tcPr>
          <w:p>
            <w:pPr>
              <w:spacing w:after="0"/>
              <w:rPr>
                <w:sz w:val="9"/>
                <w:szCs w:val="9"/>
                <w:color w:val="auto"/>
              </w:rPr>
            </w:pPr>
          </w:p>
        </w:tc>
        <w:tc>
          <w:tcPr>
            <w:tcW w:w="240" w:type="dxa"/>
            <w:vAlign w:val="bottom"/>
            <w:shd w:val="clear" w:color="auto" w:fill="F17BC5"/>
          </w:tcPr>
          <w:p>
            <w:pPr>
              <w:spacing w:after="0"/>
              <w:rPr>
                <w:sz w:val="9"/>
                <w:szCs w:val="9"/>
                <w:color w:val="auto"/>
              </w:rPr>
            </w:pPr>
          </w:p>
        </w:tc>
        <w:tc>
          <w:tcPr>
            <w:tcW w:w="120" w:type="dxa"/>
            <w:vAlign w:val="bottom"/>
            <w:shd w:val="clear" w:color="auto" w:fill="F17BC5"/>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820" w:type="dxa"/>
            <w:vAlign w:val="bottom"/>
          </w:tcPr>
          <w:p>
            <w:pPr>
              <w:ind w:left="320"/>
              <w:spacing w:after="0"/>
              <w:rPr>
                <w:sz w:val="20"/>
                <w:szCs w:val="20"/>
                <w:color w:val="auto"/>
              </w:rPr>
            </w:pPr>
            <w:r>
              <w:rPr>
                <w:rFonts w:ascii="Arial" w:cs="Arial" w:eastAsia="Arial" w:hAnsi="Arial"/>
                <w:sz w:val="11"/>
                <w:szCs w:val="11"/>
                <w:color w:val="auto"/>
              </w:rPr>
              <w:t>Market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11,962</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13,398</w:t>
            </w:r>
          </w:p>
        </w:tc>
        <w:tc>
          <w:tcPr>
            <w:tcW w:w="660" w:type="dxa"/>
            <w:vAlign w:val="bottom"/>
          </w:tcPr>
          <w:p>
            <w:pPr>
              <w:jc w:val="right"/>
              <w:spacing w:after="0"/>
              <w:rPr>
                <w:sz w:val="20"/>
                <w:szCs w:val="20"/>
                <w:color w:val="auto"/>
              </w:rPr>
            </w:pPr>
            <w:r>
              <w:rPr>
                <w:rFonts w:ascii="Arial" w:cs="Arial" w:eastAsia="Arial" w:hAnsi="Arial"/>
                <w:sz w:val="11"/>
                <w:szCs w:val="11"/>
                <w:color w:val="auto"/>
              </w:rPr>
              <w:t>13,288</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9,105</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7,706</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8,074</w:t>
            </w:r>
          </w:p>
        </w:tc>
        <w:tc>
          <w:tcPr>
            <w:tcW w:w="8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-0.8%</w:t>
            </w:r>
          </w:p>
        </w:tc>
        <w:tc>
          <w:tcPr>
            <w:tcW w:w="80" w:type="dxa"/>
            <w:vAlign w:val="bottom"/>
            <w:shd w:val="clear" w:color="auto" w:fill="66E0DA"/>
          </w:tcPr>
          <w:p>
            <w:pPr>
              <w:spacing w:after="0"/>
              <w:rPr>
                <w:sz w:val="11"/>
                <w:szCs w:val="11"/>
                <w:color w:val="auto"/>
              </w:rPr>
            </w:pPr>
          </w:p>
        </w:tc>
        <w:tc>
          <w:tcPr>
            <w:tcW w:w="180" w:type="dxa"/>
            <w:vAlign w:val="bottom"/>
            <w:shd w:val="clear" w:color="auto" w:fill="66E0DA"/>
          </w:tcPr>
          <w:p>
            <w:pPr>
              <w:spacing w:after="0"/>
              <w:rPr>
                <w:sz w:val="11"/>
                <w:szCs w:val="11"/>
                <w:color w:val="auto"/>
              </w:rPr>
            </w:pPr>
          </w:p>
        </w:tc>
        <w:tc>
          <w:tcPr>
            <w:tcW w:w="580" w:type="dxa"/>
            <w:vAlign w:val="bottom"/>
            <w:gridSpan w:val="2"/>
            <w:shd w:val="clear" w:color="auto" w:fill="66E0DA"/>
          </w:tcPr>
          <w:p>
            <w:pPr>
              <w:jc w:val="right"/>
              <w:spacing w:after="0"/>
              <w:rPr>
                <w:sz w:val="20"/>
                <w:szCs w:val="20"/>
                <w:color w:val="auto"/>
              </w:rPr>
            </w:pPr>
            <w:r>
              <w:rPr>
                <w:rFonts w:ascii="Arial" w:cs="Arial" w:eastAsia="Arial" w:hAnsi="Arial"/>
                <w:sz w:val="11"/>
                <w:szCs w:val="11"/>
                <w:color w:val="auto"/>
              </w:rPr>
              <w:t>11.1%</w:t>
            </w:r>
          </w:p>
        </w:tc>
        <w:tc>
          <w:tcPr>
            <w:tcW w:w="80" w:type="dxa"/>
            <w:vAlign w:val="bottom"/>
            <w:shd w:val="clear" w:color="auto" w:fill="66E0DA"/>
          </w:tcPr>
          <w:p>
            <w:pPr>
              <w:spacing w:after="0"/>
              <w:rPr>
                <w:sz w:val="11"/>
                <w:szCs w:val="11"/>
                <w:color w:val="auto"/>
              </w:rPr>
            </w:pPr>
          </w:p>
        </w:tc>
        <w:tc>
          <w:tcPr>
            <w:tcW w:w="820" w:type="dxa"/>
            <w:vAlign w:val="bottom"/>
            <w:tcBorders>
              <w:right w:val="single" w:sz="8" w:color="F17BC5"/>
            </w:tcBorders>
            <w:gridSpan w:val="2"/>
            <w:shd w:val="clear" w:color="auto" w:fill="66E0DA"/>
          </w:tcPr>
          <w:p>
            <w:pPr>
              <w:jc w:val="right"/>
              <w:ind w:right="7"/>
              <w:spacing w:after="0"/>
              <w:rPr>
                <w:sz w:val="20"/>
                <w:szCs w:val="20"/>
                <w:color w:val="auto"/>
              </w:rPr>
            </w:pPr>
            <w:r>
              <w:rPr>
                <w:rFonts w:ascii="Arial" w:cs="Arial" w:eastAsia="Arial" w:hAnsi="Arial"/>
                <w:sz w:val="11"/>
                <w:szCs w:val="11"/>
                <w:color w:val="auto"/>
              </w:rPr>
              <w:t>4.8%</w:t>
            </w:r>
          </w:p>
        </w:tc>
        <w:tc>
          <w:tcPr>
            <w:tcW w:w="360" w:type="dxa"/>
            <w:vAlign w:val="bottom"/>
            <w:gridSpan w:val="2"/>
            <w:shd w:val="clear" w:color="auto" w:fill="F17BC5"/>
          </w:tcPr>
          <w:p>
            <w:pPr>
              <w:jc w:val="right"/>
              <w:spacing w:after="0"/>
              <w:rPr>
                <w:sz w:val="20"/>
                <w:szCs w:val="20"/>
                <w:color w:val="auto"/>
              </w:rPr>
            </w:pPr>
            <w:r>
              <w:rPr>
                <w:rFonts w:ascii="Arial" w:cs="Arial" w:eastAsia="Arial" w:hAnsi="Arial"/>
                <w:sz w:val="11"/>
                <w:szCs w:val="11"/>
                <w:color w:val="auto"/>
                <w:w w:val="91"/>
              </w:rPr>
              <w:t>-11.3%</w:t>
            </w:r>
          </w:p>
        </w:tc>
        <w:tc>
          <w:tcPr>
            <w:tcW w:w="340" w:type="dxa"/>
            <w:vAlign w:val="bottom"/>
          </w:tcPr>
          <w:p>
            <w:pPr>
              <w:jc w:val="right"/>
              <w:spacing w:after="0"/>
              <w:rPr>
                <w:sz w:val="20"/>
                <w:szCs w:val="20"/>
                <w:color w:val="auto"/>
              </w:rPr>
            </w:pPr>
            <w:r>
              <w:rPr>
                <w:rFonts w:ascii="Arial" w:cs="Arial" w:eastAsia="Arial" w:hAnsi="Arial"/>
                <w:sz w:val="11"/>
                <w:szCs w:val="11"/>
                <w:color w:val="auto"/>
              </w:rPr>
              <w:t>2,886</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2,497</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2,539</w:t>
            </w: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1.7%</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w w:val="91"/>
              </w:rPr>
              <w:t>-12.0%</w:t>
            </w:r>
          </w:p>
        </w:tc>
        <w:tc>
          <w:tcPr>
            <w:tcW w:w="360" w:type="dxa"/>
            <w:vAlign w:val="bottom"/>
            <w:gridSpan w:val="3"/>
          </w:tcPr>
          <w:p>
            <w:pPr>
              <w:jc w:val="right"/>
              <w:spacing w:after="0"/>
              <w:rPr>
                <w:sz w:val="20"/>
                <w:szCs w:val="20"/>
                <w:color w:val="auto"/>
              </w:rPr>
            </w:pPr>
            <w:r>
              <w:rPr>
                <w:rFonts w:ascii="Arial" w:cs="Arial" w:eastAsia="Arial" w:hAnsi="Arial"/>
                <w:sz w:val="11"/>
                <w:szCs w:val="11"/>
                <w:color w:val="auto"/>
                <w:w w:val="96"/>
              </w:rPr>
              <w:t>57.8%</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42.2%</w:t>
            </w:r>
          </w:p>
        </w:tc>
      </w:tr>
      <w:tr>
        <w:trPr>
          <w:trHeight w:val="106"/>
        </w:trPr>
        <w:tc>
          <w:tcPr>
            <w:tcW w:w="820" w:type="dxa"/>
            <w:vAlign w:val="bottom"/>
            <w:shd w:val="clear" w:color="auto" w:fill="CCEEFF"/>
          </w:tcPr>
          <w:p>
            <w:pPr>
              <w:ind w:left="160"/>
              <w:spacing w:after="0" w:line="106" w:lineRule="exact"/>
              <w:rPr>
                <w:sz w:val="20"/>
                <w:szCs w:val="20"/>
                <w:color w:val="auto"/>
              </w:rPr>
            </w:pPr>
            <w:r>
              <w:rPr>
                <w:rFonts w:ascii="Arial" w:cs="Arial" w:eastAsia="Arial" w:hAnsi="Arial"/>
                <w:sz w:val="11"/>
                <w:szCs w:val="11"/>
                <w:b w:val="1"/>
                <w:bCs w:val="1"/>
                <w:color w:val="auto"/>
              </w:rPr>
              <w:t>Retail</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3"/>
        </w:trPr>
        <w:tc>
          <w:tcPr>
            <w:tcW w:w="82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Banking</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43,649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55,181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55,100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39,569</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39,873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39,876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-0.1%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26.2%</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0.8%</w:t>
            </w:r>
          </w:p>
        </w:tc>
        <w:tc>
          <w:tcPr>
            <w:tcW w:w="3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2,036</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1,882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2,002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6.4%</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87.8%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12.2%</w:t>
            </w:r>
          </w:p>
        </w:tc>
      </w:tr>
      <w:tr>
        <w:trPr>
          <w:trHeight w:val="110"/>
        </w:trPr>
        <w:tc>
          <w:tcPr>
            <w:tcW w:w="820" w:type="dxa"/>
            <w:vAlign w:val="bottom"/>
          </w:tcPr>
          <w:p>
            <w:pPr>
              <w:ind w:left="320"/>
              <w:spacing w:after="0" w:line="110" w:lineRule="exact"/>
              <w:rPr>
                <w:sz w:val="20"/>
                <w:szCs w:val="20"/>
                <w:color w:val="auto"/>
              </w:rPr>
            </w:pPr>
            <w:r>
              <w:rPr>
                <w:rFonts w:ascii="Arial" w:cs="Arial" w:eastAsia="Arial" w:hAnsi="Arial"/>
                <w:sz w:val="11"/>
                <w:szCs w:val="11"/>
                <w:color w:val="auto"/>
              </w:rPr>
              <w:t>SME -</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shd w:val="clear" w:color="auto" w:fill="66E0DA"/>
          </w:tcPr>
          <w:p>
            <w:pPr>
              <w:spacing w:after="0"/>
              <w:rPr>
                <w:sz w:val="9"/>
                <w:szCs w:val="9"/>
                <w:color w:val="auto"/>
              </w:rPr>
            </w:pPr>
          </w:p>
        </w:tc>
        <w:tc>
          <w:tcPr>
            <w:tcW w:w="180" w:type="dxa"/>
            <w:vAlign w:val="bottom"/>
            <w:shd w:val="clear" w:color="auto" w:fill="66E0DA"/>
          </w:tcPr>
          <w:p>
            <w:pPr>
              <w:spacing w:after="0"/>
              <w:rPr>
                <w:sz w:val="9"/>
                <w:szCs w:val="9"/>
                <w:color w:val="auto"/>
              </w:rPr>
            </w:pPr>
          </w:p>
        </w:tc>
        <w:tc>
          <w:tcPr>
            <w:tcW w:w="480" w:type="dxa"/>
            <w:vAlign w:val="bottom"/>
            <w:shd w:val="clear" w:color="auto" w:fill="66E0DA"/>
          </w:tcPr>
          <w:p>
            <w:pPr>
              <w:spacing w:after="0"/>
              <w:rPr>
                <w:sz w:val="9"/>
                <w:szCs w:val="9"/>
                <w:color w:val="auto"/>
              </w:rPr>
            </w:pPr>
          </w:p>
        </w:tc>
        <w:tc>
          <w:tcPr>
            <w:tcW w:w="100" w:type="dxa"/>
            <w:vAlign w:val="bottom"/>
            <w:shd w:val="clear" w:color="auto" w:fill="66E0DA"/>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F17BC5"/>
            </w:tcBorders>
          </w:tcPr>
          <w:p>
            <w:pPr>
              <w:spacing w:after="0"/>
              <w:rPr>
                <w:sz w:val="9"/>
                <w:szCs w:val="9"/>
                <w:color w:val="auto"/>
              </w:rPr>
            </w:pPr>
          </w:p>
        </w:tc>
        <w:tc>
          <w:tcPr>
            <w:tcW w:w="240" w:type="dxa"/>
            <w:vAlign w:val="bottom"/>
            <w:shd w:val="clear" w:color="auto" w:fill="F17BC5"/>
          </w:tcPr>
          <w:p>
            <w:pPr>
              <w:spacing w:after="0"/>
              <w:rPr>
                <w:sz w:val="9"/>
                <w:szCs w:val="9"/>
                <w:color w:val="auto"/>
              </w:rPr>
            </w:pPr>
          </w:p>
        </w:tc>
        <w:tc>
          <w:tcPr>
            <w:tcW w:w="120" w:type="dxa"/>
            <w:vAlign w:val="bottom"/>
            <w:shd w:val="clear" w:color="auto" w:fill="F17BC5"/>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66E0DA"/>
          </w:tcPr>
          <w:p>
            <w:pPr>
              <w:spacing w:after="0"/>
              <w:rPr>
                <w:sz w:val="9"/>
                <w:szCs w:val="9"/>
                <w:color w:val="auto"/>
              </w:rPr>
            </w:pPr>
          </w:p>
        </w:tc>
        <w:tc>
          <w:tcPr>
            <w:tcW w:w="140" w:type="dxa"/>
            <w:vAlign w:val="bottom"/>
            <w:shd w:val="clear" w:color="auto" w:fill="66E0DA"/>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820" w:type="dxa"/>
            <w:vAlign w:val="bottom"/>
          </w:tcPr>
          <w:p>
            <w:pPr>
              <w:ind w:left="320"/>
              <w:spacing w:after="0"/>
              <w:rPr>
                <w:sz w:val="20"/>
                <w:szCs w:val="20"/>
                <w:color w:val="auto"/>
              </w:rPr>
            </w:pPr>
            <w:r>
              <w:rPr>
                <w:rFonts w:ascii="Arial" w:cs="Arial" w:eastAsia="Arial" w:hAnsi="Arial"/>
                <w:sz w:val="11"/>
                <w:szCs w:val="11"/>
                <w:color w:val="auto"/>
              </w:rPr>
              <w:t>Business</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4,740</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8,320</w:t>
            </w:r>
          </w:p>
        </w:tc>
        <w:tc>
          <w:tcPr>
            <w:tcW w:w="660" w:type="dxa"/>
            <w:vAlign w:val="bottom"/>
          </w:tcPr>
          <w:p>
            <w:pPr>
              <w:jc w:val="right"/>
              <w:spacing w:after="0"/>
              <w:rPr>
                <w:sz w:val="20"/>
                <w:szCs w:val="20"/>
                <w:color w:val="auto"/>
              </w:rPr>
            </w:pPr>
            <w:r>
              <w:rPr>
                <w:rFonts w:ascii="Arial" w:cs="Arial" w:eastAsia="Arial" w:hAnsi="Arial"/>
                <w:sz w:val="11"/>
                <w:szCs w:val="11"/>
                <w:color w:val="auto"/>
              </w:rPr>
              <w:t>8,284</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2,470</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1,814</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1,871</w:t>
            </w:r>
          </w:p>
        </w:tc>
        <w:tc>
          <w:tcPr>
            <w:tcW w:w="8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66E0DA"/>
          </w:tcPr>
          <w:p>
            <w:pPr>
              <w:spacing w:after="0"/>
              <w:rPr>
                <w:sz w:val="11"/>
                <w:szCs w:val="11"/>
                <w:color w:val="auto"/>
              </w:rPr>
            </w:pPr>
          </w:p>
        </w:tc>
        <w:tc>
          <w:tcPr>
            <w:tcW w:w="180" w:type="dxa"/>
            <w:vAlign w:val="bottom"/>
            <w:shd w:val="clear" w:color="auto" w:fill="66E0DA"/>
          </w:tcPr>
          <w:p>
            <w:pPr>
              <w:spacing w:after="0"/>
              <w:rPr>
                <w:sz w:val="11"/>
                <w:szCs w:val="11"/>
                <w:color w:val="auto"/>
              </w:rPr>
            </w:pPr>
          </w:p>
        </w:tc>
        <w:tc>
          <w:tcPr>
            <w:tcW w:w="580" w:type="dxa"/>
            <w:vAlign w:val="bottom"/>
            <w:gridSpan w:val="2"/>
            <w:shd w:val="clear" w:color="auto" w:fill="66E0DA"/>
          </w:tcPr>
          <w:p>
            <w:pPr>
              <w:jc w:val="right"/>
              <w:spacing w:after="0"/>
              <w:rPr>
                <w:sz w:val="20"/>
                <w:szCs w:val="20"/>
                <w:color w:val="auto"/>
              </w:rPr>
            </w:pPr>
            <w:r>
              <w:rPr>
                <w:rFonts w:ascii="Arial" w:cs="Arial" w:eastAsia="Arial" w:hAnsi="Arial"/>
                <w:sz w:val="11"/>
                <w:szCs w:val="11"/>
                <w:color w:val="auto"/>
              </w:rPr>
              <w:t>74.8%</w:t>
            </w:r>
          </w:p>
        </w:tc>
        <w:tc>
          <w:tcPr>
            <w:tcW w:w="80" w:type="dxa"/>
            <w:vAlign w:val="bottom"/>
          </w:tcPr>
          <w:p>
            <w:pPr>
              <w:spacing w:after="0"/>
              <w:rPr>
                <w:sz w:val="11"/>
                <w:szCs w:val="11"/>
                <w:color w:val="auto"/>
              </w:rPr>
            </w:pPr>
          </w:p>
        </w:tc>
        <w:tc>
          <w:tcPr>
            <w:tcW w:w="820" w:type="dxa"/>
            <w:vAlign w:val="bottom"/>
            <w:tcBorders>
              <w:right w:val="single" w:sz="8" w:color="F17BC5"/>
            </w:tcBorders>
            <w:gridSpan w:val="2"/>
          </w:tcPr>
          <w:p>
            <w:pPr>
              <w:jc w:val="right"/>
              <w:ind w:right="7"/>
              <w:spacing w:after="0"/>
              <w:rPr>
                <w:sz w:val="20"/>
                <w:szCs w:val="20"/>
                <w:color w:val="auto"/>
              </w:rPr>
            </w:pPr>
            <w:r>
              <w:rPr>
                <w:rFonts w:ascii="Arial" w:cs="Arial" w:eastAsia="Arial" w:hAnsi="Arial"/>
                <w:sz w:val="11"/>
                <w:szCs w:val="11"/>
                <w:color w:val="auto"/>
              </w:rPr>
              <w:t>3.1%</w:t>
            </w:r>
          </w:p>
        </w:tc>
        <w:tc>
          <w:tcPr>
            <w:tcW w:w="360" w:type="dxa"/>
            <w:vAlign w:val="bottom"/>
            <w:gridSpan w:val="2"/>
            <w:shd w:val="clear" w:color="auto" w:fill="F17BC5"/>
          </w:tcPr>
          <w:p>
            <w:pPr>
              <w:jc w:val="right"/>
              <w:spacing w:after="0"/>
              <w:rPr>
                <w:sz w:val="20"/>
                <w:szCs w:val="20"/>
                <w:color w:val="auto"/>
              </w:rPr>
            </w:pPr>
            <w:r>
              <w:rPr>
                <w:rFonts w:ascii="Arial" w:cs="Arial" w:eastAsia="Arial" w:hAnsi="Arial"/>
                <w:sz w:val="11"/>
                <w:szCs w:val="11"/>
                <w:color w:val="auto"/>
                <w:w w:val="91"/>
              </w:rPr>
              <w:t>-24.3%</w:t>
            </w:r>
          </w:p>
        </w:tc>
        <w:tc>
          <w:tcPr>
            <w:tcW w:w="340" w:type="dxa"/>
            <w:vAlign w:val="bottom"/>
          </w:tcPr>
          <w:p>
            <w:pPr>
              <w:jc w:val="right"/>
              <w:spacing w:after="0"/>
              <w:rPr>
                <w:sz w:val="20"/>
                <w:szCs w:val="20"/>
                <w:color w:val="auto"/>
              </w:rPr>
            </w:pPr>
            <w:r>
              <w:rPr>
                <w:rFonts w:ascii="Arial" w:cs="Arial" w:eastAsia="Arial" w:hAnsi="Arial"/>
                <w:sz w:val="11"/>
                <w:szCs w:val="11"/>
                <w:color w:val="auto"/>
              </w:rPr>
              <w:t>810</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672</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783</w:t>
            </w:r>
          </w:p>
        </w:tc>
        <w:tc>
          <w:tcPr>
            <w:tcW w:w="20" w:type="dxa"/>
            <w:vAlign w:val="bottom"/>
          </w:tcPr>
          <w:p>
            <w:pPr>
              <w:spacing w:after="0"/>
              <w:rPr>
                <w:sz w:val="11"/>
                <w:szCs w:val="11"/>
                <w:color w:val="auto"/>
              </w:rPr>
            </w:pPr>
          </w:p>
        </w:tc>
        <w:tc>
          <w:tcPr>
            <w:tcW w:w="360" w:type="dxa"/>
            <w:vAlign w:val="bottom"/>
            <w:gridSpan w:val="2"/>
            <w:shd w:val="clear" w:color="auto" w:fill="66E0DA"/>
          </w:tcPr>
          <w:p>
            <w:pPr>
              <w:jc w:val="right"/>
              <w:spacing w:after="0"/>
              <w:rPr>
                <w:sz w:val="20"/>
                <w:szCs w:val="20"/>
                <w:color w:val="auto"/>
              </w:rPr>
            </w:pPr>
            <w:r>
              <w:rPr>
                <w:rFonts w:ascii="Arial" w:cs="Arial" w:eastAsia="Arial" w:hAnsi="Arial"/>
                <w:sz w:val="11"/>
                <w:szCs w:val="11"/>
                <w:color w:val="auto"/>
                <w:w w:val="96"/>
              </w:rPr>
              <w:t>16.6%</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360" w:type="dxa"/>
            <w:vAlign w:val="bottom"/>
            <w:gridSpan w:val="3"/>
          </w:tcPr>
          <w:p>
            <w:pPr>
              <w:jc w:val="right"/>
              <w:spacing w:after="0"/>
              <w:rPr>
                <w:sz w:val="20"/>
                <w:szCs w:val="20"/>
                <w:color w:val="auto"/>
              </w:rPr>
            </w:pPr>
            <w:r>
              <w:rPr>
                <w:rFonts w:ascii="Arial" w:cs="Arial" w:eastAsia="Arial" w:hAnsi="Arial"/>
                <w:sz w:val="11"/>
                <w:szCs w:val="11"/>
                <w:color w:val="auto"/>
                <w:w w:val="96"/>
              </w:rPr>
              <w:t>73.4%</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26.6%</w:t>
            </w:r>
          </w:p>
        </w:tc>
      </w:tr>
      <w:tr>
        <w:trPr>
          <w:trHeight w:val="110"/>
        </w:trPr>
        <w:tc>
          <w:tcPr>
            <w:tcW w:w="820" w:type="dxa"/>
            <w:vAlign w:val="bottom"/>
            <w:shd w:val="clear" w:color="auto" w:fill="CCEEFF"/>
          </w:tcPr>
          <w:p>
            <w:pPr>
              <w:ind w:left="320"/>
              <w:spacing w:after="0" w:line="110" w:lineRule="exact"/>
              <w:rPr>
                <w:sz w:val="20"/>
                <w:szCs w:val="20"/>
                <w:color w:val="auto"/>
              </w:rPr>
            </w:pPr>
            <w:r>
              <w:rPr>
                <w:rFonts w:ascii="Arial" w:cs="Arial" w:eastAsia="Arial" w:hAnsi="Arial"/>
                <w:sz w:val="11"/>
                <w:szCs w:val="11"/>
                <w:color w:val="auto"/>
              </w:rPr>
              <w:t>SME -</w:t>
            </w: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tcBorders>
              <w:right w:val="single" w:sz="8" w:color="66E0DA"/>
            </w:tcBorders>
            <w:shd w:val="clear" w:color="auto" w:fill="CCEEFF"/>
          </w:tcPr>
          <w:p>
            <w:pPr>
              <w:spacing w:after="0"/>
              <w:rPr>
                <w:sz w:val="9"/>
                <w:szCs w:val="9"/>
                <w:color w:val="auto"/>
              </w:rPr>
            </w:pPr>
          </w:p>
        </w:tc>
        <w:tc>
          <w:tcPr>
            <w:tcW w:w="240" w:type="dxa"/>
            <w:vAlign w:val="bottom"/>
            <w:shd w:val="clear" w:color="auto" w:fill="66E0DA"/>
          </w:tcPr>
          <w:p>
            <w:pPr>
              <w:spacing w:after="0"/>
              <w:rPr>
                <w:sz w:val="9"/>
                <w:szCs w:val="9"/>
                <w:color w:val="auto"/>
              </w:rPr>
            </w:pPr>
          </w:p>
        </w:tc>
        <w:tc>
          <w:tcPr>
            <w:tcW w:w="120" w:type="dxa"/>
            <w:vAlign w:val="bottom"/>
            <w:shd w:val="clear" w:color="auto" w:fill="66E0DA"/>
          </w:tcPr>
          <w:p>
            <w:pPr>
              <w:spacing w:after="0"/>
              <w:rPr>
                <w:sz w:val="9"/>
                <w:szCs w:val="9"/>
                <w:color w:val="auto"/>
              </w:rPr>
            </w:pPr>
          </w:p>
        </w:tc>
        <w:tc>
          <w:tcPr>
            <w:tcW w:w="34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820" w:type="dxa"/>
            <w:vAlign w:val="bottom"/>
            <w:shd w:val="clear" w:color="auto" w:fill="CCEEFF"/>
          </w:tcPr>
          <w:p>
            <w:pPr>
              <w:ind w:left="320"/>
              <w:spacing w:after="0" w:line="120" w:lineRule="exact"/>
              <w:rPr>
                <w:sz w:val="20"/>
                <w:szCs w:val="20"/>
                <w:color w:val="auto"/>
              </w:rPr>
            </w:pPr>
            <w:r>
              <w:rPr>
                <w:rFonts w:ascii="Arial" w:cs="Arial" w:eastAsia="Arial" w:hAnsi="Arial"/>
                <w:sz w:val="11"/>
                <w:szCs w:val="11"/>
                <w:color w:val="auto"/>
              </w:rPr>
              <w:t>Pyme</w:t>
            </w:r>
          </w:p>
        </w:tc>
        <w:tc>
          <w:tcPr>
            <w:tcW w:w="78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11,700</w:t>
            </w:r>
          </w:p>
        </w:tc>
        <w:tc>
          <w:tcPr>
            <w:tcW w:w="8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19,352</w:t>
            </w: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19,463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9,891</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color w:val="auto"/>
              </w:rPr>
              <w:t>10,550</w:t>
            </w:r>
          </w:p>
        </w:tc>
        <w:tc>
          <w:tcPr>
            <w:tcW w:w="8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color w:val="auto"/>
              </w:rPr>
              <w:t>10,653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66.3%</w:t>
            </w:r>
          </w:p>
        </w:tc>
        <w:tc>
          <w:tcPr>
            <w:tcW w:w="80" w:type="dxa"/>
            <w:vAlign w:val="bottom"/>
            <w:shd w:val="clear" w:color="auto" w:fill="CCEEFF"/>
          </w:tcPr>
          <w:p>
            <w:pPr>
              <w:spacing w:after="0"/>
              <w:rPr>
                <w:sz w:val="11"/>
                <w:szCs w:val="11"/>
                <w:color w:val="auto"/>
              </w:rPr>
            </w:pPr>
          </w:p>
        </w:tc>
        <w:tc>
          <w:tcPr>
            <w:tcW w:w="820" w:type="dxa"/>
            <w:vAlign w:val="bottom"/>
            <w:tcBorders>
              <w:right w:val="single" w:sz="8" w:color="66E0DA"/>
            </w:tcBorders>
            <w:gridSpan w:val="2"/>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1.0%</w:t>
            </w:r>
          </w:p>
        </w:tc>
        <w:tc>
          <w:tcPr>
            <w:tcW w:w="360" w:type="dxa"/>
            <w:vAlign w:val="bottom"/>
            <w:gridSpan w:val="2"/>
            <w:shd w:val="clear" w:color="auto" w:fill="66E0DA"/>
          </w:tcPr>
          <w:p>
            <w:pPr>
              <w:jc w:val="right"/>
              <w:spacing w:after="0" w:line="120" w:lineRule="exact"/>
              <w:rPr>
                <w:sz w:val="20"/>
                <w:szCs w:val="20"/>
                <w:color w:val="auto"/>
              </w:rPr>
            </w:pPr>
            <w:r>
              <w:rPr>
                <w:rFonts w:ascii="Arial" w:cs="Arial" w:eastAsia="Arial" w:hAnsi="Arial"/>
                <w:sz w:val="11"/>
                <w:szCs w:val="11"/>
                <w:color w:val="auto"/>
              </w:rPr>
              <w:t>7.7%</w:t>
            </w:r>
          </w:p>
        </w:tc>
        <w:tc>
          <w:tcPr>
            <w:tcW w:w="340" w:type="dxa"/>
            <w:vAlign w:val="bottom"/>
            <w:tcBorders>
              <w:left w:val="single" w:sz="8" w:color="CCEEFF"/>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66</w:t>
            </w:r>
          </w:p>
        </w:tc>
        <w:tc>
          <w:tcPr>
            <w:tcW w:w="420" w:type="dxa"/>
            <w:vAlign w:val="bottom"/>
            <w:gridSpan w:val="3"/>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57</w:t>
            </w:r>
          </w:p>
        </w:tc>
        <w:tc>
          <w:tcPr>
            <w:tcW w:w="38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color w:val="auto"/>
              </w:rPr>
              <w:t>48</w:t>
            </w:r>
          </w:p>
        </w:tc>
        <w:tc>
          <w:tcPr>
            <w:tcW w:w="38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color w:val="auto"/>
                <w:w w:val="91"/>
              </w:rPr>
              <w:t>-15.9%</w:t>
            </w:r>
          </w:p>
        </w:tc>
        <w:tc>
          <w:tcPr>
            <w:tcW w:w="360" w:type="dxa"/>
            <w:vAlign w:val="bottom"/>
            <w:tcBorders>
              <w:left w:val="single" w:sz="8" w:color="CCEEFF"/>
            </w:tcBorders>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w w:val="91"/>
              </w:rPr>
              <w:t>-27.2%</w:t>
            </w:r>
          </w:p>
        </w:tc>
        <w:tc>
          <w:tcPr>
            <w:tcW w:w="36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color w:val="auto"/>
                <w:w w:val="96"/>
              </w:rPr>
              <w:t>99.1%</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0.9%</w:t>
            </w:r>
          </w:p>
        </w:tc>
      </w:tr>
      <w:tr>
        <w:trPr>
          <w:trHeight w:val="110"/>
        </w:trPr>
        <w:tc>
          <w:tcPr>
            <w:tcW w:w="820" w:type="dxa"/>
            <w:vAlign w:val="bottom"/>
          </w:tcPr>
          <w:p>
            <w:pPr>
              <w:ind w:left="320"/>
              <w:spacing w:after="0" w:line="110" w:lineRule="exact"/>
              <w:rPr>
                <w:sz w:val="20"/>
                <w:szCs w:val="20"/>
                <w:color w:val="auto"/>
              </w:rPr>
            </w:pPr>
            <w:r>
              <w:rPr>
                <w:rFonts w:ascii="Arial" w:cs="Arial" w:eastAsia="Arial" w:hAnsi="Arial"/>
                <w:sz w:val="11"/>
                <w:szCs w:val="11"/>
                <w:color w:val="auto"/>
              </w:rPr>
              <w:t>Mortgage</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14,794</w:t>
            </w:r>
          </w:p>
        </w:tc>
        <w:tc>
          <w:tcPr>
            <w:tcW w:w="8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15,572</w:t>
            </w:r>
          </w:p>
        </w:tc>
        <w:tc>
          <w:tcPr>
            <w:tcW w:w="660" w:type="dxa"/>
            <w:vAlign w:val="bottom"/>
          </w:tcPr>
          <w:p>
            <w:pPr>
              <w:jc w:val="right"/>
              <w:spacing w:after="0" w:line="110" w:lineRule="exact"/>
              <w:rPr>
                <w:sz w:val="20"/>
                <w:szCs w:val="20"/>
                <w:color w:val="auto"/>
              </w:rPr>
            </w:pPr>
            <w:r>
              <w:rPr>
                <w:rFonts w:ascii="Arial" w:cs="Arial" w:eastAsia="Arial" w:hAnsi="Arial"/>
                <w:sz w:val="11"/>
                <w:szCs w:val="11"/>
                <w:color w:val="auto"/>
              </w:rPr>
              <w:t>15,722</w:t>
            </w:r>
          </w:p>
        </w:tc>
        <w:tc>
          <w:tcPr>
            <w:tcW w:w="14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1"/>
                <w:szCs w:val="11"/>
                <w:color w:val="auto"/>
              </w:rPr>
              <w:t>14,794</w:t>
            </w:r>
          </w:p>
        </w:tc>
        <w:tc>
          <w:tcPr>
            <w:tcW w:w="160" w:type="dxa"/>
            <w:vAlign w:val="bottom"/>
          </w:tcPr>
          <w:p>
            <w:pPr>
              <w:spacing w:after="0"/>
              <w:rPr>
                <w:sz w:val="9"/>
                <w:szCs w:val="9"/>
                <w:color w:val="auto"/>
              </w:rPr>
            </w:pPr>
          </w:p>
        </w:tc>
        <w:tc>
          <w:tcPr>
            <w:tcW w:w="860" w:type="dxa"/>
            <w:vAlign w:val="bottom"/>
            <w:gridSpan w:val="2"/>
          </w:tcPr>
          <w:p>
            <w:pPr>
              <w:jc w:val="right"/>
              <w:ind w:right="160"/>
              <w:spacing w:after="0" w:line="110" w:lineRule="exact"/>
              <w:rPr>
                <w:sz w:val="20"/>
                <w:szCs w:val="20"/>
                <w:color w:val="auto"/>
              </w:rPr>
            </w:pPr>
            <w:r>
              <w:rPr>
                <w:rFonts w:ascii="Arial" w:cs="Arial" w:eastAsia="Arial" w:hAnsi="Arial"/>
                <w:sz w:val="11"/>
                <w:szCs w:val="11"/>
                <w:color w:val="auto"/>
              </w:rPr>
              <w:t>15,572</w:t>
            </w:r>
          </w:p>
        </w:tc>
        <w:tc>
          <w:tcPr>
            <w:tcW w:w="840" w:type="dxa"/>
            <w:vAlign w:val="bottom"/>
            <w:gridSpan w:val="2"/>
          </w:tcPr>
          <w:p>
            <w:pPr>
              <w:jc w:val="right"/>
              <w:ind w:right="160"/>
              <w:spacing w:after="0" w:line="110" w:lineRule="exact"/>
              <w:rPr>
                <w:sz w:val="20"/>
                <w:szCs w:val="20"/>
                <w:color w:val="auto"/>
              </w:rPr>
            </w:pPr>
            <w:r>
              <w:rPr>
                <w:rFonts w:ascii="Arial" w:cs="Arial" w:eastAsia="Arial" w:hAnsi="Arial"/>
                <w:sz w:val="11"/>
                <w:szCs w:val="11"/>
                <w:color w:val="auto"/>
              </w:rPr>
              <w:t>15,722</w:t>
            </w:r>
          </w:p>
        </w:tc>
        <w:tc>
          <w:tcPr>
            <w:tcW w:w="80" w:type="dxa"/>
            <w:vAlign w:val="bottom"/>
          </w:tcPr>
          <w:p>
            <w:pPr>
              <w:spacing w:after="0"/>
              <w:rPr>
                <w:sz w:val="9"/>
                <w:szCs w:val="9"/>
                <w:color w:val="auto"/>
              </w:rPr>
            </w:pPr>
          </w:p>
        </w:tc>
        <w:tc>
          <w:tcPr>
            <w:tcW w:w="700" w:type="dxa"/>
            <w:vAlign w:val="bottom"/>
            <w:gridSpan w:val="2"/>
          </w:tcPr>
          <w:p>
            <w:pPr>
              <w:jc w:val="right"/>
              <w:spacing w:after="0" w:line="110" w:lineRule="exact"/>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1"/>
                <w:szCs w:val="11"/>
                <w:color w:val="auto"/>
              </w:rPr>
              <w:t>6.3%</w:t>
            </w:r>
          </w:p>
        </w:tc>
        <w:tc>
          <w:tcPr>
            <w:tcW w:w="80" w:type="dxa"/>
            <w:vAlign w:val="bottom"/>
          </w:tcPr>
          <w:p>
            <w:pPr>
              <w:spacing w:after="0"/>
              <w:rPr>
                <w:sz w:val="9"/>
                <w:szCs w:val="9"/>
                <w:color w:val="auto"/>
              </w:rPr>
            </w:pPr>
          </w:p>
        </w:tc>
        <w:tc>
          <w:tcPr>
            <w:tcW w:w="820" w:type="dxa"/>
            <w:vAlign w:val="bottom"/>
            <w:tcBorders>
              <w:right w:val="single" w:sz="8" w:color="66E0DA"/>
            </w:tcBorders>
            <w:gridSpan w:val="2"/>
          </w:tcPr>
          <w:p>
            <w:pPr>
              <w:jc w:val="right"/>
              <w:ind w:right="7"/>
              <w:spacing w:after="0" w:line="110" w:lineRule="exact"/>
              <w:rPr>
                <w:sz w:val="20"/>
                <w:szCs w:val="20"/>
                <w:color w:val="auto"/>
              </w:rPr>
            </w:pPr>
            <w:r>
              <w:rPr>
                <w:rFonts w:ascii="Arial" w:cs="Arial" w:eastAsia="Arial" w:hAnsi="Arial"/>
                <w:sz w:val="11"/>
                <w:szCs w:val="11"/>
                <w:color w:val="auto"/>
              </w:rPr>
              <w:t>1.0%</w:t>
            </w:r>
          </w:p>
        </w:tc>
        <w:tc>
          <w:tcPr>
            <w:tcW w:w="360" w:type="dxa"/>
            <w:vAlign w:val="bottom"/>
            <w:gridSpan w:val="2"/>
            <w:shd w:val="clear" w:color="auto" w:fill="66E0DA"/>
          </w:tcPr>
          <w:p>
            <w:pPr>
              <w:jc w:val="right"/>
              <w:spacing w:after="0" w:line="110" w:lineRule="exact"/>
              <w:rPr>
                <w:sz w:val="20"/>
                <w:szCs w:val="20"/>
                <w:color w:val="auto"/>
              </w:rPr>
            </w:pPr>
            <w:r>
              <w:rPr>
                <w:rFonts w:ascii="Arial" w:cs="Arial" w:eastAsia="Arial" w:hAnsi="Arial"/>
                <w:sz w:val="11"/>
                <w:szCs w:val="11"/>
                <w:color w:val="auto"/>
                <w:shd w:val="clear" w:color="auto" w:fill="66E0DA"/>
              </w:rPr>
              <w:t>6.3%</w:t>
            </w:r>
          </w:p>
        </w:tc>
        <w:tc>
          <w:tcPr>
            <w:tcW w:w="340" w:type="dxa"/>
            <w:vAlign w:val="bottom"/>
          </w:tcPr>
          <w:p>
            <w:pPr>
              <w:jc w:val="right"/>
              <w:spacing w:after="0" w:line="110" w:lineRule="exact"/>
              <w:rPr>
                <w:sz w:val="20"/>
                <w:szCs w:val="20"/>
                <w:color w:val="auto"/>
              </w:rPr>
            </w:pPr>
            <w:r>
              <w:rPr>
                <w:rFonts w:ascii="Arial" w:cs="Arial" w:eastAsia="Arial" w:hAnsi="Arial"/>
                <w:sz w:val="11"/>
                <w:szCs w:val="11"/>
                <w:color w:val="auto"/>
              </w:rPr>
              <w:t>622</w:t>
            </w:r>
          </w:p>
        </w:tc>
        <w:tc>
          <w:tcPr>
            <w:tcW w:w="420" w:type="dxa"/>
            <w:vAlign w:val="bottom"/>
            <w:gridSpan w:val="3"/>
          </w:tcPr>
          <w:p>
            <w:pPr>
              <w:jc w:val="right"/>
              <w:ind w:right="60"/>
              <w:spacing w:after="0" w:line="110" w:lineRule="exact"/>
              <w:rPr>
                <w:sz w:val="20"/>
                <w:szCs w:val="20"/>
                <w:color w:val="auto"/>
              </w:rPr>
            </w:pPr>
            <w:r>
              <w:rPr>
                <w:rFonts w:ascii="Arial" w:cs="Arial" w:eastAsia="Arial" w:hAnsi="Arial"/>
                <w:sz w:val="11"/>
                <w:szCs w:val="11"/>
                <w:color w:val="auto"/>
              </w:rPr>
              <w:t>584</w:t>
            </w:r>
          </w:p>
        </w:tc>
        <w:tc>
          <w:tcPr>
            <w:tcW w:w="380" w:type="dxa"/>
            <w:vAlign w:val="bottom"/>
            <w:gridSpan w:val="2"/>
          </w:tcPr>
          <w:p>
            <w:pPr>
              <w:jc w:val="right"/>
              <w:ind w:right="60"/>
              <w:spacing w:after="0" w:line="110" w:lineRule="exact"/>
              <w:rPr>
                <w:sz w:val="20"/>
                <w:szCs w:val="20"/>
                <w:color w:val="auto"/>
              </w:rPr>
            </w:pPr>
            <w:r>
              <w:rPr>
                <w:rFonts w:ascii="Arial" w:cs="Arial" w:eastAsia="Arial" w:hAnsi="Arial"/>
                <w:sz w:val="11"/>
                <w:szCs w:val="11"/>
                <w:color w:val="auto"/>
              </w:rPr>
              <w:t>566</w:t>
            </w:r>
          </w:p>
        </w:tc>
        <w:tc>
          <w:tcPr>
            <w:tcW w:w="380" w:type="dxa"/>
            <w:vAlign w:val="bottom"/>
            <w:gridSpan w:val="3"/>
          </w:tcPr>
          <w:p>
            <w:pPr>
              <w:jc w:val="right"/>
              <w:spacing w:after="0" w:line="110" w:lineRule="exact"/>
              <w:rPr>
                <w:sz w:val="20"/>
                <w:szCs w:val="20"/>
                <w:color w:val="auto"/>
              </w:rPr>
            </w:pPr>
            <w:r>
              <w:rPr>
                <w:rFonts w:ascii="Arial" w:cs="Arial" w:eastAsia="Arial" w:hAnsi="Arial"/>
                <w:sz w:val="11"/>
                <w:szCs w:val="11"/>
                <w:color w:val="auto"/>
              </w:rPr>
              <w:t>-3.0%</w:t>
            </w:r>
          </w:p>
        </w:tc>
        <w:tc>
          <w:tcPr>
            <w:tcW w:w="360" w:type="dxa"/>
            <w:vAlign w:val="bottom"/>
            <w:gridSpan w:val="2"/>
          </w:tcPr>
          <w:p>
            <w:pPr>
              <w:jc w:val="right"/>
              <w:spacing w:after="0" w:line="110" w:lineRule="exact"/>
              <w:rPr>
                <w:sz w:val="20"/>
                <w:szCs w:val="20"/>
                <w:color w:val="auto"/>
              </w:rPr>
            </w:pPr>
            <w:r>
              <w:rPr>
                <w:rFonts w:ascii="Arial" w:cs="Arial" w:eastAsia="Arial" w:hAnsi="Arial"/>
                <w:sz w:val="11"/>
                <w:szCs w:val="11"/>
                <w:color w:val="auto"/>
              </w:rPr>
              <w:t>-9.0%</w:t>
            </w:r>
          </w:p>
        </w:tc>
        <w:tc>
          <w:tcPr>
            <w:tcW w:w="360" w:type="dxa"/>
            <w:vAlign w:val="bottom"/>
            <w:gridSpan w:val="3"/>
          </w:tcPr>
          <w:p>
            <w:pPr>
              <w:jc w:val="right"/>
              <w:spacing w:after="0" w:line="110" w:lineRule="exact"/>
              <w:rPr>
                <w:sz w:val="20"/>
                <w:szCs w:val="20"/>
                <w:color w:val="auto"/>
              </w:rPr>
            </w:pPr>
            <w:r>
              <w:rPr>
                <w:rFonts w:ascii="Arial" w:cs="Arial" w:eastAsia="Arial" w:hAnsi="Arial"/>
                <w:sz w:val="11"/>
                <w:szCs w:val="11"/>
                <w:color w:val="auto"/>
                <w:w w:val="96"/>
              </w:rPr>
              <w:t>87.9%</w:t>
            </w:r>
          </w:p>
        </w:tc>
        <w:tc>
          <w:tcPr>
            <w:tcW w:w="380" w:type="dxa"/>
            <w:vAlign w:val="bottom"/>
            <w:gridSpan w:val="2"/>
          </w:tcPr>
          <w:p>
            <w:pPr>
              <w:jc w:val="right"/>
              <w:spacing w:after="0" w:line="110" w:lineRule="exact"/>
              <w:rPr>
                <w:sz w:val="20"/>
                <w:szCs w:val="20"/>
                <w:color w:val="auto"/>
              </w:rPr>
            </w:pPr>
            <w:r>
              <w:rPr>
                <w:rFonts w:ascii="Arial" w:cs="Arial" w:eastAsia="Arial" w:hAnsi="Arial"/>
                <w:sz w:val="11"/>
                <w:szCs w:val="11"/>
                <w:color w:val="auto"/>
              </w:rPr>
              <w:t>12.1%</w:t>
            </w:r>
          </w:p>
        </w:tc>
      </w:tr>
      <w:tr>
        <w:trPr>
          <w:trHeight w:val="129"/>
        </w:trPr>
        <w:tc>
          <w:tcPr>
            <w:tcW w:w="820" w:type="dxa"/>
            <w:vAlign w:val="bottom"/>
            <w:shd w:val="clear" w:color="auto" w:fill="CCEEFF"/>
          </w:tcPr>
          <w:p>
            <w:pPr>
              <w:ind w:left="320"/>
              <w:spacing w:after="0"/>
              <w:rPr>
                <w:sz w:val="20"/>
                <w:szCs w:val="20"/>
                <w:color w:val="auto"/>
              </w:rPr>
            </w:pPr>
            <w:r>
              <w:rPr>
                <w:rFonts w:ascii="Arial" w:cs="Arial" w:eastAsia="Arial" w:hAnsi="Arial"/>
                <w:sz w:val="11"/>
                <w:szCs w:val="11"/>
                <w:color w:val="auto"/>
                <w:w w:val="94"/>
              </w:rPr>
              <w:t>Consumer</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7,899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8,436</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8,491</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7,899</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8,491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1"/>
                <w:szCs w:val="11"/>
                <w:color w:val="auto"/>
              </w:rPr>
            </w:pPr>
          </w:p>
        </w:tc>
        <w:tc>
          <w:tcPr>
            <w:tcW w:w="820" w:type="dxa"/>
            <w:vAlign w:val="bottom"/>
            <w:tcBorders>
              <w:right w:val="single" w:sz="8" w:color="66E0DA"/>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0.7%</w:t>
            </w:r>
          </w:p>
        </w:tc>
        <w:tc>
          <w:tcPr>
            <w:tcW w:w="360" w:type="dxa"/>
            <w:vAlign w:val="bottom"/>
            <w:gridSpan w:val="2"/>
            <w:shd w:val="clear" w:color="auto" w:fill="66E0DA"/>
          </w:tcPr>
          <w:p>
            <w:pPr>
              <w:jc w:val="right"/>
              <w:spacing w:after="0"/>
              <w:rPr>
                <w:sz w:val="20"/>
                <w:szCs w:val="20"/>
                <w:color w:val="auto"/>
              </w:rPr>
            </w:pPr>
            <w:r>
              <w:rPr>
                <w:rFonts w:ascii="Arial" w:cs="Arial" w:eastAsia="Arial" w:hAnsi="Arial"/>
                <w:sz w:val="11"/>
                <w:szCs w:val="11"/>
                <w:color w:val="auto"/>
              </w:rPr>
              <w:t>7.5%</w:t>
            </w:r>
          </w:p>
        </w:tc>
        <w:tc>
          <w:tcPr>
            <w:tcW w:w="3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414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6"/>
              </w:rPr>
              <w:t>84.3%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15.7%</w:t>
            </w:r>
          </w:p>
        </w:tc>
      </w:tr>
      <w:tr>
        <w:trPr>
          <w:trHeight w:val="110"/>
        </w:trPr>
        <w:tc>
          <w:tcPr>
            <w:tcW w:w="820" w:type="dxa"/>
            <w:vAlign w:val="bottom"/>
          </w:tcPr>
          <w:p>
            <w:pPr>
              <w:ind w:left="320"/>
              <w:spacing w:after="0" w:line="110" w:lineRule="exact"/>
              <w:rPr>
                <w:sz w:val="20"/>
                <w:szCs w:val="20"/>
                <w:color w:val="auto"/>
              </w:rPr>
            </w:pPr>
            <w:r>
              <w:rPr>
                <w:rFonts w:ascii="Arial" w:cs="Arial" w:eastAsia="Arial" w:hAnsi="Arial"/>
                <w:sz w:val="11"/>
                <w:szCs w:val="11"/>
                <w:color w:val="auto"/>
              </w:rPr>
              <w:t>Credit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shd w:val="clear" w:color="auto" w:fill="F17BC5"/>
          </w:tcPr>
          <w:p>
            <w:pPr>
              <w:spacing w:after="0"/>
              <w:rPr>
                <w:sz w:val="9"/>
                <w:szCs w:val="9"/>
                <w:color w:val="auto"/>
              </w:rPr>
            </w:pPr>
          </w:p>
        </w:tc>
        <w:tc>
          <w:tcPr>
            <w:tcW w:w="580" w:type="dxa"/>
            <w:vAlign w:val="bottom"/>
            <w:shd w:val="clear" w:color="auto" w:fill="F17BC5"/>
          </w:tcPr>
          <w:p>
            <w:pPr>
              <w:spacing w:after="0"/>
              <w:rPr>
                <w:sz w:val="9"/>
                <w:szCs w:val="9"/>
                <w:color w:val="auto"/>
              </w:rPr>
            </w:pPr>
          </w:p>
        </w:tc>
        <w:tc>
          <w:tcPr>
            <w:tcW w:w="120" w:type="dxa"/>
            <w:vAlign w:val="bottom"/>
            <w:shd w:val="clear" w:color="auto" w:fill="F17BC5"/>
          </w:tcPr>
          <w:p>
            <w:pPr>
              <w:spacing w:after="0"/>
              <w:rPr>
                <w:sz w:val="9"/>
                <w:szCs w:val="9"/>
                <w:color w:val="auto"/>
              </w:rPr>
            </w:pPr>
          </w:p>
        </w:tc>
        <w:tc>
          <w:tcPr>
            <w:tcW w:w="80" w:type="dxa"/>
            <w:vAlign w:val="bottom"/>
            <w:shd w:val="clear" w:color="auto" w:fill="F17BC5"/>
          </w:tcPr>
          <w:p>
            <w:pPr>
              <w:spacing w:after="0"/>
              <w:rPr>
                <w:sz w:val="9"/>
                <w:szCs w:val="9"/>
                <w:color w:val="auto"/>
              </w:rPr>
            </w:pPr>
          </w:p>
        </w:tc>
        <w:tc>
          <w:tcPr>
            <w:tcW w:w="180" w:type="dxa"/>
            <w:vAlign w:val="bottom"/>
            <w:shd w:val="clear" w:color="auto" w:fill="F17BC5"/>
          </w:tcPr>
          <w:p>
            <w:pPr>
              <w:spacing w:after="0"/>
              <w:rPr>
                <w:sz w:val="9"/>
                <w:szCs w:val="9"/>
                <w:color w:val="auto"/>
              </w:rPr>
            </w:pPr>
          </w:p>
        </w:tc>
        <w:tc>
          <w:tcPr>
            <w:tcW w:w="480" w:type="dxa"/>
            <w:vAlign w:val="bottom"/>
            <w:shd w:val="clear" w:color="auto" w:fill="F17BC5"/>
          </w:tcPr>
          <w:p>
            <w:pPr>
              <w:spacing w:after="0"/>
              <w:rPr>
                <w:sz w:val="9"/>
                <w:szCs w:val="9"/>
                <w:color w:val="auto"/>
              </w:rPr>
            </w:pPr>
          </w:p>
        </w:tc>
        <w:tc>
          <w:tcPr>
            <w:tcW w:w="100" w:type="dxa"/>
            <w:vAlign w:val="bottom"/>
            <w:shd w:val="clear" w:color="auto" w:fill="F17BC5"/>
          </w:tcPr>
          <w:p>
            <w:pPr>
              <w:spacing w:after="0"/>
              <w:rPr>
                <w:sz w:val="9"/>
                <w:szCs w:val="9"/>
                <w:color w:val="auto"/>
              </w:rPr>
            </w:pPr>
          </w:p>
        </w:tc>
        <w:tc>
          <w:tcPr>
            <w:tcW w:w="80" w:type="dxa"/>
            <w:vAlign w:val="bottom"/>
            <w:shd w:val="clear" w:color="auto" w:fill="F17BC5"/>
          </w:tcPr>
          <w:p>
            <w:pPr>
              <w:spacing w:after="0"/>
              <w:rPr>
                <w:sz w:val="9"/>
                <w:szCs w:val="9"/>
                <w:color w:val="auto"/>
              </w:rPr>
            </w:pPr>
          </w:p>
        </w:tc>
        <w:tc>
          <w:tcPr>
            <w:tcW w:w="680" w:type="dxa"/>
            <w:vAlign w:val="bottom"/>
            <w:shd w:val="clear" w:color="auto" w:fill="F17BC5"/>
          </w:tcPr>
          <w:p>
            <w:pPr>
              <w:spacing w:after="0"/>
              <w:rPr>
                <w:sz w:val="9"/>
                <w:szCs w:val="9"/>
                <w:color w:val="auto"/>
              </w:rPr>
            </w:pPr>
          </w:p>
        </w:tc>
        <w:tc>
          <w:tcPr>
            <w:tcW w:w="140" w:type="dxa"/>
            <w:vAlign w:val="bottom"/>
            <w:tcBorders>
              <w:right w:val="single" w:sz="8" w:color="F17BC5"/>
            </w:tcBorders>
            <w:shd w:val="clear" w:color="auto" w:fill="F17BC5"/>
          </w:tcPr>
          <w:p>
            <w:pPr>
              <w:spacing w:after="0"/>
              <w:rPr>
                <w:sz w:val="9"/>
                <w:szCs w:val="9"/>
                <w:color w:val="auto"/>
              </w:rPr>
            </w:pPr>
          </w:p>
        </w:tc>
        <w:tc>
          <w:tcPr>
            <w:tcW w:w="240" w:type="dxa"/>
            <w:vAlign w:val="bottom"/>
            <w:shd w:val="clear" w:color="auto" w:fill="F17BC5"/>
          </w:tcPr>
          <w:p>
            <w:pPr>
              <w:spacing w:after="0"/>
              <w:rPr>
                <w:sz w:val="9"/>
                <w:szCs w:val="9"/>
                <w:color w:val="auto"/>
              </w:rPr>
            </w:pPr>
          </w:p>
        </w:tc>
        <w:tc>
          <w:tcPr>
            <w:tcW w:w="120" w:type="dxa"/>
            <w:vAlign w:val="bottom"/>
            <w:shd w:val="clear" w:color="auto" w:fill="F17BC5"/>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820" w:type="dxa"/>
            <w:vAlign w:val="bottom"/>
          </w:tcPr>
          <w:p>
            <w:pPr>
              <w:ind w:left="320"/>
              <w:spacing w:after="0"/>
              <w:rPr>
                <w:sz w:val="20"/>
                <w:szCs w:val="20"/>
                <w:color w:val="auto"/>
              </w:rPr>
            </w:pPr>
            <w:r>
              <w:rPr>
                <w:rFonts w:ascii="Arial" w:cs="Arial" w:eastAsia="Arial" w:hAnsi="Arial"/>
                <w:sz w:val="11"/>
                <w:szCs w:val="11"/>
                <w:color w:val="auto"/>
              </w:rPr>
              <w:t>Card</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4,515</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3,502</w:t>
            </w:r>
          </w:p>
        </w:tc>
        <w:tc>
          <w:tcPr>
            <w:tcW w:w="660" w:type="dxa"/>
            <w:vAlign w:val="bottom"/>
          </w:tcPr>
          <w:p>
            <w:pPr>
              <w:jc w:val="right"/>
              <w:spacing w:after="0"/>
              <w:rPr>
                <w:sz w:val="20"/>
                <w:szCs w:val="20"/>
                <w:color w:val="auto"/>
              </w:rPr>
            </w:pPr>
            <w:r>
              <w:rPr>
                <w:rFonts w:ascii="Arial" w:cs="Arial" w:eastAsia="Arial" w:hAnsi="Arial"/>
                <w:sz w:val="11"/>
                <w:szCs w:val="11"/>
                <w:color w:val="auto"/>
              </w:rPr>
              <w:t>3,139</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4,515</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3,502</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3,139</w:t>
            </w:r>
          </w:p>
        </w:tc>
        <w:tc>
          <w:tcPr>
            <w:tcW w:w="80" w:type="dxa"/>
            <w:vAlign w:val="bottom"/>
            <w:shd w:val="clear" w:color="auto" w:fill="F17BC5"/>
          </w:tcPr>
          <w:p>
            <w:pPr>
              <w:spacing w:after="0"/>
              <w:rPr>
                <w:sz w:val="11"/>
                <w:szCs w:val="11"/>
                <w:color w:val="auto"/>
              </w:rPr>
            </w:pPr>
          </w:p>
        </w:tc>
        <w:tc>
          <w:tcPr>
            <w:tcW w:w="700" w:type="dxa"/>
            <w:vAlign w:val="bottom"/>
            <w:gridSpan w:val="2"/>
            <w:shd w:val="clear" w:color="auto" w:fill="F17BC5"/>
          </w:tcPr>
          <w:p>
            <w:pPr>
              <w:jc w:val="right"/>
              <w:spacing w:after="0"/>
              <w:rPr>
                <w:sz w:val="20"/>
                <w:szCs w:val="20"/>
                <w:color w:val="auto"/>
              </w:rPr>
            </w:pPr>
            <w:r>
              <w:rPr>
                <w:rFonts w:ascii="Arial" w:cs="Arial" w:eastAsia="Arial" w:hAnsi="Arial"/>
                <w:sz w:val="11"/>
                <w:szCs w:val="11"/>
                <w:color w:val="auto"/>
              </w:rPr>
              <w:t>-10.3%</w:t>
            </w:r>
          </w:p>
        </w:tc>
        <w:tc>
          <w:tcPr>
            <w:tcW w:w="80" w:type="dxa"/>
            <w:vAlign w:val="bottom"/>
            <w:shd w:val="clear" w:color="auto" w:fill="F17BC5"/>
          </w:tcPr>
          <w:p>
            <w:pPr>
              <w:spacing w:after="0"/>
              <w:rPr>
                <w:sz w:val="11"/>
                <w:szCs w:val="11"/>
                <w:color w:val="auto"/>
              </w:rPr>
            </w:pPr>
          </w:p>
        </w:tc>
        <w:tc>
          <w:tcPr>
            <w:tcW w:w="180" w:type="dxa"/>
            <w:vAlign w:val="bottom"/>
            <w:shd w:val="clear" w:color="auto" w:fill="F17BC5"/>
          </w:tcPr>
          <w:p>
            <w:pPr>
              <w:spacing w:after="0"/>
              <w:rPr>
                <w:sz w:val="11"/>
                <w:szCs w:val="11"/>
                <w:color w:val="auto"/>
              </w:rPr>
            </w:pPr>
          </w:p>
        </w:tc>
        <w:tc>
          <w:tcPr>
            <w:tcW w:w="580" w:type="dxa"/>
            <w:vAlign w:val="bottom"/>
            <w:gridSpan w:val="2"/>
            <w:shd w:val="clear" w:color="auto" w:fill="F17BC5"/>
          </w:tcPr>
          <w:p>
            <w:pPr>
              <w:jc w:val="right"/>
              <w:spacing w:after="0"/>
              <w:rPr>
                <w:sz w:val="20"/>
                <w:szCs w:val="20"/>
                <w:color w:val="auto"/>
              </w:rPr>
            </w:pPr>
            <w:r>
              <w:rPr>
                <w:rFonts w:ascii="Arial" w:cs="Arial" w:eastAsia="Arial" w:hAnsi="Arial"/>
                <w:sz w:val="11"/>
                <w:szCs w:val="11"/>
                <w:color w:val="auto"/>
              </w:rPr>
              <w:t>-30.5%</w:t>
            </w:r>
          </w:p>
        </w:tc>
        <w:tc>
          <w:tcPr>
            <w:tcW w:w="80" w:type="dxa"/>
            <w:vAlign w:val="bottom"/>
            <w:shd w:val="clear" w:color="auto" w:fill="F17BC5"/>
          </w:tcPr>
          <w:p>
            <w:pPr>
              <w:spacing w:after="0"/>
              <w:rPr>
                <w:sz w:val="11"/>
                <w:szCs w:val="11"/>
                <w:color w:val="auto"/>
              </w:rPr>
            </w:pPr>
          </w:p>
        </w:tc>
        <w:tc>
          <w:tcPr>
            <w:tcW w:w="820" w:type="dxa"/>
            <w:vAlign w:val="bottom"/>
            <w:tcBorders>
              <w:right w:val="single" w:sz="8" w:color="F17BC5"/>
            </w:tcBorders>
            <w:gridSpan w:val="2"/>
            <w:shd w:val="clear" w:color="auto" w:fill="F17BC5"/>
          </w:tcPr>
          <w:p>
            <w:pPr>
              <w:jc w:val="right"/>
              <w:ind w:right="7"/>
              <w:spacing w:after="0"/>
              <w:rPr>
                <w:sz w:val="20"/>
                <w:szCs w:val="20"/>
                <w:color w:val="auto"/>
              </w:rPr>
            </w:pPr>
            <w:r>
              <w:rPr>
                <w:rFonts w:ascii="Arial" w:cs="Arial" w:eastAsia="Arial" w:hAnsi="Arial"/>
                <w:sz w:val="11"/>
                <w:szCs w:val="11"/>
                <w:color w:val="auto"/>
              </w:rPr>
              <w:t>-10.3%</w:t>
            </w:r>
          </w:p>
        </w:tc>
        <w:tc>
          <w:tcPr>
            <w:tcW w:w="360" w:type="dxa"/>
            <w:vAlign w:val="bottom"/>
            <w:gridSpan w:val="2"/>
            <w:shd w:val="clear" w:color="auto" w:fill="F17BC5"/>
          </w:tcPr>
          <w:p>
            <w:pPr>
              <w:jc w:val="right"/>
              <w:spacing w:after="0"/>
              <w:rPr>
                <w:sz w:val="20"/>
                <w:szCs w:val="20"/>
                <w:color w:val="auto"/>
              </w:rPr>
            </w:pPr>
            <w:r>
              <w:rPr>
                <w:rFonts w:ascii="Arial" w:cs="Arial" w:eastAsia="Arial" w:hAnsi="Arial"/>
                <w:sz w:val="11"/>
                <w:szCs w:val="11"/>
                <w:color w:val="auto"/>
                <w:w w:val="91"/>
              </w:rPr>
              <w:t>-30.5%</w:t>
            </w:r>
          </w:p>
        </w:tc>
        <w:tc>
          <w:tcPr>
            <w:tcW w:w="340" w:type="dxa"/>
            <w:vAlign w:val="bottom"/>
          </w:tcPr>
          <w:p>
            <w:pPr>
              <w:jc w:val="right"/>
              <w:spacing w:after="0"/>
              <w:rPr>
                <w:sz w:val="20"/>
                <w:szCs w:val="20"/>
                <w:color w:val="auto"/>
              </w:rPr>
            </w:pPr>
            <w:r>
              <w:rPr>
                <w:rFonts w:ascii="Arial" w:cs="Arial" w:eastAsia="Arial" w:hAnsi="Arial"/>
                <w:sz w:val="11"/>
                <w:szCs w:val="11"/>
                <w:color w:val="auto"/>
              </w:rPr>
              <w:t>185</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156</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190</w:t>
            </w: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22.0%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2.7%</w:t>
            </w:r>
          </w:p>
        </w:tc>
        <w:tc>
          <w:tcPr>
            <w:tcW w:w="360" w:type="dxa"/>
            <w:vAlign w:val="bottom"/>
            <w:gridSpan w:val="3"/>
          </w:tcPr>
          <w:p>
            <w:pPr>
              <w:jc w:val="right"/>
              <w:spacing w:after="0"/>
              <w:rPr>
                <w:sz w:val="20"/>
                <w:szCs w:val="20"/>
                <w:color w:val="auto"/>
              </w:rPr>
            </w:pPr>
            <w:r>
              <w:rPr>
                <w:rFonts w:ascii="Arial" w:cs="Arial" w:eastAsia="Arial" w:hAnsi="Arial"/>
                <w:sz w:val="11"/>
                <w:szCs w:val="11"/>
                <w:color w:val="auto"/>
                <w:w w:val="96"/>
              </w:rPr>
              <w:t>81.2%</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18.8%</w:t>
            </w:r>
          </w:p>
        </w:tc>
      </w:tr>
      <w:tr>
        <w:trPr>
          <w:trHeight w:val="120"/>
        </w:trPr>
        <w:tc>
          <w:tcPr>
            <w:tcW w:w="820" w:type="dxa"/>
            <w:vAlign w:val="bottom"/>
            <w:shd w:val="clear" w:color="auto" w:fill="CCEEFF"/>
          </w:tcPr>
          <w:p>
            <w:pPr>
              <w:spacing w:after="0" w:line="120" w:lineRule="exact"/>
              <w:rPr>
                <w:sz w:val="20"/>
                <w:szCs w:val="20"/>
                <w:color w:val="auto"/>
              </w:rPr>
            </w:pPr>
            <w:r>
              <w:rPr>
                <w:rFonts w:ascii="Arial" w:cs="Arial" w:eastAsia="Arial" w:hAnsi="Arial"/>
                <w:sz w:val="11"/>
                <w:szCs w:val="11"/>
                <w:b w:val="1"/>
                <w:bCs w:val="1"/>
                <w:color w:val="auto"/>
              </w:rPr>
              <w:t>Mibanco</w:t>
            </w:r>
          </w:p>
        </w:tc>
        <w:tc>
          <w:tcPr>
            <w:tcW w:w="78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b w:val="1"/>
                <w:bCs w:val="1"/>
                <w:color w:val="auto"/>
              </w:rPr>
              <w:t>10,276</w:t>
            </w:r>
          </w:p>
        </w:tc>
        <w:tc>
          <w:tcPr>
            <w:tcW w:w="8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b w:val="1"/>
                <w:bCs w:val="1"/>
                <w:color w:val="auto"/>
              </w:rPr>
              <w:t>12,441</w:t>
            </w: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12,551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9,960</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b w:val="1"/>
                <w:bCs w:val="1"/>
                <w:color w:val="auto"/>
              </w:rPr>
              <w:t>9,619</w:t>
            </w:r>
          </w:p>
        </w:tc>
        <w:tc>
          <w:tcPr>
            <w:tcW w:w="8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b w:val="1"/>
                <w:bCs w:val="1"/>
                <w:color w:val="auto"/>
              </w:rPr>
              <w:t>9,760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0.9%</w:t>
            </w:r>
          </w:p>
        </w:tc>
        <w:tc>
          <w:tcPr>
            <w:tcW w:w="80" w:type="dxa"/>
            <w:vAlign w:val="bottom"/>
            <w:shd w:val="clear" w:color="auto" w:fill="66E0DA"/>
          </w:tcPr>
          <w:p>
            <w:pPr>
              <w:spacing w:after="0"/>
              <w:rPr>
                <w:sz w:val="10"/>
                <w:szCs w:val="10"/>
                <w:color w:val="auto"/>
              </w:rPr>
            </w:pPr>
          </w:p>
        </w:tc>
        <w:tc>
          <w:tcPr>
            <w:tcW w:w="180" w:type="dxa"/>
            <w:vAlign w:val="bottom"/>
            <w:shd w:val="clear" w:color="auto" w:fill="66E0DA"/>
          </w:tcPr>
          <w:p>
            <w:pPr>
              <w:spacing w:after="0"/>
              <w:rPr>
                <w:sz w:val="10"/>
                <w:szCs w:val="10"/>
                <w:color w:val="auto"/>
              </w:rPr>
            </w:pPr>
          </w:p>
        </w:tc>
        <w:tc>
          <w:tcPr>
            <w:tcW w:w="580" w:type="dxa"/>
            <w:vAlign w:val="bottom"/>
            <w:gridSpan w:val="2"/>
            <w:shd w:val="clear" w:color="auto" w:fill="66E0DA"/>
          </w:tcPr>
          <w:p>
            <w:pPr>
              <w:jc w:val="right"/>
              <w:spacing w:after="0" w:line="120" w:lineRule="exact"/>
              <w:rPr>
                <w:sz w:val="20"/>
                <w:szCs w:val="20"/>
                <w:color w:val="auto"/>
              </w:rPr>
            </w:pPr>
            <w:r>
              <w:rPr>
                <w:rFonts w:ascii="Arial" w:cs="Arial" w:eastAsia="Arial" w:hAnsi="Arial"/>
                <w:sz w:val="11"/>
                <w:szCs w:val="11"/>
                <w:b w:val="1"/>
                <w:bCs w:val="1"/>
                <w:color w:val="auto"/>
              </w:rPr>
              <w:t>22.1%</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1.5%</w:t>
            </w:r>
          </w:p>
        </w:tc>
        <w:tc>
          <w:tcPr>
            <w:tcW w:w="3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-2.0%</w:t>
            </w:r>
          </w:p>
        </w:tc>
        <w:tc>
          <w:tcPr>
            <w:tcW w:w="340" w:type="dxa"/>
            <w:vAlign w:val="bottom"/>
            <w:tcBorders>
              <w:left w:val="single" w:sz="8" w:color="CCEEFF"/>
            </w:tcBorders>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159</w:t>
            </w:r>
          </w:p>
        </w:tc>
        <w:tc>
          <w:tcPr>
            <w:tcW w:w="420" w:type="dxa"/>
            <w:vAlign w:val="bottom"/>
            <w:gridSpan w:val="3"/>
            <w:shd w:val="clear" w:color="auto" w:fill="CCEEFF"/>
          </w:tcPr>
          <w:p>
            <w:pPr>
              <w:jc w:val="right"/>
              <w:ind w:right="60"/>
              <w:spacing w:after="0" w:line="120" w:lineRule="exact"/>
              <w:rPr>
                <w:sz w:val="20"/>
                <w:szCs w:val="20"/>
                <w:color w:val="auto"/>
              </w:rPr>
            </w:pPr>
            <w:r>
              <w:rPr>
                <w:rFonts w:ascii="Arial" w:cs="Arial" w:eastAsia="Arial" w:hAnsi="Arial"/>
                <w:sz w:val="11"/>
                <w:szCs w:val="11"/>
                <w:b w:val="1"/>
                <w:bCs w:val="1"/>
                <w:color w:val="auto"/>
              </w:rPr>
              <w:t>131</w:t>
            </w:r>
          </w:p>
        </w:tc>
        <w:tc>
          <w:tcPr>
            <w:tcW w:w="38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b w:val="1"/>
                <w:bCs w:val="1"/>
                <w:color w:val="auto"/>
              </w:rPr>
              <w:t>124</w:t>
            </w:r>
          </w:p>
        </w:tc>
        <w:tc>
          <w:tcPr>
            <w:tcW w:w="740" w:type="dxa"/>
            <w:vAlign w:val="bottom"/>
            <w:gridSpan w:val="5"/>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-5.7% -22.2%</w:t>
            </w:r>
          </w:p>
        </w:tc>
        <w:tc>
          <w:tcPr>
            <w:tcW w:w="36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96.4%</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3.6%</w:t>
            </w:r>
          </w:p>
        </w:tc>
      </w:tr>
      <w:tr>
        <w:trPr>
          <w:trHeight w:val="106"/>
        </w:trPr>
        <w:tc>
          <w:tcPr>
            <w:tcW w:w="820" w:type="dxa"/>
            <w:vAlign w:val="bottom"/>
          </w:tcPr>
          <w:p>
            <w:pPr>
              <w:spacing w:after="0" w:line="106" w:lineRule="exact"/>
              <w:rPr>
                <w:sz w:val="20"/>
                <w:szCs w:val="20"/>
                <w:color w:val="auto"/>
              </w:rPr>
            </w:pPr>
            <w:r>
              <w:rPr>
                <w:rFonts w:ascii="Arial" w:cs="Arial" w:eastAsia="Arial" w:hAnsi="Arial"/>
                <w:sz w:val="11"/>
                <w:szCs w:val="11"/>
                <w:b w:val="1"/>
                <w:bCs w:val="1"/>
                <w:color w:val="auto"/>
              </w:rPr>
              <w:t>Mibanco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3"/>
        </w:trPr>
        <w:tc>
          <w:tcPr>
            <w:tcW w:w="820" w:type="dxa"/>
            <w:vAlign w:val="bottom"/>
          </w:tcPr>
          <w:p>
            <w:pPr>
              <w:spacing w:after="0"/>
              <w:rPr>
                <w:sz w:val="20"/>
                <w:szCs w:val="20"/>
                <w:color w:val="auto"/>
              </w:rPr>
            </w:pPr>
            <w:r>
              <w:rPr>
                <w:rFonts w:ascii="Arial" w:cs="Arial" w:eastAsia="Arial" w:hAnsi="Arial"/>
                <w:sz w:val="11"/>
                <w:szCs w:val="11"/>
                <w:b w:val="1"/>
                <w:bCs w:val="1"/>
                <w:color w:val="auto"/>
              </w:rPr>
              <w:t>Colombia</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220</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247</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252</w:t>
            </w:r>
          </w:p>
        </w:tc>
        <w:tc>
          <w:tcPr>
            <w:tcW w:w="380" w:type="dxa"/>
            <w:vAlign w:val="bottom"/>
            <w:gridSpan w:val="3"/>
          </w:tcPr>
          <w:p>
            <w:pPr>
              <w:jc w:val="right"/>
              <w:spacing w:after="0"/>
              <w:rPr>
                <w:sz w:val="20"/>
                <w:szCs w:val="20"/>
                <w:color w:val="auto"/>
              </w:rPr>
            </w:pPr>
            <w:r>
              <w:rPr>
                <w:rFonts w:ascii="Arial" w:cs="Arial" w:eastAsia="Arial" w:hAnsi="Arial"/>
                <w:sz w:val="11"/>
                <w:szCs w:val="11"/>
                <w:b w:val="1"/>
                <w:bCs w:val="1"/>
                <w:color w:val="auto"/>
              </w:rPr>
              <w:t>2.1%</w:t>
            </w: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14.7%</w:t>
            </w:r>
          </w:p>
        </w:tc>
        <w:tc>
          <w:tcPr>
            <w:tcW w:w="360" w:type="dxa"/>
            <w:vAlign w:val="bottom"/>
            <w:gridSpan w:val="3"/>
          </w:tcPr>
          <w:p>
            <w:pPr>
              <w:jc w:val="right"/>
              <w:ind w:right="67"/>
              <w:spacing w:after="0"/>
              <w:rPr>
                <w:sz w:val="20"/>
                <w:szCs w:val="20"/>
                <w:color w:val="auto"/>
              </w:rPr>
            </w:pPr>
            <w:r>
              <w:rPr>
                <w:rFonts w:ascii="Arial" w:cs="Arial" w:eastAsia="Arial" w:hAnsi="Arial"/>
                <w:sz w:val="11"/>
                <w:szCs w:val="11"/>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100.0%</w:t>
            </w:r>
          </w:p>
        </w:tc>
      </w:tr>
      <w:tr>
        <w:trPr>
          <w:trHeight w:val="120"/>
        </w:trPr>
        <w:tc>
          <w:tcPr>
            <w:tcW w:w="820" w:type="dxa"/>
            <w:vAlign w:val="bottom"/>
            <w:shd w:val="clear" w:color="auto" w:fill="CCEEFF"/>
          </w:tcPr>
          <w:p>
            <w:pPr>
              <w:spacing w:after="0" w:line="120" w:lineRule="exact"/>
              <w:rPr>
                <w:sz w:val="20"/>
                <w:szCs w:val="20"/>
                <w:color w:val="auto"/>
              </w:rPr>
            </w:pPr>
            <w:r>
              <w:rPr>
                <w:rFonts w:ascii="Arial" w:cs="Arial" w:eastAsia="Arial" w:hAnsi="Arial"/>
                <w:sz w:val="11"/>
                <w:szCs w:val="11"/>
                <w:b w:val="1"/>
                <w:bCs w:val="1"/>
                <w:color w:val="auto"/>
              </w:rPr>
              <w:t>Bolivia</w:t>
            </w:r>
          </w:p>
        </w:tc>
        <w:tc>
          <w:tcPr>
            <w:tcW w:w="78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b w:val="1"/>
                <w:bCs w:val="1"/>
                <w:color w:val="auto"/>
              </w:rPr>
              <w:t>-</w:t>
            </w:r>
          </w:p>
        </w:tc>
        <w:tc>
          <w:tcPr>
            <w:tcW w:w="8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b w:val="1"/>
                <w:bCs w:val="1"/>
                <w:color w:val="auto"/>
              </w:rPr>
              <w:t>-</w:t>
            </w:r>
          </w:p>
        </w:tc>
        <w:tc>
          <w:tcPr>
            <w:tcW w:w="8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b w:val="1"/>
                <w:bCs w:val="1"/>
                <w:color w:val="auto"/>
              </w:rPr>
              <w:t>-</w:t>
            </w:r>
          </w:p>
        </w:tc>
        <w:tc>
          <w:tcPr>
            <w:tcW w:w="8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b w:val="1"/>
                <w:bCs w:val="1"/>
                <w:color w:val="auto"/>
              </w:rPr>
              <w:t>-</w:t>
            </w:r>
          </w:p>
        </w:tc>
        <w:tc>
          <w:tcPr>
            <w:tcW w:w="8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b w:val="1"/>
                <w:bCs w:val="1"/>
                <w:color w:val="auto"/>
              </w:rPr>
              <w:t>-</w:t>
            </w:r>
          </w:p>
        </w:tc>
        <w:tc>
          <w:tcPr>
            <w:tcW w:w="8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7"/>
              <w:spacing w:after="0" w:line="120"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7"/>
              <w:spacing w:after="0" w:line="120"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shd w:val="clear" w:color="auto" w:fill="CCEEFF"/>
          </w:tcPr>
          <w:p>
            <w:pPr>
              <w:jc w:val="right"/>
              <w:ind w:right="87"/>
              <w:spacing w:after="0" w:line="120" w:lineRule="exact"/>
              <w:rPr>
                <w:sz w:val="20"/>
                <w:szCs w:val="20"/>
                <w:color w:val="auto"/>
              </w:rPr>
            </w:pPr>
            <w:r>
              <w:rPr>
                <w:rFonts w:ascii="Arial" w:cs="Arial" w:eastAsia="Arial" w:hAnsi="Arial"/>
                <w:sz w:val="11"/>
                <w:szCs w:val="11"/>
                <w:b w:val="1"/>
                <w:bCs w:val="1"/>
                <w:color w:val="auto"/>
              </w:rPr>
              <w:t>-</w:t>
            </w:r>
          </w:p>
        </w:tc>
        <w:tc>
          <w:tcPr>
            <w:tcW w:w="360" w:type="dxa"/>
            <w:vAlign w:val="bottom"/>
            <w:gridSpan w:val="2"/>
            <w:shd w:val="clear" w:color="auto" w:fill="CCEEFF"/>
          </w:tcPr>
          <w:p>
            <w:pPr>
              <w:jc w:val="right"/>
              <w:ind w:right="67"/>
              <w:spacing w:after="0" w:line="120" w:lineRule="exact"/>
              <w:rPr>
                <w:sz w:val="20"/>
                <w:szCs w:val="20"/>
                <w:color w:val="auto"/>
              </w:rPr>
            </w:pPr>
            <w:r>
              <w:rPr>
                <w:rFonts w:ascii="Arial" w:cs="Arial" w:eastAsia="Arial" w:hAnsi="Arial"/>
                <w:sz w:val="11"/>
                <w:szCs w:val="11"/>
                <w:b w:val="1"/>
                <w:bCs w:val="1"/>
                <w:color w:val="auto"/>
              </w:rPr>
              <w:t>-</w:t>
            </w:r>
          </w:p>
        </w:tc>
        <w:tc>
          <w:tcPr>
            <w:tcW w:w="340" w:type="dxa"/>
            <w:vAlign w:val="bottom"/>
            <w:tcBorders>
              <w:left w:val="single" w:sz="8" w:color="CCEEFF"/>
            </w:tcBorders>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2,291</w:t>
            </w:r>
          </w:p>
        </w:tc>
        <w:tc>
          <w:tcPr>
            <w:tcW w:w="420" w:type="dxa"/>
            <w:vAlign w:val="bottom"/>
            <w:gridSpan w:val="3"/>
            <w:shd w:val="clear" w:color="auto" w:fill="CCEEFF"/>
          </w:tcPr>
          <w:p>
            <w:pPr>
              <w:jc w:val="right"/>
              <w:ind w:right="60"/>
              <w:spacing w:after="0" w:line="120" w:lineRule="exact"/>
              <w:rPr>
                <w:sz w:val="20"/>
                <w:szCs w:val="20"/>
                <w:color w:val="auto"/>
              </w:rPr>
            </w:pPr>
            <w:r>
              <w:rPr>
                <w:rFonts w:ascii="Arial" w:cs="Arial" w:eastAsia="Arial" w:hAnsi="Arial"/>
                <w:sz w:val="11"/>
                <w:szCs w:val="11"/>
                <w:b w:val="1"/>
                <w:bCs w:val="1"/>
                <w:color w:val="auto"/>
              </w:rPr>
              <w:t>2,287</w:t>
            </w:r>
          </w:p>
        </w:tc>
        <w:tc>
          <w:tcPr>
            <w:tcW w:w="38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1"/>
                <w:szCs w:val="11"/>
                <w:b w:val="1"/>
                <w:bCs w:val="1"/>
                <w:color w:val="auto"/>
              </w:rPr>
              <w:t>2,289</w:t>
            </w:r>
          </w:p>
        </w:tc>
        <w:tc>
          <w:tcPr>
            <w:tcW w:w="38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0.1%</w:t>
            </w:r>
          </w:p>
        </w:tc>
        <w:tc>
          <w:tcPr>
            <w:tcW w:w="360" w:type="dxa"/>
            <w:vAlign w:val="bottom"/>
            <w:tcBorders>
              <w:left w:val="single" w:sz="8" w:color="CCEEFF"/>
            </w:tcBorders>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rPr>
              <w:t>-0.1%</w:t>
            </w:r>
          </w:p>
        </w:tc>
        <w:tc>
          <w:tcPr>
            <w:tcW w:w="360" w:type="dxa"/>
            <w:vAlign w:val="bottom"/>
            <w:gridSpan w:val="3"/>
            <w:shd w:val="clear" w:color="auto" w:fill="CCEEFF"/>
          </w:tcPr>
          <w:p>
            <w:pPr>
              <w:jc w:val="right"/>
              <w:ind w:right="67"/>
              <w:spacing w:after="0" w:line="120" w:lineRule="exact"/>
              <w:rPr>
                <w:sz w:val="20"/>
                <w:szCs w:val="20"/>
                <w:color w:val="auto"/>
              </w:rPr>
            </w:pPr>
            <w:r>
              <w:rPr>
                <w:rFonts w:ascii="Arial" w:cs="Arial" w:eastAsia="Arial" w:hAnsi="Arial"/>
                <w:sz w:val="11"/>
                <w:szCs w:val="11"/>
                <w:b w:val="1"/>
                <w:bCs w:val="1"/>
                <w:color w:val="auto"/>
              </w:rPr>
              <w:t>-</w:t>
            </w:r>
          </w:p>
        </w:tc>
        <w:tc>
          <w:tcPr>
            <w:tcW w:w="3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b w:val="1"/>
                <w:bCs w:val="1"/>
                <w:color w:val="auto"/>
                <w:w w:val="96"/>
              </w:rPr>
              <w:t>100.0%</w:t>
            </w:r>
          </w:p>
        </w:tc>
      </w:tr>
      <w:tr>
        <w:trPr>
          <w:trHeight w:val="133"/>
        </w:trPr>
        <w:tc>
          <w:tcPr>
            <w:tcW w:w="820" w:type="dxa"/>
            <w:vAlign w:val="bottom"/>
          </w:tcPr>
          <w:p>
            <w:pPr>
              <w:spacing w:after="0"/>
              <w:rPr>
                <w:sz w:val="20"/>
                <w:szCs w:val="20"/>
                <w:color w:val="auto"/>
              </w:rPr>
            </w:pPr>
            <w:r>
              <w:rPr>
                <w:rFonts w:ascii="Arial" w:cs="Arial" w:eastAsia="Arial" w:hAnsi="Arial"/>
                <w:sz w:val="11"/>
                <w:szCs w:val="11"/>
                <w:b w:val="1"/>
                <w:bCs w:val="1"/>
                <w:color w:val="auto"/>
              </w:rPr>
              <w:t>ASB</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708</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682</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626</w:t>
            </w:r>
          </w:p>
        </w:tc>
        <w:tc>
          <w:tcPr>
            <w:tcW w:w="740" w:type="dxa"/>
            <w:vAlign w:val="bottom"/>
            <w:gridSpan w:val="5"/>
          </w:tcPr>
          <w:p>
            <w:pPr>
              <w:jc w:val="right"/>
              <w:spacing w:after="0"/>
              <w:rPr>
                <w:sz w:val="20"/>
                <w:szCs w:val="20"/>
                <w:color w:val="auto"/>
              </w:rPr>
            </w:pPr>
            <w:r>
              <w:rPr>
                <w:rFonts w:ascii="Arial" w:cs="Arial" w:eastAsia="Arial" w:hAnsi="Arial"/>
                <w:sz w:val="11"/>
                <w:szCs w:val="11"/>
                <w:b w:val="1"/>
                <w:bCs w:val="1"/>
                <w:color w:val="auto"/>
              </w:rPr>
              <w:t>-8.2% -11.7%</w:t>
            </w:r>
          </w:p>
        </w:tc>
        <w:tc>
          <w:tcPr>
            <w:tcW w:w="360" w:type="dxa"/>
            <w:vAlign w:val="bottom"/>
            <w:gridSpan w:val="3"/>
          </w:tcPr>
          <w:p>
            <w:pPr>
              <w:jc w:val="right"/>
              <w:ind w:right="67"/>
              <w:spacing w:after="0"/>
              <w:rPr>
                <w:sz w:val="20"/>
                <w:szCs w:val="20"/>
                <w:color w:val="auto"/>
              </w:rPr>
            </w:pPr>
            <w:r>
              <w:rPr>
                <w:rFonts w:ascii="Arial" w:cs="Arial" w:eastAsia="Arial" w:hAnsi="Arial"/>
                <w:sz w:val="11"/>
                <w:szCs w:val="11"/>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100.0%</w:t>
            </w:r>
          </w:p>
        </w:tc>
      </w:tr>
      <w:tr>
        <w:trPr>
          <w:trHeight w:val="113"/>
        </w:trPr>
        <w:tc>
          <w:tcPr>
            <w:tcW w:w="8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Total loans</w:t>
            </w:r>
          </w:p>
        </w:tc>
        <w:tc>
          <w:tcPr>
            <w:tcW w:w="6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81,131</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92,558</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93,511</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73,424</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68,086</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69,701</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ind w:left="460"/>
              <w:spacing w:after="0" w:line="113" w:lineRule="exact"/>
              <w:rPr>
                <w:sz w:val="20"/>
                <w:szCs w:val="20"/>
                <w:color w:val="auto"/>
              </w:rPr>
            </w:pPr>
            <w:r>
              <w:rPr>
                <w:rFonts w:ascii="Arial" w:cs="Arial" w:eastAsia="Arial" w:hAnsi="Arial"/>
                <w:sz w:val="10"/>
                <w:szCs w:val="10"/>
                <w:b w:val="1"/>
                <w:bCs w:val="1"/>
                <w:color w:val="auto"/>
                <w:w w:val="71"/>
              </w:rPr>
              <w:t>1.0</w:t>
            </w:r>
          </w:p>
        </w:tc>
        <w:tc>
          <w:tcPr>
            <w:tcW w:w="12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15.3</w:t>
            </w:r>
          </w:p>
        </w:tc>
        <w:tc>
          <w:tcPr>
            <w:tcW w:w="180" w:type="dxa"/>
            <w:vAlign w:val="bottom"/>
            <w:tcBorders>
              <w:top w:val="single" w:sz="8" w:color="CCEEFF"/>
            </w:tcBorders>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b w:val="1"/>
                <w:bCs w:val="1"/>
                <w:color w:val="auto"/>
                <w:w w:val="81"/>
              </w:rPr>
              <w:t>%</w:t>
            </w: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2.4</w:t>
            </w:r>
          </w:p>
        </w:tc>
        <w:tc>
          <w:tcPr>
            <w:tcW w:w="140" w:type="dxa"/>
            <w:vAlign w:val="bottom"/>
            <w:tcBorders>
              <w:top w:val="single" w:sz="8" w:color="CCEEFF"/>
              <w:right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81"/>
              </w:rPr>
              <w:t>%</w:t>
            </w:r>
          </w:p>
        </w:tc>
        <w:tc>
          <w:tcPr>
            <w:tcW w:w="2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-5.1</w:t>
            </w:r>
          </w:p>
        </w:tc>
        <w:tc>
          <w:tcPr>
            <w:tcW w:w="12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w:t>
            </w:r>
          </w:p>
        </w:tc>
        <w:tc>
          <w:tcPr>
            <w:tcW w:w="340" w:type="dxa"/>
            <w:vAlign w:val="bottom"/>
            <w:tcBorders>
              <w:top w:val="single" w:sz="8" w:color="auto"/>
              <w:left w:val="single" w:sz="8" w:color="CCEEFF"/>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4"/>
              </w:rPr>
              <w:t>13,749</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b w:val="1"/>
                <w:bCs w:val="1"/>
                <w:color w:val="auto"/>
                <w:w w:val="77"/>
              </w:rPr>
              <w:t>12,000</w:t>
            </w: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89"/>
              </w:rPr>
              <w:t>12,095</w:t>
            </w: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0.8</w:t>
            </w:r>
          </w:p>
        </w:tc>
        <w:tc>
          <w:tcPr>
            <w:tcW w:w="14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w:t>
            </w:r>
          </w:p>
        </w:tc>
        <w:tc>
          <w:tcPr>
            <w:tcW w:w="260" w:type="dxa"/>
            <w:vAlign w:val="bottom"/>
            <w:tcBorders>
              <w:top w:val="single" w:sz="8" w:color="auto"/>
              <w:left w:val="single" w:sz="8" w:color="CCEEFF"/>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5"/>
              </w:rPr>
              <w:t>-12.0</w:t>
            </w:r>
          </w:p>
        </w:tc>
        <w:tc>
          <w:tcPr>
            <w:tcW w:w="10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81"/>
              </w:rPr>
              <w:t>%</w:t>
            </w:r>
          </w:p>
        </w:tc>
        <w:tc>
          <w:tcPr>
            <w:tcW w:w="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3"/>
              </w:rPr>
              <w:t>66.9</w:t>
            </w:r>
          </w:p>
        </w:tc>
        <w:tc>
          <w:tcPr>
            <w:tcW w:w="12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81"/>
              </w:rPr>
              <w:t>%</w:t>
            </w:r>
          </w:p>
        </w:tc>
        <w:tc>
          <w:tcPr>
            <w:tcW w:w="2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33.1</w:t>
            </w:r>
          </w:p>
        </w:tc>
        <w:tc>
          <w:tcPr>
            <w:tcW w:w="100" w:type="dxa"/>
            <w:vAlign w:val="bottom"/>
            <w:tcBorders>
              <w:top w:val="single" w:sz="8" w:color="CCEEFF"/>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-1466850</wp:posOffset>
            </wp:positionV>
            <wp:extent cx="472440" cy="76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2440" cy="7620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-1466850</wp:posOffset>
            </wp:positionV>
            <wp:extent cx="210820" cy="227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820" cy="22796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-935355</wp:posOffset>
            </wp:positionV>
            <wp:extent cx="539750" cy="151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75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135255</wp:posOffset>
            </wp:positionV>
            <wp:extent cx="1560195" cy="202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0195" cy="20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 work out unit and other banking.</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Structural Portfolio excludes the average daily balances from loans offered through de Reactiva Peru y FAE-Mype Government Programs.</w:t>
      </w:r>
    </w:p>
    <w:p>
      <w:pPr>
        <w:spacing w:after="0" w:line="17" w:lineRule="exact"/>
        <w:rPr>
          <w:rFonts w:ascii="Arial" w:cs="Arial" w:eastAsia="Arial" w:hAnsi="Arial"/>
          <w:sz w:val="17"/>
          <w:szCs w:val="17"/>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Figures differ from previously report, please consider the data presented on this report that now includes Mibanco Colombia.</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14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 xml:space="preserve">YoY evolution of the dollarization level by segment at Credicorp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92710</wp:posOffset>
            </wp:positionV>
            <wp:extent cx="6628765" cy="2403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8765"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 w:hanging="234"/>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16" w:lineRule="exact"/>
        <w:rPr>
          <w:rFonts w:ascii="Arial" w:cs="Arial" w:eastAsia="Arial" w:hAnsi="Arial"/>
          <w:sz w:val="18"/>
          <w:szCs w:val="18"/>
          <w:color w:val="auto"/>
        </w:rPr>
      </w:pPr>
    </w:p>
    <w:p>
      <w:pPr>
        <w:ind w:firstLine="6"/>
        <w:spacing w:after="0" w:line="246" w:lineRule="auto"/>
        <w:tabs>
          <w:tab w:leader="none" w:pos="2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firstLine="6"/>
        <w:spacing w:after="0" w:line="252"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 with the historic maximum level of dollarization for Wholesale Banking was 2012, for Mibanco was 2016, for Credit Card was in 2021 and for the rest of segments was 2009.</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loan dollarization level remained stable QoQ. YoY, the portfolio’s dollarization level followed a downward trend in the majority of segments due to disbursements under Reactiva Peru and to recovery in retail loans in LC. On the contrary, the dollarization level for the Credit Card segment followed an upward trend over the course of the pandemic and reached a record high this quarter, pressured by on-going decreases in LC balances.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9866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986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180" w:hanging="174"/>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1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Funding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149860</wp:posOffset>
            </wp:positionV>
            <wp:extent cx="6628765" cy="2352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8765"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In Mar21 the data differ from previously reported consider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Total funding fell -0.2% QoQ, which was driven mainly by a reduction in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given the variation in:</w:t>
      </w:r>
    </w:p>
    <w:p>
      <w:pPr>
        <w:spacing w:after="0" w:line="218" w:lineRule="exact"/>
        <w:rPr>
          <w:sz w:val="20"/>
          <w:szCs w:val="20"/>
          <w:color w:val="auto"/>
        </w:rPr>
      </w:pPr>
    </w:p>
    <w:p>
      <w:pPr>
        <w:ind w:left="320" w:right="20" w:hanging="314"/>
        <w:spacing w:after="0" w:line="272"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which registered a share of 11.9% of total funding (vs 12.3% in 1Q21); this drop was primarily attributable to pre-payments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Repos under the Reactiva and FAE programs.</w:t>
      </w:r>
    </w:p>
    <w:p>
      <w:pPr>
        <w:spacing w:after="0" w:line="168" w:lineRule="exact"/>
        <w:rPr>
          <w:rFonts w:ascii="Arial" w:cs="Arial" w:eastAsia="Arial" w:hAnsi="Arial"/>
          <w:sz w:val="18"/>
          <w:szCs w:val="18"/>
          <w:color w:val="auto"/>
        </w:rPr>
      </w:pPr>
    </w:p>
    <w:p>
      <w:pPr>
        <w:ind w:left="320" w:right="20" w:hanging="314"/>
        <w:spacing w:after="0" w:line="302"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Bonds and notes issued, </w:t>
      </w:r>
      <w:r>
        <w:rPr>
          <w:rFonts w:ascii="Arial" w:cs="Arial" w:eastAsia="Arial" w:hAnsi="Arial"/>
          <w:sz w:val="17"/>
          <w:szCs w:val="17"/>
          <w:color w:val="auto"/>
        </w:rPr>
        <w:t>which reported a share of 8.6% (vs 9.1% in 1Q21); this result was primarily attributable to the execute remainder of the make-whole in April within the framework of the liability management strategy implemented last quarter in BCP-Stand alone.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attenuated by:</w:t>
      </w:r>
    </w:p>
    <w:p>
      <w:pPr>
        <w:spacing w:after="0" w:line="212" w:lineRule="exact"/>
        <w:rPr>
          <w:sz w:val="20"/>
          <w:szCs w:val="20"/>
          <w:color w:val="auto"/>
        </w:rPr>
      </w:pPr>
    </w:p>
    <w:p>
      <w:pPr>
        <w:jc w:val="both"/>
        <w:ind w:left="320" w:hanging="314"/>
        <w:spacing w:after="0" w:line="335" w:lineRule="auto"/>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An increase in </w:t>
      </w:r>
      <w:r>
        <w:rPr>
          <w:rFonts w:ascii="Arial" w:cs="Arial" w:eastAsia="Arial" w:hAnsi="Arial"/>
          <w:sz w:val="15"/>
          <w:szCs w:val="15"/>
          <w:b w:val="1"/>
          <w:bCs w:val="1"/>
          <w:color w:val="auto"/>
        </w:rPr>
        <w:t>deposits and obligations</w:t>
      </w:r>
      <w:r>
        <w:rPr>
          <w:rFonts w:ascii="Arial" w:cs="Arial" w:eastAsia="Arial" w:hAnsi="Arial"/>
          <w:sz w:val="15"/>
          <w:szCs w:val="15"/>
          <w:color w:val="auto"/>
        </w:rPr>
        <w:t>, which represented 75.7% at the end of 2Q21 (vs 75.3% in 1Q21). This result was driven by an increase in the volume of sales and savings deposits in FC in a context marked by uncertainty due to exchange rate volatility. The aforementioned was partially offset by withdrawals of time and severance indemnity deposits (high-cost funding). It is important to note that this quarter, low-interest funding has been captured.</w:t>
      </w:r>
    </w:p>
    <w:p>
      <w:pPr>
        <w:spacing w:after="0" w:line="127" w:lineRule="exact"/>
        <w:rPr>
          <w:rFonts w:ascii="Arial" w:cs="Arial" w:eastAsia="Arial" w:hAnsi="Arial"/>
          <w:sz w:val="15"/>
          <w:szCs w:val="15"/>
          <w:color w:val="auto"/>
        </w:rPr>
      </w:pPr>
    </w:p>
    <w:p>
      <w:pPr>
        <w:ind w:left="320" w:hanging="314"/>
        <w:spacing w:after="0" w:line="272"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which reported a share of 3.2% (vs 2.7% in 1Q21). This result was mainly driven by new debt at BCP Stand-alone,</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taken on to offset the effect of the expiration of bonds in FC and the outflow of deposits to foreign accounts.</w:t>
      </w:r>
    </w:p>
    <w:p>
      <w:pPr>
        <w:spacing w:after="0" w:line="16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color w:val="auto"/>
        </w:rPr>
        <w:t xml:space="preserve">In the YoY analysis, the funding level registered an increase. This was primarily driven by growth in </w:t>
      </w:r>
      <w:r>
        <w:rPr>
          <w:rFonts w:ascii="Arial" w:cs="Arial" w:eastAsia="Arial" w:hAnsi="Arial"/>
          <w:sz w:val="15"/>
          <w:szCs w:val="15"/>
          <w:b w:val="1"/>
          <w:bCs w:val="1"/>
          <w:color w:val="auto"/>
        </w:rPr>
        <w:t>deposits and obligations,</w:t>
      </w:r>
      <w:r>
        <w:rPr>
          <w:rFonts w:ascii="Arial" w:cs="Arial" w:eastAsia="Arial" w:hAnsi="Arial"/>
          <w:sz w:val="15"/>
          <w:szCs w:val="15"/>
          <w:color w:val="auto"/>
        </w:rPr>
        <w:t xml:space="preserve"> which was fueled by high inflows of funding from government programs. This was accompanied by an increase in </w:t>
      </w:r>
      <w:r>
        <w:rPr>
          <w:rFonts w:ascii="Arial" w:cs="Arial" w:eastAsia="Arial" w:hAnsi="Arial"/>
          <w:sz w:val="15"/>
          <w:szCs w:val="15"/>
          <w:b w:val="1"/>
          <w:bCs w:val="1"/>
          <w:color w:val="auto"/>
        </w:rPr>
        <w:t>BCRP Instruments</w:t>
      </w:r>
      <w:r>
        <w:rPr>
          <w:rFonts w:ascii="Arial" w:cs="Arial" w:eastAsia="Arial" w:hAnsi="Arial"/>
          <w:sz w:val="15"/>
          <w:szCs w:val="15"/>
          <w:color w:val="auto"/>
        </w:rPr>
        <w:t xml:space="preserve"> via repos under the Reactiva and FAE programs.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b w:val="1"/>
                <w:bCs w:val="1"/>
                <w:color w:val="auto"/>
              </w:rPr>
              <w:t>As of</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9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48,926,791</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58,074,996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59,998,764</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22.6%</w:t>
            </w: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42,562,229</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51,013,689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52,687,270</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30,019,871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31,389,760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30,302,103</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220" w:type="dxa"/>
            <w:vAlign w:val="bottom"/>
          </w:tcPr>
          <w:p>
            <w:pPr>
              <w:jc w:val="right"/>
              <w:spacing w:after="0"/>
              <w:rPr>
                <w:sz w:val="20"/>
                <w:szCs w:val="20"/>
                <w:color w:val="auto"/>
              </w:rPr>
            </w:pPr>
            <w:r>
              <w:rPr>
                <w:rFonts w:ascii="Arial" w:cs="Arial" w:eastAsia="Arial" w:hAnsi="Arial"/>
                <w:sz w:val="18"/>
                <w:szCs w:val="18"/>
                <w:color w:val="auto"/>
              </w:rPr>
              <w:t>7,441,044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7,457,440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5,456,510</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26"/>
        </w:trPr>
        <w:tc>
          <w:tcPr>
            <w:tcW w:w="20" w:type="dxa"/>
            <w:vAlign w:val="bottom"/>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714,397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690,454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717,156</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6"/>
        </w:trPr>
        <w:tc>
          <w:tcPr>
            <w:tcW w:w="20" w:type="dxa"/>
            <w:vAlign w:val="bottom"/>
          </w:tcPr>
          <w:p>
            <w:pPr>
              <w:spacing w:after="0"/>
              <w:rPr>
                <w:sz w:val="17"/>
                <w:szCs w:val="17"/>
                <w:color w:val="auto"/>
              </w:rPr>
            </w:pPr>
          </w:p>
        </w:tc>
        <w:tc>
          <w:tcPr>
            <w:tcW w:w="400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Deposits and obligations</w:t>
            </w: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129,664,332</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148,626,339</w:t>
            </w:r>
          </w:p>
        </w:tc>
        <w:tc>
          <w:tcPr>
            <w:tcW w:w="2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149,161,803</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0.4</w:t>
            </w:r>
          </w:p>
        </w:tc>
        <w:tc>
          <w:tcPr>
            <w:tcW w:w="300" w:type="dxa"/>
            <w:vAlign w:val="bottom"/>
          </w:tcPr>
          <w:p>
            <w:pPr>
              <w:jc w:val="right"/>
              <w:ind w:right="31"/>
              <w:spacing w:after="0" w:line="20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15.0</w:t>
            </w:r>
          </w:p>
        </w:tc>
        <w:tc>
          <w:tcPr>
            <w:tcW w:w="180" w:type="dxa"/>
            <w:vAlign w:val="bottom"/>
          </w:tcPr>
          <w:p>
            <w:pPr>
              <w:spacing w:after="0" w:line="206" w:lineRule="exact"/>
              <w:rPr>
                <w:sz w:val="20"/>
                <w:szCs w:val="20"/>
                <w:color w:val="auto"/>
              </w:rPr>
            </w:pPr>
            <w:r>
              <w:rPr>
                <w:rFonts w:ascii="Arial" w:cs="Arial" w:eastAsia="Arial" w:hAnsi="Arial"/>
                <w:sz w:val="18"/>
                <w:szCs w:val="18"/>
                <w:b w:val="1"/>
                <w:bCs w:val="1"/>
                <w:color w:val="auto"/>
                <w:w w:val="99"/>
              </w:rPr>
              <w:t>%</w:t>
            </w:r>
          </w:p>
        </w:tc>
      </w:tr>
      <w:tr>
        <w:trPr>
          <w:trHeight w:val="6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w w:val="79"/>
              </w:rPr>
              <w:t>16</w:t>
            </w:r>
          </w:p>
        </w:tc>
      </w:tr>
    </w:tbl>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expanded +0.4% QoQ. The evolution of deposits reflects:</w:t>
      </w:r>
    </w:p>
    <w:p>
      <w:pPr>
        <w:spacing w:after="0" w:line="218" w:lineRule="exact"/>
        <w:rPr>
          <w:sz w:val="20"/>
          <w:szCs w:val="20"/>
          <w:color w:val="auto"/>
        </w:rPr>
      </w:pPr>
    </w:p>
    <w:p>
      <w:pPr>
        <w:jc w:val="both"/>
        <w:ind w:left="640" w:hanging="315"/>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3.3%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which was driven by (i) an increase in the volume at ASB of non-interest-bearing demand deposits after funds were drawn down and transferred to this type of deposit, (ii) an increase in non-interest-bearing demand deposits from corporate clients at BCP Stand-alone in April and May. Both of the aforementioned effects were driven by a context of uncertainty. It should be noted that growth of demand deposits was entirely in FC.</w:t>
      </w:r>
    </w:p>
    <w:p>
      <w:pPr>
        <w:spacing w:after="0" w:line="182" w:lineRule="exact"/>
        <w:rPr>
          <w:rFonts w:ascii="Arial" w:cs="Arial" w:eastAsia="Arial" w:hAnsi="Arial"/>
          <w:sz w:val="18"/>
          <w:szCs w:val="18"/>
          <w:color w:val="auto"/>
        </w:rPr>
      </w:pPr>
    </w:p>
    <w:p>
      <w:pPr>
        <w:jc w:val="both"/>
        <w:ind w:left="640" w:hanging="315"/>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 in FC</w:t>
      </w:r>
      <w:r>
        <w:rPr>
          <w:rFonts w:ascii="Arial" w:cs="Arial" w:eastAsia="Arial" w:hAnsi="Arial"/>
          <w:sz w:val="18"/>
          <w:szCs w:val="18"/>
          <w:color w:val="auto"/>
        </w:rPr>
        <w:t>, which increased +3.3% QoQ. This expansion reflected the fact that individual clients at BCP Stand-alone moved to dollarize their deposits at BCP Stand-alone in April and May. The dollarization is partially offset by higher outflows abroad in the last month of the quarter.</w:t>
      </w:r>
    </w:p>
    <w:p>
      <w:pPr>
        <w:spacing w:after="0" w:line="179"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decrease in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xml:space="preserve"> (-26.8%), which took place after the government issued a decree permitting access to these funds; this was partially offset by statutory deposits of Severance funds in May.</w:t>
      </w:r>
    </w:p>
    <w:p>
      <w:pPr>
        <w:spacing w:after="0" w:line="168"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-3.5% drop in </w:t>
      </w:r>
      <w:r>
        <w:rPr>
          <w:rFonts w:ascii="Arial" w:cs="Arial" w:eastAsia="Arial" w:hAnsi="Arial"/>
          <w:sz w:val="18"/>
          <w:szCs w:val="18"/>
          <w:b w:val="1"/>
          <w:bCs w:val="1"/>
          <w:color w:val="auto"/>
        </w:rPr>
        <w:t>time deposits</w:t>
      </w:r>
      <w:r>
        <w:rPr>
          <w:rFonts w:ascii="Arial" w:cs="Arial" w:eastAsia="Arial" w:hAnsi="Arial"/>
          <w:sz w:val="18"/>
          <w:szCs w:val="18"/>
          <w:color w:val="auto"/>
        </w:rPr>
        <w:t>, which was driven mainly by a decrease in the demand for FC of corporate and institutional clients at BCP Stand-alone, who in the face of uncertainty, decided to transfer funding to foreign entities.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In YoY terms, total deposits and obligations reported growth of +15.0%. The increase in deposits was associated with (i) an uptick in the volume of Repos associated with government programs (Reactiva Peru and FAE), which were subsequently deposited in demand and savings accounts; and (ii) government facilities, which led drawdowns of AFP and Severance indemnity funds to inject liquidity; these funds were deposits in low-cost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Dollarization level of deposits measured in quarter-end balances</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The QoQ increase in dollarization was reflected in the composition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2580640" cy="131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0640" cy="1315720"/>
                    </a:xfrm>
                    <a:prstGeom prst="rect">
                      <a:avLst/>
                    </a:prstGeom>
                    <a:noFill/>
                  </pic:spPr>
                </pic:pic>
              </a:graphicData>
            </a:graphic>
          </wp:anchor>
        </w:drawing>
      </w:r>
    </w:p>
    <w:p>
      <w:pPr>
        <w:spacing w:after="0" w:line="198" w:lineRule="exact"/>
        <w:rPr>
          <w:sz w:val="20"/>
          <w:szCs w:val="20"/>
          <w:color w:val="auto"/>
        </w:rPr>
      </w:pPr>
    </w:p>
    <w:p>
      <w:pPr>
        <w:jc w:val="both"/>
        <w:ind w:left="4340"/>
        <w:spacing w:after="0" w:line="269" w:lineRule="auto"/>
        <w:rPr>
          <w:sz w:val="20"/>
          <w:szCs w:val="20"/>
          <w:color w:val="auto"/>
        </w:rPr>
      </w:pPr>
      <w:r>
        <w:rPr>
          <w:rFonts w:ascii="Arial" w:cs="Arial" w:eastAsia="Arial" w:hAnsi="Arial"/>
          <w:sz w:val="17"/>
          <w:szCs w:val="17"/>
          <w:color w:val="auto"/>
        </w:rPr>
        <w:t>The share of LC deposits fell from 51.9% in 1Q21 to 49.8% this quarter while the share of FC deposits rose from 48.1% to 50.2%. The variation in total deposits QoQ was driven by an exchange rate effect after the Peruvian sol depreciated 2.7%; demand deposits suffered the brunt of the impact of currency variations. If we exclude the exchange rate effect, the composition of total deposits indicates a 50.5% share for LC and 49.5% for FC.</w:t>
      </w:r>
    </w:p>
    <w:p>
      <w:pPr>
        <w:spacing w:after="0" w:line="179" w:lineRule="exact"/>
        <w:rPr>
          <w:sz w:val="20"/>
          <w:szCs w:val="20"/>
          <w:color w:val="auto"/>
        </w:rPr>
      </w:pPr>
    </w:p>
    <w:p>
      <w:pPr>
        <w:jc w:val="both"/>
        <w:ind w:left="4340"/>
        <w:spacing w:after="0" w:line="265" w:lineRule="auto"/>
        <w:rPr>
          <w:sz w:val="20"/>
          <w:szCs w:val="20"/>
          <w:color w:val="auto"/>
        </w:rPr>
      </w:pPr>
      <w:r>
        <w:rPr>
          <w:rFonts w:ascii="Arial" w:cs="Arial" w:eastAsia="Arial" w:hAnsi="Arial"/>
          <w:sz w:val="18"/>
          <w:szCs w:val="18"/>
          <w:color w:val="auto"/>
        </w:rPr>
        <w:t>In the YoY analysis, the Peruvian sol depreciated 9.0%. If we exclude this effect up to June 20, the composition of deposits stands at 52.0% in LC and 48.0% in FC.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149860</wp:posOffset>
            </wp:positionV>
            <wp:extent cx="5683885" cy="1163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3885" cy="116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2.3. Other sources of funding</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4200" w:type="dxa"/>
            <w:vAlign w:val="bottom"/>
            <w:gridSpan w:val="3"/>
          </w:tcPr>
          <w:p>
            <w:pPr>
              <w:ind w:left="840"/>
              <w:spacing w:after="0"/>
              <w:rPr>
                <w:sz w:val="20"/>
                <w:szCs w:val="20"/>
                <w:color w:val="auto"/>
              </w:rPr>
            </w:pPr>
            <w:r>
              <w:rPr>
                <w:rFonts w:ascii="Arial" w:cs="Arial" w:eastAsia="Arial" w:hAnsi="Arial"/>
                <w:sz w:val="18"/>
                <w:szCs w:val="18"/>
                <w:b w:val="1"/>
                <w:bCs w:val="1"/>
                <w:color w:val="auto"/>
              </w:rPr>
              <w:t>Other funding sources</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00" w:type="dxa"/>
            <w:vAlign w:val="bottom"/>
            <w:gridSpan w:val="3"/>
          </w:tcPr>
          <w:p>
            <w:pPr>
              <w:ind w:left="840"/>
              <w:spacing w:after="0"/>
              <w:rPr>
                <w:sz w:val="20"/>
                <w:szCs w:val="20"/>
                <w:color w:val="auto"/>
              </w:rPr>
            </w:pPr>
            <w:r>
              <w:rPr>
                <w:rFonts w:ascii="Arial" w:cs="Arial" w:eastAsia="Arial" w:hAnsi="Arial"/>
                <w:sz w:val="18"/>
                <w:szCs w:val="18"/>
                <w:b w:val="1"/>
                <w:bCs w:val="1"/>
                <w:color w:val="auto"/>
              </w:rPr>
              <w:t>S/ 000</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 20</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Mar 20</w:t>
            </w:r>
          </w:p>
        </w:tc>
        <w:tc>
          <w:tcPr>
            <w:tcW w:w="1040" w:type="dxa"/>
            <w:vAlign w:val="bottom"/>
          </w:tcPr>
          <w:p>
            <w:pPr>
              <w:jc w:val="right"/>
              <w:ind w:right="171"/>
              <w:spacing w:after="0"/>
              <w:rPr>
                <w:sz w:val="20"/>
                <w:szCs w:val="20"/>
                <w:color w:val="auto"/>
              </w:rPr>
            </w:pPr>
            <w:r>
              <w:rPr>
                <w:rFonts w:ascii="Arial" w:cs="Arial" w:eastAsia="Arial" w:hAnsi="Arial"/>
                <w:sz w:val="18"/>
                <w:szCs w:val="18"/>
                <w:b w:val="1"/>
                <w:bCs w:val="1"/>
                <w:color w:val="auto"/>
              </w:rPr>
              <w:t>Jun 21</w:t>
            </w:r>
          </w:p>
        </w:tc>
        <w:tc>
          <w:tcPr>
            <w:tcW w:w="180" w:type="dxa"/>
            <w:vAlign w:val="bottom"/>
          </w:tcPr>
          <w:p>
            <w:pPr>
              <w:spacing w:after="0"/>
              <w:rPr>
                <w:sz w:val="19"/>
                <w:szCs w:val="19"/>
                <w:color w:val="auto"/>
              </w:rPr>
            </w:pP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71"/>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tcPr>
          <w:p>
            <w:pPr>
              <w:spacing w:after="0"/>
              <w:rPr>
                <w:sz w:val="17"/>
                <w:szCs w:val="17"/>
                <w:color w:val="auto"/>
              </w:rPr>
            </w:pPr>
          </w:p>
        </w:tc>
        <w:tc>
          <w:tcPr>
            <w:tcW w:w="3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8,374,009</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5,305,933</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6,239,161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w w:val="86"/>
              </w:rPr>
              <w:t>17.6%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19,441,733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24,303,193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23,329,990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51"/>
              <w:spacing w:after="0"/>
              <w:rPr>
                <w:sz w:val="20"/>
                <w:szCs w:val="20"/>
                <w:color w:val="auto"/>
              </w:rPr>
            </w:pPr>
            <w:r>
              <w:rPr>
                <w:rFonts w:ascii="Arial" w:cs="Arial" w:eastAsia="Arial" w:hAnsi="Arial"/>
                <w:sz w:val="18"/>
                <w:szCs w:val="18"/>
                <w:color w:val="auto"/>
                <w:w w:val="93"/>
              </w:rPr>
              <w:t>-4.0%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2,091,798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1,159,587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1,276,678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86"/>
              </w:rPr>
              <w:t>10.1%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17,250,531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17,863,198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16,951,481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51"/>
              <w:spacing w:after="0"/>
              <w:rPr>
                <w:sz w:val="20"/>
                <w:szCs w:val="20"/>
                <w:color w:val="auto"/>
              </w:rPr>
            </w:pPr>
            <w:r>
              <w:rPr>
                <w:rFonts w:ascii="Arial" w:cs="Arial" w:eastAsia="Arial" w:hAnsi="Arial"/>
                <w:sz w:val="18"/>
                <w:szCs w:val="18"/>
                <w:color w:val="auto"/>
                <w:w w:val="93"/>
              </w:rPr>
              <w:t>-5.1%</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47,158,071</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48,631,911</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47,797,310</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-1.7</w:t>
            </w:r>
          </w:p>
        </w:tc>
        <w:tc>
          <w:tcPr>
            <w:tcW w:w="28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5060" w:firstLine="962"/>
        <w:spacing w:after="0" w:line="587" w:lineRule="auto"/>
        <w:tabs>
          <w:tab w:leader="none" w:pos="1207"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In Mar21 the data differ from previously reported consider this report. The total of </w:t>
      </w:r>
      <w:r>
        <w:rPr>
          <w:rFonts w:ascii="Arial" w:cs="Arial" w:eastAsia="Arial" w:hAnsi="Arial"/>
          <w:sz w:val="15"/>
          <w:szCs w:val="15"/>
          <w:b w:val="1"/>
          <w:bCs w:val="1"/>
          <w:color w:val="auto"/>
        </w:rPr>
        <w:t>other sources of funding</w:t>
      </w:r>
      <w:r>
        <w:rPr>
          <w:rFonts w:ascii="Arial" w:cs="Arial" w:eastAsia="Arial" w:hAnsi="Arial"/>
          <w:sz w:val="15"/>
          <w:szCs w:val="15"/>
          <w:color w:val="auto"/>
        </w:rPr>
        <w:t xml:space="preserve"> fell -1.7% QoQ. The evolution shows:</w:t>
      </w:r>
    </w:p>
    <w:p>
      <w:pPr>
        <w:spacing w:after="0"/>
        <w:rPr>
          <w:rFonts w:ascii="Arial" w:cs="Arial" w:eastAsia="Arial" w:hAnsi="Arial"/>
          <w:sz w:val="15"/>
          <w:szCs w:val="15"/>
          <w:color w:val="auto"/>
        </w:rPr>
      </w:pPr>
      <w:r>
        <w:rPr>
          <w:rFonts w:ascii="Arial" w:cs="Arial" w:eastAsia="Arial" w:hAnsi="Arial"/>
          <w:sz w:val="18"/>
          <w:szCs w:val="18"/>
          <w:color w:val="auto"/>
        </w:rPr>
        <w:t xml:space="preserve">A decrease in </w:t>
      </w:r>
      <w:r>
        <w:rPr>
          <w:rFonts w:ascii="Arial" w:cs="Arial" w:eastAsia="Arial" w:hAnsi="Arial"/>
          <w:sz w:val="18"/>
          <w:szCs w:val="18"/>
          <w:b w:val="1"/>
          <w:bCs w:val="1"/>
          <w:color w:val="auto"/>
        </w:rPr>
        <w:t>BCRP Instruments</w:t>
      </w:r>
      <w:r>
        <w:rPr>
          <w:rFonts w:ascii="Arial" w:cs="Arial" w:eastAsia="Arial" w:hAnsi="Arial"/>
          <w:sz w:val="18"/>
          <w:szCs w:val="18"/>
          <w:color w:val="auto"/>
        </w:rPr>
        <w:t>, mainly at BCP Stand-alone, due to pre-payments of Repos under the Reactiva Peru program.</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A drop in </w:t>
      </w:r>
      <w:r>
        <w:rPr>
          <w:rFonts w:ascii="Arial" w:cs="Arial" w:eastAsia="Arial" w:hAnsi="Arial"/>
          <w:sz w:val="18"/>
          <w:szCs w:val="18"/>
          <w:b w:val="1"/>
          <w:bCs w:val="1"/>
          <w:color w:val="auto"/>
        </w:rPr>
        <w:t>Bonds and Notes Issued</w:t>
      </w:r>
      <w:r>
        <w:rPr>
          <w:rFonts w:ascii="Arial" w:cs="Arial" w:eastAsia="Arial" w:hAnsi="Arial"/>
          <w:sz w:val="18"/>
          <w:szCs w:val="18"/>
          <w:color w:val="auto"/>
        </w:rPr>
        <w:t>, which was associated with the execution of the remainder of the make-whole in April under the bond repurchase program launched in March. Additionally, Mibanco registered a prepayment on a subordinated bond at a rate of 8.5% in LC.</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which was driven by an increase in the debt level at (i) BCP Stand-alone, with foreign institutions in FC to offset the effect of outflows of other types of funding; additionally (ii) at Mibanco, an increase in the proportion of debts owed to local financial institutions in LC.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Repurchase agreements </w:t>
      </w:r>
      <w:r>
        <w:rPr>
          <w:rFonts w:ascii="Arial" w:cs="Arial" w:eastAsia="Arial" w:hAnsi="Arial"/>
          <w:sz w:val="17"/>
          <w:szCs w:val="17"/>
          <w:color w:val="auto"/>
        </w:rPr>
        <w:t>registered a slight increase, which was attributable to new regular repo transactions at BCP Bolivia and BCP Stand-alone.</w:t>
      </w:r>
    </w:p>
    <w:p>
      <w:pPr>
        <w:spacing w:after="0" w:line="23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The YoY evolution shows an +1.4% increase in </w:t>
      </w:r>
      <w:r>
        <w:rPr>
          <w:rFonts w:ascii="Arial" w:cs="Arial" w:eastAsia="Arial" w:hAnsi="Arial"/>
          <w:sz w:val="17"/>
          <w:szCs w:val="17"/>
          <w:b w:val="1"/>
          <w:bCs w:val="1"/>
          <w:color w:val="auto"/>
        </w:rPr>
        <w:t>other sources of funding</w:t>
      </w:r>
      <w:r>
        <w:rPr>
          <w:rFonts w:ascii="Arial" w:cs="Arial" w:eastAsia="Arial" w:hAnsi="Arial"/>
          <w:sz w:val="17"/>
          <w:szCs w:val="17"/>
          <w:color w:val="auto"/>
        </w:rPr>
        <w:t>. This was attributable to an uptick in the level of BCRP Instruments, which was driven by government facilities under the Reactiva and FAE programs. This result was partially offset by the expiration of debt obligations with foreign institutions at BCP Stand-alone and to a lesser degree, by expirations at Mibanco of debt obligations with local financial institutions.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Loans / Deposits(C/D)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 Deposit Ratio by subsidiary</w:t>
      </w:r>
    </w:p>
    <w:p>
      <w:pPr>
        <w:spacing w:after="0" w:line="224" w:lineRule="exact"/>
        <w:rPr>
          <w:sz w:val="20"/>
          <w:szCs w:val="20"/>
          <w:color w:val="auto"/>
        </w:rPr>
      </w:pPr>
    </w:p>
    <w:p>
      <w:pPr>
        <w:jc w:val="both"/>
        <w:ind w:left="4860"/>
        <w:spacing w:after="0" w:line="256" w:lineRule="auto"/>
        <w:rPr>
          <w:sz w:val="20"/>
          <w:szCs w:val="20"/>
          <w:color w:val="auto"/>
        </w:rPr>
      </w:pPr>
      <w:r>
        <w:rPr>
          <w:rFonts w:ascii="Arial" w:cs="Arial" w:eastAsia="Arial" w:hAnsi="Arial"/>
          <w:sz w:val="18"/>
          <w:szCs w:val="18"/>
          <w:color w:val="auto"/>
        </w:rPr>
        <w:t>Credicorp’s L/D ratio increased QoQ and reached 95.9%. This was attributable to the fact that growth in loans (+4.4%) outpaced the expansion in deposits (+0.4%) in a context of economic reactivation.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2909570" cy="1745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9570" cy="1745615"/>
                    </a:xfrm>
                    <a:prstGeom prst="rect">
                      <a:avLst/>
                    </a:prstGeom>
                    <a:noFill/>
                  </pic:spPr>
                </pic:pic>
              </a:graphicData>
            </a:graphic>
          </wp:anchor>
        </w:drawing>
      </w:r>
    </w:p>
    <w:p>
      <w:pPr>
        <w:spacing w:after="0" w:line="168" w:lineRule="exact"/>
        <w:rPr>
          <w:sz w:val="20"/>
          <w:szCs w:val="20"/>
          <w:color w:val="auto"/>
        </w:rPr>
      </w:pPr>
    </w:p>
    <w:p>
      <w:pPr>
        <w:jc w:val="both"/>
        <w:ind w:left="4860"/>
        <w:spacing w:after="0" w:line="252" w:lineRule="auto"/>
        <w:rPr>
          <w:sz w:val="20"/>
          <w:szCs w:val="20"/>
          <w:color w:val="auto"/>
        </w:rPr>
      </w:pPr>
      <w:r>
        <w:rPr>
          <w:rFonts w:ascii="Arial" w:cs="Arial" w:eastAsia="Arial" w:hAnsi="Arial"/>
          <w:sz w:val="18"/>
          <w:szCs w:val="18"/>
          <w:color w:val="auto"/>
        </w:rPr>
        <w:t>The analysis by subsidiary reveals that an upward trend was also play at BCP Stand-alone (95.7% in June 21). The QoQ increase in the L/D at BCP Stand-alone was driven by higher growth in loans (+5.6%). At Mibanco, the L/D ratio rose to 157.2% due to an uptick in the loan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YoY analysis, the L/D ratio at Credicorp and BCP Stand-alone fell given that the increase in the deposit volume (+15.0% and +16.7% respectively) outpaced the expansion registered by loans (+7.8% and +6.3% respectively). The L/D ratio at Mibanco followed the same trend as that seen in the QoQ analysis.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Loan/Deposit ratio by currency</w:t>
      </w:r>
    </w:p>
    <w:p>
      <w:pPr>
        <w:spacing w:after="0" w:line="218" w:lineRule="exact"/>
        <w:rPr>
          <w:sz w:val="20"/>
          <w:szCs w:val="20"/>
          <w:color w:val="auto"/>
        </w:rPr>
      </w:pPr>
    </w:p>
    <w:p>
      <w:pPr>
        <w:ind w:left="2160"/>
        <w:spacing w:after="0"/>
        <w:tabs>
          <w:tab w:leader="none" w:pos="780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5"/>
          <w:szCs w:val="15"/>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149860</wp:posOffset>
            </wp:positionV>
            <wp:extent cx="6485255" cy="131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85255" cy="131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QoQ analysis by currency the L/D ratio in LC at Credicorp and BCP Stand-alone rose, which was driven primarily by a drop in LC deposits (-3.6% y -3.5% respectively) after deposit dollarization. The L/D ratio in FC at Credicorp and BCP Stand-alone also increased QoQ given that loan growth outpaced the expansion in deposits. In the YoY analysis, Credicorp registered an increase in its L/D ratio in LC in a context in which loan growth (+10.0%) outstripped the expansion reported by deposits (+7.1%); the L/D ratio in FC fell over the same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92710</wp:posOffset>
            </wp:positionV>
            <wp:extent cx="4503420" cy="1779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03420"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00" w:hanging="25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6" w:lineRule="exact"/>
        <w:rPr>
          <w:rFonts w:ascii="Arial" w:cs="Arial" w:eastAsia="Arial" w:hAnsi="Arial"/>
          <w:sz w:val="18"/>
          <w:szCs w:val="18"/>
          <w:color w:val="auto"/>
        </w:rPr>
      </w:pPr>
    </w:p>
    <w:p>
      <w:pPr>
        <w:ind w:left="640" w:right="160" w:firstLine="4"/>
        <w:spacing w:after="0" w:line="252" w:lineRule="auto"/>
        <w:tabs>
          <w:tab w:leader="none" w:pos="8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funding cost at Credicorp fell -25 bps QoQ due to a decrease in interest expenses (-15.9%), (i) which was primarily due to a one-off effect on the premium for the subordinated bond issuance in 1Q21; and to a lesser extent, to (ii) an improvement in the deposit mix and (iii) lower interest rates on new debts. If we isolate the effects of government programs and non-recurring premiums in 1Q21, the structural cost of funding was 1.26% (-9 bps).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YoY analysis, the Cost of funding fell -68 bps, which was due to (i) an improvement in the deposit mix, due to higher volume in low-cost deposits and a reduction in interest expenses on deposits of -34.3%; (ii) a rate effect, given that interest rates (national and international) have followed a downward trend in a context of economic contraction due to the pandemic.</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 xml:space="preserve">Funding cost– Credicorp in Local Currency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92710</wp:posOffset>
            </wp:positionV>
            <wp:extent cx="4107180" cy="19056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07180" cy="190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20" w:hanging="258"/>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w:t>
      </w:r>
    </w:p>
    <w:p>
      <w:pPr>
        <w:spacing w:after="0" w:line="16" w:lineRule="exact"/>
        <w:rPr>
          <w:rFonts w:ascii="Arial" w:cs="Arial" w:eastAsia="Arial" w:hAnsi="Arial"/>
          <w:sz w:val="18"/>
          <w:szCs w:val="18"/>
          <w:color w:val="auto"/>
        </w:rPr>
      </w:pPr>
    </w:p>
    <w:p>
      <w:pPr>
        <w:ind w:left="1220" w:hanging="258"/>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5" w:lineRule="exact"/>
        <w:rPr>
          <w:rFonts w:ascii="Arial" w:cs="Arial" w:eastAsia="Arial" w:hAnsi="Arial"/>
          <w:sz w:val="18"/>
          <w:szCs w:val="18"/>
          <w:color w:val="auto"/>
        </w:rPr>
      </w:pPr>
    </w:p>
    <w:p>
      <w:pPr>
        <w:ind w:left="960" w:firstLine="2"/>
        <w:spacing w:after="0" w:line="252" w:lineRule="auto"/>
        <w:tabs>
          <w:tab w:leader="none" w:pos="12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drop in the cost of funding in LC (-3 bps) was driven by a drop in interest expenses (-4.6%) which was partially offset by a contraction in the deposit levels in LC (-3.3%) given that dollarized funds landed in low-cost deposits. If we isolate the effects of government programs and non-recurring premiums in 1Q21 in LC, the cost of structural funding fell to 1.17% in 2Q21, which represents an improvement over the figure registered last quarter (-2 bps).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Cost of funding – Credicorp in Foreign Currency </w:t>
      </w:r>
      <w:r>
        <w:rPr>
          <w:rFonts w:ascii="Arial" w:cs="Arial" w:eastAsia="Arial" w:hAnsi="Arial"/>
          <w:sz w:val="29"/>
          <w:szCs w:val="29"/>
          <w:b w:val="1"/>
          <w:bCs w:val="1"/>
          <w:color w:val="auto"/>
          <w:vertAlign w:val="superscript"/>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20" w:hanging="258"/>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w:t>
      </w:r>
    </w:p>
    <w:p>
      <w:pPr>
        <w:spacing w:after="0" w:line="16" w:lineRule="exact"/>
        <w:rPr>
          <w:rFonts w:ascii="Arial" w:cs="Arial" w:eastAsia="Arial" w:hAnsi="Arial"/>
          <w:sz w:val="18"/>
          <w:szCs w:val="18"/>
          <w:color w:val="auto"/>
        </w:rPr>
      </w:pPr>
    </w:p>
    <w:p>
      <w:pPr>
        <w:ind w:left="1220" w:hanging="258"/>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5" w:lineRule="exact"/>
        <w:rPr>
          <w:rFonts w:ascii="Arial" w:cs="Arial" w:eastAsia="Arial" w:hAnsi="Arial"/>
          <w:sz w:val="18"/>
          <w:szCs w:val="18"/>
          <w:color w:val="auto"/>
        </w:rPr>
      </w:pPr>
    </w:p>
    <w:p>
      <w:pPr>
        <w:ind w:left="960" w:firstLine="2"/>
        <w:spacing w:after="0" w:line="252" w:lineRule="auto"/>
        <w:tabs>
          <w:tab w:leader="none" w:pos="12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the cost of funding in FC (-54 bps) was attributable to a drop in interest expenses generated by a reduction in the interest rates on bonds and notes issued. The aforementioned, was driven mainly by the one-off effect generated by BCP Stand-alone’s liability management strategy last quarter and by an improvement in the funding mix.</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cost of funding in LC and FC fell -86 bps and -49 bps respectively, which ratifies Credicorp’s strategy to restructure liabilities to improve the profile of expirations and reduce the funding cost curve in local and foreign currencies.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center"/>
        <w:ind w:right="320"/>
        <w:spacing w:after="0"/>
        <w:rPr>
          <w:sz w:val="20"/>
          <w:szCs w:val="20"/>
          <w:color w:val="auto"/>
        </w:rPr>
      </w:pPr>
      <w:r>
        <w:rPr>
          <w:rFonts w:ascii="Arial" w:cs="Arial" w:eastAsia="Arial" w:hAnsi="Arial"/>
          <w:sz w:val="18"/>
          <w:szCs w:val="18"/>
          <w:b w:val="1"/>
          <w:bCs w:val="1"/>
          <w:color w:val="auto"/>
        </w:rPr>
        <w:t xml:space="preserve">Cost of funding by subsidiary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227330</wp:posOffset>
            </wp:positionV>
            <wp:extent cx="4578985" cy="2529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7898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20" w:hanging="259"/>
        <w:spacing w:after="0"/>
        <w:tabs>
          <w:tab w:leader="none" w:pos="1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Expenses are included in accordance with IFRS16.</w:t>
      </w:r>
    </w:p>
    <w:p>
      <w:pPr>
        <w:spacing w:after="0" w:line="16" w:lineRule="exact"/>
        <w:rPr>
          <w:rFonts w:ascii="Arial" w:cs="Arial" w:eastAsia="Arial" w:hAnsi="Arial"/>
          <w:sz w:val="18"/>
          <w:szCs w:val="18"/>
          <w:color w:val="auto"/>
        </w:rPr>
      </w:pPr>
    </w:p>
    <w:p>
      <w:pPr>
        <w:ind w:left="960" w:right="420" w:firstLine="1"/>
        <w:spacing w:after="0" w:line="252" w:lineRule="auto"/>
        <w:tabs>
          <w:tab w:leader="none" w:pos="1211" w:val="left"/>
        </w:tabs>
        <w:numPr>
          <w:ilvl w:val="1"/>
          <w:numId w:val="18"/>
        </w:numPr>
        <w:rPr>
          <w:rFonts w:ascii="Arial" w:cs="Arial" w:eastAsia="Arial" w:hAnsi="Arial"/>
          <w:sz w:val="18"/>
          <w:szCs w:val="18"/>
          <w:color w:val="auto"/>
        </w:rPr>
      </w:pPr>
      <w:r>
        <w:rPr>
          <w:rFonts w:ascii="Arial" w:cs="Arial" w:eastAsia="Arial" w:hAnsi="Arial"/>
          <w:sz w:val="18"/>
          <w:szCs w:val="18"/>
          <w:color w:val="auto"/>
        </w:rPr>
        <w:t>Structural Funding Cost deducts the impact in expenses and funding related to GP Loans (BCRP Repos) and deducts non-recurring events from Interest Expense.</w:t>
      </w:r>
    </w:p>
    <w:p>
      <w:pPr>
        <w:spacing w:after="0" w:line="191"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BCP Stand-alone’s cost of funding fell -27bps QoQ due to a drop in interest expenses (-22.2%), which was mainly attributable to a one-off payment of the premium related to the liability management strategy in 1Q21; this one-off payment represented 81% of the decrease in total expenses. The improvement in the funding mix, which materialized despite a decrease in deposits, also contributed, although to a lesser extent, to the decrease in this line.</w:t>
      </w:r>
    </w:p>
    <w:p>
      <w:pPr>
        <w:spacing w:after="0" w:line="193" w:lineRule="exact"/>
        <w:rPr>
          <w:rFonts w:ascii="Arial" w:cs="Arial" w:eastAsia="Arial" w:hAnsi="Arial"/>
          <w:sz w:val="18"/>
          <w:szCs w:val="18"/>
          <w:color w:val="auto"/>
        </w:rPr>
      </w:pPr>
    </w:p>
    <w:p>
      <w:pPr>
        <w:ind w:left="320"/>
        <w:spacing w:after="0" w:line="265" w:lineRule="auto"/>
        <w:rPr>
          <w:rFonts w:ascii="Arial" w:cs="Arial" w:eastAsia="Arial" w:hAnsi="Arial"/>
          <w:sz w:val="18"/>
          <w:szCs w:val="18"/>
          <w:color w:val="auto"/>
        </w:rPr>
      </w:pPr>
      <w:r>
        <w:rPr>
          <w:rFonts w:ascii="Arial" w:cs="Arial" w:eastAsia="Arial" w:hAnsi="Arial"/>
          <w:sz w:val="18"/>
          <w:szCs w:val="18"/>
          <w:color w:val="auto"/>
        </w:rPr>
        <w:t>YoY, the cost of funding fell -65 bps due to (i) an improvement in the funding mix and (ii) the rate effect, where all funding sources registered a decrease in rates.</w:t>
      </w:r>
    </w:p>
    <w:p>
      <w:pPr>
        <w:spacing w:after="0" w:line="180" w:lineRule="exact"/>
        <w:rPr>
          <w:rFonts w:ascii="Arial" w:cs="Arial" w:eastAsia="Arial" w:hAnsi="Arial"/>
          <w:sz w:val="18"/>
          <w:szCs w:val="18"/>
          <w:color w:val="auto"/>
        </w:rPr>
      </w:pPr>
    </w:p>
    <w:p>
      <w:pPr>
        <w:ind w:left="320"/>
        <w:spacing w:after="0" w:line="265" w:lineRule="auto"/>
        <w:rPr>
          <w:rFonts w:ascii="Arial" w:cs="Arial" w:eastAsia="Arial" w:hAnsi="Arial"/>
          <w:sz w:val="18"/>
          <w:szCs w:val="18"/>
          <w:color w:val="auto"/>
        </w:rPr>
      </w:pPr>
      <w:r>
        <w:rPr>
          <w:rFonts w:ascii="Arial" w:cs="Arial" w:eastAsia="Arial" w:hAnsi="Arial"/>
          <w:sz w:val="18"/>
          <w:szCs w:val="18"/>
          <w:color w:val="auto"/>
        </w:rPr>
        <w:t>If we isolate the effects of government programs and non-recurring premiums in 1Q21, the cost of funding ratio at BCP Stand-alone stood at 0.97%, which represented a decrease of -6 bps QoQ and was driven by an improvement in the deposit mix.</w:t>
      </w:r>
    </w:p>
    <w:p>
      <w:pPr>
        <w:spacing w:after="0" w:line="180" w:lineRule="exact"/>
        <w:rPr>
          <w:rFonts w:ascii="Arial" w:cs="Arial" w:eastAsia="Arial" w:hAnsi="Arial"/>
          <w:sz w:val="18"/>
          <w:szCs w:val="18"/>
          <w:color w:val="auto"/>
        </w:rPr>
      </w:pPr>
    </w:p>
    <w:p>
      <w:pPr>
        <w:ind w:left="320" w:hanging="315"/>
        <w:spacing w:after="0" w:line="26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Mibanco reported a significant contraction of -20 bps QoQ in its cost of funding; this reflected a decrease in interest expenses (-9.7% QoQ), which was primarily attributable to an improvement in the rate mix.</w:t>
      </w:r>
    </w:p>
    <w:p>
      <w:pPr>
        <w:spacing w:after="0" w:line="180" w:lineRule="exact"/>
        <w:rPr>
          <w:rFonts w:ascii="Arial" w:cs="Arial" w:eastAsia="Arial" w:hAnsi="Arial"/>
          <w:sz w:val="18"/>
          <w:szCs w:val="18"/>
          <w:color w:val="auto"/>
        </w:rPr>
      </w:pPr>
    </w:p>
    <w:p>
      <w:pPr>
        <w:ind w:left="320"/>
        <w:spacing w:after="0" w:line="265" w:lineRule="auto"/>
        <w:rPr>
          <w:rFonts w:ascii="Arial" w:cs="Arial" w:eastAsia="Arial" w:hAnsi="Arial"/>
          <w:sz w:val="18"/>
          <w:szCs w:val="18"/>
          <w:color w:val="auto"/>
        </w:rPr>
      </w:pPr>
      <w:r>
        <w:rPr>
          <w:rFonts w:ascii="Arial" w:cs="Arial" w:eastAsia="Arial" w:hAnsi="Arial"/>
          <w:sz w:val="18"/>
          <w:szCs w:val="18"/>
          <w:color w:val="auto"/>
        </w:rPr>
        <w:t>In the YoY analysis, interest expenses fell (-39.5%) in a context of abundant low-interest government funding and driven by an increase in total funding (+17.7%).</w:t>
      </w:r>
    </w:p>
    <w:p>
      <w:pPr>
        <w:spacing w:after="0" w:line="180" w:lineRule="exact"/>
        <w:rPr>
          <w:rFonts w:ascii="Arial" w:cs="Arial" w:eastAsia="Arial" w:hAnsi="Arial"/>
          <w:sz w:val="18"/>
          <w:szCs w:val="18"/>
          <w:color w:val="auto"/>
        </w:rPr>
      </w:pPr>
    </w:p>
    <w:p>
      <w:pPr>
        <w:ind w:left="320"/>
        <w:spacing w:after="0" w:line="265" w:lineRule="auto"/>
        <w:rPr>
          <w:rFonts w:ascii="Arial" w:cs="Arial" w:eastAsia="Arial" w:hAnsi="Arial"/>
          <w:sz w:val="18"/>
          <w:szCs w:val="18"/>
          <w:color w:val="auto"/>
        </w:rPr>
      </w:pPr>
      <w:r>
        <w:rPr>
          <w:rFonts w:ascii="Arial" w:cs="Arial" w:eastAsia="Arial" w:hAnsi="Arial"/>
          <w:sz w:val="18"/>
          <w:szCs w:val="18"/>
          <w:color w:val="auto"/>
        </w:rPr>
        <w:t>The cost of structural funding at Mibanco, if we isolate the effects of Reactiva and FAE, stands at 2.37%, which represents a decrease of -24 bps QoQ.</w:t>
      </w:r>
    </w:p>
    <w:p>
      <w:pPr>
        <w:spacing w:after="0" w:line="180" w:lineRule="exact"/>
        <w:rPr>
          <w:rFonts w:ascii="Arial" w:cs="Arial" w:eastAsia="Arial" w:hAnsi="Arial"/>
          <w:sz w:val="18"/>
          <w:szCs w:val="18"/>
          <w:color w:val="auto"/>
        </w:rPr>
      </w:pPr>
    </w:p>
    <w:p>
      <w:pPr>
        <w:ind w:left="320" w:hanging="315"/>
        <w:spacing w:after="0" w:line="26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funding at BCP Bolivia reported a slight increase QoQ (5 bps), which was fueled by an increase in interest expenses (+3.7%) and offset by an increase in funding (+4.6%).</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73113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7311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320" w:hanging="314"/>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4"/>
          </w:tcPr>
          <w:p>
            <w:pPr>
              <w:ind w:left="380"/>
              <w:spacing w:after="0"/>
              <w:rPr>
                <w:sz w:val="20"/>
                <w:szCs w:val="20"/>
                <w:color w:val="auto"/>
              </w:rPr>
            </w:pPr>
            <w:r>
              <w:rPr>
                <w:rFonts w:ascii="Arial" w:cs="Arial" w:eastAsia="Arial" w:hAnsi="Arial"/>
                <w:sz w:val="18"/>
                <w:szCs w:val="18"/>
                <w:b w:val="1"/>
                <w:bCs w:val="1"/>
                <w:color w:val="auto"/>
              </w:rPr>
              <w:t>% change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YTD</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0"/>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2Q20</w:t>
            </w:r>
          </w:p>
        </w:tc>
        <w:tc>
          <w:tcPr>
            <w:tcW w:w="2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1Q21</w:t>
            </w:r>
          </w:p>
        </w:tc>
        <w:tc>
          <w:tcPr>
            <w:tcW w:w="2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2Q21</w:t>
            </w:r>
          </w:p>
        </w:tc>
        <w:tc>
          <w:tcPr>
            <w:tcW w:w="26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YoY</w:t>
            </w:r>
          </w:p>
        </w:tc>
        <w:tc>
          <w:tcPr>
            <w:tcW w:w="3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Jun-20</w:t>
            </w:r>
          </w:p>
        </w:tc>
        <w:tc>
          <w:tcPr>
            <w:tcW w:w="3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Jun-21</w:t>
            </w:r>
          </w:p>
        </w:tc>
        <w:tc>
          <w:tcPr>
            <w:tcW w:w="2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Jun-21 / Jun-20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Interest income</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2,727,369</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2,816,073</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2,891,579</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b w:val="1"/>
                <w:bCs w:val="1"/>
                <w:color w:val="auto"/>
              </w:rPr>
              <w:t>2.7%</w:t>
            </w:r>
          </w:p>
        </w:tc>
        <w:tc>
          <w:tcPr>
            <w:tcW w:w="98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b w:val="1"/>
                <w:bCs w:val="1"/>
                <w:color w:val="auto"/>
              </w:rPr>
              <w:t>6.0%</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5,890,978</w:t>
            </w:r>
          </w:p>
        </w:tc>
        <w:tc>
          <w:tcPr>
            <w:tcW w:w="3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5,707,652</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2"/>
        </w:trPr>
        <w:tc>
          <w:tcPr>
            <w:tcW w:w="1900" w:type="dxa"/>
            <w:vAlign w:val="bottom"/>
            <w:gridSpan w:val="2"/>
          </w:tcPr>
          <w:p>
            <w:pPr>
              <w:ind w:left="160"/>
              <w:spacing w:after="0"/>
              <w:rPr>
                <w:sz w:val="20"/>
                <w:szCs w:val="20"/>
                <w:color w:val="auto"/>
              </w:rPr>
            </w:pPr>
            <w:r>
              <w:rPr>
                <w:rFonts w:ascii="Arial" w:cs="Arial" w:eastAsia="Arial" w:hAnsi="Arial"/>
                <w:sz w:val="18"/>
                <w:szCs w:val="18"/>
                <w:color w:val="auto"/>
              </w:rPr>
              <w:t>Interest on loans</w:t>
            </w:r>
          </w:p>
        </w:tc>
        <w:tc>
          <w:tcPr>
            <w:tcW w:w="960" w:type="dxa"/>
            <w:vAlign w:val="bottom"/>
          </w:tcPr>
          <w:p>
            <w:pPr>
              <w:jc w:val="right"/>
              <w:spacing w:after="0"/>
              <w:rPr>
                <w:sz w:val="20"/>
                <w:szCs w:val="20"/>
                <w:color w:val="auto"/>
              </w:rPr>
            </w:pPr>
            <w:r>
              <w:rPr>
                <w:rFonts w:ascii="Arial" w:cs="Arial" w:eastAsia="Arial" w:hAnsi="Arial"/>
                <w:sz w:val="18"/>
                <w:szCs w:val="18"/>
                <w:color w:val="auto"/>
              </w:rPr>
              <w:t>2,353,285</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2,432,761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2,476,187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5,123,636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4,908,948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0"/>
        </w:trPr>
        <w:tc>
          <w:tcPr>
            <w:tcW w:w="1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11,536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13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14,757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0"/>
        </w:trPr>
        <w:tc>
          <w:tcPr>
            <w:tcW w:w="19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Interest on deposits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00" w:type="dxa"/>
            <w:vAlign w:val="bottom"/>
            <w:gridSpan w:val="2"/>
          </w:tcPr>
          <w:p>
            <w:pPr>
              <w:ind w:left="160"/>
              <w:spacing w:after="0"/>
              <w:rPr>
                <w:sz w:val="20"/>
                <w:szCs w:val="20"/>
                <w:color w:val="auto"/>
              </w:rPr>
            </w:pPr>
            <w:r>
              <w:rPr>
                <w:rFonts w:ascii="Arial" w:cs="Arial" w:eastAsia="Arial" w:hAnsi="Arial"/>
                <w:sz w:val="18"/>
                <w:szCs w:val="18"/>
                <w:color w:val="auto"/>
              </w:rPr>
              <w:t>with banks</w:t>
            </w:r>
          </w:p>
        </w:tc>
        <w:tc>
          <w:tcPr>
            <w:tcW w:w="960" w:type="dxa"/>
            <w:vAlign w:val="bottom"/>
          </w:tcPr>
          <w:p>
            <w:pPr>
              <w:jc w:val="right"/>
              <w:spacing w:after="0"/>
              <w:rPr>
                <w:sz w:val="20"/>
                <w:szCs w:val="20"/>
                <w:color w:val="auto"/>
              </w:rPr>
            </w:pPr>
            <w:r>
              <w:rPr>
                <w:rFonts w:ascii="Arial" w:cs="Arial" w:eastAsia="Arial" w:hAnsi="Arial"/>
                <w:sz w:val="18"/>
                <w:szCs w:val="18"/>
                <w:color w:val="auto"/>
              </w:rPr>
              <w:t>9,264</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7,896</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6,076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58,377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13,972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3"/>
        </w:trPr>
        <w:tc>
          <w:tcPr>
            <w:tcW w:w="1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362,964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382,140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3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673,351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745,104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2"/>
        </w:trPr>
        <w:tc>
          <w:tcPr>
            <w:tcW w:w="1900" w:type="dxa"/>
            <w:vAlign w:val="bottom"/>
            <w:gridSpan w:val="2"/>
          </w:tcPr>
          <w:p>
            <w:pPr>
              <w:ind w:left="160"/>
              <w:spacing w:after="0"/>
              <w:rPr>
                <w:sz w:val="20"/>
                <w:szCs w:val="20"/>
                <w:color w:val="auto"/>
              </w:rPr>
            </w:pPr>
            <w:r>
              <w:rPr>
                <w:rFonts w:ascii="Arial" w:cs="Arial" w:eastAsia="Arial" w:hAnsi="Arial"/>
                <w:sz w:val="18"/>
                <w:szCs w:val="18"/>
                <w:color w:val="auto"/>
                <w:w w:val="99"/>
              </w:rPr>
              <w:t>Other interest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9,336</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9,231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15,640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22,868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24,871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2"/>
        </w:trPr>
        <w:tc>
          <w:tcPr>
            <w:tcW w:w="190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9"/>
                <w:szCs w:val="29"/>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766,019</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692,690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582,537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-24.0%</w:t>
            </w:r>
          </w:p>
        </w:tc>
        <w:tc>
          <w:tcPr>
            <w:tcW w:w="13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1,550,101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1,275,227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12"/>
        </w:trPr>
        <w:tc>
          <w:tcPr>
            <w:tcW w:w="1900" w:type="dxa"/>
            <w:vAlign w:val="bottom"/>
            <w:gridSpan w:val="2"/>
          </w:tcPr>
          <w:p>
            <w:pPr>
              <w:ind w:left="160"/>
              <w:spacing w:after="0"/>
              <w:rPr>
                <w:sz w:val="20"/>
                <w:szCs w:val="20"/>
                <w:color w:val="auto"/>
              </w:rPr>
            </w:pPr>
            <w:r>
              <w:rPr>
                <w:rFonts w:ascii="Arial" w:cs="Arial" w:eastAsia="Arial" w:hAnsi="Arial"/>
                <w:sz w:val="18"/>
                <w:szCs w:val="18"/>
                <w:color w:val="auto"/>
              </w:rPr>
              <w:t>Interest on deposits</w:t>
            </w:r>
          </w:p>
        </w:tc>
        <w:tc>
          <w:tcPr>
            <w:tcW w:w="960" w:type="dxa"/>
            <w:vAlign w:val="bottom"/>
          </w:tcPr>
          <w:p>
            <w:pPr>
              <w:jc w:val="right"/>
              <w:spacing w:after="0"/>
              <w:rPr>
                <w:sz w:val="20"/>
                <w:szCs w:val="20"/>
                <w:color w:val="auto"/>
              </w:rPr>
            </w:pPr>
            <w:r>
              <w:rPr>
                <w:rFonts w:ascii="Arial" w:cs="Arial" w:eastAsia="Arial" w:hAnsi="Arial"/>
                <w:sz w:val="18"/>
                <w:szCs w:val="18"/>
                <w:color w:val="auto"/>
              </w:rPr>
              <w:t>320,169</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222,643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210,275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684,276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432,918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0"/>
        </w:trPr>
        <w:tc>
          <w:tcPr>
            <w:tcW w:w="1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on borrowed</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funds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112,228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101,265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3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294,945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213,493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0"/>
        </w:trPr>
        <w:tc>
          <w:tcPr>
            <w:tcW w:w="19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Interest on bonds and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00" w:type="dxa"/>
            <w:vAlign w:val="bottom"/>
            <w:gridSpan w:val="2"/>
          </w:tcPr>
          <w:p>
            <w:pPr>
              <w:ind w:left="160"/>
              <w:spacing w:after="0"/>
              <w:rPr>
                <w:sz w:val="20"/>
                <w:szCs w:val="20"/>
                <w:color w:val="auto"/>
              </w:rPr>
            </w:pPr>
            <w:r>
              <w:rPr>
                <w:rFonts w:ascii="Arial" w:cs="Arial" w:eastAsia="Arial" w:hAnsi="Arial"/>
                <w:sz w:val="18"/>
                <w:szCs w:val="18"/>
                <w:color w:val="auto"/>
              </w:rPr>
              <w:t>subordinated notes</w:t>
            </w:r>
          </w:p>
        </w:tc>
        <w:tc>
          <w:tcPr>
            <w:tcW w:w="960" w:type="dxa"/>
            <w:vAlign w:val="bottom"/>
          </w:tcPr>
          <w:p>
            <w:pPr>
              <w:jc w:val="right"/>
              <w:spacing w:after="0"/>
              <w:rPr>
                <w:sz w:val="20"/>
                <w:szCs w:val="20"/>
                <w:color w:val="auto"/>
              </w:rPr>
            </w:pPr>
            <w:r>
              <w:rPr>
                <w:rFonts w:ascii="Arial" w:cs="Arial" w:eastAsia="Arial" w:hAnsi="Arial"/>
                <w:sz w:val="18"/>
                <w:szCs w:val="18"/>
                <w:color w:val="auto"/>
              </w:rPr>
              <w:t>199,347</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266,971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178,664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397,461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445,635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19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4"/>
              </w:rPr>
              <w:t>Other interest expense</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88,684</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90,848</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92,333</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w:t>
            </w:r>
          </w:p>
        </w:tc>
        <w:tc>
          <w:tcPr>
            <w:tcW w:w="1300" w:type="dxa"/>
            <w:vAlign w:val="bottom"/>
            <w:tcBorders>
              <w:right w:val="single" w:sz="8" w:color="CCEEFF"/>
            </w:tcBorders>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173,419</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183,181</w:t>
            </w:r>
          </w:p>
        </w:tc>
        <w:tc>
          <w:tcPr>
            <w:tcW w:w="1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300" w:type="dxa"/>
            <w:vAlign w:val="bottom"/>
            <w:tcBorders>
              <w:right w:val="single" w:sz="8" w:color="CCEEFF"/>
            </w:tcBorders>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line="266" w:lineRule="exact"/>
              <w:rPr>
                <w:sz w:val="20"/>
                <w:szCs w:val="20"/>
                <w:color w:val="auto"/>
              </w:rPr>
            </w:pPr>
            <w:r>
              <w:rPr>
                <w:rFonts w:ascii="Arial" w:cs="Arial" w:eastAsia="Arial" w:hAnsi="Arial"/>
                <w:sz w:val="18"/>
                <w:szCs w:val="18"/>
                <w:b w:val="1"/>
                <w:bCs w:val="1"/>
                <w:color w:val="auto"/>
                <w:w w:val="96"/>
              </w:rPr>
              <w:t xml:space="preserve">Net interest income </w:t>
            </w:r>
            <w:r>
              <w:rPr>
                <w:rFonts w:ascii="Arial" w:cs="Arial" w:eastAsia="Arial" w:hAnsi="Arial"/>
                <w:sz w:val="29"/>
                <w:szCs w:val="29"/>
                <w:b w:val="1"/>
                <w:bCs w:val="1"/>
                <w:color w:val="auto"/>
                <w:w w:val="96"/>
                <w:vertAlign w:val="superscript"/>
              </w:rPr>
              <w:t>(1)</w:t>
            </w: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900" w:type="dxa"/>
            <w:vAlign w:val="bottom"/>
            <w:gridSpan w:val="2"/>
            <w:vMerge w:val="continue"/>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1,961,350</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2,123,383</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2,309,042</w:t>
            </w:r>
          </w:p>
        </w:tc>
        <w:tc>
          <w:tcPr>
            <w:tcW w:w="2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4,340,877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4,432,425</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78"/>
        </w:trPr>
        <w:tc>
          <w:tcPr>
            <w:tcW w:w="19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Risk-adjusted Net</w:t>
            </w: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right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900" w:type="dxa"/>
            <w:vAlign w:val="bottom"/>
            <w:gridSpan w:val="2"/>
            <w:shd w:val="clear" w:color="auto" w:fill="CCEEFF"/>
          </w:tcPr>
          <w:p>
            <w:pPr>
              <w:spacing w:after="0" w:line="28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9"/>
                <w:szCs w:val="29"/>
                <w:b w:val="1"/>
                <w:bCs w:val="1"/>
                <w:color w:val="auto"/>
                <w:vertAlign w:val="superscript"/>
              </w:rPr>
              <w:t>(1)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(579,107)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1,565,736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1,945,662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-436.0%</w:t>
            </w:r>
          </w:p>
        </w:tc>
        <w:tc>
          <w:tcPr>
            <w:tcW w:w="13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458,939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3,511,398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665.1%</w:t>
            </w:r>
          </w:p>
        </w:tc>
        <w:tc>
          <w:tcPr>
            <w:tcW w:w="0" w:type="dxa"/>
            <w:vAlign w:val="bottom"/>
          </w:tcPr>
          <w:p>
            <w:pPr>
              <w:spacing w:after="0"/>
              <w:rPr>
                <w:sz w:val="1"/>
                <w:szCs w:val="1"/>
                <w:color w:val="auto"/>
              </w:rPr>
            </w:pPr>
          </w:p>
        </w:tc>
      </w:tr>
      <w:tr>
        <w:trPr>
          <w:trHeight w:val="182"/>
        </w:trPr>
        <w:tc>
          <w:tcPr>
            <w:tcW w:w="1900" w:type="dxa"/>
            <w:vAlign w:val="bottom"/>
            <w:gridSpan w:val="2"/>
          </w:tcPr>
          <w:p>
            <w:pPr>
              <w:spacing w:after="0" w:line="182" w:lineRule="exact"/>
              <w:rPr>
                <w:sz w:val="20"/>
                <w:szCs w:val="20"/>
                <w:color w:val="auto"/>
              </w:rPr>
            </w:pPr>
            <w:r>
              <w:rPr>
                <w:rFonts w:ascii="Arial" w:cs="Arial" w:eastAsia="Arial" w:hAnsi="Arial"/>
                <w:sz w:val="18"/>
                <w:szCs w:val="18"/>
                <w:color w:val="auto"/>
                <w:w w:val="95"/>
              </w:rPr>
              <w:t>Average interest earning</w:t>
            </w: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900" w:type="dxa"/>
            <w:vAlign w:val="bottom"/>
            <w:gridSpan w:val="2"/>
          </w:tcPr>
          <w:p>
            <w:pPr>
              <w:spacing w:after="0" w:line="27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194,719,985</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227,812,456</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230,237,853</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190,625,695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227,052,978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1900" w:type="dxa"/>
            <w:vAlign w:val="bottom"/>
            <w:gridSpan w:val="2"/>
            <w:vMerge w:val="restart"/>
            <w:shd w:val="clear" w:color="auto" w:fill="CCEEFF"/>
          </w:tcPr>
          <w:p>
            <w:pPr>
              <w:spacing w:after="0" w:line="252" w:lineRule="exact"/>
              <w:rPr>
                <w:sz w:val="20"/>
                <w:szCs w:val="20"/>
                <w:color w:val="auto"/>
              </w:rPr>
            </w:pPr>
            <w:r>
              <w:rPr>
                <w:rFonts w:ascii="Arial" w:cs="Arial" w:eastAsia="Arial" w:hAnsi="Arial"/>
                <w:sz w:val="18"/>
                <w:szCs w:val="18"/>
                <w:b w:val="1"/>
                <w:bCs w:val="1"/>
                <w:color w:val="auto"/>
                <w:w w:val="97"/>
              </w:rPr>
              <w:t xml:space="preserve">Net interest margin </w:t>
            </w:r>
            <w:r>
              <w:rPr>
                <w:rFonts w:ascii="Arial" w:cs="Arial" w:eastAsia="Arial" w:hAnsi="Arial"/>
                <w:sz w:val="29"/>
                <w:szCs w:val="29"/>
                <w:b w:val="1"/>
                <w:bCs w:val="1"/>
                <w:color w:val="auto"/>
                <w:w w:val="97"/>
                <w:vertAlign w:val="superscript"/>
              </w:rPr>
              <w:t>(2)</w:t>
            </w: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0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6"/>
              </w:rPr>
              <w:t>28bps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-2bps</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Risk-adjusted Net</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900" w:type="dxa"/>
            <w:vAlign w:val="bottom"/>
            <w:gridSpan w:val="2"/>
          </w:tcPr>
          <w:p>
            <w:pPr>
              <w:spacing w:after="0" w:line="267" w:lineRule="exact"/>
              <w:rPr>
                <w:sz w:val="20"/>
                <w:szCs w:val="20"/>
                <w:color w:val="auto"/>
              </w:rPr>
            </w:pPr>
            <w:r>
              <w:rPr>
                <w:rFonts w:ascii="Arial" w:cs="Arial" w:eastAsia="Arial" w:hAnsi="Arial"/>
                <w:sz w:val="18"/>
                <w:szCs w:val="18"/>
                <w:b w:val="1"/>
                <w:bCs w:val="1"/>
                <w:color w:val="auto"/>
              </w:rPr>
              <w:t xml:space="preserve">interest margin </w:t>
            </w:r>
            <w:r>
              <w:rPr>
                <w:rFonts w:ascii="Arial" w:cs="Arial" w:eastAsia="Arial" w:hAnsi="Arial"/>
                <w:sz w:val="29"/>
                <w:szCs w:val="29"/>
                <w:b w:val="1"/>
                <w:bCs w:val="1"/>
                <w:color w:val="auto"/>
                <w:vertAlign w:val="superscript"/>
              </w:rPr>
              <w:t>(2)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3.38%</w:t>
            </w:r>
          </w:p>
        </w:tc>
        <w:tc>
          <w:tcPr>
            <w:tcW w:w="900" w:type="dxa"/>
            <w:vAlign w:val="bottom"/>
            <w:gridSpan w:val="2"/>
          </w:tcPr>
          <w:p>
            <w:pPr>
              <w:ind w:left="380"/>
              <w:spacing w:after="0"/>
              <w:rPr>
                <w:sz w:val="20"/>
                <w:szCs w:val="20"/>
                <w:color w:val="auto"/>
              </w:rPr>
            </w:pPr>
            <w:r>
              <w:rPr>
                <w:rFonts w:ascii="Arial" w:cs="Arial" w:eastAsia="Arial" w:hAnsi="Arial"/>
                <w:sz w:val="18"/>
                <w:szCs w:val="18"/>
                <w:b w:val="1"/>
                <w:bCs w:val="1"/>
                <w:color w:val="auto"/>
                <w:w w:val="96"/>
              </w:rPr>
              <w:t>63bps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457bps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194"/>
        </w:trPr>
        <w:tc>
          <w:tcPr>
            <w:tcW w:w="19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5"/>
              </w:rPr>
              <w:t>Net provisions for loan</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 Net interest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129.53%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-113.8%</w:t>
            </w: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89.43%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-68.65%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hanging="254"/>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from this report.</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Net Interest Income</w:t>
      </w:r>
    </w:p>
    <w:p>
      <w:pPr>
        <w:sectPr>
          <w:pgSz w:w="11900" w:h="16838" w:orient="portrait"/>
          <w:cols w:equalWidth="0" w:num="1">
            <w:col w:w="11240"/>
          </w:cols>
          <w:pgMar w:left="320" w:top="666" w:right="339" w:bottom="151" w:gutter="0" w:footer="0" w:header="0"/>
        </w:sectPr>
      </w:pPr>
    </w:p>
    <w:p>
      <w:pPr>
        <w:spacing w:after="0" w:line="218" w:lineRule="exact"/>
        <w:rPr>
          <w:sz w:val="20"/>
          <w:szCs w:val="20"/>
          <w:color w:val="auto"/>
        </w:rPr>
      </w:pPr>
    </w:p>
    <w:p>
      <w:pPr>
        <w:jc w:val="center"/>
        <w:ind w:right="800"/>
        <w:spacing w:after="0"/>
        <w:rPr>
          <w:sz w:val="20"/>
          <w:szCs w:val="20"/>
          <w:color w:val="auto"/>
        </w:rPr>
      </w:pPr>
      <w:r>
        <w:rPr>
          <w:rFonts w:ascii="Arial" w:cs="Arial" w:eastAsia="Arial" w:hAnsi="Arial"/>
          <w:sz w:val="15"/>
          <w:szCs w:val="15"/>
          <w:b w:val="1"/>
          <w:bCs w:val="1"/>
          <w:color w:val="auto"/>
        </w:rPr>
        <w:t>Interest income – local currency</w:t>
      </w:r>
    </w:p>
    <w:p>
      <w:pPr>
        <w:spacing w:after="0" w:line="5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4445</wp:posOffset>
            </wp:positionV>
            <wp:extent cx="3112135" cy="1973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2135" cy="1973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auto"/>
        </w:rPr>
        <w:t>Interest income – foreign currency</w:t>
      </w:r>
    </w:p>
    <w:p>
      <w:pPr>
        <w:spacing w:after="0" w:line="57"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527050</wp:posOffset>
            </wp:positionV>
            <wp:extent cx="3010535" cy="145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10535" cy="145034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2146300</wp:posOffset>
            </wp:positionV>
            <wp:extent cx="5920105"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20105"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100"/>
          </w:cols>
          <w:pgMar w:left="320" w:top="666" w:right="339" w:bottom="15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In the QoQ analysis, the 2.7% increase in Net interest income reflects growth of +1.8% in interest on loans after loan volumes at BCP Stand-alone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Mibanco registered an uptick in volumes. The dynamics of interest generation were:</w:t>
      </w:r>
    </w:p>
    <w:p>
      <w:pPr>
        <w:spacing w:after="0" w:line="207" w:lineRule="exact"/>
        <w:rPr>
          <w:sz w:val="20"/>
          <w:szCs w:val="20"/>
          <w:color w:val="auto"/>
        </w:rPr>
      </w:pPr>
    </w:p>
    <w:p>
      <w:pPr>
        <w:jc w:val="both"/>
        <w:ind w:left="640" w:hanging="315"/>
        <w:spacing w:after="0" w:line="25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Mix effect: loans grew, which was driven primarily by the evolution of Wholesale Banking. The investment portfolio contracted after sales were executed to reduce duration and after the expiration of CDs, which were not renewed to maintain liquidity. This dynamic generated a more profitable IEA structure.</w:t>
      </w:r>
    </w:p>
    <w:p>
      <w:pPr>
        <w:spacing w:after="0" w:line="187" w:lineRule="exact"/>
        <w:rPr>
          <w:rFonts w:ascii="Arial" w:cs="Arial" w:eastAsia="Arial" w:hAnsi="Arial"/>
          <w:sz w:val="18"/>
          <w:szCs w:val="18"/>
          <w:color w:val="auto"/>
        </w:rPr>
      </w:pPr>
    </w:p>
    <w:p>
      <w:pPr>
        <w:ind w:left="640" w:hanging="315"/>
        <w:spacing w:after="0" w:line="26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 effect: rates fell due to market alignment and to campaigns to maintain MS in Wholesale Banking, particularly in the Middle Market segment. The SME-Pyme and Credit Card segments also registered a drop in interest rates.</w:t>
      </w:r>
    </w:p>
    <w:p>
      <w:pPr>
        <w:spacing w:after="0" w:line="180"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exchange rate effect had a positive impact on interest in FC loans.</w:t>
      </w:r>
    </w:p>
    <w:p>
      <w:pPr>
        <w:spacing w:after="0" w:line="2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It is important to note that growth in interest income was slightly impacted by amortizations of the one-off impairment charge registered in 2020, after clients were offered zero-rate facilities. If we exclude this effect, adjusted Interest income grew +3.0% QoQ.</w:t>
      </w:r>
    </w:p>
    <w:p>
      <w:pPr>
        <w:sectPr>
          <w:pgSz w:w="11900" w:h="16838" w:orient="portrait"/>
          <w:cols w:equalWidth="0" w:num="1">
            <w:col w:w="11240"/>
          </w:cols>
          <w:pgMar w:left="320" w:top="666" w:right="339" w:bottom="151" w:gutter="0" w:footer="0" w:header="0"/>
          <w:type w:val="continuous"/>
        </w:sectPr>
      </w:pPr>
    </w:p>
    <w:bookmarkStart w:id="25" w:name="page26"/>
    <w:bookmarkEnd w:id="25"/>
    <w:p>
      <w:pPr>
        <w:jc w:val="both"/>
        <w:spacing w:after="0" w:line="278" w:lineRule="auto"/>
        <w:rPr>
          <w:sz w:val="20"/>
          <w:szCs w:val="20"/>
          <w:color w:val="auto"/>
        </w:rPr>
      </w:pPr>
      <w:r>
        <w:rPr>
          <w:rFonts w:ascii="Arial" w:cs="Arial" w:eastAsia="Arial" w:hAnsi="Arial"/>
          <w:sz w:val="17"/>
          <w:szCs w:val="17"/>
          <w:color w:val="auto"/>
        </w:rPr>
        <w:t>In the YoY analysis, interest income rose +6.0%, which was primarily due to the fact that in 2Q20, this account was impacted by non-recurring charges that included the one-off impairment and subsequent amortizations generated by the zero-rate facilities that were offered to clients at BCP Stand-alone, Mibanco Peru and Colombia. If we exclude these charges, adjusted Net interest income falls -6.6% YoY. This evolution was driven by:</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jc w:val="both"/>
        <w:ind w:left="640" w:hanging="315"/>
        <w:spacing w:after="0" w:line="25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Mix effect: the drop in structural loans, mainly in Wholesale Banking and in the SME-Business and Credit Card segments within Retail Banking. This decline, coupled with growth in the investment portfolio, led structural loans’ share of the IEA mix to drop. The variation in the mix was further accentuated by the weight of government loans in the total portfolio.</w:t>
      </w:r>
    </w:p>
    <w:p>
      <w:pPr>
        <w:spacing w:after="0" w:line="187"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effect: YoY, active interest rates fell, mainly in the Wholesale Banking portfolio, where working capital products and mid and long-term financing were the most affected. Retail Banking segments, specifically Credit Card and Mortgage, were also hard hit by variations in the interest rate.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YTD, interest income fell -3.1%, which was primarily attributable to a drop in interest on loans, which was accentuated by a decrease in interest on deposits in other banks. The decrease in interest on loans was primarily associated with a reduction in the volume of structural loans, primarily in the Credit Card segment and secondarily in Wholesale Banking segments. Lower interest rates also generated a strong impact that resonated in the Credit Card and Wholesale Banking segments in particular. If we exclude the aforementioned non-recurring charges, YTD income falls -9.7%.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Interest Expenses</w:t>
      </w:r>
    </w:p>
    <w:p>
      <w:pPr>
        <w:sectPr>
          <w:pgSz w:w="11900" w:h="16838" w:orient="portrait"/>
          <w:cols w:equalWidth="0" w:num="1">
            <w:col w:w="11240"/>
          </w:cols>
          <w:pgMar w:left="320" w:top="672" w:right="339" w:bottom="1440" w:gutter="0" w:footer="0" w:header="0"/>
        </w:sectPr>
      </w:pPr>
    </w:p>
    <w:p>
      <w:pPr>
        <w:spacing w:after="0" w:line="218" w:lineRule="exact"/>
        <w:rPr>
          <w:sz w:val="20"/>
          <w:szCs w:val="20"/>
          <w:color w:val="auto"/>
        </w:rPr>
      </w:pPr>
    </w:p>
    <w:p>
      <w:pPr>
        <w:jc w:val="center"/>
        <w:ind w:right="700"/>
        <w:spacing w:after="0"/>
        <w:rPr>
          <w:sz w:val="20"/>
          <w:szCs w:val="20"/>
          <w:color w:val="auto"/>
        </w:rPr>
      </w:pPr>
      <w:r>
        <w:rPr>
          <w:rFonts w:ascii="Arial" w:cs="Arial" w:eastAsia="Arial" w:hAnsi="Arial"/>
          <w:sz w:val="15"/>
          <w:szCs w:val="15"/>
          <w:b w:val="1"/>
          <w:bCs w:val="1"/>
          <w:color w:val="auto"/>
        </w:rPr>
        <w:t>Interest expenses – Local Currency</w:t>
      </w:r>
    </w:p>
    <w:p>
      <w:pPr>
        <w:spacing w:after="0" w:line="5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millions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4445</wp:posOffset>
            </wp:positionV>
            <wp:extent cx="3094990" cy="1838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94990" cy="1838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5"/>
          <w:szCs w:val="15"/>
          <w:b w:val="1"/>
          <w:bCs w:val="1"/>
          <w:color w:val="auto"/>
        </w:rPr>
        <w:t>Interest expenses – Foreign currency</w:t>
      </w:r>
    </w:p>
    <w:p>
      <w:pPr>
        <w:spacing w:after="0" w:line="57"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4445</wp:posOffset>
            </wp:positionV>
            <wp:extent cx="2968625" cy="1711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68625" cy="171196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1977390</wp:posOffset>
            </wp:positionV>
            <wp:extent cx="6055360" cy="261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5360" cy="261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4200"/>
          </w:cols>
          <w:pgMar w:left="320" w:top="6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QoQ analysis, interest income fell -15.9% given that in 1Q21, a non-recurring charge was reported for S/88 million for interest on bonds and subordinated notes in FC under BCP Stand-alone’s liability management strategy. If we exclude this non-recurring charge, interest-adjusted income contracts -3.7% QoQ given an improvement in the funding structure and funding cost due to the following:</w:t>
      </w:r>
    </w:p>
    <w:p>
      <w:pPr>
        <w:spacing w:after="0" w:line="188" w:lineRule="exact"/>
        <w:rPr>
          <w:sz w:val="20"/>
          <w:szCs w:val="20"/>
          <w:color w:val="auto"/>
        </w:rPr>
      </w:pPr>
    </w:p>
    <w:p>
      <w:pPr>
        <w:jc w:val="both"/>
        <w:ind w:left="640" w:hanging="315"/>
        <w:spacing w:after="0" w:line="25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Mix effect: a decrease in the volume of higher-cost deposits such as severance indemnity and time deposits in LC and an increase in the volume of lower-cost deposits such as demand and savings deposits, in FC in particular. This coupled with the expiration of subordinated bonds in FC -which were replaced by debt with lower interest rates- drove the mix effect this quarter.</w:t>
      </w:r>
    </w:p>
    <w:p>
      <w:pPr>
        <w:spacing w:after="0" w:line="187"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Rate effect: lower interest rates on bank borrowings and a reduction in passive rates for high-cost products such as Severance and Time deposits.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interest expenses fell -24.0%, which was attributable to the following:</w:t>
      </w:r>
    </w:p>
    <w:p>
      <w:pPr>
        <w:spacing w:after="0" w:line="218" w:lineRule="exact"/>
        <w:rPr>
          <w:sz w:val="20"/>
          <w:szCs w:val="20"/>
          <w:color w:val="auto"/>
        </w:rPr>
      </w:pPr>
    </w:p>
    <w:p>
      <w:pPr>
        <w:ind w:left="640" w:hanging="315"/>
        <w:spacing w:after="0" w:line="26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 effect: the cost of funding fell due to a decrease in market rates, mainly in time and demand deposits. This was fueled, albeit to a lesser extent, by the decrease in rates on bank borrowings and the impact of low-interest government loans.</w:t>
      </w:r>
    </w:p>
    <w:p>
      <w:pPr>
        <w:spacing w:after="0" w:line="180" w:lineRule="exact"/>
        <w:rPr>
          <w:rFonts w:ascii="Arial" w:cs="Arial" w:eastAsia="Arial" w:hAnsi="Arial"/>
          <w:sz w:val="18"/>
          <w:szCs w:val="18"/>
          <w:color w:val="auto"/>
        </w:rPr>
      </w:pPr>
    </w:p>
    <w:p>
      <w:pPr>
        <w:jc w:val="both"/>
        <w:ind w:left="640" w:hanging="315"/>
        <w:spacing w:after="0" w:line="331"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Mix effect: drop in time deposits and an increase in demand and savings deposits. Growth in demand and savings deposits was attributable to the impact of government programs, which generated high liquidity across the system; increased retail funding; and helped reduce funding with other banks. This increase was also driven by a recent drop in severance indemnity deposits after the government released access to these funds.</w:t>
      </w:r>
    </w:p>
    <w:p>
      <w:pPr>
        <w:spacing w:after="0" w:line="349"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type w:val="continuous"/>
        </w:sectPr>
      </w:pPr>
    </w:p>
    <w:bookmarkStart w:id="27" w:name="page28"/>
    <w:bookmarkEnd w:id="27"/>
    <w:p>
      <w:pPr>
        <w:jc w:val="both"/>
        <w:spacing w:after="0" w:line="319" w:lineRule="auto"/>
        <w:rPr>
          <w:sz w:val="20"/>
          <w:szCs w:val="20"/>
          <w:color w:val="auto"/>
        </w:rPr>
      </w:pPr>
      <w:r>
        <w:rPr>
          <w:rFonts w:ascii="Arial" w:cs="Arial" w:eastAsia="Arial" w:hAnsi="Arial"/>
          <w:sz w:val="15"/>
          <w:szCs w:val="15"/>
          <w:color w:val="auto"/>
        </w:rPr>
        <w:t>In the YTD analysis, interest expenses fell -17.7%. If we exclude the non-recurring charge in 1Q21 related to liability management at BCP Stand-alone, adjusted interest expenses fall -23.4%. YTD. This variation was driven primarily by a reduction in market rates and to a lesser degree by a change in the funding structure, where high cost sources of funding such as severance indemnity deposits, bank debt and repos, registered a reduction in their shares of total funding while less costly sources, such as savings and demand deposits and funding from GP, registered an increase in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Net interest margin (NIM) and Risk-adjusted NIM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NIM and Risk-adjusted NIM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149860</wp:posOffset>
            </wp:positionV>
            <wp:extent cx="6678930" cy="3187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78930" cy="318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stood at 4.01% in 2Q21, which represented an increase with regard to the 3.73% obtained in 1Q21 but fell below the 4.03% registered in 2Q20. This</w:t>
      </w:r>
      <w:r>
        <w:rPr>
          <w:rFonts w:ascii="Arial" w:cs="Arial" w:eastAsia="Arial" w:hAnsi="Arial"/>
          <w:sz w:val="18"/>
          <w:szCs w:val="18"/>
          <w:b w:val="1"/>
          <w:bCs w:val="1"/>
          <w:color w:val="auto"/>
        </w:rPr>
        <w:t xml:space="preserve"> </w:t>
      </w:r>
      <w:r>
        <w:rPr>
          <w:rFonts w:ascii="Arial" w:cs="Arial" w:eastAsia="Arial" w:hAnsi="Arial"/>
          <w:sz w:val="18"/>
          <w:szCs w:val="18"/>
          <w:color w:val="auto"/>
        </w:rPr>
        <w:t>result was impacted by non-recurring charges for the amortization the one-off interest impairments. The impact of non-recurring expenses on NIM was positive: +6pbs for 2Q21. Government loans continued to impact NIM and generated a drop of -38 bps this quarter. An analysis of structural NIM, which excludes non-recurring charges and GP loans, shows:</w:t>
      </w:r>
    </w:p>
    <w:p>
      <w:pPr>
        <w:spacing w:after="0" w:line="189" w:lineRule="exact"/>
        <w:rPr>
          <w:sz w:val="20"/>
          <w:szCs w:val="20"/>
          <w:color w:val="auto"/>
        </w:rPr>
      </w:pPr>
    </w:p>
    <w:p>
      <w:pPr>
        <w:ind w:left="640" w:hanging="315"/>
        <w:spacing w:after="0" w:line="295"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Structural Portfolio reported a NIM of 4.32% in 2Q21, which represented an increase of +14bps QoQ. This growth was attributable to an improvement in the profitability of the IEA mix and the favorable effects generated by the funding mix and a reduction in passive rates.</w:t>
      </w:r>
    </w:p>
    <w:p>
      <w:pPr>
        <w:spacing w:after="0" w:line="156" w:lineRule="exact"/>
        <w:rPr>
          <w:rFonts w:ascii="Arial" w:cs="Arial" w:eastAsia="Arial" w:hAnsi="Arial"/>
          <w:sz w:val="17"/>
          <w:szCs w:val="17"/>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YoY, Structural NIM fell -55bps, falling from 4.87% to 4.32% due to:</w:t>
      </w:r>
    </w:p>
    <w:p>
      <w:pPr>
        <w:spacing w:after="0" w:line="217" w:lineRule="exact"/>
        <w:rPr>
          <w:rFonts w:ascii="Arial" w:cs="Arial" w:eastAsia="Arial" w:hAnsi="Arial"/>
          <w:sz w:val="18"/>
          <w:szCs w:val="18"/>
          <w:color w:val="auto"/>
        </w:rPr>
      </w:pPr>
    </w:p>
    <w:p>
      <w:pPr>
        <w:ind w:left="960" w:hanging="316"/>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Mix effect: the contraction in structural loans and an increase in investments generated a negative effect.</w:t>
      </w:r>
    </w:p>
    <w:p>
      <w:pPr>
        <w:spacing w:after="0" w:line="217" w:lineRule="exact"/>
        <w:rPr>
          <w:rFonts w:ascii="Arial" w:cs="Arial" w:eastAsia="Arial" w:hAnsi="Arial"/>
          <w:sz w:val="18"/>
          <w:szCs w:val="18"/>
          <w:color w:val="auto"/>
        </w:rPr>
      </w:pPr>
    </w:p>
    <w:p>
      <w:pPr>
        <w:ind w:left="960" w:hanging="316"/>
        <w:spacing w:after="0" w:line="265"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Rate effect: The decrease in market rates impacted repricing for the structural portfolio, which was partially offset by a reduction in passive rates.</w:t>
      </w:r>
    </w:p>
    <w:p>
      <w:pPr>
        <w:spacing w:after="0" w:line="180"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YTD, Structural NIM fell -81bps from 5.10% to 4.29% due to factors similar to those that set the YoY trend; in this case, the loan mix effect generated a slightly greater impact on interest income than the drop in interest rates. The negative impact on income was partially offset by a reduction in passive rates and by the positive evolution of the funding structure.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table below shows the NIM and risk-adjusted NIM reported by Credicorp’s main subsidiaries: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BCP</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4"/>
              </w:rPr>
              <w:t xml:space="preserve">Credicorp </w:t>
            </w:r>
            <w:r>
              <w:rPr>
                <w:rFonts w:ascii="Arial" w:cs="Arial" w:eastAsia="Arial" w:hAnsi="Arial"/>
                <w:sz w:val="29"/>
                <w:szCs w:val="29"/>
                <w:b w:val="1"/>
                <w:bCs w:val="1"/>
                <w:color w:val="auto"/>
                <w:w w:val="84"/>
                <w:vertAlign w:val="superscript"/>
              </w:rPr>
              <w:t>(1)</w:t>
            </w: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b w:val="1"/>
                <w:bCs w:val="1"/>
                <w:color w:val="auto"/>
                <w:w w:val="97"/>
              </w:rPr>
              <w:t>Risk Adjusted NIM</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BCP</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86"/>
              </w:rPr>
              <w:t xml:space="preserve">Credicorp </w:t>
            </w:r>
            <w:r>
              <w:rPr>
                <w:rFonts w:ascii="Arial" w:cs="Arial" w:eastAsia="Arial" w:hAnsi="Arial"/>
                <w:sz w:val="29"/>
                <w:szCs w:val="29"/>
                <w:b w:val="1"/>
                <w:bCs w:val="1"/>
                <w:color w:val="auto"/>
                <w:w w:val="86"/>
                <w:vertAlign w:val="superscript"/>
              </w:rPr>
              <w:t>(1)</w:t>
            </w:r>
          </w:p>
        </w:tc>
        <w:tc>
          <w:tcPr>
            <w:tcW w:w="0" w:type="dxa"/>
            <w:vAlign w:val="bottom"/>
          </w:tcPr>
          <w:p>
            <w:pPr>
              <w:spacing w:after="0"/>
              <w:rPr>
                <w:sz w:val="1"/>
                <w:szCs w:val="1"/>
                <w:color w:val="auto"/>
              </w:rPr>
            </w:pPr>
          </w:p>
        </w:tc>
      </w:tr>
      <w:tr>
        <w:trPr>
          <w:trHeight w:val="231"/>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NIM Breakdown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Stand-alone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Mibanco</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Bolivia</w:t>
            </w:r>
          </w:p>
        </w:tc>
        <w:tc>
          <w:tcPr>
            <w:tcW w:w="1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b w:val="1"/>
                <w:bCs w:val="1"/>
                <w:color w:val="auto"/>
              </w:rPr>
              <w:t>Breakdown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Stand-alone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Mibanco</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Bolivia</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tcBorders>
              <w:right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2Q20</w:t>
            </w:r>
          </w:p>
        </w:tc>
        <w:tc>
          <w:tcPr>
            <w:tcW w:w="1120" w:type="dxa"/>
            <w:vAlign w:val="bottom"/>
            <w:tcBorders>
              <w:right w:val="single" w:sz="8" w:color="CCEEFF"/>
            </w:tcBorders>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3.73%</w:t>
            </w:r>
          </w:p>
        </w:tc>
        <w:tc>
          <w:tcPr>
            <w:tcW w:w="88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8.23%</w:t>
            </w:r>
          </w:p>
        </w:tc>
        <w:tc>
          <w:tcPr>
            <w:tcW w:w="7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3.29%</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4.03%</w:t>
            </w:r>
          </w:p>
        </w:tc>
        <w:tc>
          <w:tcPr>
            <w:tcW w:w="240" w:type="dxa"/>
            <w:vAlign w:val="bottom"/>
            <w:vMerge w:val="continue"/>
          </w:tcPr>
          <w:p>
            <w:pPr>
              <w:spacing w:after="0"/>
              <w:rPr>
                <w:sz w:val="17"/>
                <w:szCs w:val="17"/>
                <w:color w:val="auto"/>
              </w:rPr>
            </w:pPr>
          </w:p>
        </w:tc>
        <w:tc>
          <w:tcPr>
            <w:tcW w:w="1580" w:type="dxa"/>
            <w:vAlign w:val="bottom"/>
            <w:tcBorders>
              <w:right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2Q20</w:t>
            </w:r>
          </w:p>
        </w:tc>
        <w:tc>
          <w:tcPr>
            <w:tcW w:w="110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-1.52%</w:t>
            </w:r>
          </w:p>
        </w:tc>
        <w:tc>
          <w:tcPr>
            <w:tcW w:w="88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-4.39%</w:t>
            </w:r>
          </w:p>
        </w:tc>
        <w:tc>
          <w:tcPr>
            <w:tcW w:w="7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-0.69%</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1Q21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3.73%</w:t>
            </w: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b w:val="1"/>
                <w:bCs w:val="1"/>
                <w:color w:val="auto"/>
              </w:rPr>
              <w:t>1Q21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2Q21</w:t>
            </w:r>
          </w:p>
        </w:tc>
        <w:tc>
          <w:tcPr>
            <w:tcW w:w="11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1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11.88%    2.84%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240" w:type="dxa"/>
            <w:vAlign w:val="bottom"/>
          </w:tcPr>
          <w:p>
            <w:pPr>
              <w:spacing w:after="0"/>
              <w:rPr>
                <w:sz w:val="18"/>
                <w:szCs w:val="18"/>
                <w:color w:val="auto"/>
              </w:rPr>
            </w:pPr>
          </w:p>
        </w:tc>
        <w:tc>
          <w:tcPr>
            <w:tcW w:w="1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2Q21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tcPr>
          <w:p>
            <w:pPr>
              <w:spacing w:after="0" w:line="206" w:lineRule="exact"/>
              <w:rPr>
                <w:sz w:val="20"/>
                <w:szCs w:val="20"/>
                <w:color w:val="auto"/>
              </w:rPr>
            </w:pPr>
            <w:r>
              <w:rPr>
                <w:rFonts w:ascii="Arial" w:cs="Arial" w:eastAsia="Arial" w:hAnsi="Arial"/>
                <w:sz w:val="18"/>
                <w:szCs w:val="18"/>
                <w:b w:val="1"/>
                <w:bCs w:val="1"/>
                <w:color w:val="auto"/>
              </w:rPr>
              <w:t>Jun 20</w:t>
            </w:r>
          </w:p>
        </w:tc>
        <w:tc>
          <w:tcPr>
            <w:tcW w:w="11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4.10%</w:t>
            </w:r>
          </w:p>
        </w:tc>
        <w:tc>
          <w:tcPr>
            <w:tcW w:w="88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11.58%</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3.46%</w:t>
            </w:r>
          </w:p>
        </w:tc>
        <w:tc>
          <w:tcPr>
            <w:tcW w:w="1160" w:type="dxa"/>
            <w:vAlign w:val="bottom"/>
            <w:gridSpan w:val="2"/>
          </w:tcPr>
          <w:p>
            <w:pPr>
              <w:jc w:val="right"/>
              <w:spacing w:after="0" w:line="206" w:lineRule="exact"/>
              <w:rPr>
                <w:sz w:val="20"/>
                <w:szCs w:val="20"/>
                <w:color w:val="auto"/>
              </w:rPr>
            </w:pPr>
            <w:r>
              <w:rPr>
                <w:rFonts w:ascii="Arial" w:cs="Arial" w:eastAsia="Arial" w:hAnsi="Arial"/>
                <w:sz w:val="18"/>
                <w:szCs w:val="18"/>
                <w:b w:val="1"/>
                <w:bCs w:val="1"/>
                <w:color w:val="auto"/>
              </w:rPr>
              <w:t>4.55%</w:t>
            </w:r>
          </w:p>
        </w:tc>
        <w:tc>
          <w:tcPr>
            <w:tcW w:w="240" w:type="dxa"/>
            <w:vAlign w:val="bottom"/>
          </w:tcPr>
          <w:p>
            <w:pPr>
              <w:spacing w:after="0"/>
              <w:rPr>
                <w:sz w:val="17"/>
                <w:szCs w:val="17"/>
                <w:color w:val="auto"/>
              </w:rPr>
            </w:pPr>
          </w:p>
        </w:tc>
        <w:tc>
          <w:tcPr>
            <w:tcW w:w="1580" w:type="dxa"/>
            <w:vAlign w:val="bottom"/>
          </w:tcPr>
          <w:p>
            <w:pPr>
              <w:spacing w:after="0" w:line="206" w:lineRule="exact"/>
              <w:rPr>
                <w:sz w:val="20"/>
                <w:szCs w:val="20"/>
                <w:color w:val="auto"/>
              </w:rPr>
            </w:pPr>
            <w:r>
              <w:rPr>
                <w:rFonts w:ascii="Arial" w:cs="Arial" w:eastAsia="Arial" w:hAnsi="Arial"/>
                <w:sz w:val="18"/>
                <w:szCs w:val="18"/>
                <w:b w:val="1"/>
                <w:bCs w:val="1"/>
                <w:color w:val="auto"/>
              </w:rPr>
              <w:t>Jun 20</w:t>
            </w:r>
          </w:p>
        </w:tc>
        <w:tc>
          <w:tcPr>
            <w:tcW w:w="11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-0.11%</w:t>
            </w: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2.53%</w:t>
            </w:r>
          </w:p>
        </w:tc>
        <w:tc>
          <w:tcPr>
            <w:tcW w:w="76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0.67%</w:t>
            </w:r>
          </w:p>
        </w:tc>
        <w:tc>
          <w:tcPr>
            <w:tcW w:w="1160" w:type="dxa"/>
            <w:vAlign w:val="bottom"/>
            <w:gridSpan w:val="2"/>
          </w:tcPr>
          <w:p>
            <w:pPr>
              <w:jc w:val="right"/>
              <w:spacing w:after="0" w:line="206" w:lineRule="exact"/>
              <w:rPr>
                <w:sz w:val="20"/>
                <w:szCs w:val="20"/>
                <w:color w:val="auto"/>
              </w:rPr>
            </w:pPr>
            <w:r>
              <w:rPr>
                <w:rFonts w:ascii="Arial" w:cs="Arial" w:eastAsia="Arial" w:hAnsi="Arial"/>
                <w:sz w:val="18"/>
                <w:szCs w:val="18"/>
                <w:b w:val="1"/>
                <w:bCs w:val="1"/>
                <w:color w:val="auto"/>
              </w:rPr>
              <w:t>0.48%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 21</w:t>
            </w: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40" w:type="dxa"/>
            <w:vAlign w:val="bottom"/>
          </w:tcPr>
          <w:p>
            <w:pPr>
              <w:spacing w:after="0"/>
              <w:rPr>
                <w:sz w:val="19"/>
                <w:szCs w:val="19"/>
                <w:color w:val="auto"/>
              </w:rPr>
            </w:pPr>
          </w:p>
        </w:tc>
        <w:tc>
          <w:tcPr>
            <w:tcW w:w="1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 21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Risk-Adjusted NIM: (Annualized Net interest income - annualized provisions) / Average period end and period beginning interest earning assets.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Mibanco colombia, Credicorp Capital, Prima, Pacífico, ASB and Eliminations for consolidation purposes.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As BCP Stand-alone’s NIM mirrors that of Credicorp (given its relative contribution to the Group’s NIM), we would like to focus on relevant variations at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Mibanco Peru and BCP Bolivia:</w:t>
      </w:r>
    </w:p>
    <w:p>
      <w:pPr>
        <w:spacing w:after="0" w:line="207" w:lineRule="exact"/>
        <w:rPr>
          <w:sz w:val="20"/>
          <w:szCs w:val="20"/>
          <w:color w:val="auto"/>
        </w:rPr>
      </w:pPr>
    </w:p>
    <w:p>
      <w:pPr>
        <w:jc w:val="both"/>
        <w:ind w:left="640" w:hanging="315"/>
        <w:spacing w:after="0" w:line="22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Mibanco Peru reported an increase of +151 bps QoQ in NIM due to the evolution of structural loans and the reduction in interest expenses. Another factor that contributed positively to the margin was a reverse of interest income provisions made previously into the reprogrammed delinquent loans</w:t>
      </w:r>
      <w:r>
        <w:rPr>
          <w:rFonts w:ascii="Arial" w:cs="Arial" w:eastAsia="Arial" w:hAnsi="Arial"/>
          <w:sz w:val="29"/>
          <w:szCs w:val="29"/>
          <w:color w:val="auto"/>
          <w:vertAlign w:val="superscript"/>
        </w:rPr>
        <w:t>[2]</w:t>
      </w:r>
      <w:r>
        <w:rPr>
          <w:rFonts w:ascii="Arial" w:cs="Arial" w:eastAsia="Arial" w:hAnsi="Arial"/>
          <w:sz w:val="18"/>
          <w:szCs w:val="18"/>
          <w:color w:val="auto"/>
        </w:rPr>
        <w:t>. This reversal was triggered after write-offs this quarter to compensate for the fact that the interest income provisions had been also recorded in IFRS provisions for credit losses for delinquent loans.</w:t>
      </w:r>
    </w:p>
    <w:p>
      <w:pPr>
        <w:spacing w:after="0" w:line="203" w:lineRule="exact"/>
        <w:rPr>
          <w:rFonts w:ascii="Arial" w:cs="Arial" w:eastAsia="Arial" w:hAnsi="Arial"/>
          <w:sz w:val="18"/>
          <w:szCs w:val="18"/>
          <w:color w:val="auto"/>
        </w:rPr>
      </w:pPr>
    </w:p>
    <w:p>
      <w:pPr>
        <w:jc w:val="both"/>
        <w:ind w:left="640"/>
        <w:spacing w:after="0" w:line="256" w:lineRule="auto"/>
        <w:rPr>
          <w:rFonts w:ascii="Arial" w:cs="Arial" w:eastAsia="Arial" w:hAnsi="Arial"/>
          <w:sz w:val="18"/>
          <w:szCs w:val="18"/>
          <w:color w:val="auto"/>
        </w:rPr>
      </w:pPr>
      <w:r>
        <w:rPr>
          <w:rFonts w:ascii="Arial" w:cs="Arial" w:eastAsia="Arial" w:hAnsi="Arial"/>
          <w:sz w:val="18"/>
          <w:szCs w:val="18"/>
          <w:color w:val="auto"/>
        </w:rPr>
        <w:t>YoY, NIM at Mibanco increased +365bps after the registration of the one-off impairment in 2Q20 (related to zero-rate facilities were granted to large numbers of clients). The recovery in structural disbursements and amortizations of the impairment and reversals of provisions for interest also contributed, albeit to a lesser extent, to this increase.</w:t>
      </w:r>
    </w:p>
    <w:p>
      <w:pPr>
        <w:spacing w:after="0" w:line="187" w:lineRule="exact"/>
        <w:rPr>
          <w:rFonts w:ascii="Arial" w:cs="Arial" w:eastAsia="Arial" w:hAnsi="Arial"/>
          <w:sz w:val="18"/>
          <w:szCs w:val="18"/>
          <w:color w:val="auto"/>
        </w:rPr>
      </w:pPr>
    </w:p>
    <w:p>
      <w:pPr>
        <w:ind w:left="640" w:hanging="315"/>
        <w:spacing w:after="0" w:line="26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QoQ, NIM at BCP Bolivia increased mainly due to the amortization of the one-off impairment. YoY, NIM fell in a context of an increased cost of funds and a drop in loans with higher margins due to the reduction of the risk appetite.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Risk-adjusted NIM </w:t>
      </w:r>
      <w:r>
        <w:rPr>
          <w:rFonts w:ascii="Arial" w:cs="Arial" w:eastAsia="Arial" w:hAnsi="Arial"/>
          <w:sz w:val="17"/>
          <w:szCs w:val="17"/>
          <w:color w:val="auto"/>
        </w:rPr>
        <w:t>at Credicorp increased +63bps QoQ, +457bps YoY and +261bps YTD due to a significant reduction in provisions in 2Q21.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1788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82" w:lineRule="exact"/>
        <w:rPr>
          <w:sz w:val="20"/>
          <w:szCs w:val="20"/>
          <w:color w:val="auto"/>
        </w:rPr>
      </w:pPr>
    </w:p>
    <w:p>
      <w:pPr>
        <w:ind w:firstLine="6"/>
        <w:spacing w:after="0" w:line="189" w:lineRule="auto"/>
        <w:tabs>
          <w:tab w:leader="none" w:pos="132"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 recent months, we registered provisions for interest income that was accrued over the reprogrammed loans grace periods and was not paid-back when grace periods expired due to delinquency.</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569595</wp:posOffset>
            </wp:positionV>
            <wp:extent cx="7134860" cy="9690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969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4. Portfolio Quality</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860" w:type="dxa"/>
            <w:vAlign w:val="bottom"/>
            <w:gridSpan w:val="6"/>
          </w:tcPr>
          <w:p>
            <w:pPr>
              <w:spacing w:after="0"/>
              <w:rPr>
                <w:sz w:val="20"/>
                <w:szCs w:val="20"/>
                <w:color w:val="auto"/>
              </w:rPr>
            </w:pPr>
            <w:r>
              <w:rPr>
                <w:rFonts w:ascii="Arial" w:cs="Arial" w:eastAsia="Arial" w:hAnsi="Arial"/>
                <w:sz w:val="18"/>
                <w:szCs w:val="18"/>
                <w:b w:val="1"/>
                <w:bCs w:val="1"/>
                <w:color w:val="auto"/>
                <w:w w:val="93"/>
              </w:rPr>
              <w:t>4.1. Net provisions for loan losses and the CofR</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60" w:type="dxa"/>
            <w:vAlign w:val="bottom"/>
            <w:gridSpan w:val="6"/>
          </w:tcPr>
          <w:p>
            <w:pPr>
              <w:spacing w:after="0"/>
              <w:rPr>
                <w:sz w:val="20"/>
                <w:szCs w:val="20"/>
                <w:color w:val="auto"/>
              </w:rPr>
            </w:pPr>
            <w:r>
              <w:rPr>
                <w:rFonts w:ascii="Arial" w:cs="Arial" w:eastAsia="Arial" w:hAnsi="Arial"/>
                <w:sz w:val="18"/>
                <w:szCs w:val="18"/>
                <w:b w:val="1"/>
                <w:bCs w:val="1"/>
                <w:color w:val="auto"/>
                <w:w w:val="88"/>
              </w:rPr>
              <w:t>Provision for credit losses on loan portfolio, net of</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88"/>
              </w:rPr>
              <w:t>% change</w:t>
            </w:r>
          </w:p>
        </w:tc>
        <w:tc>
          <w:tcPr>
            <w:tcW w:w="40" w:type="dxa"/>
            <w:vAlign w:val="bottom"/>
          </w:tcPr>
          <w:p>
            <w:pPr>
              <w:spacing w:after="0"/>
              <w:rPr>
                <w:sz w:val="24"/>
                <w:szCs w:val="24"/>
                <w:color w:val="auto"/>
              </w:rPr>
            </w:pPr>
          </w:p>
        </w:tc>
        <w:tc>
          <w:tcPr>
            <w:tcW w:w="19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YTD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 change</w:t>
            </w:r>
          </w:p>
        </w:tc>
        <w:tc>
          <w:tcPr>
            <w:tcW w:w="0" w:type="dxa"/>
            <w:vAlign w:val="bottom"/>
          </w:tcPr>
          <w:p>
            <w:pPr>
              <w:spacing w:after="0"/>
              <w:rPr>
                <w:sz w:val="1"/>
                <w:szCs w:val="1"/>
                <w:color w:val="auto"/>
              </w:rPr>
            </w:pPr>
          </w:p>
        </w:tc>
      </w:tr>
      <w:tr>
        <w:trPr>
          <w:trHeight w:val="207"/>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 000</w:t>
            </w: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2Q20</w:t>
            </w:r>
          </w:p>
        </w:tc>
        <w:tc>
          <w:tcPr>
            <w:tcW w:w="80" w:type="dxa"/>
            <w:vAlign w:val="bottom"/>
            <w:tcBorders>
              <w:top w:val="single" w:sz="8" w:color="auto"/>
              <w:bottom w:val="single" w:sz="8" w:color="CCEEFF"/>
            </w:tcBorders>
            <w:gridSpan w:val="2"/>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w w:val="90"/>
              </w:rPr>
              <w:t>1Q21</w:t>
            </w:r>
          </w:p>
        </w:tc>
        <w:tc>
          <w:tcPr>
            <w:tcW w:w="1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w w:val="99"/>
              </w:rPr>
              <w:t>2Q21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top w:val="single" w:sz="8" w:color="auto"/>
              <w:bottom w:val="single" w:sz="8" w:color="CCEEFF"/>
            </w:tcBorders>
            <w:gridSpan w:val="2"/>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YoY</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Jun 20</w:t>
            </w:r>
          </w:p>
        </w:tc>
        <w:tc>
          <w:tcPr>
            <w:tcW w:w="1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Jun 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Jun 21 / Jun 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w w:val="96"/>
              </w:rPr>
              <w:t>Gross provision for credit losses on loan portfolio</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82"/>
              </w:rPr>
              <w:t>(2,557,658)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w w:val="88"/>
              </w:rPr>
              <w:t>(622,982)</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w w:val="90"/>
              </w:rPr>
              <w:t>(441,007)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-82.8%</w:t>
            </w:r>
          </w:p>
        </w:tc>
        <w:tc>
          <w:tcPr>
            <w:tcW w:w="84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w w:val="89"/>
              </w:rPr>
              <w:t>(3,946,369)</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(1,063,989)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2"/>
        </w:trPr>
        <w:tc>
          <w:tcPr>
            <w:tcW w:w="3000" w:type="dxa"/>
            <w:vAlign w:val="bottom"/>
            <w:gridSpan w:val="2"/>
          </w:tcPr>
          <w:p>
            <w:pPr>
              <w:spacing w:after="0"/>
              <w:rPr>
                <w:sz w:val="20"/>
                <w:szCs w:val="20"/>
                <w:color w:val="auto"/>
              </w:rPr>
            </w:pPr>
            <w:r>
              <w:rPr>
                <w:rFonts w:ascii="Arial" w:cs="Arial" w:eastAsia="Arial" w:hAnsi="Arial"/>
                <w:sz w:val="18"/>
                <w:szCs w:val="18"/>
                <w:color w:val="auto"/>
              </w:rPr>
              <w:t>Recoveries of written-off loans</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17,201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65,335</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77,627</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color w:val="auto"/>
              </w:rPr>
              <w:t>18.8%</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351.3%</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64,431</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142,962</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194"/>
        </w:trPr>
        <w:tc>
          <w:tcPr>
            <w:tcW w:w="3860" w:type="dxa"/>
            <w:vAlign w:val="bottom"/>
            <w:gridSpan w:val="6"/>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8"/>
              </w:rPr>
              <w:t>Provision for credit losses on loan portfolio, net of</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recoveries</w:t>
            </w: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(2,540,457)</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(557,647)</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(363,380)</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-34.8%</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-85.7%</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(3,881,938)</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(921,027)</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0" w:type="dxa"/>
            <w:vAlign w:val="bottom"/>
          </w:tcPr>
          <w:p>
            <w:pPr>
              <w:spacing w:after="0"/>
              <w:rPr>
                <w:sz w:val="1"/>
                <w:szCs w:val="1"/>
                <w:color w:val="auto"/>
              </w:rPr>
            </w:pPr>
          </w:p>
        </w:tc>
      </w:tr>
      <w:tr>
        <w:trPr>
          <w:trHeight w:val="424"/>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Cost of risk and Provisions</w:t>
            </w:r>
          </w:p>
        </w:tc>
        <w:tc>
          <w:tcPr>
            <w:tcW w:w="12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w w:val="90"/>
              </w:rPr>
              <w:t>% change</w:t>
            </w:r>
          </w:p>
        </w:tc>
        <w:tc>
          <w:tcPr>
            <w:tcW w:w="40" w:type="dxa"/>
            <w:vAlign w:val="bottom"/>
          </w:tcPr>
          <w:p>
            <w:pPr>
              <w:spacing w:after="0"/>
              <w:rPr>
                <w:sz w:val="24"/>
                <w:szCs w:val="24"/>
                <w:color w:val="auto"/>
              </w:rPr>
            </w:pPr>
          </w:p>
        </w:tc>
        <w:tc>
          <w:tcPr>
            <w:tcW w:w="19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YTD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7"/>
        </w:trPr>
        <w:tc>
          <w:tcPr>
            <w:tcW w:w="2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2Q20</w:t>
            </w:r>
          </w:p>
        </w:tc>
        <w:tc>
          <w:tcPr>
            <w:tcW w:w="140" w:type="dxa"/>
            <w:vAlign w:val="bottom"/>
            <w:tcBorders>
              <w:top w:val="single" w:sz="8" w:color="auto"/>
              <w:bottom w:val="single" w:sz="8" w:color="CCEEFF"/>
            </w:tcBorders>
            <w:gridSpan w:val="3"/>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1Q21</w:t>
            </w: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2Q21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top w:val="single" w:sz="8" w:color="auto"/>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top w:val="single" w:sz="8" w:color="auto"/>
              <w:bottom w:val="single" w:sz="8" w:color="CCEEFF"/>
            </w:tcBorders>
            <w:gridSpan w:val="2"/>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Jun 21</w:t>
            </w:r>
          </w:p>
        </w:tc>
        <w:tc>
          <w:tcPr>
            <w:tcW w:w="1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Jun 21 / Jun 20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8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Cost of risk </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60" w:type="dxa"/>
            <w:vAlign w:val="bottom"/>
            <w:gridSpan w:val="5"/>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0"/>
              </w:rPr>
              <w:t>-61bps</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-664 bps</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 bps</w:t>
            </w:r>
          </w:p>
        </w:tc>
        <w:tc>
          <w:tcPr>
            <w:tcW w:w="0" w:type="dxa"/>
            <w:vAlign w:val="bottom"/>
          </w:tcPr>
          <w:p>
            <w:pPr>
              <w:spacing w:after="0"/>
              <w:rPr>
                <w:sz w:val="1"/>
                <w:szCs w:val="1"/>
                <w:color w:val="auto"/>
              </w:rPr>
            </w:pPr>
          </w:p>
        </w:tc>
      </w:tr>
      <w:tr>
        <w:trPr>
          <w:trHeight w:val="252"/>
        </w:trPr>
        <w:tc>
          <w:tcPr>
            <w:tcW w:w="300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Structural Cost of risk </w:t>
            </w:r>
            <w:r>
              <w:rPr>
                <w:rFonts w:ascii="Arial" w:cs="Arial" w:eastAsia="Arial" w:hAnsi="Arial"/>
                <w:sz w:val="29"/>
                <w:szCs w:val="29"/>
                <w:color w:val="auto"/>
                <w:vertAlign w:val="superscript"/>
              </w:rPr>
              <w:t>(2)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8.41%</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1.92%</w:t>
            </w:r>
          </w:p>
        </w:tc>
        <w:tc>
          <w:tcPr>
            <w:tcW w:w="1060" w:type="dxa"/>
            <w:vAlign w:val="bottom"/>
            <w:gridSpan w:val="5"/>
          </w:tcPr>
          <w:p>
            <w:pPr>
              <w:jc w:val="right"/>
              <w:ind w:right="31"/>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w w:val="90"/>
              </w:rPr>
              <w:t>-69bps</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-718 bps</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6.50%</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-499 bps</w:t>
            </w: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Provision for credit losses on loan</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portfolio, net of recoveries / Net interest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60" w:type="dxa"/>
            <w:vAlign w:val="bottom"/>
            <w:gridSpan w:val="5"/>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18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-1050bps</w:t>
            </w:r>
          </w:p>
        </w:tc>
        <w:tc>
          <w:tcPr>
            <w:tcW w:w="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89.4%</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-6950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Annualized Provision for credit losses on loan portfolio, net of recoveries / Total loans.</w:t>
      </w:r>
    </w:p>
    <w:p>
      <w:pPr>
        <w:spacing w:after="0" w:line="16" w:lineRule="exact"/>
        <w:rPr>
          <w:rFonts w:ascii="Arial" w:cs="Arial" w:eastAsia="Arial" w:hAnsi="Arial"/>
          <w:sz w:val="18"/>
          <w:szCs w:val="18"/>
          <w:color w:val="auto"/>
        </w:rPr>
      </w:pPr>
    </w:p>
    <w:p>
      <w:pPr>
        <w:ind w:right="300" w:firstLine="6"/>
        <w:spacing w:after="0" w:line="252" w:lineRule="auto"/>
        <w:tabs>
          <w:tab w:leader="none" w:pos="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Structural Cost of risk excludes the provisions for credit losses on loan portfolio, net of recoveries and total loans from the Reactiva Peru and FAE Government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Provisions contracted -34.8% QoQ, following the trend registered in previous quarters, and reflected the lowest level of expenses in the last 3 years.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Contractions was due to:</w:t>
      </w:r>
    </w:p>
    <w:p>
      <w:pPr>
        <w:spacing w:after="0" w:line="207" w:lineRule="exact"/>
        <w:rPr>
          <w:sz w:val="20"/>
          <w:szCs w:val="20"/>
          <w:color w:val="auto"/>
        </w:rPr>
      </w:pPr>
    </w:p>
    <w:p>
      <w:pPr>
        <w:jc w:val="both"/>
        <w:ind w:left="640" w:hanging="315"/>
        <w:spacing w:after="0" w:line="272"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BCP Stand-alone: driven by (i) improvements in the risk levels (Probability of Default (“PD”) Bottom-Up models) of SME-Pyme and Individuals clients, due to a recovery in transactional activity and in income levels, and (ii) due to a decrease in the volume of advances to Stage 3, which reflected a decrease in refinancing and write-offs. The aforementioned was attenuated by an increase in provisions in Mortgage and Wholesale Banking, which was associated with an increase in the level of risk and in disbursement volumes, respectively.</w:t>
      </w:r>
    </w:p>
    <w:p>
      <w:pPr>
        <w:spacing w:after="0" w:line="176" w:lineRule="exact"/>
        <w:rPr>
          <w:rFonts w:ascii="Arial" w:cs="Arial" w:eastAsia="Arial" w:hAnsi="Arial"/>
          <w:sz w:val="17"/>
          <w:szCs w:val="17"/>
          <w:color w:val="auto"/>
        </w:rPr>
      </w:pPr>
    </w:p>
    <w:p>
      <w:pPr>
        <w:ind w:left="640" w:hanging="315"/>
        <w:spacing w:after="0" w:line="26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BCP Bolivia: results were impacted by provision reversals due to the inclusion of guarantees in the consumer portfolio, which was partially offset by new provisions to cover delinquency.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139065</wp:posOffset>
            </wp:positionV>
            <wp:extent cx="6906895" cy="1400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06895"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(1) Others include BCP Bolivia, ASB and eliminations.</w:t>
      </w:r>
      <w:r>
        <w:rPr>
          <w:sz w:val="20"/>
          <w:szCs w:val="20"/>
          <w:color w:val="auto"/>
        </w:rPr>
        <w:tab/>
      </w:r>
      <w:r>
        <w:rPr>
          <w:rFonts w:ascii="Arial" w:cs="Arial" w:eastAsia="Arial" w:hAnsi="Arial"/>
          <w:sz w:val="15"/>
          <w:szCs w:val="15"/>
          <w:color w:val="auto"/>
        </w:rPr>
        <w:t>(1) Others include BCP Bolivia, ASB and eliminations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YoY analysis, net provisions for loan losses fell -82.8% with regard to 2Q20. It is important to note that the highest level of provisions in more than 5 years was reported in 2Q20, when significant forward-looking provisions were set aside in the context of the pandemic. The YoY contraction was driven primarily by:</w:t>
      </w:r>
    </w:p>
    <w:p>
      <w:pPr>
        <w:spacing w:after="0" w:line="188" w:lineRule="exact"/>
        <w:rPr>
          <w:sz w:val="20"/>
          <w:szCs w:val="20"/>
          <w:color w:val="auto"/>
        </w:rPr>
      </w:pPr>
    </w:p>
    <w:p>
      <w:pPr>
        <w:ind w:left="640" w:hanging="315"/>
        <w:spacing w:after="0" w:line="295"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BCP Stand-alone: led by the evolution of the SME-Pyme and Credit Card segments, where risk levels were aligned with payment behavior after transactions and income recovered, and by adjustments made to the models to reflect new macroeconomic projections.</w:t>
      </w:r>
    </w:p>
    <w:p>
      <w:pPr>
        <w:spacing w:after="0" w:line="156" w:lineRule="exact"/>
        <w:rPr>
          <w:rFonts w:ascii="Arial" w:cs="Arial" w:eastAsia="Arial" w:hAnsi="Arial"/>
          <w:sz w:val="17"/>
          <w:szCs w:val="17"/>
          <w:color w:val="auto"/>
        </w:rPr>
      </w:pPr>
    </w:p>
    <w:p>
      <w:pPr>
        <w:ind w:left="640" w:hanging="315"/>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Mibanco: due to (i) adjustments to the Bottom-Up Model, which required fewer provisions for new disbursements after credit scores were updated,</w:t>
      </w:r>
    </w:p>
    <w:p>
      <w:pPr>
        <w:spacing w:after="0" w:line="51" w:lineRule="exact"/>
        <w:rPr>
          <w:rFonts w:ascii="Arial" w:cs="Arial" w:eastAsia="Arial" w:hAnsi="Arial"/>
          <w:sz w:val="15"/>
          <w:szCs w:val="15"/>
          <w:color w:val="auto"/>
        </w:rPr>
      </w:pPr>
    </w:p>
    <w:p>
      <w:pPr>
        <w:ind w:left="920" w:hanging="276"/>
        <w:spacing w:after="0"/>
        <w:tabs>
          <w:tab w:leader="none" w:pos="9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improvements in client payment behavior, which were reflected in a decrease in advances between Stages and higher stages of delinquency and</w:t>
      </w:r>
    </w:p>
    <w:p>
      <w:pPr>
        <w:spacing w:after="0" w:line="40" w:lineRule="exact"/>
        <w:rPr>
          <w:rFonts w:ascii="Arial" w:cs="Arial" w:eastAsia="Arial" w:hAnsi="Arial"/>
          <w:sz w:val="15"/>
          <w:szCs w:val="15"/>
          <w:color w:val="auto"/>
        </w:rPr>
      </w:pPr>
    </w:p>
    <w:p>
      <w:pPr>
        <w:ind w:left="960" w:hanging="316"/>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drop in provision expenses related to external alignment.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aforementioned context, the CofR at Credicorp fell -61 bps QoQ and -664 bps YoY. If we exclude provisions and loans related to Government Programs (GP), the cost of risk for Credicorp’s structural portfolio stands at 1.23%, versus 1.92% and 8.41% in 1Q21 and 2Q20 respectively. In the YTD analysis, provisions fell -76.3% with regard to the level registered in June 20. Consequently, the cost of risk of the structural portfolio was 1.51%, compared to 6.50% in June 20.</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4.2. Delinquency</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6"/>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Mar 21</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21</w:t>
            </w: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132,741,720</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137,031,239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143,091,752</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Structural Loan Portfolio</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117,793,155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112,782,997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120,095,401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r>
      <w:tr>
        <w:trPr>
          <w:trHeight w:val="22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8,412,544</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9,744,298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9,391,151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24"/>
        </w:trPr>
        <w:tc>
          <w:tcPr>
            <w:tcW w:w="384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42,104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767,136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742,211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54"/>
        </w:trPr>
        <w:tc>
          <w:tcPr>
            <w:tcW w:w="38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 xml:space="preserve">Internal overdue loans (IOLs) </w:t>
            </w:r>
            <w:r>
              <w:rPr>
                <w:rFonts w:ascii="Arial" w:cs="Arial" w:eastAsia="Arial" w:hAnsi="Arial"/>
                <w:sz w:val="29"/>
                <w:szCs w:val="29"/>
                <w:color w:val="auto"/>
                <w:vertAlign w:val="superscript"/>
              </w:rPr>
              <w:t>(1)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3,842,830</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4,868,483</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5,054,353</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52"/>
        </w:trPr>
        <w:tc>
          <w:tcPr>
            <w:tcW w:w="384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3,112,920</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3,789,286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3,817,463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2"/>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1,179,031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1,951,855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1,800,076</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r>
      <w:tr>
        <w:trPr>
          <w:trHeight w:val="266"/>
        </w:trPr>
        <w:tc>
          <w:tcPr>
            <w:tcW w:w="384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29"/>
                <w:szCs w:val="29"/>
                <w:color w:val="auto"/>
                <w:vertAlign w:val="superscript"/>
              </w:rPr>
              <w:t>(2)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5,021,861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6,820,338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6,854,429</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r>
        <w:trPr>
          <w:trHeight w:val="212"/>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 bps</w:t>
            </w:r>
          </w:p>
        </w:tc>
      </w:tr>
      <w:tr>
        <w:trPr>
          <w:trHeight w:val="21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Structural IOL ratio</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3.89%</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-43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 bps</w:t>
            </w:r>
          </w:p>
        </w:tc>
      </w:tr>
      <w:tr>
        <w:trPr>
          <w:trHeight w:val="212"/>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over 90-days ratio</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2.67%</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 bps</w:t>
            </w:r>
          </w:p>
        </w:tc>
      </w:tr>
      <w:tr>
        <w:trPr>
          <w:trHeight w:val="21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4.79%</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-19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101 bps</w:t>
            </w:r>
          </w:p>
        </w:tc>
      </w:tr>
      <w:tr>
        <w:trPr>
          <w:trHeight w:val="212"/>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Structural NPL ratio</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5.38%</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 bps</w:t>
            </w:r>
          </w:p>
        </w:tc>
      </w:tr>
      <w:tr>
        <w:trPr>
          <w:trHeight w:val="21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Allowance for loan losses over Total loans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6.56%</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-50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 bps</w:t>
            </w:r>
          </w:p>
        </w:tc>
      </w:tr>
      <w:tr>
        <w:trPr>
          <w:trHeight w:val="212"/>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IOLs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-1440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-3310 bps</w:t>
            </w:r>
          </w:p>
        </w:tc>
      </w:tr>
      <w:tr>
        <w:trPr>
          <w:trHeight w:val="212"/>
        </w:trPr>
        <w:tc>
          <w:tcPr>
            <w:tcW w:w="3840" w:type="dxa"/>
            <w:vAlign w:val="bottom"/>
            <w:gridSpan w:val="2"/>
          </w:tcPr>
          <w:p>
            <w:pPr>
              <w:spacing w:after="0"/>
              <w:rPr>
                <w:sz w:val="20"/>
                <w:szCs w:val="20"/>
                <w:color w:val="auto"/>
              </w:rPr>
            </w:pPr>
            <w:r>
              <w:rPr>
                <w:rFonts w:ascii="Arial" w:cs="Arial" w:eastAsia="Arial" w:hAnsi="Arial"/>
                <w:sz w:val="18"/>
                <w:szCs w:val="18"/>
                <w:color w:val="auto"/>
              </w:rPr>
              <w:t>Coverage ratio of IOL 90-days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270.2%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257.2%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246.0%</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-1120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-2420 bps</w:t>
            </w:r>
          </w:p>
        </w:tc>
      </w:tr>
      <w:tr>
        <w:trPr>
          <w:trHeight w:val="22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-590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-3050 bps</w:t>
            </w:r>
          </w:p>
        </w:tc>
      </w:tr>
    </w:tbl>
    <w:p>
      <w:pPr>
        <w:spacing w:after="0" w:line="200" w:lineRule="exact"/>
        <w:rPr>
          <w:sz w:val="20"/>
          <w:szCs w:val="20"/>
          <w:color w:val="auto"/>
        </w:rPr>
      </w:pPr>
    </w:p>
    <w:p>
      <w:pPr>
        <w:ind w:left="260" w:hanging="254"/>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terms of portfolio delinquency, it is important to note that:</w:t>
      </w:r>
    </w:p>
    <w:p>
      <w:pPr>
        <w:spacing w:after="0" w:line="218" w:lineRule="exact"/>
        <w:rPr>
          <w:sz w:val="20"/>
          <w:szCs w:val="20"/>
          <w:color w:val="auto"/>
        </w:rPr>
      </w:pPr>
    </w:p>
    <w:p>
      <w:pPr>
        <w:jc w:val="both"/>
        <w:ind w:left="640" w:hanging="315"/>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IOLs increased +3.8% QoQ and +31.5% YoY; the bulk of IOL loans were in the early delinquency stage (less than 30 days). In the QoQ analysis, growth was driven mainly by the expiration of grace periods for clients in the SME segments and in Wholesale Banking at BCP Stand-alone. The aforementioned was partially offset by a reduction in the IOL portfolio at the Individuals segment at BCP Stand-alone and BCP Bolivia and, to a lesser extent, at Mibanco. In Individuals and at Mibanco, client payments evolved positively, in line with an uptick in transactions and income balances. In BCP Bolivia, the reduction was generated by loan migration to the up-to-date portfolio due to reprogramming requests. For more information, see 4.2.1 Delinquency by Segment.</w:t>
      </w:r>
    </w:p>
    <w:p>
      <w:pPr>
        <w:spacing w:after="0" w:line="193" w:lineRule="exact"/>
        <w:rPr>
          <w:rFonts w:ascii="Arial" w:cs="Arial" w:eastAsia="Arial" w:hAnsi="Arial"/>
          <w:sz w:val="18"/>
          <w:szCs w:val="18"/>
          <w:color w:val="auto"/>
        </w:rPr>
      </w:pPr>
    </w:p>
    <w:p>
      <w:pPr>
        <w:jc w:val="both"/>
        <w:ind w:left="640"/>
        <w:spacing w:after="0" w:line="252" w:lineRule="auto"/>
        <w:rPr>
          <w:rFonts w:ascii="Arial" w:cs="Arial" w:eastAsia="Arial" w:hAnsi="Arial"/>
          <w:sz w:val="18"/>
          <w:szCs w:val="18"/>
          <w:color w:val="auto"/>
        </w:rPr>
      </w:pPr>
      <w:r>
        <w:rPr>
          <w:rFonts w:ascii="Arial" w:cs="Arial" w:eastAsia="Arial" w:hAnsi="Arial"/>
          <w:sz w:val="18"/>
          <w:szCs w:val="18"/>
          <w:color w:val="auto"/>
        </w:rPr>
        <w:t>In the YoY analysis, an uptick in deterioration was primarily led by Wholesale Banking, due to the evolution of a small number of clients in the transportation and energy sectors in Corporate Banking, and by Mibanco, which registered a decrease in transactional activity in the microfinance sector due to COVID-19. This was slightly attenuated by a reduction in the Credit Card segment, which registered volumes of IOLs that fell below pre-pandemic levels.</w:t>
      </w:r>
    </w:p>
    <w:p>
      <w:pPr>
        <w:spacing w:after="0" w:line="193"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refinanced loans reduced -7.8% QoQ. The reduction was primarily attributable to BCP Bolivia, attributable to the loan reprogramming mandate, reflected in a transfer of the refinanced portfolio to the up-to-date portfolio. BCP Bolivia represented 103% of the QoQ contraction in total refinanced loans.</w:t>
      </w:r>
    </w:p>
    <w:p>
      <w:pPr>
        <w:spacing w:after="0" w:line="187" w:lineRule="exact"/>
        <w:rPr>
          <w:rFonts w:ascii="Arial" w:cs="Arial" w:eastAsia="Arial" w:hAnsi="Arial"/>
          <w:sz w:val="18"/>
          <w:szCs w:val="18"/>
          <w:color w:val="auto"/>
        </w:rPr>
      </w:pPr>
    </w:p>
    <w:p>
      <w:pPr>
        <w:ind w:left="640"/>
        <w:spacing w:after="0" w:line="265" w:lineRule="auto"/>
        <w:rPr>
          <w:rFonts w:ascii="Arial" w:cs="Arial" w:eastAsia="Arial" w:hAnsi="Arial"/>
          <w:sz w:val="18"/>
          <w:szCs w:val="18"/>
          <w:color w:val="auto"/>
        </w:rPr>
      </w:pPr>
      <w:r>
        <w:rPr>
          <w:rFonts w:ascii="Arial" w:cs="Arial" w:eastAsia="Arial" w:hAnsi="Arial"/>
          <w:sz w:val="18"/>
          <w:szCs w:val="18"/>
          <w:color w:val="auto"/>
        </w:rPr>
        <w:t>In the YoY analysis, growth of +52.7% was driven mainly by BCP Stand-alone, particularly to Retail Banking, after clients who had initially not qualified for reprogramming facilities were offered refinancing options.</w:t>
      </w:r>
    </w:p>
    <w:p>
      <w:pPr>
        <w:spacing w:after="0" w:line="180" w:lineRule="exact"/>
        <w:rPr>
          <w:rFonts w:ascii="Arial" w:cs="Arial" w:eastAsia="Arial" w:hAnsi="Arial"/>
          <w:sz w:val="18"/>
          <w:szCs w:val="18"/>
          <w:color w:val="auto"/>
        </w:rPr>
      </w:pPr>
    </w:p>
    <w:p>
      <w:pPr>
        <w:jc w:val="both"/>
        <w:ind w:left="640" w:hanging="315"/>
        <w:spacing w:after="0" w:line="252"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write-offs contracted -3.2% QoQ, which was primarily attributable to a decrease in write-offs in Individuals, particularly in the Consumer and Credit Card segments. The reduction reflects the fact that the comparative base in 1Q21 was significantly larger and represented the highest level of write-offs reported in more than 5 years. The aforementioned was attenuated by an increase in write-offs at Mibanco and, to a lesser extent, at BCP Bolivia.</w:t>
      </w:r>
    </w:p>
    <w:p>
      <w:pPr>
        <w:spacing w:after="0" w:line="193" w:lineRule="exact"/>
        <w:rPr>
          <w:rFonts w:ascii="Arial" w:cs="Arial" w:eastAsia="Arial" w:hAnsi="Arial"/>
          <w:sz w:val="18"/>
          <w:szCs w:val="18"/>
          <w:color w:val="auto"/>
        </w:rPr>
      </w:pPr>
    </w:p>
    <w:p>
      <w:pPr>
        <w:ind w:left="640"/>
        <w:spacing w:after="0" w:line="265" w:lineRule="auto"/>
        <w:rPr>
          <w:rFonts w:ascii="Arial" w:cs="Arial" w:eastAsia="Arial" w:hAnsi="Arial"/>
          <w:sz w:val="18"/>
          <w:szCs w:val="18"/>
          <w:color w:val="auto"/>
        </w:rPr>
      </w:pPr>
      <w:r>
        <w:rPr>
          <w:rFonts w:ascii="Arial" w:cs="Arial" w:eastAsia="Arial" w:hAnsi="Arial"/>
          <w:sz w:val="18"/>
          <w:szCs w:val="18"/>
          <w:color w:val="auto"/>
        </w:rPr>
        <w:t>In the YoY analysis, considerable growth in write-offs was attributable to a regulatory mandate, which impeded loans from continuing to accumulate overdue days, impeding loans from progressing naturally to a situation of loss and its subsequent write-off.</w:t>
      </w:r>
    </w:p>
    <w:p>
      <w:pPr>
        <w:spacing w:after="0" w:line="180" w:lineRule="exact"/>
        <w:rPr>
          <w:rFonts w:ascii="Arial" w:cs="Arial" w:eastAsia="Arial" w:hAnsi="Arial"/>
          <w:sz w:val="18"/>
          <w:szCs w:val="18"/>
          <w:color w:val="auto"/>
        </w:rPr>
      </w:pPr>
    </w:p>
    <w:p>
      <w:pPr>
        <w:ind w:left="640" w:hanging="315"/>
        <w:spacing w:after="0" w:line="366" w:lineRule="auto"/>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IOL and NPL Coverage ratios contracted QoQ and YoY, which was driven by growth in IOLs and, in the other hand, to the reduction of allowances for loan loans. It is important to note that these levels remain within the appetite for risk and are still slightly above pre-pandemic levels.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ind w:left="7880"/>
        <w:spacing w:after="0" w:line="30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409575</wp:posOffset>
            </wp:positionH>
            <wp:positionV relativeFrom="page">
              <wp:posOffset>577850</wp:posOffset>
            </wp:positionV>
            <wp:extent cx="4570730" cy="2462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4570730" cy="2462530"/>
                    </a:xfrm>
                    <a:prstGeom prst="rect">
                      <a:avLst/>
                    </a:prstGeom>
                    <a:noFill/>
                  </pic:spPr>
                </pic:pic>
              </a:graphicData>
            </a:graphic>
          </wp:anchor>
        </w:drawing>
        <w:t>When analyzing the evolution of delinquency indicators, it is necessary to note that:</w:t>
      </w:r>
    </w:p>
    <w:p>
      <w:pPr>
        <w:spacing w:after="0" w:line="1" w:lineRule="exact"/>
        <w:rPr>
          <w:sz w:val="20"/>
          <w:szCs w:val="20"/>
          <w:color w:val="auto"/>
        </w:rPr>
      </w:pPr>
    </w:p>
    <w:p>
      <w:pPr>
        <w:jc w:val="both"/>
        <w:ind w:left="7880"/>
        <w:spacing w:after="0" w:line="302" w:lineRule="auto"/>
        <w:rPr>
          <w:sz w:val="20"/>
          <w:szCs w:val="20"/>
          <w:color w:val="auto"/>
        </w:rPr>
      </w:pPr>
      <w:r>
        <w:rPr>
          <w:rFonts w:ascii="Arial" w:cs="Arial" w:eastAsia="Arial" w:hAnsi="Arial"/>
          <w:sz w:val="15"/>
          <w:szCs w:val="15"/>
          <w:i w:val="1"/>
          <w:iCs w:val="1"/>
          <w:color w:val="auto"/>
        </w:rPr>
        <w:t>(i) traditional delinquency indicators (IOL and NPL ratios) continue to be distorted by the presence of loans that have collateral (commercial and residential properties). This means that a significant portion of loans that are more than 150 days overdue cannot be written off, despite being fully provisioned, given that the judicial process to liquidate the collateral can take up to five years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firstLine="6"/>
        <w:spacing w:after="0" w:line="265" w:lineRule="auto"/>
        <w:tabs>
          <w:tab w:leader="none" w:pos="2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Structural Cost of risk excludes the provisions for credit losses on loan portfolio, net of recoveries and total loans from the Reactiva Peru and FAE Government Programs.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Consequently, the NPL ratio at Credicorp situates at 4.79% at the end of June (-19 bps QoQ and +101 bps YoY), if we exclude loans and overdue loans related to GP, the ratio increases to 5.38%. In the QoQ analysis, the NPL ratio reduction is attributable to a higher structural loan dynamism, as indicated in section 1.2.1. Evolution of loans by business segment. In the YoY evolution, the significant NPL ratio growth reflects the impact of the pandemic in the payment capacity of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4.2.1 Delinquency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285115</wp:posOffset>
            </wp:positionV>
            <wp:extent cx="6215380" cy="392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15380" cy="392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of the NPL portfolio by segment, it is important to note:</w:t>
      </w:r>
    </w:p>
    <w:p>
      <w:pPr>
        <w:spacing w:after="0" w:line="218" w:lineRule="exact"/>
        <w:rPr>
          <w:sz w:val="20"/>
          <w:szCs w:val="20"/>
          <w:color w:val="auto"/>
        </w:rPr>
      </w:pPr>
    </w:p>
    <w:p>
      <w:pPr>
        <w:jc w:val="both"/>
        <w:ind w:left="640" w:hanging="315"/>
        <w:spacing w:after="0" w:line="25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Wholesale: an increase of +14 bps QoQ and +97 bps YoY, which was primarily driven by an uptick in the volume of IOL loans and, to lesser extent, by growth in refinanced loans. The increase in IOLs was associated with the evolution of a small number of clients in the fishing and financial sector while growth in the refinanced portfolio was attributable to clients in the hotel and manufacturing sectors, which were severely impacted by confinement measures. The aforementioned was partially attenuated by loan growth, as indicated in section 1.2.1. Evolution of loans by business segment.</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322" w:right="339" w:bottom="520" w:gutter="0" w:footer="0" w:header="0"/>
        </w:sectPr>
      </w:pPr>
    </w:p>
    <w:bookmarkStart w:id="33" w:name="page34"/>
    <w:bookmarkEnd w:id="33"/>
    <w:p>
      <w:pPr>
        <w:jc w:val="both"/>
        <w:ind w:left="640" w:hanging="315"/>
        <w:spacing w:after="0" w:line="313" w:lineRule="auto"/>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SME: the ratio grew QoQ and YoY, driven by an increase in IOL loans in SME-Pyme and SME-Business, which registered an uptick in expirations of grace periods. Deterioration was also due to a contraction in loans in the SME-Pyme segment and to a lesser degree, to a drop in the payment ratio in SME-Business. The highest growth in IOLs was registered by the agriculture, service and transportation sectors. Sixty-seven (67%) of loans in the IOL portfolio was within the 1–15-day early stage. Collections conducts on-going monitoring of loans to mitigate the advance toward more advanced levels of delinquency. The delinquency ratio in more advanced stages (31 to 120 days) fell -11 bps QoQ.</w:t>
      </w:r>
    </w:p>
    <w:p>
      <w:pPr>
        <w:spacing w:after="0" w:line="150" w:lineRule="exact"/>
        <w:rPr>
          <w:rFonts w:ascii="Arial" w:cs="Arial" w:eastAsia="Arial" w:hAnsi="Arial"/>
          <w:sz w:val="15"/>
          <w:szCs w:val="15"/>
          <w:color w:val="auto"/>
        </w:rPr>
      </w:pPr>
    </w:p>
    <w:p>
      <w:pPr>
        <w:jc w:val="both"/>
        <w:ind w:left="640" w:hanging="315"/>
        <w:spacing w:after="0" w:line="309" w:lineRule="auto"/>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Individuals: in the QoQ analysis, the contraction was associated fueled primarily by movements in the Credit Card and Consumer segments, which saw an improvement in payment levels after funds from Pension funds and Severance Indemnity accounts were freed up for withdrawal (government mandates). In the Credit Card segment, the reduction was driven mainly by clients that were granted payment facilities and accordingly, are considered higher risk. It is important to note that in 2Q21, the Credit Card segment reported the lowest level of NPL loans registered in more than 5 years. Fifty-eight (58%) of IOL loans in Individuals were within the 1–15-day segment and remained within a holding pattern (not progressing to more advanced stages). The delinquency ratio in advanced stages (31-120 days) fell -1 bps QoQ to stand at 1.5%.</w:t>
      </w:r>
    </w:p>
    <w:p>
      <w:pPr>
        <w:spacing w:after="0" w:line="155" w:lineRule="exact"/>
        <w:rPr>
          <w:rFonts w:ascii="Arial" w:cs="Arial" w:eastAsia="Arial" w:hAnsi="Arial"/>
          <w:sz w:val="15"/>
          <w:szCs w:val="15"/>
          <w:color w:val="auto"/>
        </w:rPr>
      </w:pPr>
    </w:p>
    <w:p>
      <w:pPr>
        <w:jc w:val="both"/>
        <w:ind w:left="640"/>
        <w:spacing w:after="0" w:line="256" w:lineRule="auto"/>
        <w:rPr>
          <w:rFonts w:ascii="Arial" w:cs="Arial" w:eastAsia="Arial" w:hAnsi="Arial"/>
          <w:sz w:val="15"/>
          <w:szCs w:val="15"/>
          <w:color w:val="auto"/>
        </w:rPr>
      </w:pPr>
      <w:r>
        <w:rPr>
          <w:rFonts w:ascii="Arial" w:cs="Arial" w:eastAsia="Arial" w:hAnsi="Arial"/>
          <w:sz w:val="18"/>
          <w:szCs w:val="18"/>
          <w:color w:val="auto"/>
        </w:rPr>
        <w:t>In the YoY analysis, the increase in delinquency ratios was associated with expirations in grace periods, which in turn spurred in growth in IOL and refinanced loans. The increase in NPL reflects the impact of the pandemic and the political-economic crisis in Peru, which negatively affected clients’ debt service capacities.</w:t>
      </w:r>
    </w:p>
    <w:p>
      <w:pPr>
        <w:spacing w:after="0" w:line="187" w:lineRule="exact"/>
        <w:rPr>
          <w:rFonts w:ascii="Arial" w:cs="Arial" w:eastAsia="Arial" w:hAnsi="Arial"/>
          <w:sz w:val="15"/>
          <w:szCs w:val="15"/>
          <w:color w:val="auto"/>
        </w:rPr>
      </w:pPr>
    </w:p>
    <w:p>
      <w:pPr>
        <w:jc w:val="both"/>
        <w:ind w:left="640" w:hanging="315"/>
        <w:spacing w:after="0" w:line="27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Mibanco: the QoQ reduction was associated with a drop in IOL and refinanced loans and an uptick in loan growth. The contraction in the IOL portfolio was attributable to a decrease in loans under legal collection (after write-offs were taken) and to collections actions to reduce refinancing. The decrease was also fueled by a drop in the volume of expirations and by an uptick in on-time installment payments.</w:t>
      </w:r>
    </w:p>
    <w:p>
      <w:pPr>
        <w:spacing w:after="0" w:line="170" w:lineRule="exact"/>
        <w:rPr>
          <w:rFonts w:ascii="Arial" w:cs="Arial" w:eastAsia="Arial" w:hAnsi="Arial"/>
          <w:sz w:val="17"/>
          <w:szCs w:val="17"/>
          <w:color w:val="auto"/>
        </w:rPr>
      </w:pPr>
    </w:p>
    <w:p>
      <w:pPr>
        <w:ind w:left="640"/>
        <w:spacing w:after="0" w:line="265" w:lineRule="auto"/>
        <w:rPr>
          <w:rFonts w:ascii="Arial" w:cs="Arial" w:eastAsia="Arial" w:hAnsi="Arial"/>
          <w:sz w:val="17"/>
          <w:szCs w:val="17"/>
          <w:color w:val="auto"/>
        </w:rPr>
      </w:pPr>
      <w:r>
        <w:rPr>
          <w:rFonts w:ascii="Arial" w:cs="Arial" w:eastAsia="Arial" w:hAnsi="Arial"/>
          <w:sz w:val="18"/>
          <w:szCs w:val="18"/>
          <w:color w:val="auto"/>
        </w:rPr>
        <w:t>YoY, ratios increased to a deterioration in the debt service capacity of clients whose grace periods expired. Growth in IOLs was concentrated in Small Businesses and in the 31–120-day stage. This was slightly offset by an increase in written-off loans.</w:t>
      </w:r>
    </w:p>
    <w:p>
      <w:pPr>
        <w:spacing w:after="0" w:line="180"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BCP Bolivia: contraction QoQ and YoY due to loans reprogramming, as mandated by the Bolivia government to mitigate the impact of the pandemic, classifying these loans as up-to-date. Reprogramming requests was in effect up to July 2021. This disposition establishes deferments with grace periods for capital and interest for up to 6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Reprogramming and payment management</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At the end of June, total reprogrammed loans at the Credicorp level accounted for approximately 12% of total loans. This represented a contraction with regard to last quarter’s result (14% of total loans at the end of March), which was driven by a decrease in loans volumes at Mibanco and BCP Stand-alone. It is important to note that reprogramming facilities have helped clients weather the storm generated by the pandemic.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4.3.1 Structural Portfolio</w:t>
      </w:r>
      <w:r>
        <w:rPr>
          <w:rFonts w:ascii="Arial" w:cs="Arial" w:eastAsia="Arial" w:hAnsi="Arial"/>
          <w:sz w:val="29"/>
          <w:szCs w:val="29"/>
          <w:b w:val="1"/>
          <w:bCs w:val="1"/>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Stand-alone – Wholesale Banking:</w:t>
      </w:r>
    </w:p>
    <w:p>
      <w:pPr>
        <w:spacing w:after="0" w:line="224" w:lineRule="exact"/>
        <w:rPr>
          <w:sz w:val="20"/>
          <w:szCs w:val="20"/>
          <w:color w:val="auto"/>
        </w:rPr>
      </w:pPr>
    </w:p>
    <w:p>
      <w:pPr>
        <w:ind w:left="640"/>
        <w:spacing w:after="0" w:line="265" w:lineRule="auto"/>
        <w:rPr>
          <w:sz w:val="20"/>
          <w:szCs w:val="20"/>
          <w:color w:val="auto"/>
        </w:rPr>
      </w:pPr>
      <w:r>
        <w:rPr>
          <w:rFonts w:ascii="Arial" w:cs="Arial" w:eastAsia="Arial" w:hAnsi="Arial"/>
          <w:sz w:val="18"/>
          <w:szCs w:val="18"/>
          <w:color w:val="auto"/>
        </w:rPr>
        <w:t>In 2Q21, the volume of reprogrammed loans fell -9.0% QoQ. This decline was primarily driven by a decrease in the volume of Middle Market banking loans and represents the lowest level of reprogrammed loans reported since the beginning of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1788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06" w:lineRule="exact"/>
        <w:rPr>
          <w:sz w:val="20"/>
          <w:szCs w:val="20"/>
          <w:color w:val="auto"/>
        </w:rPr>
      </w:pPr>
    </w:p>
    <w:p>
      <w:pPr>
        <w:ind w:left="120" w:hanging="114"/>
        <w:spacing w:after="0"/>
        <w:tabs>
          <w:tab w:leader="none" w:pos="12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Analysis excludes Government Program loans (GP).</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BCP Stand-alone- Retail Banking</w:t>
      </w:r>
      <w:r>
        <w:rPr>
          <w:rFonts w:ascii="Arial" w:cs="Arial" w:eastAsia="Arial" w:hAnsi="Arial"/>
          <w:sz w:val="29"/>
          <w:szCs w:val="29"/>
          <w:b w:val="1"/>
          <w:bCs w:val="1"/>
          <w:color w:val="auto"/>
          <w:vertAlign w:val="superscript"/>
        </w:rPr>
        <w:t>4</w:t>
      </w:r>
      <w:r>
        <w:rPr>
          <w:rFonts w:ascii="Arial" w:cs="Arial" w:eastAsia="Arial" w:hAnsi="Arial"/>
          <w:sz w:val="18"/>
          <w:szCs w:val="18"/>
          <w:b w:val="1"/>
          <w:bCs w:val="1"/>
          <w:color w:val="auto"/>
        </w:rPr>
        <w:t>:</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Portfolio Composition and Payment Ratio</w:t>
      </w:r>
      <w:r>
        <w:rPr>
          <w:rFonts w:ascii="Arial" w:cs="Arial" w:eastAsia="Arial" w:hAnsi="Arial"/>
          <w:sz w:val="29"/>
          <w:szCs w:val="29"/>
          <w:b w:val="1"/>
          <w:bCs w:val="1"/>
          <w:color w:val="auto"/>
          <w:vertAlign w:val="superscript"/>
        </w:rPr>
        <w:t>5</w:t>
      </w:r>
      <w:r>
        <w:rPr>
          <w:rFonts w:ascii="Arial" w:cs="Arial" w:eastAsia="Arial" w:hAnsi="Arial"/>
          <w:sz w:val="18"/>
          <w:szCs w:val="18"/>
          <w:b w:val="1"/>
          <w:bCs w:val="1"/>
          <w:color w:val="auto"/>
        </w:rPr>
        <w:t xml:space="preserve"> (as of Jun 21)</w:t>
      </w: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137160</wp:posOffset>
            </wp:positionV>
            <wp:extent cx="4326255" cy="1711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26255" cy="171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315"/>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Small and Medium Businesses (SME):</w:t>
      </w:r>
    </w:p>
    <w:p>
      <w:pPr>
        <w:spacing w:after="0" w:line="224" w:lineRule="exact"/>
        <w:rPr>
          <w:rFonts w:ascii="Arial" w:cs="Arial" w:eastAsia="Arial" w:hAnsi="Arial"/>
          <w:sz w:val="18"/>
          <w:szCs w:val="18"/>
          <w:b w:val="1"/>
          <w:bCs w:val="1"/>
          <w:color w:val="auto"/>
        </w:rPr>
      </w:pPr>
    </w:p>
    <w:p>
      <w:pPr>
        <w:jc w:val="both"/>
        <w:ind w:left="64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On-time payment on loans due ratio increased QoQ in SME-Pyme but deteriorated in SME-Business. In the case of SME-Pymes, the ratio rose from 92% to 94% but fell in SME-Business from 93% to 91%. In both cases, the volume of loans with expirations increased. Specifically, in SME-Pyme, 94% of the portfolio matured during the quarter; the figure stood at 61% for the SME-Business portfolio.</w:t>
      </w:r>
    </w:p>
    <w:p>
      <w:pPr>
        <w:spacing w:after="0" w:line="170" w:lineRule="exact"/>
        <w:rPr>
          <w:rFonts w:ascii="Arial" w:cs="Arial" w:eastAsia="Arial" w:hAnsi="Arial"/>
          <w:sz w:val="18"/>
          <w:szCs w:val="18"/>
          <w:b w:val="1"/>
          <w:bCs w:val="1"/>
          <w:color w:val="auto"/>
        </w:rPr>
      </w:pPr>
    </w:p>
    <w:p>
      <w:pPr>
        <w:jc w:val="both"/>
        <w:ind w:left="64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In terms of the composition of the structural portfolio: In SME-Pyme, 68% of the portfolio is up-to-date; 22% is reprogrammed; and 10% is overdue (compared to 67%, 25% and 8% at the end of March respectively). In SME-Business, 87% of the portfolio is up-to-date, 7% is reprogrammed and 6% overdue (in comparison to 88%, 9% and 3% at the end of March respectively). In both cases, the uncertain portfolio, which is composed of the reprogrammed and IOL portfolios, remained stable QoQ. It is important to note that in SME-Pyme and SME-Business, the demand for new reprogramming has fallen; only 1.5% of the SME-Pyme portfolio with maturities was reprogrammed, while the SME-Business portfolio didn’t presented (vs 3.6% and 1.6% respectively in March). The total volume of reprogramming fell -9.3% QoQ, which was primarily attributable to the evolution of SME-Pyme.</w:t>
      </w:r>
    </w:p>
    <w:p>
      <w:pPr>
        <w:spacing w:after="0" w:line="190" w:lineRule="exact"/>
        <w:rPr>
          <w:rFonts w:ascii="Arial" w:cs="Arial" w:eastAsia="Arial" w:hAnsi="Arial"/>
          <w:sz w:val="18"/>
          <w:szCs w:val="18"/>
          <w:b w:val="1"/>
          <w:bCs w:val="1"/>
          <w:color w:val="auto"/>
        </w:rPr>
      </w:pPr>
    </w:p>
    <w:p>
      <w:pPr>
        <w:ind w:left="640" w:hanging="315"/>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Individuals:</w:t>
      </w:r>
    </w:p>
    <w:p>
      <w:pPr>
        <w:spacing w:after="0" w:line="223" w:lineRule="exact"/>
        <w:rPr>
          <w:rFonts w:ascii="Arial" w:cs="Arial" w:eastAsia="Arial" w:hAnsi="Arial"/>
          <w:sz w:val="18"/>
          <w:szCs w:val="18"/>
          <w:b w:val="1"/>
          <w:bCs w:val="1"/>
          <w:color w:val="auto"/>
        </w:rPr>
      </w:pPr>
    </w:p>
    <w:p>
      <w:pPr>
        <w:jc w:val="both"/>
        <w:ind w:left="6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This quarter, the ratio of on-time payments on loans due deteriorated in Personal Banking, falling from 97% in March to 95% in June. The contraction is mainly due to an increase in the very early overdue (less than 15 days), which has been contained and has not migrated to more advanced sections, which remained stable during the quarter.</w:t>
      </w:r>
    </w:p>
    <w:p>
      <w:pPr>
        <w:spacing w:after="0" w:line="187" w:lineRule="exact"/>
        <w:rPr>
          <w:rFonts w:ascii="Arial" w:cs="Arial" w:eastAsia="Arial" w:hAnsi="Arial"/>
          <w:sz w:val="18"/>
          <w:szCs w:val="18"/>
          <w:b w:val="1"/>
          <w:bCs w:val="1"/>
          <w:color w:val="auto"/>
        </w:rPr>
      </w:pPr>
    </w:p>
    <w:p>
      <w:pPr>
        <w:jc w:val="both"/>
        <w:ind w:left="6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terms of the composition of the structural portfolio: 79% of the portfolio was up-to-date, 16% reprogrammed and 5% overdue (compared to 78%, 18% and 4% at the end of March respectively). In this context, the uncertain portfolio also remained stable QoQ. At the end of June, the demand for new reprogramming represented 0.6% of the portfolio with expirations (vs 1.0% in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1788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53" w:lineRule="exact"/>
        <w:rPr>
          <w:sz w:val="20"/>
          <w:szCs w:val="20"/>
          <w:color w:val="auto"/>
        </w:rPr>
      </w:pPr>
    </w:p>
    <w:p>
      <w:pPr>
        <w:ind w:left="120" w:hanging="114"/>
        <w:spacing w:after="0"/>
        <w:tabs>
          <w:tab w:leader="none" w:pos="12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Analysis excludes loans that are more than 120 days overdue and the under legal collection portfolio.</w:t>
      </w:r>
    </w:p>
    <w:p>
      <w:pPr>
        <w:spacing w:after="0" w:line="42"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On-time payment ratio of loans due in the month.</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Mibanco:</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Portfolio Composition and Payment Ratio</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(as of Jun 21)</w:t>
      </w: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137160</wp:posOffset>
            </wp:positionV>
            <wp:extent cx="2141855" cy="147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1855" cy="147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In 2Q21, the payment ratio registered a slight increase, going from 93% in March to 94% in June. Growth was driven by an uptick in on-time payments, which reflected recovery at the transactions level in the microfinance sector. This quarter, 81% of the portfolio expired.</w:t>
      </w:r>
    </w:p>
    <w:p>
      <w:pPr>
        <w:spacing w:after="0" w:line="157"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In terms of the composition of the portfolio: 66% of the portfolio was up-to-date, 25% reprogrammed and 9% overdue (compared to 57%, 34% and 9% at the end of March respectively). The uncertain portfolio fell -9 pp due to a decrease in the volume of reprogramming. The demand for new reprogramming fell considerably, and only 0.6% of the portfolio with maturities was reprogrammed at the end of June (vs 2.1% in March). In this context, the reprogramming volume fell -25.9% QoQ.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Bolivia: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2Q21, the volume of reprogrammed loans fell -3.1% QoQ. It is important to note that 64% of reprogrammed loans are set to mature in 2022.</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loans were primarily in the Mortgage sector.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4.3.2 Government Programs (GP)</w:t>
      </w:r>
      <w:r>
        <w:rPr>
          <w:rFonts w:ascii="Arial" w:cs="Arial" w:eastAsia="Arial" w:hAnsi="Arial"/>
          <w:sz w:val="29"/>
          <w:szCs w:val="29"/>
          <w:b w:val="1"/>
          <w:bCs w:val="1"/>
          <w:color w:val="auto"/>
          <w:vertAlign w:val="superscript"/>
        </w:rPr>
        <w:t>7</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Loans under GP by Segment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139065</wp:posOffset>
            </wp:positionV>
            <wp:extent cx="3356610" cy="1804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6610" cy="180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Stand-alone – Wholesale Banking:</w:t>
      </w:r>
    </w:p>
    <w:p>
      <w:pPr>
        <w:spacing w:after="0" w:line="224"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GP portfolio fell -14.8% QoQ, which was primarily driven by the evolution of Middle Market banking. At the end of June, GP loans represented 9.7% of total loans (-300 bps vs March). It is important to note that in June, grace periods expired on 80% of the loans with maturities; 73% of these loans were paid, 26% reprogrammed; and 1% became overdue.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1788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13" w:lineRule="exact"/>
        <w:rPr>
          <w:sz w:val="20"/>
          <w:szCs w:val="20"/>
          <w:color w:val="auto"/>
        </w:rPr>
      </w:pPr>
    </w:p>
    <w:p>
      <w:pPr>
        <w:ind w:left="120" w:hanging="114"/>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On-time payment ratio of loans due in the month.</w:t>
      </w:r>
    </w:p>
    <w:p>
      <w:pPr>
        <w:ind w:left="120" w:hanging="114"/>
        <w:spacing w:after="0" w:line="188" w:lineRule="auto"/>
        <w:tabs>
          <w:tab w:leader="none" w:pos="12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The GP portfolio includes Reactiva Peru and FAE loans.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ind w:left="640"/>
        <w:spacing w:after="0" w:line="256" w:lineRule="auto"/>
        <w:rPr>
          <w:sz w:val="20"/>
          <w:szCs w:val="20"/>
          <w:color w:val="auto"/>
        </w:rPr>
      </w:pPr>
      <w:r>
        <w:rPr>
          <w:rFonts w:ascii="Arial" w:cs="Arial" w:eastAsia="Arial" w:hAnsi="Arial"/>
          <w:sz w:val="18"/>
          <w:szCs w:val="18"/>
          <w:color w:val="auto"/>
        </w:rPr>
        <w:t>The Peruvian government has offered new reprogramming facilities, including extending grace periods and tenure, for clients that fulfill certain criteria. Reprogramming will be reflected in next quarter’s balances, but deterioration levels will not be fully evident until 2022. Corporate banking accounted for the 9% of the reprogrammed portfolio at the end of June and Middle Market Banking, 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Stand-alone – Retail Banking</w:t>
      </w:r>
      <w:r>
        <w:rPr>
          <w:rFonts w:ascii="Arial" w:cs="Arial" w:eastAsia="Arial" w:hAnsi="Arial"/>
          <w:sz w:val="29"/>
          <w:szCs w:val="29"/>
          <w:b w:val="1"/>
          <w:bCs w:val="1"/>
          <w:color w:val="auto"/>
          <w:vertAlign w:val="superscript"/>
        </w:rPr>
        <w:t>8</w:t>
      </w:r>
      <w:r>
        <w:rPr>
          <w:rFonts w:ascii="Arial" w:cs="Arial" w:eastAsia="Arial" w:hAnsi="Arial"/>
          <w:sz w:val="18"/>
          <w:szCs w:val="18"/>
          <w:b w:val="1"/>
          <w:bCs w:val="1"/>
          <w:color w:val="auto"/>
        </w:rPr>
        <w:t>:</w:t>
      </w:r>
    </w:p>
    <w:p>
      <w:pPr>
        <w:spacing w:after="0" w:line="128" w:lineRule="exact"/>
        <w:rPr>
          <w:sz w:val="20"/>
          <w:szCs w:val="20"/>
          <w:color w:val="auto"/>
        </w:rPr>
      </w:pPr>
    </w:p>
    <w:p>
      <w:pPr>
        <w:ind w:left="640" w:hanging="315"/>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Small and Medium Businesses (SME):</w:t>
      </w:r>
    </w:p>
    <w:p>
      <w:pPr>
        <w:spacing w:after="0" w:line="223" w:lineRule="exact"/>
        <w:rPr>
          <w:rFonts w:ascii="Arial" w:cs="Arial" w:eastAsia="Arial" w:hAnsi="Arial"/>
          <w:sz w:val="18"/>
          <w:szCs w:val="18"/>
          <w:b w:val="1"/>
          <w:bCs w:val="1"/>
          <w:color w:val="auto"/>
        </w:rPr>
      </w:pPr>
    </w:p>
    <w:p>
      <w:pPr>
        <w:jc w:val="both"/>
        <w:ind w:left="6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GP portfolio fell -2.0% QoQ. At the end of June, these loans represented 46% of total loans for SME (-100 bps vs March). It is important to note that in June─ the first month of expirations─ the grace periods of 46% of total GP loans expired (35% of the SME-Pyme portfolio and 63% of the SME-Business portfolio). Within the universe of SME-Pyme loans with expirations, which totaled 35% of total loans in this segment as of June 21, 57% were paid, 33% reprogrammed, and the remaining 10% were delinquent. In SME-Business, 63% of the loans registered grace period expirations; 71% of these loans were paid, 28% were reprogrammed, and the remaining 1% became delinquent.</w:t>
      </w:r>
    </w:p>
    <w:p>
      <w:pPr>
        <w:spacing w:after="0" w:line="179" w:lineRule="exact"/>
        <w:rPr>
          <w:rFonts w:ascii="Arial" w:cs="Arial" w:eastAsia="Arial" w:hAnsi="Arial"/>
          <w:sz w:val="18"/>
          <w:szCs w:val="18"/>
          <w:b w:val="1"/>
          <w:bCs w:val="1"/>
          <w:color w:val="auto"/>
        </w:rPr>
      </w:pPr>
    </w:p>
    <w:p>
      <w:pPr>
        <w:jc w:val="both"/>
        <w:ind w:left="6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As is the case with Wholesale Banking, in a context of new government measures, clients will be able to apply for reprogramming of grace periods and tenures. At the end of 2Q21, 84% of the overdue clients had been approved for reprogramming and were in the process of being reprogrammed (these are being considered as reprogrammed in the ratios mentioned previously). Additionally, 67% of the clients opted for reprogramming to extend grace periods and tenures while 33% opted solely for grace periods. As indicated above, the trajectory of the behavior of this reprogramming will be more evident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Mibanco:</w:t>
      </w:r>
    </w:p>
    <w:p>
      <w:pPr>
        <w:spacing w:after="0" w:line="224" w:lineRule="exact"/>
        <w:rPr>
          <w:sz w:val="20"/>
          <w:szCs w:val="20"/>
          <w:color w:val="auto"/>
        </w:rPr>
      </w:pPr>
    </w:p>
    <w:p>
      <w:pPr>
        <w:jc w:val="both"/>
        <w:ind w:left="640"/>
        <w:spacing w:after="0" w:line="331" w:lineRule="auto"/>
        <w:rPr>
          <w:sz w:val="20"/>
          <w:szCs w:val="20"/>
          <w:color w:val="auto"/>
        </w:rPr>
      </w:pPr>
      <w:r>
        <w:rPr>
          <w:rFonts w:ascii="Arial" w:cs="Arial" w:eastAsia="Arial" w:hAnsi="Arial"/>
          <w:sz w:val="15"/>
          <w:szCs w:val="15"/>
          <w:color w:val="auto"/>
        </w:rPr>
        <w:t>The GP portfolio registered a reduction of -1.2% QoQ. At the end of June, these loans represented 21.3% of the total portfolio (-30 bps vs March). As of June, 13% of total GP loans have expired. Within the universe of loans with expirations, 98% paid, 0% reprogrammed, and the remaining 2% become overdue. It should be noted that reprogramming applications are still under review and as such, these has yet to be approved.</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Portfolio Composition and Guarantees (as of Jun 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523865" cy="20154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386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hanging="114"/>
        <w:spacing w:after="0"/>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Analysis excludes loans that are more than 120 days overdue and the under legal collection portfolio.</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8492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8492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5. Non-financial income (NFI)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ind w:left="74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 change</w:t>
            </w:r>
          </w:p>
        </w:tc>
      </w:tr>
      <w:tr>
        <w:trPr>
          <w:trHeight w:val="153"/>
        </w:trPr>
        <w:tc>
          <w:tcPr>
            <w:tcW w:w="19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09"/>
              <w:spacing w:after="0" w:line="153" w:lineRule="exact"/>
              <w:rPr>
                <w:sz w:val="20"/>
                <w:szCs w:val="20"/>
                <w:color w:val="auto"/>
              </w:rPr>
            </w:pPr>
            <w:r>
              <w:rPr>
                <w:rFonts w:ascii="Arial" w:cs="Arial" w:eastAsia="Arial" w:hAnsi="Arial"/>
                <w:sz w:val="14"/>
                <w:szCs w:val="14"/>
                <w:b w:val="1"/>
                <w:bCs w:val="1"/>
                <w:color w:val="auto"/>
              </w:rPr>
              <w:t>2Q20</w:t>
            </w:r>
          </w:p>
        </w:tc>
        <w:tc>
          <w:tcPr>
            <w:tcW w:w="24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29"/>
              <w:spacing w:after="0" w:line="153" w:lineRule="exact"/>
              <w:rPr>
                <w:sz w:val="20"/>
                <w:szCs w:val="20"/>
                <w:color w:val="auto"/>
              </w:rPr>
            </w:pPr>
            <w:r>
              <w:rPr>
                <w:rFonts w:ascii="Arial" w:cs="Arial" w:eastAsia="Arial" w:hAnsi="Arial"/>
                <w:sz w:val="14"/>
                <w:szCs w:val="14"/>
                <w:b w:val="1"/>
                <w:bCs w:val="1"/>
                <w:color w:val="auto"/>
              </w:rPr>
              <w:t>1Q21</w:t>
            </w:r>
          </w:p>
        </w:tc>
        <w:tc>
          <w:tcPr>
            <w:tcW w:w="2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09"/>
              <w:spacing w:after="0" w:line="153" w:lineRule="exact"/>
              <w:rPr>
                <w:sz w:val="20"/>
                <w:szCs w:val="20"/>
                <w:color w:val="auto"/>
              </w:rPr>
            </w:pPr>
            <w:r>
              <w:rPr>
                <w:rFonts w:ascii="Arial" w:cs="Arial" w:eastAsia="Arial" w:hAnsi="Arial"/>
                <w:sz w:val="14"/>
                <w:szCs w:val="14"/>
                <w:b w:val="1"/>
                <w:bCs w:val="1"/>
                <w:color w:val="auto"/>
              </w:rPr>
              <w:t>2Q21</w:t>
            </w:r>
          </w:p>
        </w:tc>
        <w:tc>
          <w:tcPr>
            <w:tcW w:w="24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49"/>
              <w:spacing w:after="0" w:line="153" w:lineRule="exact"/>
              <w:rPr>
                <w:sz w:val="20"/>
                <w:szCs w:val="20"/>
                <w:color w:val="auto"/>
              </w:rPr>
            </w:pPr>
            <w:r>
              <w:rPr>
                <w:rFonts w:ascii="Arial" w:cs="Arial" w:eastAsia="Arial" w:hAnsi="Arial"/>
                <w:sz w:val="14"/>
                <w:szCs w:val="14"/>
                <w:b w:val="1"/>
                <w:bCs w:val="1"/>
                <w:color w:val="auto"/>
              </w:rPr>
              <w:t>QoQ</w:t>
            </w:r>
          </w:p>
        </w:tc>
        <w:tc>
          <w:tcPr>
            <w:tcW w:w="3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9"/>
              <w:spacing w:after="0" w:line="153" w:lineRule="exact"/>
              <w:rPr>
                <w:sz w:val="20"/>
                <w:szCs w:val="20"/>
                <w:color w:val="auto"/>
              </w:rPr>
            </w:pPr>
            <w:r>
              <w:rPr>
                <w:rFonts w:ascii="Arial" w:cs="Arial" w:eastAsia="Arial" w:hAnsi="Arial"/>
                <w:sz w:val="14"/>
                <w:szCs w:val="14"/>
                <w:b w:val="1"/>
                <w:bCs w:val="1"/>
                <w:color w:val="auto"/>
              </w:rPr>
              <w:t>YoY</w:t>
            </w:r>
          </w:p>
        </w:tc>
        <w:tc>
          <w:tcPr>
            <w:tcW w:w="3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89"/>
              <w:spacing w:after="0" w:line="153" w:lineRule="exact"/>
              <w:rPr>
                <w:sz w:val="20"/>
                <w:szCs w:val="20"/>
                <w:color w:val="auto"/>
              </w:rPr>
            </w:pPr>
            <w:r>
              <w:rPr>
                <w:rFonts w:ascii="Arial" w:cs="Arial" w:eastAsia="Arial" w:hAnsi="Arial"/>
                <w:sz w:val="14"/>
                <w:szCs w:val="14"/>
                <w:b w:val="1"/>
                <w:bCs w:val="1"/>
                <w:color w:val="auto"/>
              </w:rPr>
              <w:t>Jun 20</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Jun 21</w:t>
            </w:r>
          </w:p>
        </w:tc>
        <w:tc>
          <w:tcPr>
            <w:tcW w:w="2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Jun 21 / Jun 20</w:t>
            </w:r>
          </w:p>
        </w:tc>
        <w:tc>
          <w:tcPr>
            <w:tcW w:w="120" w:type="dxa"/>
            <w:vAlign w:val="bottom"/>
            <w:tcBorders>
              <w:bottom w:val="single" w:sz="8" w:color="CCEEFF"/>
            </w:tcBorders>
          </w:tcPr>
          <w:p>
            <w:pPr>
              <w:spacing w:after="0"/>
              <w:rPr>
                <w:sz w:val="13"/>
                <w:szCs w:val="13"/>
                <w:color w:val="auto"/>
              </w:rPr>
            </w:pPr>
          </w:p>
        </w:tc>
      </w:tr>
      <w:tr>
        <w:trPr>
          <w:trHeight w:val="139"/>
        </w:trPr>
        <w:tc>
          <w:tcPr>
            <w:tcW w:w="19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Fee income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503,488</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830,771</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862,411</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9"/>
              <w:spacing w:after="0" w:line="13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9"/>
              <w:spacing w:after="0" w:line="139" w:lineRule="exact"/>
              <w:rPr>
                <w:sz w:val="20"/>
                <w:szCs w:val="20"/>
                <w:color w:val="auto"/>
              </w:rPr>
            </w:pPr>
            <w:r>
              <w:rPr>
                <w:rFonts w:ascii="Arial" w:cs="Arial" w:eastAsia="Arial" w:hAnsi="Arial"/>
                <w:sz w:val="14"/>
                <w:szCs w:val="14"/>
                <w:color w:val="auto"/>
              </w:rPr>
              <w:t>71.3%</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1,263,817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1,693,182</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34.0%</w:t>
            </w:r>
          </w:p>
        </w:tc>
      </w:tr>
      <w:tr>
        <w:trPr>
          <w:trHeight w:val="127"/>
        </w:trPr>
        <w:tc>
          <w:tcPr>
            <w:tcW w:w="2140" w:type="dxa"/>
            <w:vAlign w:val="bottom"/>
            <w:gridSpan w:val="2"/>
          </w:tcPr>
          <w:p>
            <w:pPr>
              <w:spacing w:after="0" w:line="128" w:lineRule="exact"/>
              <w:rPr>
                <w:sz w:val="20"/>
                <w:szCs w:val="20"/>
                <w:color w:val="auto"/>
              </w:rPr>
            </w:pPr>
            <w:r>
              <w:rPr>
                <w:rFonts w:ascii="Arial" w:cs="Arial" w:eastAsia="Arial" w:hAnsi="Arial"/>
                <w:sz w:val="14"/>
                <w:szCs w:val="14"/>
                <w:color w:val="auto"/>
              </w:rPr>
              <w:t>Net gain on foreign exchange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5"/>
        </w:trPr>
        <w:tc>
          <w:tcPr>
            <w:tcW w:w="214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149,308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179,889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232,668</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color w:val="auto"/>
              </w:rPr>
              <w:t>29.3%</w:t>
            </w:r>
          </w:p>
        </w:tc>
        <w:tc>
          <w:tcPr>
            <w:tcW w:w="220" w:type="dxa"/>
            <w:vAlign w:val="bottom"/>
          </w:tcPr>
          <w:p>
            <w:pPr>
              <w:spacing w:after="0"/>
              <w:rPr>
                <w:sz w:val="14"/>
                <w:szCs w:val="14"/>
                <w:color w:val="auto"/>
              </w:rPr>
            </w:pPr>
          </w:p>
        </w:tc>
        <w:tc>
          <w:tcPr>
            <w:tcW w:w="980" w:type="dxa"/>
            <w:vAlign w:val="bottom"/>
            <w:gridSpan w:val="2"/>
          </w:tcPr>
          <w:p>
            <w:pPr>
              <w:jc w:val="right"/>
              <w:ind w:right="129"/>
              <w:spacing w:after="0"/>
              <w:rPr>
                <w:sz w:val="20"/>
                <w:szCs w:val="20"/>
                <w:color w:val="auto"/>
              </w:rPr>
            </w:pPr>
            <w:r>
              <w:rPr>
                <w:rFonts w:ascii="Arial" w:cs="Arial" w:eastAsia="Arial" w:hAnsi="Arial"/>
                <w:sz w:val="14"/>
                <w:szCs w:val="14"/>
                <w:color w:val="auto"/>
              </w:rPr>
              <w:t>55.8%</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316,291</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412,557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30.4%</w:t>
            </w:r>
          </w:p>
        </w:tc>
      </w:tr>
      <w:tr>
        <w:trPr>
          <w:trHeight w:val="146"/>
        </w:trPr>
        <w:tc>
          <w:tcPr>
            <w:tcW w:w="21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Net gain on securities</w:t>
            </w:r>
          </w:p>
        </w:tc>
        <w:tc>
          <w:tcPr>
            <w:tcW w:w="11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280,563</w:t>
            </w:r>
          </w:p>
        </w:tc>
        <w:tc>
          <w:tcPr>
            <w:tcW w:w="11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16,287</w:t>
            </w:r>
          </w:p>
        </w:tc>
        <w:tc>
          <w:tcPr>
            <w:tcW w:w="11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(69,947)</w:t>
            </w:r>
          </w:p>
        </w:tc>
        <w:tc>
          <w:tcPr>
            <w:tcW w:w="1220" w:type="dxa"/>
            <w:vAlign w:val="bottom"/>
            <w:gridSpan w:val="2"/>
            <w:shd w:val="clear" w:color="auto" w:fill="CCEEFF"/>
          </w:tcPr>
          <w:p>
            <w:pPr>
              <w:jc w:val="right"/>
              <w:ind w:right="129"/>
              <w:spacing w:after="0" w:line="146" w:lineRule="exact"/>
              <w:rPr>
                <w:sz w:val="20"/>
                <w:szCs w:val="20"/>
                <w:color w:val="auto"/>
              </w:rPr>
            </w:pPr>
            <w:r>
              <w:rPr>
                <w:rFonts w:ascii="Arial" w:cs="Arial" w:eastAsia="Arial" w:hAnsi="Arial"/>
                <w:sz w:val="14"/>
                <w:szCs w:val="14"/>
                <w:color w:val="auto"/>
              </w:rPr>
              <w:t>-529.5%</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9"/>
              <w:spacing w:after="0" w:line="146" w:lineRule="exact"/>
              <w:rPr>
                <w:sz w:val="20"/>
                <w:szCs w:val="20"/>
                <w:color w:val="auto"/>
              </w:rPr>
            </w:pPr>
            <w:r>
              <w:rPr>
                <w:rFonts w:ascii="Arial" w:cs="Arial" w:eastAsia="Arial" w:hAnsi="Arial"/>
                <w:sz w:val="14"/>
                <w:szCs w:val="14"/>
                <w:color w:val="auto"/>
              </w:rPr>
              <w:t>-124.9%</w:t>
            </w:r>
          </w:p>
        </w:tc>
        <w:tc>
          <w:tcPr>
            <w:tcW w:w="11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159,930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(53,660)</w:t>
            </w:r>
          </w:p>
        </w:tc>
        <w:tc>
          <w:tcPr>
            <w:tcW w:w="10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-133.6%</w:t>
            </w:r>
          </w:p>
        </w:tc>
      </w:tr>
      <w:tr>
        <w:trPr>
          <w:trHeight w:val="186"/>
        </w:trPr>
        <w:tc>
          <w:tcPr>
            <w:tcW w:w="2140" w:type="dxa"/>
            <w:vAlign w:val="bottom"/>
            <w:gridSpan w:val="2"/>
          </w:tcPr>
          <w:p>
            <w:pPr>
              <w:spacing w:after="0" w:line="186"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14,906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29,405</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12,302</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color w:val="auto"/>
              </w:rPr>
              <w:t>-58.2%</w:t>
            </w:r>
          </w:p>
        </w:tc>
        <w:tc>
          <w:tcPr>
            <w:tcW w:w="220" w:type="dxa"/>
            <w:vAlign w:val="bottom"/>
          </w:tcPr>
          <w:p>
            <w:pPr>
              <w:spacing w:after="0"/>
              <w:rPr>
                <w:sz w:val="16"/>
                <w:szCs w:val="16"/>
                <w:color w:val="auto"/>
              </w:rPr>
            </w:pPr>
          </w:p>
        </w:tc>
        <w:tc>
          <w:tcPr>
            <w:tcW w:w="980" w:type="dxa"/>
            <w:vAlign w:val="bottom"/>
            <w:gridSpan w:val="2"/>
          </w:tcPr>
          <w:p>
            <w:pPr>
              <w:jc w:val="right"/>
              <w:ind w:right="129"/>
              <w:spacing w:after="0"/>
              <w:rPr>
                <w:sz w:val="20"/>
                <w:szCs w:val="20"/>
                <w:color w:val="auto"/>
              </w:rPr>
            </w:pPr>
            <w:r>
              <w:rPr>
                <w:rFonts w:ascii="Arial" w:cs="Arial" w:eastAsia="Arial" w:hAnsi="Arial"/>
                <w:sz w:val="14"/>
                <w:szCs w:val="14"/>
                <w:color w:val="auto"/>
              </w:rPr>
              <w:t>-17.5%</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34,131</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41,707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22.2%</w:t>
            </w:r>
          </w:p>
        </w:tc>
      </w:tr>
      <w:tr>
        <w:trPr>
          <w:trHeight w:val="127"/>
        </w:trPr>
        <w:tc>
          <w:tcPr>
            <w:tcW w:w="214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Net gain on derivatives held for</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5"/>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8,358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69,723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45,413</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443.3%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43,788</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115,136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162.9%</w:t>
            </w:r>
          </w:p>
        </w:tc>
      </w:tr>
      <w:tr>
        <w:trPr>
          <w:trHeight w:val="127"/>
        </w:trPr>
        <w:tc>
          <w:tcPr>
            <w:tcW w:w="2140" w:type="dxa"/>
            <w:vAlign w:val="bottom"/>
            <w:gridSpan w:val="2"/>
          </w:tcPr>
          <w:p>
            <w:pPr>
              <w:spacing w:after="0" w:line="128" w:lineRule="exact"/>
              <w:rPr>
                <w:sz w:val="20"/>
                <w:szCs w:val="20"/>
                <w:color w:val="auto"/>
              </w:rPr>
            </w:pPr>
            <w:r>
              <w:rPr>
                <w:rFonts w:ascii="Arial" w:cs="Arial" w:eastAsia="Arial" w:hAnsi="Arial"/>
                <w:sz w:val="14"/>
                <w:szCs w:val="14"/>
                <w:color w:val="auto"/>
              </w:rPr>
              <w:t>Net gain from exchange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5"/>
        </w:trPr>
        <w:tc>
          <w:tcPr>
            <w:tcW w:w="2140" w:type="dxa"/>
            <w:vAlign w:val="bottom"/>
            <w:gridSpan w:val="2"/>
          </w:tcPr>
          <w:p>
            <w:pPr>
              <w:spacing w:after="0"/>
              <w:rPr>
                <w:sz w:val="20"/>
                <w:szCs w:val="20"/>
                <w:color w:val="auto"/>
              </w:rPr>
            </w:pPr>
            <w:r>
              <w:rPr>
                <w:rFonts w:ascii="Arial" w:cs="Arial" w:eastAsia="Arial" w:hAnsi="Arial"/>
                <w:sz w:val="14"/>
                <w:szCs w:val="14"/>
                <w:color w:val="auto"/>
              </w:rPr>
              <w:t>differences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23,845</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(5,536)</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45,924</w:t>
            </w:r>
          </w:p>
        </w:tc>
        <w:tc>
          <w:tcPr>
            <w:tcW w:w="1440" w:type="dxa"/>
            <w:vAlign w:val="bottom"/>
            <w:gridSpan w:val="3"/>
          </w:tcPr>
          <w:p>
            <w:pPr>
              <w:ind w:left="700"/>
              <w:spacing w:after="0"/>
              <w:rPr>
                <w:sz w:val="20"/>
                <w:szCs w:val="20"/>
                <w:color w:val="auto"/>
              </w:rPr>
            </w:pPr>
            <w:r>
              <w:rPr>
                <w:rFonts w:ascii="Arial" w:cs="Arial" w:eastAsia="Arial" w:hAnsi="Arial"/>
                <w:sz w:val="14"/>
                <w:szCs w:val="14"/>
                <w:color w:val="auto"/>
              </w:rPr>
              <w:t>n.a.</w:t>
            </w:r>
          </w:p>
        </w:tc>
        <w:tc>
          <w:tcPr>
            <w:tcW w:w="980" w:type="dxa"/>
            <w:vAlign w:val="bottom"/>
            <w:gridSpan w:val="2"/>
          </w:tcPr>
          <w:p>
            <w:pPr>
              <w:jc w:val="right"/>
              <w:ind w:right="129"/>
              <w:spacing w:after="0"/>
              <w:rPr>
                <w:sz w:val="20"/>
                <w:szCs w:val="20"/>
                <w:color w:val="auto"/>
              </w:rPr>
            </w:pPr>
            <w:r>
              <w:rPr>
                <w:rFonts w:ascii="Arial" w:cs="Arial" w:eastAsia="Arial" w:hAnsi="Arial"/>
                <w:sz w:val="14"/>
                <w:szCs w:val="14"/>
                <w:color w:val="auto"/>
              </w:rPr>
              <w:t>92.6%</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2,996</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40,388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1248.1%</w:t>
            </w:r>
          </w:p>
        </w:tc>
      </w:tr>
      <w:tr>
        <w:trPr>
          <w:trHeight w:val="159"/>
        </w:trPr>
        <w:tc>
          <w:tcPr>
            <w:tcW w:w="21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non-financial income</w:t>
            </w:r>
          </w:p>
        </w:tc>
        <w:tc>
          <w:tcPr>
            <w:tcW w:w="11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35,195</w:t>
            </w: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73,991</w:t>
            </w:r>
          </w:p>
        </w:tc>
        <w:tc>
          <w:tcPr>
            <w:tcW w:w="11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62,923</w:t>
            </w:r>
          </w:p>
        </w:tc>
        <w:tc>
          <w:tcPr>
            <w:tcW w:w="1220" w:type="dxa"/>
            <w:vAlign w:val="bottom"/>
            <w:gridSpan w:val="2"/>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78.8%</w:t>
            </w:r>
          </w:p>
        </w:tc>
        <w:tc>
          <w:tcPr>
            <w:tcW w:w="11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152,965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136,914</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-10.5%</w:t>
            </w:r>
          </w:p>
        </w:tc>
      </w:tr>
      <w:tr>
        <w:trPr>
          <w:trHeight w:val="139"/>
        </w:trPr>
        <w:tc>
          <w:tcPr>
            <w:tcW w:w="21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non-financial income, net</w:t>
            </w:r>
          </w:p>
        </w:tc>
        <w:tc>
          <w:tcPr>
            <w:tcW w:w="9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1,015,663</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1,194,530</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1,191,694</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-0.2</w:t>
            </w:r>
          </w:p>
        </w:tc>
        <w:tc>
          <w:tcPr>
            <w:tcW w:w="320" w:type="dxa"/>
            <w:vAlign w:val="bottom"/>
          </w:tcPr>
          <w:p>
            <w:pPr>
              <w:jc w:val="right"/>
              <w:ind w:right="109"/>
              <w:spacing w:after="0" w:line="13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17.3</w:t>
            </w:r>
          </w:p>
        </w:tc>
        <w:tc>
          <w:tcPr>
            <w:tcW w:w="320" w:type="dxa"/>
            <w:vAlign w:val="bottom"/>
          </w:tcPr>
          <w:p>
            <w:pPr>
              <w:jc w:val="right"/>
              <w:ind w:right="109"/>
              <w:spacing w:after="0" w:line="139"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1,973,918</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2,386,224</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20.9</w:t>
            </w:r>
          </w:p>
        </w:tc>
        <w:tc>
          <w:tcPr>
            <w:tcW w:w="1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spacing w:after="0" w:line="197" w:lineRule="exact"/>
        <w:rPr>
          <w:rFonts w:ascii="Arial" w:cs="Arial" w:eastAsia="Arial" w:hAnsi="Arial"/>
          <w:sz w:val="14"/>
          <w:szCs w:val="14"/>
          <w:color w:val="auto"/>
        </w:rPr>
      </w:pPr>
    </w:p>
    <w:p>
      <w:pPr>
        <w:ind w:left="320" w:hanging="314"/>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It differs from what was previously reported by reclassification of IFRS16.</w:t>
      </w:r>
    </w:p>
    <w:p>
      <w:pPr>
        <w:spacing w:after="0" w:line="198" w:lineRule="exact"/>
        <w:rPr>
          <w:sz w:val="20"/>
          <w:szCs w:val="20"/>
          <w:color w:val="auto"/>
        </w:rPr>
      </w:pPr>
    </w:p>
    <w:p>
      <w:pPr>
        <w:ind w:left="1420"/>
        <w:spacing w:after="0"/>
        <w:tabs>
          <w:tab w:leader="none" w:pos="7060" w:val="left"/>
        </w:tabs>
        <w:rPr>
          <w:sz w:val="20"/>
          <w:szCs w:val="20"/>
          <w:color w:val="auto"/>
        </w:rPr>
      </w:pPr>
      <w:r>
        <w:rPr>
          <w:rFonts w:ascii="Arial" w:cs="Arial" w:eastAsia="Arial" w:hAnsi="Arial"/>
          <w:sz w:val="18"/>
          <w:szCs w:val="18"/>
          <w:b w:val="1"/>
          <w:bCs w:val="1"/>
          <w:color w:val="auto"/>
        </w:rPr>
        <w:t>Evolution of non-financial income</w:t>
      </w:r>
      <w:r>
        <w:rPr>
          <w:sz w:val="20"/>
          <w:szCs w:val="20"/>
          <w:color w:val="auto"/>
        </w:rPr>
        <w:tab/>
      </w:r>
      <w:r>
        <w:rPr>
          <w:rFonts w:ascii="Arial" w:cs="Arial" w:eastAsia="Arial" w:hAnsi="Arial"/>
          <w:sz w:val="15"/>
          <w:szCs w:val="15"/>
          <w:b w:val="1"/>
          <w:bCs w:val="1"/>
          <w:color w:val="auto"/>
        </w:rPr>
        <w:t>QoQ evolution of non-financial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149860</wp:posOffset>
            </wp:positionV>
            <wp:extent cx="6409055" cy="1990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09055" cy="19900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07" w:firstLine="6"/>
        <w:spacing w:after="0" w:line="265" w:lineRule="auto"/>
        <w:tabs>
          <w:tab w:leader="none" w:pos="2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includes Net gain from associates, Net gain from exchange difference and Other non-financial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w:t>
      </w:r>
      <w:r>
        <w:rPr>
          <w:rFonts w:ascii="Arial" w:cs="Arial" w:eastAsia="Arial" w:hAnsi="Arial"/>
          <w:sz w:val="18"/>
          <w:szCs w:val="18"/>
          <w:b w:val="1"/>
          <w:bCs w:val="1"/>
          <w:color w:val="auto"/>
        </w:rPr>
        <w:t>core NFI</w:t>
      </w:r>
      <w:r>
        <w:rPr>
          <w:rFonts w:ascii="Arial" w:cs="Arial" w:eastAsia="Arial" w:hAnsi="Arial"/>
          <w:sz w:val="18"/>
          <w:szCs w:val="18"/>
          <w:color w:val="auto"/>
        </w:rPr>
        <w:t xml:space="preserve"> evolved favorably due to:</w:t>
      </w:r>
    </w:p>
    <w:p>
      <w:pPr>
        <w:spacing w:after="0" w:line="21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 xml:space="preserve">Positive results in </w:t>
      </w:r>
      <w:r>
        <w:rPr>
          <w:rFonts w:ascii="Arial" w:cs="Arial" w:eastAsia="Arial" w:hAnsi="Arial"/>
          <w:sz w:val="15"/>
          <w:szCs w:val="15"/>
          <w:b w:val="1"/>
          <w:bCs w:val="1"/>
          <w:color w:val="auto"/>
        </w:rPr>
        <w:t>Universal Banking</w:t>
      </w:r>
      <w:r>
        <w:rPr>
          <w:rFonts w:ascii="Arial" w:cs="Arial" w:eastAsia="Arial" w:hAnsi="Arial"/>
          <w:sz w:val="15"/>
          <w:szCs w:val="15"/>
          <w:color w:val="auto"/>
        </w:rPr>
        <w:t xml:space="preserve"> due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 w:right="20" w:firstLine="7"/>
        <w:spacing w:after="0" w:line="265" w:lineRule="auto"/>
        <w:tabs>
          <w:tab w:leader="none" w:pos="2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072" w:lineRule="exact"/>
        <w:rPr>
          <w:sz w:val="20"/>
          <w:szCs w:val="20"/>
          <w:color w:val="auto"/>
        </w:rPr>
      </w:pPr>
    </w:p>
    <w:p>
      <w:pPr>
        <w:sectPr>
          <w:pgSz w:w="11900" w:h="16838" w:orient="portrait"/>
          <w:cols w:equalWidth="0" w:num="2">
            <w:col w:w="5447" w:space="720"/>
            <w:col w:w="5073"/>
          </w:cols>
          <w:pgMar w:left="320" w:top="891" w:right="339" w:bottom="1440" w:gutter="0" w:footer="0" w:header="0"/>
          <w:type w:val="continuous"/>
        </w:sectPr>
      </w:pPr>
    </w:p>
    <w:p>
      <w:pPr>
        <w:spacing w:after="0" w:line="19" w:lineRule="exact"/>
        <w:rPr>
          <w:sz w:val="20"/>
          <w:szCs w:val="20"/>
          <w:color w:val="auto"/>
        </w:rPr>
      </w:pPr>
    </w:p>
    <w:p>
      <w:pPr>
        <w:ind w:left="760" w:hanging="315"/>
        <w:spacing w:after="0"/>
        <w:tabs>
          <w:tab w:leader="none" w:pos="760" w:val="left"/>
        </w:tabs>
        <w:numPr>
          <w:ilvl w:val="1"/>
          <w:numId w:val="47"/>
        </w:numPr>
        <w:rPr>
          <w:rFonts w:ascii="Arial" w:cs="Arial" w:eastAsia="Arial" w:hAnsi="Arial"/>
          <w:sz w:val="34"/>
          <w:szCs w:val="34"/>
          <w:color w:val="auto"/>
          <w:vertAlign w:val="superscript"/>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Fee income</w:t>
      </w:r>
      <w:r>
        <w:rPr>
          <w:rFonts w:ascii="Arial" w:cs="Arial" w:eastAsia="Arial" w:hAnsi="Arial"/>
          <w:sz w:val="17"/>
          <w:szCs w:val="17"/>
          <w:color w:val="auto"/>
        </w:rPr>
        <w:t xml:space="preserve"> due to an uptick in foreign transfers by clients in the import sector, despite changes in regulations on fees</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and;</w:t>
      </w:r>
    </w:p>
    <w:p>
      <w:pPr>
        <w:spacing w:after="0" w:line="73" w:lineRule="exact"/>
        <w:rPr>
          <w:rFonts w:ascii="Arial" w:cs="Arial" w:eastAsia="Arial" w:hAnsi="Arial"/>
          <w:sz w:val="34"/>
          <w:szCs w:val="34"/>
          <w:color w:val="auto"/>
          <w:vertAlign w:val="superscript"/>
        </w:rPr>
      </w:pPr>
    </w:p>
    <w:p>
      <w:pPr>
        <w:ind w:left="760" w:hanging="315"/>
        <w:spacing w:after="0"/>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 increase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due to higher volume operations related to political uncertainty.</w:t>
      </w:r>
    </w:p>
    <w:p>
      <w:pPr>
        <w:spacing w:after="0" w:line="216" w:lineRule="exact"/>
        <w:rPr>
          <w:rFonts w:ascii="Arial" w:cs="Arial" w:eastAsia="Arial" w:hAnsi="Arial"/>
          <w:sz w:val="18"/>
          <w:szCs w:val="18"/>
          <w:color w:val="auto"/>
        </w:rPr>
      </w:pPr>
    </w:p>
    <w:p>
      <w:pPr>
        <w:jc w:val="both"/>
        <w:ind w:left="640" w:hanging="315"/>
        <w:spacing w:after="0" w:line="259"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Growth in income in </w:t>
      </w:r>
      <w:r>
        <w:rPr>
          <w:rFonts w:ascii="Arial" w:cs="Arial" w:eastAsia="Arial" w:hAnsi="Arial"/>
          <w:sz w:val="18"/>
          <w:szCs w:val="18"/>
          <w:b w:val="1"/>
          <w:bCs w:val="1"/>
          <w:color w:val="auto"/>
        </w:rPr>
        <w:t>Investment Banking and in Wealth Management</w:t>
      </w:r>
      <w:r>
        <w:rPr>
          <w:rFonts w:ascii="Arial" w:cs="Arial" w:eastAsia="Arial" w:hAnsi="Arial"/>
          <w:sz w:val="18"/>
          <w:szCs w:val="18"/>
          <w:color w:val="auto"/>
        </w:rPr>
        <w:t xml:space="preserve"> was driven by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which grew by an uptick in brokerage fees associated with growth in the sale of securities, which was stoked by political uncertainty, and by growth in fees to enter third-party funds through international platforms, which was mainly at ASB.</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aforementioned was partially offset by a decrease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in </w:t>
      </w:r>
      <w:r>
        <w:rPr>
          <w:rFonts w:ascii="Arial" w:cs="Arial" w:eastAsia="Arial" w:hAnsi="Arial"/>
          <w:sz w:val="18"/>
          <w:szCs w:val="18"/>
          <w:b w:val="1"/>
          <w:bCs w:val="1"/>
          <w:color w:val="auto"/>
        </w:rPr>
        <w:t>Microfinance</w:t>
      </w:r>
      <w:r>
        <w:rPr>
          <w:rFonts w:ascii="Arial" w:cs="Arial" w:eastAsia="Arial" w:hAnsi="Arial"/>
          <w:sz w:val="18"/>
          <w:szCs w:val="18"/>
          <w:color w:val="auto"/>
        </w:rPr>
        <w:t xml:space="preserve"> due to provisions that were set aside to cover fee reimbursements stipulated in new Peruvian legislation and to an increase in payments to third parties for physical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Non-core NFI </w:t>
      </w:r>
      <w:r>
        <w:rPr>
          <w:rFonts w:ascii="Arial" w:cs="Arial" w:eastAsia="Arial" w:hAnsi="Arial"/>
          <w:sz w:val="18"/>
          <w:szCs w:val="18"/>
          <w:color w:val="auto"/>
        </w:rPr>
        <w:t>fell due to:</w:t>
      </w:r>
    </w:p>
    <w:p>
      <w:pPr>
        <w:spacing w:after="0" w:line="218" w:lineRule="exact"/>
        <w:rPr>
          <w:sz w:val="20"/>
          <w:szCs w:val="20"/>
          <w:color w:val="auto"/>
        </w:rPr>
      </w:pPr>
    </w:p>
    <w:p>
      <w:pPr>
        <w:ind w:left="640" w:right="20" w:hanging="315"/>
        <w:spacing w:after="0" w:line="302"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implementation of a strategy at </w:t>
      </w:r>
      <w:r>
        <w:rPr>
          <w:rFonts w:ascii="Arial" w:cs="Arial" w:eastAsia="Arial" w:hAnsi="Arial"/>
          <w:sz w:val="17"/>
          <w:szCs w:val="17"/>
          <w:b w:val="1"/>
          <w:bCs w:val="1"/>
          <w:color w:val="auto"/>
        </w:rPr>
        <w:t>BCP Stand-alone</w:t>
      </w:r>
      <w:r>
        <w:rPr>
          <w:rFonts w:ascii="Arial" w:cs="Arial" w:eastAsia="Arial" w:hAnsi="Arial"/>
          <w:sz w:val="17"/>
          <w:szCs w:val="17"/>
          <w:color w:val="auto"/>
        </w:rPr>
        <w:t xml:space="preserve"> which, reduced interest rates sensitivity in the investment at fair value with changes in other comprehensive income portfolio by selling sovereign bonds at a loss. This was partially offset by a gain on the exchange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1788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17" w:lineRule="exact"/>
        <w:rPr>
          <w:sz w:val="20"/>
          <w:szCs w:val="20"/>
          <w:color w:val="auto"/>
        </w:rPr>
      </w:pPr>
    </w:p>
    <w:p>
      <w:pPr>
        <w:ind w:left="120" w:hanging="114"/>
        <w:spacing w:after="0"/>
        <w:tabs>
          <w:tab w:leader="none" w:pos="12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Elimination of fees for inter-place transfers and penalty for late payment.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9" w:name="page40"/>
    <w:bookmarkEnd w:id="39"/>
    <w:p>
      <w:pPr>
        <w:ind w:left="640" w:hanging="315"/>
        <w:spacing w:after="0" w:line="272"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decrease in the </w:t>
      </w:r>
      <w:r>
        <w:rPr>
          <w:rFonts w:ascii="Arial" w:cs="Arial" w:eastAsia="Arial" w:hAnsi="Arial"/>
          <w:sz w:val="18"/>
          <w:szCs w:val="18"/>
          <w:b w:val="1"/>
          <w:bCs w:val="1"/>
          <w:color w:val="auto"/>
        </w:rPr>
        <w:t>Net gain from associates</w:t>
      </w:r>
      <w:r>
        <w:rPr>
          <w:rFonts w:ascii="Arial" w:cs="Arial" w:eastAsia="Arial" w:hAnsi="Arial"/>
          <w:sz w:val="18"/>
          <w:szCs w:val="18"/>
          <w:color w:val="auto"/>
        </w:rPr>
        <w:t>, which was generated by a decrease in gains in the EPS business due to high numbers of claims for COVID-19.</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 xml:space="preserve">The aforementioned was partially offset by strategies for exchange rate derivatives in a scenario marked by an exchange rate volatility, which generated positive results in the </w:t>
      </w:r>
      <w:r>
        <w:rPr>
          <w:rFonts w:ascii="Arial" w:cs="Arial" w:eastAsia="Arial" w:hAnsi="Arial"/>
          <w:sz w:val="18"/>
          <w:szCs w:val="18"/>
          <w:b w:val="1"/>
          <w:bCs w:val="1"/>
          <w:color w:val="auto"/>
        </w:rPr>
        <w:t>Net gain for speculative derivatives</w:t>
      </w:r>
      <w:r>
        <w:rPr>
          <w:rFonts w:ascii="Arial" w:cs="Arial" w:eastAsia="Arial" w:hAnsi="Arial"/>
          <w:sz w:val="18"/>
          <w:szCs w:val="18"/>
          <w:color w:val="auto"/>
        </w:rPr>
        <w:t>. Combined, these results led to a -0.2% reduction in NFI.</w:t>
      </w:r>
    </w:p>
    <w:p>
      <w:pPr>
        <w:spacing w:after="0" w:line="174" w:lineRule="exact"/>
        <w:rPr>
          <w:sz w:val="20"/>
          <w:szCs w:val="20"/>
          <w:color w:val="auto"/>
        </w:rPr>
      </w:pPr>
    </w:p>
    <w:p>
      <w:pPr>
        <w:ind w:left="1200"/>
        <w:spacing w:after="0"/>
        <w:tabs>
          <w:tab w:leader="none" w:pos="7060" w:val="left"/>
        </w:tabs>
        <w:rPr>
          <w:sz w:val="20"/>
          <w:szCs w:val="20"/>
          <w:color w:val="auto"/>
        </w:rPr>
      </w:pPr>
      <w:r>
        <w:rPr>
          <w:rFonts w:ascii="Arial" w:cs="Arial" w:eastAsia="Arial" w:hAnsi="Arial"/>
          <w:sz w:val="18"/>
          <w:szCs w:val="18"/>
          <w:b w:val="1"/>
          <w:bCs w:val="1"/>
          <w:color w:val="auto"/>
        </w:rPr>
        <w:t>YoY evolution of Non-Financial Income</w:t>
      </w:r>
      <w:r>
        <w:rPr>
          <w:sz w:val="20"/>
          <w:szCs w:val="20"/>
          <w:color w:val="auto"/>
        </w:rPr>
        <w:tab/>
      </w:r>
      <w:r>
        <w:rPr>
          <w:rFonts w:ascii="Arial" w:cs="Arial" w:eastAsia="Arial" w:hAnsi="Arial"/>
          <w:sz w:val="15"/>
          <w:szCs w:val="15"/>
          <w:b w:val="1"/>
          <w:bCs w:val="1"/>
          <w:color w:val="auto"/>
        </w:rPr>
        <w:t>YTD evolution of non-financial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149860</wp:posOffset>
            </wp:positionV>
            <wp:extent cx="6536055" cy="2327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36055" cy="232727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6"/>
        <w:spacing w:after="0" w:line="265" w:lineRule="auto"/>
        <w:tabs>
          <w:tab w:leader="none" w:pos="2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growth in</w:t>
      </w:r>
      <w:r>
        <w:rPr>
          <w:rFonts w:ascii="Arial" w:cs="Arial" w:eastAsia="Arial" w:hAnsi="Arial"/>
          <w:sz w:val="18"/>
          <w:szCs w:val="18"/>
          <w:b w:val="1"/>
          <w:bCs w:val="1"/>
          <w:color w:val="auto"/>
        </w:rPr>
        <w:t xml:space="preserve"> core NFI </w:t>
      </w:r>
      <w:r>
        <w:rPr>
          <w:rFonts w:ascii="Arial" w:cs="Arial" w:eastAsia="Arial" w:hAnsi="Arial"/>
          <w:sz w:val="18"/>
          <w:szCs w:val="18"/>
          <w:color w:val="auto"/>
        </w:rPr>
        <w:t>was driven by:</w:t>
      </w:r>
    </w:p>
    <w:p>
      <w:pPr>
        <w:spacing w:after="0" w:line="218" w:lineRule="exact"/>
        <w:rPr>
          <w:sz w:val="20"/>
          <w:szCs w:val="20"/>
          <w:color w:val="auto"/>
        </w:rPr>
      </w:pPr>
    </w:p>
    <w:p>
      <w:pPr>
        <w:ind w:left="640" w:hanging="315"/>
        <w:spacing w:after="0" w:line="27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 improvement in results for </w:t>
      </w:r>
      <w:r>
        <w:rPr>
          <w:rFonts w:ascii="Arial" w:cs="Arial" w:eastAsia="Arial" w:hAnsi="Arial"/>
          <w:sz w:val="18"/>
          <w:szCs w:val="18"/>
          <w:b w:val="1"/>
          <w:bCs w:val="1"/>
          <w:color w:val="auto"/>
        </w:rPr>
        <w:t>Universal Banking</w:t>
      </w:r>
      <w:r>
        <w:rPr>
          <w:rFonts w:ascii="Arial" w:cs="Arial" w:eastAsia="Arial" w:hAnsi="Arial"/>
          <w:sz w:val="18"/>
          <w:szCs w:val="18"/>
          <w:color w:val="auto"/>
        </w:rPr>
        <w:t>, which was due to:</w:t>
      </w:r>
    </w:p>
    <w:p>
      <w:pPr>
        <w:spacing w:after="0" w:line="168" w:lineRule="exact"/>
        <w:rPr>
          <w:rFonts w:ascii="Arial" w:cs="Arial" w:eastAsia="Arial" w:hAnsi="Arial"/>
          <w:sz w:val="18"/>
          <w:szCs w:val="18"/>
          <w:color w:val="auto"/>
        </w:rPr>
      </w:pPr>
    </w:p>
    <w:p>
      <w:pPr>
        <w:ind w:left="960" w:hanging="316"/>
        <w:spacing w:after="0" w:line="272" w:lineRule="auto"/>
        <w:tabs>
          <w:tab w:leader="none" w:pos="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given that fee exemptions were granted during the quarantine in 2020.</w:t>
      </w:r>
    </w:p>
    <w:p>
      <w:pPr>
        <w:spacing w:after="0" w:line="168" w:lineRule="exact"/>
        <w:rPr>
          <w:rFonts w:ascii="Arial" w:cs="Arial" w:eastAsia="Arial" w:hAnsi="Arial"/>
          <w:sz w:val="18"/>
          <w:szCs w:val="18"/>
          <w:color w:val="auto"/>
        </w:rPr>
      </w:pPr>
    </w:p>
    <w:p>
      <w:pPr>
        <w:ind w:left="960" w:hanging="316"/>
        <w:spacing w:after="0" w:line="375" w:lineRule="auto"/>
        <w:tabs>
          <w:tab w:leader="none" w:pos="960" w:val="left"/>
        </w:tabs>
        <w:numPr>
          <w:ilvl w:val="1"/>
          <w:numId w:val="53"/>
        </w:numPr>
        <w:rPr>
          <w:rFonts w:ascii="Arial" w:cs="Arial" w:eastAsia="Arial" w:hAnsi="Arial"/>
          <w:sz w:val="15"/>
          <w:szCs w:val="15"/>
          <w:color w:val="auto"/>
        </w:rPr>
      </w:pPr>
      <w:r>
        <w:rPr>
          <w:rFonts w:ascii="Arial" w:cs="Arial" w:eastAsia="Arial" w:hAnsi="Arial"/>
          <w:sz w:val="15"/>
          <w:szCs w:val="15"/>
          <w:color w:val="auto"/>
        </w:rPr>
        <w:t xml:space="preserve">Growth in the </w:t>
      </w:r>
      <w:r>
        <w:rPr>
          <w:rFonts w:ascii="Arial" w:cs="Arial" w:eastAsia="Arial" w:hAnsi="Arial"/>
          <w:sz w:val="15"/>
          <w:szCs w:val="15"/>
          <w:b w:val="1"/>
          <w:bCs w:val="1"/>
          <w:color w:val="auto"/>
        </w:rPr>
        <w:t>Net gain on foreign exchange transactions</w:t>
      </w:r>
      <w:r>
        <w:rPr>
          <w:rFonts w:ascii="Arial" w:cs="Arial" w:eastAsia="Arial" w:hAnsi="Arial"/>
          <w:sz w:val="15"/>
          <w:szCs w:val="15"/>
          <w:color w:val="auto"/>
        </w:rPr>
        <w:t xml:space="preserve"> in a context of high uncertainty due to the elections.</w:t>
      </w:r>
    </w:p>
    <w:p>
      <w:pPr>
        <w:spacing w:after="0" w:line="98" w:lineRule="exact"/>
        <w:rPr>
          <w:rFonts w:ascii="Arial" w:cs="Arial" w:eastAsia="Arial" w:hAnsi="Arial"/>
          <w:sz w:val="15"/>
          <w:szCs w:val="15"/>
          <w:color w:val="auto"/>
        </w:rPr>
      </w:pPr>
    </w:p>
    <w:p>
      <w:pPr>
        <w:ind w:left="640" w:right="20" w:hanging="315"/>
        <w:spacing w:after="0" w:line="375" w:lineRule="auto"/>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An increase in </w:t>
      </w:r>
      <w:r>
        <w:rPr>
          <w:rFonts w:ascii="Arial" w:cs="Arial" w:eastAsia="Arial" w:hAnsi="Arial"/>
          <w:sz w:val="15"/>
          <w:szCs w:val="15"/>
          <w:b w:val="1"/>
          <w:bCs w:val="1"/>
          <w:color w:val="auto"/>
        </w:rPr>
        <w:t>Fee income in Microfinance</w:t>
      </w:r>
      <w:r>
        <w:rPr>
          <w:rFonts w:ascii="Arial" w:cs="Arial" w:eastAsia="Arial" w:hAnsi="Arial"/>
          <w:sz w:val="15"/>
          <w:szCs w:val="15"/>
          <w:color w:val="auto"/>
        </w:rPr>
        <w:t xml:space="preserve"> given that in 2020, clients received fee exemptions to weather the pandemic.</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contrast, </w:t>
      </w:r>
      <w:r>
        <w:rPr>
          <w:rFonts w:ascii="Arial" w:cs="Arial" w:eastAsia="Arial" w:hAnsi="Arial"/>
          <w:sz w:val="18"/>
          <w:szCs w:val="18"/>
          <w:b w:val="1"/>
          <w:bCs w:val="1"/>
          <w:color w:val="auto"/>
        </w:rPr>
        <w:t>non-core NFI</w:t>
      </w:r>
      <w:r>
        <w:rPr>
          <w:rFonts w:ascii="Arial" w:cs="Arial" w:eastAsia="Arial" w:hAnsi="Arial"/>
          <w:sz w:val="18"/>
          <w:szCs w:val="18"/>
          <w:color w:val="auto"/>
        </w:rPr>
        <w:t xml:space="preserve"> registered a reduction due to:</w:t>
      </w:r>
    </w:p>
    <w:p>
      <w:pPr>
        <w:spacing w:after="0" w:line="218" w:lineRule="exact"/>
        <w:rPr>
          <w:sz w:val="20"/>
          <w:szCs w:val="20"/>
          <w:color w:val="auto"/>
        </w:rPr>
      </w:pPr>
    </w:p>
    <w:p>
      <w:pPr>
        <w:jc w:val="both"/>
        <w:ind w:left="640" w:hanging="634"/>
        <w:spacing w:after="0" w:line="335" w:lineRule="auto"/>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A drop in the </w:t>
      </w:r>
      <w:r>
        <w:rPr>
          <w:rFonts w:ascii="Arial" w:cs="Arial" w:eastAsia="Arial" w:hAnsi="Arial"/>
          <w:sz w:val="15"/>
          <w:szCs w:val="15"/>
          <w:b w:val="1"/>
          <w:bCs w:val="1"/>
          <w:color w:val="auto"/>
        </w:rPr>
        <w:t>Net gain on securities in Investment Banking and</w:t>
      </w:r>
      <w:r>
        <w:rPr>
          <w:rFonts w:ascii="Arial" w:cs="Arial" w:eastAsia="Arial" w:hAnsi="Arial"/>
          <w:sz w:val="15"/>
          <w:szCs w:val="15"/>
          <w:color w:val="auto"/>
        </w:rPr>
        <w:t xml:space="preserve"> </w:t>
      </w:r>
      <w:r>
        <w:rPr>
          <w:rFonts w:ascii="Arial" w:cs="Arial" w:eastAsia="Arial" w:hAnsi="Arial"/>
          <w:sz w:val="15"/>
          <w:szCs w:val="15"/>
          <w:b w:val="1"/>
          <w:bCs w:val="1"/>
          <w:color w:val="auto"/>
        </w:rPr>
        <w:t>in Wealth Management</w:t>
      </w:r>
      <w:r>
        <w:rPr>
          <w:rFonts w:ascii="Arial" w:cs="Arial" w:eastAsia="Arial" w:hAnsi="Arial"/>
          <w:sz w:val="15"/>
          <w:szCs w:val="15"/>
          <w:color w:val="auto"/>
        </w:rPr>
        <w:t>, given that in 2Q20, extraordinary</w:t>
      </w:r>
      <w:r>
        <w:rPr>
          <w:rFonts w:ascii="Arial" w:cs="Arial" w:eastAsia="Arial" w:hAnsi="Arial"/>
          <w:sz w:val="15"/>
          <w:szCs w:val="15"/>
          <w:b w:val="1"/>
          <w:bCs w:val="1"/>
          <w:color w:val="auto"/>
        </w:rPr>
        <w:t xml:space="preserve"> </w:t>
      </w:r>
      <w:r>
        <w:rPr>
          <w:rFonts w:ascii="Arial" w:cs="Arial" w:eastAsia="Arial" w:hAnsi="Arial"/>
          <w:sz w:val="15"/>
          <w:szCs w:val="15"/>
          <w:color w:val="auto"/>
        </w:rPr>
        <w:t>income was reported for acting as a structuring agent for an IPO.</w:t>
      </w:r>
    </w:p>
    <w:p>
      <w:pPr>
        <w:spacing w:after="0" w:line="127" w:lineRule="exact"/>
        <w:rPr>
          <w:rFonts w:ascii="Arial" w:cs="Arial" w:eastAsia="Arial" w:hAnsi="Arial"/>
          <w:sz w:val="15"/>
          <w:szCs w:val="15"/>
          <w:color w:val="auto"/>
        </w:rPr>
      </w:pPr>
    </w:p>
    <w:p>
      <w:pPr>
        <w:jc w:val="both"/>
        <w:ind w:left="640" w:hanging="634"/>
        <w:spacing w:after="0" w:line="25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 decrease in the </w:t>
      </w:r>
      <w:r>
        <w:rPr>
          <w:rFonts w:ascii="Arial" w:cs="Arial" w:eastAsia="Arial" w:hAnsi="Arial"/>
          <w:sz w:val="18"/>
          <w:szCs w:val="18"/>
          <w:b w:val="1"/>
          <w:bCs w:val="1"/>
          <w:color w:val="auto"/>
        </w:rPr>
        <w:t>Net gain on securities in Insurance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Pensions </w:t>
      </w:r>
      <w:r>
        <w:rPr>
          <w:rFonts w:ascii="Arial" w:cs="Arial" w:eastAsia="Arial" w:hAnsi="Arial"/>
          <w:sz w:val="18"/>
          <w:szCs w:val="18"/>
          <w:color w:val="auto"/>
        </w:rPr>
        <w:t>due to a decrease in income generated by Prima AFP’s</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reserves (reduction in legal reserve requirement and market downturn).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9"/>
        <w:spacing w:after="0" w:line="265" w:lineRule="auto"/>
        <w:tabs>
          <w:tab w:leader="none" w:pos="2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includes Grupo Crédito, Credicorp Stand-alone, elimination and others.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These results were partially offset by an increase in the </w:t>
      </w:r>
      <w:r>
        <w:rPr>
          <w:rFonts w:ascii="Arial" w:cs="Arial" w:eastAsia="Arial" w:hAnsi="Arial"/>
          <w:sz w:val="18"/>
          <w:szCs w:val="18"/>
          <w:b w:val="1"/>
          <w:bCs w:val="1"/>
          <w:color w:val="auto"/>
        </w:rPr>
        <w:t>Net gain from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exchange differences </w:t>
      </w:r>
      <w:r>
        <w:rPr>
          <w:rFonts w:ascii="Arial" w:cs="Arial" w:eastAsia="Arial" w:hAnsi="Arial"/>
          <w:sz w:val="18"/>
          <w:szCs w:val="18"/>
          <w:color w:val="auto"/>
        </w:rPr>
        <w:t>in</w:t>
      </w:r>
      <w:r>
        <w:rPr>
          <w:rFonts w:ascii="Arial" w:cs="Arial" w:eastAsia="Arial" w:hAnsi="Arial"/>
          <w:sz w:val="18"/>
          <w:szCs w:val="18"/>
          <w:b w:val="1"/>
          <w:bCs w:val="1"/>
          <w:color w:val="auto"/>
        </w:rPr>
        <w:t xml:space="preserve"> Universal Banking, </w:t>
      </w:r>
      <w:r>
        <w:rPr>
          <w:rFonts w:ascii="Arial" w:cs="Arial" w:eastAsia="Arial" w:hAnsi="Arial"/>
          <w:sz w:val="18"/>
          <w:szCs w:val="18"/>
          <w:color w:val="auto"/>
        </w:rPr>
        <w:t>which was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rate position strategy assumed to mitigate the impacts of exchange rate volatility.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YTD, </w:t>
      </w:r>
      <w:r>
        <w:rPr>
          <w:rFonts w:ascii="Arial" w:cs="Arial" w:eastAsia="Arial" w:hAnsi="Arial"/>
          <w:sz w:val="18"/>
          <w:szCs w:val="18"/>
          <w:color w:val="auto"/>
        </w:rPr>
        <w:t>the positive evolution of core NFI was driven by growth in</w:t>
      </w:r>
      <w:r>
        <w:rPr>
          <w:rFonts w:ascii="Arial" w:cs="Arial" w:eastAsia="Arial" w:hAnsi="Arial"/>
          <w:sz w:val="18"/>
          <w:szCs w:val="18"/>
          <w:b w:val="1"/>
          <w:bCs w:val="1"/>
          <w:color w:val="auto"/>
        </w:rPr>
        <w:t xml:space="preserve"> Fee income in Universal Banking</w:t>
      </w:r>
      <w:r>
        <w:rPr>
          <w:rFonts w:ascii="Arial" w:cs="Arial" w:eastAsia="Arial" w:hAnsi="Arial"/>
          <w:sz w:val="18"/>
          <w:szCs w:val="18"/>
          <w:color w:val="auto"/>
        </w:rPr>
        <w:t>, given that this year, unlike last, all fees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charged.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Non-core NFI </w:t>
      </w:r>
      <w:r>
        <w:rPr>
          <w:rFonts w:ascii="Arial" w:cs="Arial" w:eastAsia="Arial" w:hAnsi="Arial"/>
          <w:sz w:val="18"/>
          <w:szCs w:val="18"/>
          <w:color w:val="auto"/>
        </w:rPr>
        <w:t>evolved positively due to:</w:t>
      </w:r>
    </w:p>
    <w:p>
      <w:pPr>
        <w:spacing w:after="0" w:line="218" w:lineRule="exact"/>
        <w:rPr>
          <w:sz w:val="20"/>
          <w:szCs w:val="20"/>
          <w:color w:val="auto"/>
        </w:rPr>
      </w:pPr>
    </w:p>
    <w:p>
      <w:pPr>
        <w:jc w:val="both"/>
        <w:ind w:left="320" w:hanging="311"/>
        <w:spacing w:after="0" w:line="259"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on securities in Insurance and Pensions</w:t>
      </w:r>
      <w:r>
        <w:rPr>
          <w:rFonts w:ascii="Arial" w:cs="Arial" w:eastAsia="Arial" w:hAnsi="Arial"/>
          <w:sz w:val="18"/>
          <w:szCs w:val="18"/>
          <w:color w:val="auto"/>
        </w:rPr>
        <w:t xml:space="preserve"> given that the benchmark period in 2020 was impacted by a sharp market downturn.</w:t>
      </w:r>
    </w:p>
    <w:p>
      <w:pPr>
        <w:spacing w:after="0" w:line="179" w:lineRule="exact"/>
        <w:rPr>
          <w:rFonts w:ascii="Arial" w:cs="Arial" w:eastAsia="Arial" w:hAnsi="Arial"/>
          <w:sz w:val="18"/>
          <w:szCs w:val="18"/>
          <w:color w:val="auto"/>
        </w:rPr>
      </w:pPr>
    </w:p>
    <w:p>
      <w:pPr>
        <w:jc w:val="both"/>
        <w:ind w:left="320" w:hanging="311"/>
        <w:spacing w:after="0" w:line="259"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 increase in the </w:t>
      </w:r>
      <w:r>
        <w:rPr>
          <w:rFonts w:ascii="Arial" w:cs="Arial" w:eastAsia="Arial" w:hAnsi="Arial"/>
          <w:sz w:val="18"/>
          <w:szCs w:val="18"/>
          <w:b w:val="1"/>
          <w:bCs w:val="1"/>
          <w:color w:val="auto"/>
        </w:rPr>
        <w:t>Gain on the exchange rate difference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Microfinance, </w:t>
      </w:r>
      <w:r>
        <w:rPr>
          <w:rFonts w:ascii="Arial" w:cs="Arial" w:eastAsia="Arial" w:hAnsi="Arial"/>
          <w:sz w:val="18"/>
          <w:szCs w:val="18"/>
          <w:color w:val="auto"/>
        </w:rPr>
        <w:t>which reflects the increase in the position in FC in a</w:t>
      </w:r>
      <w:r>
        <w:rPr>
          <w:rFonts w:ascii="Arial" w:cs="Arial" w:eastAsia="Arial" w:hAnsi="Arial"/>
          <w:sz w:val="18"/>
          <w:szCs w:val="18"/>
          <w:b w:val="1"/>
          <w:bCs w:val="1"/>
          <w:color w:val="auto"/>
        </w:rPr>
        <w:t xml:space="preserve"> </w:t>
      </w:r>
      <w:r>
        <w:rPr>
          <w:rFonts w:ascii="Arial" w:cs="Arial" w:eastAsia="Arial" w:hAnsi="Arial"/>
          <w:sz w:val="18"/>
          <w:szCs w:val="18"/>
          <w:color w:val="auto"/>
        </w:rPr>
        <w:t>scenario marked by an upward trend in the exchange rate.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growth was partially attenuated by a decrease in the </w:t>
      </w:r>
      <w:r>
        <w:rPr>
          <w:rFonts w:ascii="Arial" w:cs="Arial" w:eastAsia="Arial" w:hAnsi="Arial"/>
          <w:sz w:val="18"/>
          <w:szCs w:val="18"/>
          <w:b w:val="1"/>
          <w:bCs w:val="1"/>
          <w:color w:val="auto"/>
        </w:rPr>
        <w:t>Net gain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securities </w:t>
      </w:r>
      <w:r>
        <w:rPr>
          <w:rFonts w:ascii="Arial" w:cs="Arial" w:eastAsia="Arial" w:hAnsi="Arial"/>
          <w:sz w:val="18"/>
          <w:szCs w:val="18"/>
          <w:color w:val="auto"/>
        </w:rPr>
        <w:t>in</w:t>
      </w:r>
      <w:r>
        <w:rPr>
          <w:rFonts w:ascii="Arial" w:cs="Arial" w:eastAsia="Arial" w:hAnsi="Arial"/>
          <w:sz w:val="18"/>
          <w:szCs w:val="18"/>
          <w:b w:val="1"/>
          <w:bCs w:val="1"/>
          <w:color w:val="auto"/>
        </w:rPr>
        <w:t xml:space="preserve"> Investment Banking and Wealth Management </w:t>
      </w:r>
      <w:r>
        <w:rPr>
          <w:rFonts w:ascii="Arial" w:cs="Arial" w:eastAsia="Arial" w:hAnsi="Arial"/>
          <w:sz w:val="18"/>
          <w:szCs w:val="18"/>
          <w:color w:val="auto"/>
        </w:rPr>
        <w:t>given that in</w:t>
      </w:r>
      <w:r>
        <w:rPr>
          <w:rFonts w:ascii="Arial" w:cs="Arial" w:eastAsia="Arial" w:hAnsi="Arial"/>
          <w:sz w:val="18"/>
          <w:szCs w:val="18"/>
          <w:b w:val="1"/>
          <w:bCs w:val="1"/>
          <w:color w:val="auto"/>
        </w:rPr>
        <w:t xml:space="preserve"> </w:t>
      </w:r>
      <w:r>
        <w:rPr>
          <w:rFonts w:ascii="Arial" w:cs="Arial" w:eastAsia="Arial" w:hAnsi="Arial"/>
          <w:sz w:val="18"/>
          <w:szCs w:val="18"/>
          <w:color w:val="auto"/>
        </w:rPr>
        <w:t>2Q20, extraordinary income was generated.</w:t>
      </w:r>
    </w:p>
    <w:p>
      <w:pPr>
        <w:spacing w:after="0" w:line="622" w:lineRule="exact"/>
        <w:rPr>
          <w:sz w:val="20"/>
          <w:szCs w:val="20"/>
          <w:color w:val="auto"/>
        </w:rPr>
      </w:pPr>
    </w:p>
    <w:p>
      <w:pPr>
        <w:sectPr>
          <w:pgSz w:w="11900" w:h="16838" w:orient="portrait"/>
          <w:cols w:equalWidth="0" w:num="2">
            <w:col w:w="5400" w:space="440"/>
            <w:col w:w="5400"/>
          </w:cols>
          <w:pgMar w:left="320" w:top="891"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5.1. Fee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 change</w:t>
            </w:r>
          </w:p>
        </w:tc>
        <w:tc>
          <w:tcPr>
            <w:tcW w:w="112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Year</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51"/>
              <w:spacing w:after="0"/>
              <w:rPr>
                <w:sz w:val="20"/>
                <w:szCs w:val="20"/>
                <w:color w:val="auto"/>
              </w:rPr>
            </w:pPr>
            <w:r>
              <w:rPr>
                <w:rFonts w:ascii="Arial" w:cs="Arial" w:eastAsia="Arial" w:hAnsi="Arial"/>
                <w:sz w:val="18"/>
                <w:szCs w:val="18"/>
                <w:b w:val="1"/>
                <w:bCs w:val="1"/>
                <w:color w:val="auto"/>
              </w:rPr>
              <w:t>% change</w:t>
            </w:r>
          </w:p>
        </w:tc>
      </w:tr>
      <w:tr>
        <w:trPr>
          <w:trHeight w:val="220"/>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2Q20</w:t>
            </w:r>
          </w:p>
        </w:tc>
        <w:tc>
          <w:tcPr>
            <w:tcW w:w="18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1Q21</w:t>
            </w:r>
          </w:p>
        </w:tc>
        <w:tc>
          <w:tcPr>
            <w:tcW w:w="20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2Q21</w:t>
            </w:r>
          </w:p>
        </w:tc>
        <w:tc>
          <w:tcPr>
            <w:tcW w:w="1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Jun 21 / Jun 20</w:t>
            </w:r>
          </w:p>
        </w:tc>
        <w:tc>
          <w:tcPr>
            <w:tcW w:w="180" w:type="dxa"/>
            <w:vAlign w:val="bottom"/>
            <w:tcBorders>
              <w:bottom w:val="single" w:sz="8" w:color="CCEEFF"/>
            </w:tcBorders>
          </w:tcPr>
          <w:p>
            <w:pPr>
              <w:spacing w:after="0"/>
              <w:rPr>
                <w:sz w:val="19"/>
                <w:szCs w:val="19"/>
                <w:color w:val="auto"/>
              </w:rPr>
            </w:pPr>
          </w:p>
        </w:tc>
      </w:tr>
      <w:tr>
        <w:trPr>
          <w:trHeight w:val="246"/>
        </w:trPr>
        <w:tc>
          <w:tcPr>
            <w:tcW w:w="328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Miscellaneous accounts </w:t>
            </w:r>
            <w:r>
              <w:rPr>
                <w:rFonts w:ascii="Arial" w:cs="Arial" w:eastAsia="Arial" w:hAnsi="Arial"/>
                <w:sz w:val="28"/>
                <w:szCs w:val="28"/>
                <w:color w:val="auto"/>
                <w:vertAlign w:val="superscript"/>
              </w:rPr>
              <w:t>(1)</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115,586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181,065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180,183</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55.9%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280,549</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12,606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54,020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56,218</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345.9%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73,041</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110,237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50.9%</w:t>
            </w:r>
          </w:p>
        </w:tc>
      </w:tr>
      <w:tr>
        <w:trPr>
          <w:trHeight w:val="212"/>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40,995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84,625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98,796</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141.0%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11,298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24,271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27,608</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13.7%</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144.4%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39,650</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51,879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30.8%</w:t>
            </w:r>
          </w:p>
        </w:tc>
      </w:tr>
      <w:tr>
        <w:trPr>
          <w:trHeight w:val="252"/>
        </w:trPr>
        <w:tc>
          <w:tcPr>
            <w:tcW w:w="33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16,821</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160.8%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25,258</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31,356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22,747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27,189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26,897</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47,926</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54,086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52"/>
        </w:trPr>
        <w:tc>
          <w:tcPr>
            <w:tcW w:w="33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9,373</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90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8,531</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49,231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59,864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60,592</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23.1%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99,324</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120,456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21.3%</w:t>
            </w:r>
          </w:p>
        </w:tc>
      </w:tr>
      <w:tr>
        <w:trPr>
          <w:trHeight w:val="252"/>
        </w:trPr>
        <w:tc>
          <w:tcPr>
            <w:tcW w:w="33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106,384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108,670</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183,608</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215,053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10,448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15,392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16,766</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8.9%</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60.5%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28,426</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32,158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52"/>
        </w:trPr>
        <w:tc>
          <w:tcPr>
            <w:tcW w:w="33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17,905</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79.8%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21,536</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52"/>
        </w:trPr>
        <w:tc>
          <w:tcPr>
            <w:tcW w:w="33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Corporate finance and mutual funds </w:t>
            </w:r>
            <w:r>
              <w:rPr>
                <w:rFonts w:ascii="Arial" w:cs="Arial" w:eastAsia="Arial" w:hAnsi="Arial"/>
                <w:sz w:val="29"/>
                <w:szCs w:val="29"/>
                <w:color w:val="auto"/>
                <w:vertAlign w:val="superscript"/>
              </w:rPr>
              <w:t>(4)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12,151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13,583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13,011</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26,594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2"/>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Mibanco</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10,727</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90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2"/>
        </w:trPr>
        <w:tc>
          <w:tcPr>
            <w:tcW w:w="3360" w:type="dxa"/>
            <w:vAlign w:val="bottom"/>
            <w:gridSpan w:val="2"/>
          </w:tcPr>
          <w:p>
            <w:pPr>
              <w:spacing w:after="0"/>
              <w:rPr>
                <w:sz w:val="20"/>
                <w:szCs w:val="20"/>
                <w:color w:val="auto"/>
              </w:rPr>
            </w:pPr>
            <w:r>
              <w:rPr>
                <w:rFonts w:ascii="Arial" w:cs="Arial" w:eastAsia="Arial" w:hAnsi="Arial"/>
                <w:sz w:val="18"/>
                <w:szCs w:val="18"/>
                <w:color w:val="auto"/>
              </w:rPr>
              <w:t>BCP Bolivia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24,070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34,532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30,558</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27.0%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50,420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65,091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29.1%</w:t>
            </w:r>
          </w:p>
        </w:tc>
      </w:tr>
      <w:tr>
        <w:trPr>
          <w:trHeight w:val="212"/>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21,590</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9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218.8%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66"/>
        </w:trPr>
        <w:tc>
          <w:tcPr>
            <w:tcW w:w="336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9"/>
                <w:szCs w:val="29"/>
                <w:color w:val="auto"/>
                <w:vertAlign w:val="superscript"/>
              </w:rPr>
              <w:t>(4)(5)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4,924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10,583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5,019</w:t>
            </w: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-52.6%</w:t>
            </w:r>
          </w:p>
        </w:tc>
        <w:tc>
          <w:tcPr>
            <w:tcW w:w="900" w:type="dxa"/>
            <w:vAlign w:val="bottom"/>
            <w:gridSpan w:val="2"/>
          </w:tcPr>
          <w:p>
            <w:pPr>
              <w:jc w:val="right"/>
              <w:ind w:right="51"/>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15,602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06"/>
        </w:trPr>
        <w:tc>
          <w:tcPr>
            <w:tcW w:w="3360" w:type="dxa"/>
            <w:vAlign w:val="bottom"/>
            <w:tcBorders>
              <w:top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Total fee income</w:t>
            </w: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409,332</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678,503</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700,733</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3.3</w:t>
            </w:r>
          </w:p>
        </w:tc>
        <w:tc>
          <w:tcPr>
            <w:tcW w:w="280" w:type="dxa"/>
            <w:vAlign w:val="bottom"/>
            <w:tcBorders>
              <w:top w:val="single" w:sz="8" w:color="CCEEFF"/>
            </w:tcBorders>
            <w:shd w:val="clear" w:color="auto" w:fill="CCEEFF"/>
          </w:tcPr>
          <w:p>
            <w:pPr>
              <w:jc w:val="right"/>
              <w:ind w:right="11"/>
              <w:spacing w:after="0" w:line="206" w:lineRule="exact"/>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71.2</w:t>
            </w:r>
          </w:p>
        </w:tc>
        <w:tc>
          <w:tcPr>
            <w:tcW w:w="280" w:type="dxa"/>
            <w:vAlign w:val="bottom"/>
            <w:tcBorders>
              <w:top w:val="single" w:sz="8" w:color="CCEEFF"/>
            </w:tcBorders>
            <w:shd w:val="clear" w:color="auto" w:fill="CCEEFF"/>
          </w:tcPr>
          <w:p>
            <w:pPr>
              <w:jc w:val="right"/>
              <w:ind w:right="11"/>
              <w:spacing w:after="0" w:line="20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w w:val="97"/>
              </w:rPr>
              <w:t>1,046,399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w w:val="87"/>
              </w:rPr>
              <w:t>1,379,236</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31.8</w:t>
            </w:r>
          </w:p>
        </w:tc>
        <w:tc>
          <w:tcPr>
            <w:tcW w:w="180" w:type="dxa"/>
            <w:vAlign w:val="bottom"/>
            <w:tcBorders>
              <w:top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17" w:lineRule="exact"/>
        <w:rPr>
          <w:sz w:val="20"/>
          <w:szCs w:val="20"/>
          <w:color w:val="auto"/>
        </w:rPr>
      </w:pPr>
    </w:p>
    <w:p>
      <w:pPr>
        <w:ind w:left="260" w:hanging="25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fees from trust business, wealth management, network usage and other services to third parties, among 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Fee income in the banking business rose 3.3% </w:t>
      </w:r>
      <w:r>
        <w:rPr>
          <w:rFonts w:ascii="Arial" w:cs="Arial" w:eastAsia="Arial" w:hAnsi="Arial"/>
          <w:sz w:val="18"/>
          <w:szCs w:val="18"/>
          <w:b w:val="1"/>
          <w:bCs w:val="1"/>
          <w:color w:val="auto"/>
        </w:rPr>
        <w:t>QoQ.</w:t>
      </w:r>
      <w:r>
        <w:rPr>
          <w:rFonts w:ascii="Arial" w:cs="Arial" w:eastAsia="Arial" w:hAnsi="Arial"/>
          <w:sz w:val="18"/>
          <w:szCs w:val="18"/>
          <w:color w:val="auto"/>
        </w:rPr>
        <w:t xml:space="preserve"> The components that registered the highest growth were:</w:t>
      </w:r>
    </w:p>
    <w:p>
      <w:pPr>
        <w:spacing w:after="0" w:line="218" w:lineRule="exact"/>
        <w:rPr>
          <w:sz w:val="20"/>
          <w:szCs w:val="20"/>
          <w:color w:val="auto"/>
        </w:rPr>
      </w:pPr>
    </w:p>
    <w:p>
      <w:pPr>
        <w:ind w:left="640" w:hanging="315"/>
        <w:spacing w:after="0" w:line="272"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given that the volume of transfers grew via an uptick in interbank transactions, mainly by clients sending transfers abroad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in the import sector).</w:t>
      </w:r>
    </w:p>
    <w:p>
      <w:pPr>
        <w:spacing w:after="0" w:line="168"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ASB</w:t>
      </w:r>
      <w:r>
        <w:rPr>
          <w:rFonts w:ascii="Arial" w:cs="Arial" w:eastAsia="Arial" w:hAnsi="Arial"/>
          <w:sz w:val="18"/>
          <w:szCs w:val="18"/>
          <w:color w:val="auto"/>
        </w:rPr>
        <w:t>, via fees charged to clients that used this subsidiary’s international platform to transfer funds, after funds migrated abroad in a context of</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uncertainty.</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This growth was partially offset by a drop in fee income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as outlined above, and by a decrease in income in </w:t>
      </w:r>
      <w:r>
        <w:rPr>
          <w:rFonts w:ascii="Arial" w:cs="Arial" w:eastAsia="Arial" w:hAnsi="Arial"/>
          <w:sz w:val="18"/>
          <w:szCs w:val="18"/>
          <w:b w:val="1"/>
          <w:bCs w:val="1"/>
          <w:color w:val="auto"/>
        </w:rPr>
        <w:t>Others</w:t>
      </w:r>
      <w:r>
        <w:rPr>
          <w:rFonts w:ascii="Arial" w:cs="Arial" w:eastAsia="Arial" w:hAnsi="Arial"/>
          <w:sz w:val="18"/>
          <w:szCs w:val="18"/>
          <w:color w:val="auto"/>
        </w:rPr>
        <w:t xml:space="preserve">, from the </w:t>
      </w:r>
      <w:r>
        <w:rPr>
          <w:rFonts w:ascii="Arial" w:cs="Arial" w:eastAsia="Arial" w:hAnsi="Arial"/>
          <w:sz w:val="18"/>
          <w:szCs w:val="18"/>
          <w:b w:val="1"/>
          <w:bCs w:val="1"/>
          <w:color w:val="auto"/>
        </w:rPr>
        <w:t>Network usage and</w:t>
      </w:r>
      <w:r>
        <w:rPr>
          <w:rFonts w:ascii="Arial" w:cs="Arial" w:eastAsia="Arial" w:hAnsi="Arial"/>
          <w:sz w:val="18"/>
          <w:szCs w:val="18"/>
          <w:color w:val="auto"/>
        </w:rPr>
        <w:t xml:space="preserve"> </w:t>
      </w:r>
      <w:r>
        <w:rPr>
          <w:rFonts w:ascii="Arial" w:cs="Arial" w:eastAsia="Arial" w:hAnsi="Arial"/>
          <w:sz w:val="18"/>
          <w:szCs w:val="18"/>
          <w:b w:val="1"/>
          <w:bCs w:val="1"/>
          <w:color w:val="auto"/>
        </w:rPr>
        <w:t>other services to third-party.</w:t>
      </w:r>
    </w:p>
    <w:p>
      <w:pPr>
        <w:spacing w:after="0" w:line="168"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and at the</w:t>
      </w:r>
      <w:r>
        <w:rPr>
          <w:rFonts w:ascii="Arial" w:cs="Arial" w:eastAsia="Arial" w:hAnsi="Arial"/>
          <w:sz w:val="18"/>
          <w:szCs w:val="18"/>
          <w:b w:val="1"/>
          <w:bCs w:val="1"/>
          <w:color w:val="auto"/>
        </w:rPr>
        <w:t xml:space="preserve"> YTD level</w:t>
      </w:r>
      <w:r>
        <w:rPr>
          <w:rFonts w:ascii="Arial" w:cs="Arial" w:eastAsia="Arial" w:hAnsi="Arial"/>
          <w:sz w:val="18"/>
          <w:szCs w:val="18"/>
          <w:color w:val="auto"/>
        </w:rPr>
        <w:t>, growth was primarily attributable to</w:t>
      </w:r>
      <w:r>
        <w:rPr>
          <w:rFonts w:ascii="Arial" w:cs="Arial" w:eastAsia="Arial" w:hAnsi="Arial"/>
          <w:sz w:val="18"/>
          <w:szCs w:val="18"/>
          <w:b w:val="1"/>
          <w:bCs w:val="1"/>
          <w:color w:val="auto"/>
        </w:rPr>
        <w:t xml:space="preserve"> Miscellaneous Accounts, Drafts and Transfers and Credit Cards, </w:t>
      </w:r>
      <w:r>
        <w:rPr>
          <w:rFonts w:ascii="Arial" w:cs="Arial" w:eastAsia="Arial" w:hAnsi="Arial"/>
          <w:sz w:val="18"/>
          <w:szCs w:val="18"/>
          <w:color w:val="auto"/>
        </w:rPr>
        <w:t>given that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quarantine in 2020, clients were offered fee exemptions.</w:t>
      </w:r>
    </w:p>
    <w:p>
      <w:pPr>
        <w:spacing w:after="0" w:line="174"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It is important to mention that the new legislation, which prohibits the collection of late payment penalties and inter-place commissions, will have an annual impact of 5% on the income of commissions at Credicorp level.</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443230</wp:posOffset>
            </wp:positionV>
            <wp:extent cx="7168515" cy="10145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68515" cy="10145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6. Insurance Underwriting Result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6"/>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Insurance underwriting result </w:t>
            </w:r>
            <w:r>
              <w:rPr>
                <w:rFonts w:ascii="Arial" w:cs="Arial" w:eastAsia="Arial" w:hAnsi="Arial"/>
                <w:sz w:val="29"/>
                <w:szCs w:val="29"/>
                <w:b w:val="1"/>
                <w:bCs w:val="1"/>
                <w:color w:val="auto"/>
                <w:vertAlign w:val="superscript"/>
              </w:rPr>
              <w:t>(1)</w:t>
            </w: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8"/>
                <w:szCs w:val="18"/>
                <w:b w:val="1"/>
                <w:bCs w:val="1"/>
                <w:color w:val="auto"/>
              </w:rPr>
              <w:t>Quarter</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2Q20</w:t>
            </w:r>
          </w:p>
        </w:tc>
        <w:tc>
          <w:tcPr>
            <w:tcW w:w="920" w:type="dxa"/>
            <w:vAlign w:val="bottom"/>
            <w:gridSpan w:val="2"/>
          </w:tcPr>
          <w:p>
            <w:pPr>
              <w:jc w:val="right"/>
              <w:ind w:right="263"/>
              <w:spacing w:after="0"/>
              <w:rPr>
                <w:sz w:val="20"/>
                <w:szCs w:val="20"/>
                <w:color w:val="auto"/>
              </w:rPr>
            </w:pPr>
            <w:r>
              <w:rPr>
                <w:rFonts w:ascii="Arial" w:cs="Arial" w:eastAsia="Arial" w:hAnsi="Arial"/>
                <w:sz w:val="18"/>
                <w:szCs w:val="18"/>
                <w:b w:val="1"/>
                <w:bCs w:val="1"/>
                <w:color w:val="auto"/>
              </w:rPr>
              <w:t>1Q21</w:t>
            </w: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2Q21</w:t>
            </w:r>
          </w:p>
        </w:tc>
        <w:tc>
          <w:tcPr>
            <w:tcW w:w="60" w:type="dxa"/>
            <w:vAlign w:val="bottom"/>
            <w:gridSpan w:val="2"/>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Net earned premiums</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552,061</w:t>
            </w:r>
          </w:p>
        </w:tc>
        <w:tc>
          <w:tcPr>
            <w:tcW w:w="180" w:type="dxa"/>
            <w:vAlign w:val="bottom"/>
          </w:tcPr>
          <w:p>
            <w:pPr>
              <w:spacing w:after="0"/>
              <w:rPr>
                <w:sz w:val="16"/>
                <w:szCs w:val="16"/>
                <w:color w:val="auto"/>
              </w:rPr>
            </w:pP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643,928</w:t>
            </w:r>
          </w:p>
        </w:tc>
        <w:tc>
          <w:tcPr>
            <w:tcW w:w="180" w:type="dxa"/>
            <w:vAlign w:val="bottom"/>
          </w:tcPr>
          <w:p>
            <w:pPr>
              <w:spacing w:after="0"/>
              <w:rPr>
                <w:sz w:val="16"/>
                <w:szCs w:val="16"/>
                <w:color w:val="auto"/>
              </w:rPr>
            </w:pP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639,944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3480" w:type="dxa"/>
            <w:vAlign w:val="bottom"/>
            <w:gridSpan w:val="3"/>
          </w:tcPr>
          <w:p>
            <w:pPr>
              <w:spacing w:after="0"/>
              <w:rPr>
                <w:sz w:val="20"/>
                <w:szCs w:val="20"/>
                <w:color w:val="auto"/>
              </w:rPr>
            </w:pPr>
            <w:r>
              <w:rPr>
                <w:rFonts w:ascii="Arial" w:cs="Arial" w:eastAsia="Arial" w:hAnsi="Arial"/>
                <w:sz w:val="18"/>
                <w:szCs w:val="18"/>
                <w:color w:val="auto"/>
              </w:rPr>
              <w:t>Net claims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(328,783)</w:t>
            </w:r>
          </w:p>
        </w:tc>
        <w:tc>
          <w:tcPr>
            <w:tcW w:w="920" w:type="dxa"/>
            <w:vAlign w:val="bottom"/>
            <w:gridSpan w:val="2"/>
          </w:tcPr>
          <w:p>
            <w:pPr>
              <w:jc w:val="right"/>
              <w:ind w:right="43"/>
              <w:spacing w:after="0"/>
              <w:rPr>
                <w:sz w:val="20"/>
                <w:szCs w:val="20"/>
                <w:color w:val="auto"/>
              </w:rPr>
            </w:pPr>
            <w:r>
              <w:rPr>
                <w:rFonts w:ascii="Arial" w:cs="Arial" w:eastAsia="Arial" w:hAnsi="Arial"/>
                <w:sz w:val="18"/>
                <w:szCs w:val="18"/>
                <w:color w:val="auto"/>
              </w:rPr>
              <w:t>(623,353)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(691,335)</w:t>
            </w:r>
          </w:p>
        </w:tc>
      </w:tr>
      <w:tr>
        <w:trPr>
          <w:trHeight w:val="276"/>
        </w:trPr>
        <w:tc>
          <w:tcPr>
            <w:tcW w:w="3480" w:type="dxa"/>
            <w:vAlign w:val="bottom"/>
            <w:gridSpan w:val="3"/>
          </w:tcPr>
          <w:p>
            <w:pPr>
              <w:spacing w:after="0" w:line="276"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29"/>
                <w:szCs w:val="29"/>
                <w:color w:val="auto"/>
                <w:vertAlign w:val="superscript"/>
              </w:rPr>
              <w:t>(2)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(87,598)</w:t>
            </w:r>
          </w:p>
        </w:tc>
        <w:tc>
          <w:tcPr>
            <w:tcW w:w="920" w:type="dxa"/>
            <w:vAlign w:val="bottom"/>
            <w:gridSpan w:val="2"/>
          </w:tcPr>
          <w:p>
            <w:pPr>
              <w:jc w:val="right"/>
              <w:ind w:right="43"/>
              <w:spacing w:after="0"/>
              <w:rPr>
                <w:sz w:val="20"/>
                <w:szCs w:val="20"/>
                <w:color w:val="auto"/>
              </w:rPr>
            </w:pPr>
            <w:r>
              <w:rPr>
                <w:rFonts w:ascii="Arial" w:cs="Arial" w:eastAsia="Arial" w:hAnsi="Arial"/>
                <w:sz w:val="18"/>
                <w:szCs w:val="18"/>
                <w:color w:val="auto"/>
              </w:rPr>
              <w:t>(85,822)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(84,944)</w:t>
            </w:r>
          </w:p>
        </w:tc>
      </w:tr>
      <w:tr>
        <w:trPr>
          <w:trHeight w:val="206"/>
        </w:trPr>
        <w:tc>
          <w:tcPr>
            <w:tcW w:w="3480" w:type="dxa"/>
            <w:vAlign w:val="bottom"/>
            <w:gridSpan w:val="3"/>
          </w:tcPr>
          <w:p>
            <w:pPr>
              <w:spacing w:after="0" w:line="206" w:lineRule="exact"/>
              <w:rPr>
                <w:sz w:val="20"/>
                <w:szCs w:val="20"/>
                <w:color w:val="auto"/>
              </w:rPr>
            </w:pPr>
            <w:r>
              <w:rPr>
                <w:rFonts w:ascii="Arial" w:cs="Arial" w:eastAsia="Arial" w:hAnsi="Arial"/>
                <w:sz w:val="18"/>
                <w:szCs w:val="18"/>
                <w:b w:val="1"/>
                <w:bCs w:val="1"/>
                <w:color w:val="auto"/>
              </w:rPr>
              <w:t>Total insurance underwriting result</w:t>
            </w:r>
          </w:p>
        </w:tc>
        <w:tc>
          <w:tcPr>
            <w:tcW w:w="7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135,680</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(65,247</w:t>
            </w:r>
          </w:p>
        </w:tc>
        <w:tc>
          <w:tcPr>
            <w:tcW w:w="180" w:type="dxa"/>
            <w:vAlign w:val="bottom"/>
          </w:tcPr>
          <w:p>
            <w:pPr>
              <w:jc w:val="right"/>
              <w:ind w:right="43"/>
              <w:spacing w:after="0"/>
              <w:rPr>
                <w:sz w:val="20"/>
                <w:szCs w:val="20"/>
                <w:color w:val="auto"/>
              </w:rPr>
            </w:pPr>
            <w:r>
              <w:rPr>
                <w:rFonts w:ascii="Arial" w:cs="Arial" w:eastAsia="Arial" w:hAnsi="Arial"/>
                <w:sz w:val="15"/>
                <w:szCs w:val="15"/>
                <w:b w:val="1"/>
                <w:bCs w:val="1"/>
                <w:color w:val="auto"/>
                <w:w w:val="79"/>
              </w:rPr>
              <w:t>)</w:t>
            </w:r>
          </w:p>
        </w:tc>
        <w:tc>
          <w:tcPr>
            <w:tcW w:w="760" w:type="dxa"/>
            <w:vAlign w:val="bottom"/>
            <w:tcBorders>
              <w:top w:val="single" w:sz="8" w:color="auto"/>
              <w:bottom w:val="single" w:sz="8" w:color="auto"/>
            </w:tcBorders>
            <w:gridSpan w:val="2"/>
          </w:tcPr>
          <w:p>
            <w:pPr>
              <w:jc w:val="right"/>
              <w:ind w:right="20"/>
              <w:spacing w:after="0" w:line="206" w:lineRule="exact"/>
              <w:rPr>
                <w:sz w:val="20"/>
                <w:szCs w:val="20"/>
                <w:color w:val="auto"/>
              </w:rPr>
            </w:pPr>
            <w:r>
              <w:rPr>
                <w:rFonts w:ascii="Arial" w:cs="Arial" w:eastAsia="Arial" w:hAnsi="Arial"/>
                <w:sz w:val="18"/>
                <w:szCs w:val="18"/>
                <w:b w:val="1"/>
                <w:bCs w:val="1"/>
                <w:color w:val="auto"/>
              </w:rPr>
              <w:t>(136,335</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-598170</wp:posOffset>
            </wp:positionV>
            <wp:extent cx="7134860" cy="143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-320040</wp:posOffset>
            </wp:positionV>
            <wp:extent cx="7134860" cy="168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8910"/>
                    </a:xfrm>
                    <a:prstGeom prst="rect">
                      <a:avLst/>
                    </a:prstGeom>
                    <a:noFill/>
                  </pic:spPr>
                </pic:pic>
              </a:graphicData>
            </a:graphic>
          </wp:anchor>
        </w:drawing>
      </w:r>
    </w:p>
    <w:p>
      <w:pPr>
        <w:spacing w:after="0" w:line="180" w:lineRule="exact"/>
        <w:rPr>
          <w:sz w:val="20"/>
          <w:szCs w:val="20"/>
          <w:color w:val="auto"/>
        </w:rPr>
      </w:pPr>
    </w:p>
    <w:p>
      <w:pPr>
        <w:ind w:left="260" w:hanging="254"/>
        <w:spacing w:after="0"/>
        <w:tabs>
          <w:tab w:leader="none" w:pos="2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the results of the Life, Property &amp; Casualty and Crediseguros business.</w:t>
      </w:r>
    </w:p>
    <w:p>
      <w:pPr>
        <w:spacing w:after="0" w:line="51" w:lineRule="exact"/>
        <w:rPr>
          <w:rFonts w:ascii="Arial" w:cs="Arial" w:eastAsia="Arial" w:hAnsi="Arial"/>
          <w:sz w:val="15"/>
          <w:szCs w:val="15"/>
          <w:color w:val="auto"/>
        </w:rPr>
      </w:pPr>
    </w:p>
    <w:p>
      <w:pPr>
        <w:ind w:left="260" w:hanging="254"/>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net fees and underwriting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Life Insurance</w:t>
      </w:r>
    </w:p>
    <w:p>
      <w:pPr>
        <w:spacing w:after="0" w:line="21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Total life insurance premiums</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68515" cy="1779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8515" cy="1779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 change</w:t>
            </w:r>
          </w:p>
        </w:tc>
        <w:tc>
          <w:tcPr>
            <w:tcW w:w="2040" w:type="dxa"/>
            <w:vAlign w:val="bottom"/>
            <w:gridSpan w:val="4"/>
          </w:tcPr>
          <w:p>
            <w:pPr>
              <w:jc w:val="right"/>
              <w:ind w:right="843"/>
              <w:spacing w:after="0"/>
              <w:rPr>
                <w:sz w:val="20"/>
                <w:szCs w:val="20"/>
                <w:color w:val="auto"/>
              </w:rPr>
            </w:pPr>
            <w:r>
              <w:rPr>
                <w:rFonts w:ascii="Arial" w:cs="Arial" w:eastAsia="Arial" w:hAnsi="Arial"/>
                <w:sz w:val="18"/>
                <w:szCs w:val="18"/>
                <w:b w:val="1"/>
                <w:bCs w:val="1"/>
                <w:color w:val="auto"/>
              </w:rPr>
              <w:t>YTD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change</w:t>
            </w:r>
          </w:p>
        </w:tc>
      </w:tr>
      <w:tr>
        <w:trPr>
          <w:trHeight w:val="220"/>
        </w:trPr>
        <w:tc>
          <w:tcPr>
            <w:tcW w:w="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YoY</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Jun 21</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Jun21 / Jun20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880" w:type="dxa"/>
            <w:vAlign w:val="bottom"/>
            <w:gridSpan w:val="2"/>
          </w:tcPr>
          <w:p>
            <w:pPr>
              <w:jc w:val="right"/>
              <w:ind w:right="51"/>
              <w:spacing w:after="0" w:line="194" w:lineRule="exact"/>
              <w:rPr>
                <w:sz w:val="20"/>
                <w:szCs w:val="20"/>
                <w:color w:val="auto"/>
              </w:rPr>
            </w:pPr>
            <w:r>
              <w:rPr>
                <w:rFonts w:ascii="Arial" w:cs="Arial" w:eastAsia="Arial" w:hAnsi="Arial"/>
                <w:sz w:val="18"/>
                <w:szCs w:val="18"/>
                <w:color w:val="auto"/>
              </w:rPr>
              <w:t>-0.6%</w:t>
            </w:r>
          </w:p>
        </w:tc>
        <w:tc>
          <w:tcPr>
            <w:tcW w:w="88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rPr>
              <w:t>15.9%</w:t>
            </w:r>
          </w:p>
        </w:tc>
        <w:tc>
          <w:tcPr>
            <w:tcW w:w="800" w:type="dxa"/>
            <w:vAlign w:val="bottom"/>
          </w:tcPr>
          <w:p>
            <w:pPr>
              <w:jc w:val="right"/>
              <w:spacing w:after="0" w:line="194" w:lineRule="exact"/>
              <w:rPr>
                <w:sz w:val="20"/>
                <w:szCs w:val="20"/>
                <w:color w:val="auto"/>
              </w:rPr>
            </w:pPr>
            <w:r>
              <w:rPr>
                <w:rFonts w:ascii="Arial" w:cs="Arial" w:eastAsia="Arial" w:hAnsi="Arial"/>
                <w:sz w:val="18"/>
                <w:szCs w:val="18"/>
                <w:color w:val="auto"/>
                <w:w w:val="97"/>
              </w:rPr>
              <w:t>1,179,996</w:t>
            </w:r>
          </w:p>
        </w:tc>
        <w:tc>
          <w:tcPr>
            <w:tcW w:w="20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8"/>
                <w:szCs w:val="18"/>
                <w:color w:val="auto"/>
              </w:rPr>
              <w:t>1,283,872</w:t>
            </w:r>
          </w:p>
        </w:tc>
        <w:tc>
          <w:tcPr>
            <w:tcW w:w="180" w:type="dxa"/>
            <w:vAlign w:val="bottom"/>
          </w:tcPr>
          <w:p>
            <w:pPr>
              <w:spacing w:after="0"/>
              <w:rPr>
                <w:sz w:val="16"/>
                <w:szCs w:val="16"/>
                <w:color w:val="auto"/>
              </w:rPr>
            </w:pPr>
          </w:p>
        </w:tc>
        <w:tc>
          <w:tcPr>
            <w:tcW w:w="12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8.8%</w:t>
            </w:r>
          </w:p>
        </w:tc>
      </w:tr>
      <w:tr>
        <w:trPr>
          <w:trHeight w:val="224"/>
        </w:trPr>
        <w:tc>
          <w:tcPr>
            <w:tcW w:w="880" w:type="dxa"/>
            <w:vAlign w:val="bottom"/>
            <w:gridSpan w:val="2"/>
          </w:tcPr>
          <w:p>
            <w:pPr>
              <w:jc w:val="right"/>
              <w:ind w:right="51"/>
              <w:spacing w:after="0"/>
              <w:rPr>
                <w:sz w:val="20"/>
                <w:szCs w:val="20"/>
                <w:color w:val="auto"/>
              </w:rPr>
            </w:pPr>
            <w:r>
              <w:rPr>
                <w:rFonts w:ascii="Arial" w:cs="Arial" w:eastAsia="Arial" w:hAnsi="Arial"/>
                <w:sz w:val="18"/>
                <w:szCs w:val="18"/>
                <w:color w:val="auto"/>
              </w:rPr>
              <w:t>-10.9%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(702,285)</w:t>
            </w:r>
          </w:p>
        </w:tc>
        <w:tc>
          <w:tcPr>
            <w:tcW w:w="1040" w:type="dxa"/>
            <w:vAlign w:val="bottom"/>
            <w:gridSpan w:val="2"/>
          </w:tcPr>
          <w:p>
            <w:pPr>
              <w:jc w:val="right"/>
              <w:ind w:right="43"/>
              <w:spacing w:after="0"/>
              <w:rPr>
                <w:sz w:val="20"/>
                <w:szCs w:val="20"/>
                <w:color w:val="auto"/>
              </w:rPr>
            </w:pPr>
            <w:r>
              <w:rPr>
                <w:rFonts w:ascii="Arial" w:cs="Arial" w:eastAsia="Arial" w:hAnsi="Arial"/>
                <w:sz w:val="18"/>
                <w:szCs w:val="18"/>
                <w:color w:val="auto"/>
                <w:w w:val="97"/>
              </w:rPr>
              <w:t>(1,314,688)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-87.2%</w:t>
            </w:r>
          </w:p>
        </w:tc>
      </w:tr>
      <w:tr>
        <w:trPr>
          <w:trHeight w:val="266"/>
        </w:trPr>
        <w:tc>
          <w:tcPr>
            <w:tcW w:w="880" w:type="dxa"/>
            <w:vAlign w:val="bottom"/>
            <w:gridSpan w:val="2"/>
          </w:tcPr>
          <w:p>
            <w:pPr>
              <w:jc w:val="right"/>
              <w:ind w:right="51"/>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(200,105)</w:t>
            </w:r>
          </w:p>
        </w:tc>
        <w:tc>
          <w:tcPr>
            <w:tcW w:w="1040" w:type="dxa"/>
            <w:vAlign w:val="bottom"/>
            <w:gridSpan w:val="2"/>
          </w:tcPr>
          <w:p>
            <w:pPr>
              <w:jc w:val="right"/>
              <w:ind w:right="43"/>
              <w:spacing w:after="0"/>
              <w:rPr>
                <w:sz w:val="20"/>
                <w:szCs w:val="20"/>
                <w:color w:val="auto"/>
              </w:rPr>
            </w:pPr>
            <w:r>
              <w:rPr>
                <w:rFonts w:ascii="Arial" w:cs="Arial" w:eastAsia="Arial" w:hAnsi="Arial"/>
                <w:sz w:val="18"/>
                <w:szCs w:val="18"/>
                <w:color w:val="auto"/>
              </w:rPr>
              <w:t>(170,766)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14.7%</w:t>
            </w:r>
          </w:p>
        </w:tc>
      </w:tr>
      <w:tr>
        <w:trPr>
          <w:trHeight w:val="207"/>
        </w:trPr>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w:t>
            </w:r>
          </w:p>
        </w:tc>
        <w:tc>
          <w:tcPr>
            <w:tcW w:w="28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277,606</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(201,582</w:t>
            </w:r>
          </w:p>
        </w:tc>
        <w:tc>
          <w:tcPr>
            <w:tcW w:w="180" w:type="dxa"/>
            <w:vAlign w:val="bottom"/>
          </w:tcPr>
          <w:p>
            <w:pPr>
              <w:jc w:val="right"/>
              <w:ind w:right="43"/>
              <w:spacing w:after="0"/>
              <w:rPr>
                <w:sz w:val="20"/>
                <w:szCs w:val="20"/>
                <w:color w:val="auto"/>
              </w:rPr>
            </w:pPr>
            <w:r>
              <w:rPr>
                <w:rFonts w:ascii="Arial" w:cs="Arial" w:eastAsia="Arial" w:hAnsi="Arial"/>
                <w:sz w:val="15"/>
                <w:szCs w:val="15"/>
                <w:b w:val="1"/>
                <w:bCs w:val="1"/>
                <w:color w:val="auto"/>
                <w:w w:val="79"/>
              </w:rPr>
              <w:t>)</w:t>
            </w:r>
          </w:p>
        </w:tc>
        <w:tc>
          <w:tcPr>
            <w:tcW w:w="108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29"/>
          <w:szCs w:val="29"/>
          <w:b w:val="1"/>
          <w:bCs w:val="1"/>
          <w:color w:val="auto"/>
          <w:vertAlign w:val="superscript"/>
        </w:rPr>
        <w:t>(10)</w:t>
      </w:r>
    </w:p>
    <w:p>
      <w:pPr>
        <w:jc w:val="center"/>
        <w:ind w:right="44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100" w:space="120"/>
            <w:col w:w="502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0" w:lineRule="exact"/>
        <w:rPr>
          <w:sz w:val="20"/>
          <w:szCs w:val="20"/>
          <w:color w:val="auto"/>
        </w:rPr>
      </w:pPr>
      <w:r>
        <w:rPr>
          <w:rFonts w:ascii="Arial" w:cs="Arial" w:eastAsia="Arial" w:hAnsi="Arial"/>
          <w:sz w:val="16"/>
          <w:szCs w:val="16"/>
          <w:color w:val="auto"/>
        </w:rPr>
        <w:t>Total premiums fell 4.8% QoQ, which was attributable to (i) Annuities, which was associated with a decrease in the sales of period certain products due to political uncertainty; (ii) Group life, which was driven by a seasonal effect that is registered in the first quarter of the year for mining renewals of SCTR (Insurance for high-risk occupations) policies; (iii) D&amp;S, after lower premiums were registered in SISCO V</w:t>
      </w:r>
      <w:r>
        <w:rPr>
          <w:rFonts w:ascii="MS PGothic" w:cs="MS PGothic" w:eastAsia="MS PGothic" w:hAnsi="MS PGothic"/>
          <w:sz w:val="16"/>
          <w:szCs w:val="16"/>
          <w:color w:val="auto"/>
        </w:rPr>
        <w:t>⁽</w:t>
      </w:r>
      <w:r>
        <w:rPr>
          <w:rFonts w:ascii="Arial" w:cs="Arial" w:eastAsia="Arial" w:hAnsi="Arial"/>
          <w:sz w:val="26"/>
          <w:szCs w:val="26"/>
          <w:color w:val="auto"/>
          <w:vertAlign w:val="superscript"/>
        </w:rPr>
        <w:t>[11]</w:t>
      </w:r>
      <w:r>
        <w:rPr>
          <w:rFonts w:ascii="MS PGothic" w:cs="MS PGothic" w:eastAsia="MS PGothic" w:hAnsi="MS PGothic"/>
          <w:sz w:val="16"/>
          <w:szCs w:val="16"/>
          <w:color w:val="auto"/>
        </w:rPr>
        <w:t>⁾</w:t>
      </w:r>
      <w:r>
        <w:rPr>
          <w:rFonts w:ascii="Arial" w:cs="Arial" w:eastAsia="Arial" w:hAnsi="Arial"/>
          <w:sz w:val="16"/>
          <w:szCs w:val="16"/>
          <w:color w:val="auto"/>
        </w:rPr>
        <w:t>. The aforementioned was mitigated by</w:t>
      </w:r>
    </w:p>
    <w:p>
      <w:pPr>
        <w:spacing w:after="0" w:line="2" w:lineRule="exact"/>
        <w:rPr>
          <w:sz w:val="20"/>
          <w:szCs w:val="20"/>
          <w:color w:val="auto"/>
        </w:rPr>
      </w:pPr>
    </w:p>
    <w:p>
      <w:pPr>
        <w:ind w:firstLine="6"/>
        <w:spacing w:after="0" w:line="249"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 Life, via the bancassurance channel for Mibanco, which implemented an increase in fees in May and (v) Individual Life, due to an increase in sales and to an uptick in the exchange rate.</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Net earned premiums fell 3.3% QoQ, for the reasons outlined above. This result was mitigated by a drop in reserves, which was associated with a decrease in direct premiums.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YoY analysis, total premiums increased 27.5%. This was mainly driven by (i) D&amp;S, due to an uptick in collections under SISCO V, which contemplates a more favorable fee structure; (ii) Credit life, due to a decrease in premiums at Mibanco in 2Q20 due to the economic juncture (iii) Individual life; due to an increase in sales and in the exchange rate; (iv) Group Life, which was driven mainly by an uptick in premiums for renewals. The aforementioned was attenuated by (v) Annuities, due to a decrease in premiums for individual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increased 23.9% YoY for the reasons outlined in the analysis of direct premiums.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YTD, total premiums increased 20.4% for the reasons explained in the YoY analysis. Meanwhile, accumulated Net earned premiums increased 14.4% due to the reasons outlined in the analysis of direct premiums; this result was attenuated by an increase in reserves in Individual Life and Annuities and by an uptick in ceased premiums in D&amp;S.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Net life insurance claims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139065</wp:posOffset>
            </wp:positionV>
            <wp:extent cx="4005580" cy="1543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0558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claims increased 8.9% QoQ, which was due to growth in the number of deaths reported in the second wave of COVID-19. In 2Q21, net claims totaled S/ 219 million (vs S/ 119 million in 1Q21), led by Credit Life, D&amp;S, Group Life as well as Annuities (which was impacted by an increase in the stock of policies). The aforementioned was mitigated by a drop in total IBNR reserves set aside this quarter- S/ 35 million in 2Q21 vs. S/ 141 million in 1Q21- and we expect that this will continue to free up as more COVID cases are reported.</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the YoY analysis, net claims increased 129.1% in all lines due to excess mortality during the second wave of COVID-19 given that more cases were reported (vs S/ 20 million in 2Q20), mainly in D&amp;S and Credit Life; this was partially attenuated by a decrease in IBNR reserves (vs S/ 38.8 million in 2Q20). YTD, claims increased 122.6% after an increase of S/ 337.7 million was registered (to June 21) for reported cases.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After registering a peak in COVID-19 provisions in the months of March and April, we have observed that claims begin to decrease in June and the trend is favorable for the coming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P&amp;C Insurance</w:t>
      </w:r>
    </w:p>
    <w:p>
      <w:pPr>
        <w:sectPr>
          <w:pgSz w:w="11900" w:h="16838" w:orient="portrait"/>
          <w:cols w:equalWidth="0" w:num="1">
            <w:col w:w="11240"/>
          </w:cols>
          <w:pgMar w:left="320" w:top="891" w:right="339" w:bottom="1440" w:gutter="0" w:footer="0" w:header="0"/>
        </w:sectPr>
      </w:pP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Total P&amp;C Premiums</w:t>
      </w:r>
    </w:p>
    <w:p>
      <w:pPr>
        <w:spacing w:after="0" w:line="5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720"/>
        <w:spacing w:after="0"/>
        <w:rPr>
          <w:sz w:val="20"/>
          <w:szCs w:val="20"/>
          <w:color w:val="auto"/>
        </w:rPr>
      </w:pPr>
      <w:r>
        <w:rPr>
          <w:rFonts w:ascii="Arial" w:cs="Arial" w:eastAsia="Arial" w:hAnsi="Arial"/>
          <w:sz w:val="15"/>
          <w:szCs w:val="15"/>
          <w:b w:val="1"/>
          <w:bCs w:val="1"/>
          <w:color w:val="auto"/>
        </w:rPr>
        <w:t>Net Earned Premiums (12)</w:t>
      </w:r>
    </w:p>
    <w:p>
      <w:pPr>
        <w:spacing w:after="0" w:line="57"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4445</wp:posOffset>
            </wp:positionV>
            <wp:extent cx="7168515" cy="1990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8515" cy="1990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7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premiums fell 6.7% QoQ, which was attributable to (i) Commercial lines, after higher premiums were registered for renewals in 1Q21 in the fire and third-party liability lines; (ii) Personal lines, after an increase in premiums for renewals was reported for the Home Mortgage product in 2Q21 and a change in the status of Autoseguro, given that the contract ended in May. The aforementioned was mitigated by (iii) Medical Assistance, due to an increase in renewals of comprehensive health insurance products; and (iv) Cars, due to an increase in sales and renewals in the brokers channel.</w:t>
      </w:r>
    </w:p>
    <w:p>
      <w:pPr>
        <w:spacing w:after="0" w:line="176"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Net earned premiums increased 2.4% QoQ, for the reasons outlined in the total premiums analysis, which was mainly mitigated by the decrease in ceded premiums in Commercial Lines following to lower premiums ceded for facultative insurance</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13</w:t>
      </w:r>
      <w:r>
        <w:rPr>
          <w:rFonts w:ascii="MS PGothic" w:cs="MS PGothic" w:eastAsia="MS PGothic" w:hAnsi="MS PGothic"/>
          <w:sz w:val="18"/>
          <w:szCs w:val="18"/>
          <w:color w:val="auto"/>
        </w:rPr>
        <w:t>⁾</w:t>
      </w:r>
      <w:r>
        <w:rPr>
          <w:rFonts w:ascii="Arial" w:cs="Arial" w:eastAsia="Arial" w:hAnsi="Arial"/>
          <w:sz w:val="18"/>
          <w:szCs w:val="18"/>
          <w:color w:val="auto"/>
        </w:rPr>
        <w:t xml:space="preserve"> (ii) a decrease in the direct premium for facultative insurance and a decrease in Reserves for Current Risk in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788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96" w:lineRule="exact"/>
        <w:rPr>
          <w:sz w:val="20"/>
          <w:szCs w:val="20"/>
          <w:color w:val="auto"/>
        </w:rPr>
      </w:pPr>
    </w:p>
    <w:p>
      <w:pPr>
        <w:ind w:left="300" w:hanging="294"/>
        <w:spacing w:after="0"/>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5"/>
          <w:szCs w:val="15"/>
          <w:color w:val="auto"/>
        </w:rPr>
        <w:t>Total premiums excluding premiums ceded to reininsurance and premium reserves.</w:t>
      </w:r>
    </w:p>
    <w:p>
      <w:pPr>
        <w:spacing w:after="0" w:line="2" w:lineRule="exact"/>
        <w:rPr>
          <w:rFonts w:ascii="Arial" w:cs="Arial" w:eastAsia="Arial" w:hAnsi="Arial"/>
          <w:sz w:val="24"/>
          <w:szCs w:val="24"/>
          <w:color w:val="auto"/>
          <w:vertAlign w:val="superscript"/>
        </w:rPr>
      </w:pPr>
    </w:p>
    <w:p>
      <w:pPr>
        <w:ind w:left="280" w:hanging="274"/>
        <w:spacing w:after="0" w:line="226" w:lineRule="auto"/>
        <w:tabs>
          <w:tab w:leader="none" w:pos="280" w:val="left"/>
        </w:tabs>
        <w:numPr>
          <w:ilvl w:val="0"/>
          <w:numId w:val="61"/>
        </w:numPr>
        <w:rPr>
          <w:rFonts w:ascii="Arial" w:cs="Arial" w:eastAsia="Arial" w:hAnsi="Arial"/>
          <w:sz w:val="23"/>
          <w:szCs w:val="23"/>
          <w:color w:val="auto"/>
          <w:vertAlign w:val="superscript"/>
        </w:rPr>
      </w:pPr>
      <w:r>
        <w:rPr>
          <w:rFonts w:ascii="Arial" w:cs="Arial" w:eastAsia="Arial" w:hAnsi="Arial"/>
          <w:sz w:val="15"/>
          <w:szCs w:val="15"/>
          <w:color w:val="auto"/>
        </w:rPr>
        <w:t>Accounts 100% reinsured due to the high level of risk of the clients in this product.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In the YoY analysis, total premiums increased 7.4%, mainly in (i) Medical Assistance, due to an increase in premiums for renewals of comprehensive health products and policy cancellations for lack of payment in 2Q20; (ii) Cars, due to an increase sale in the brokers and digital channels and, to a lesser extent, due to cancellations for lack of payment in 2Q20. The aforementioned was attenuated by (iii) Commercial Lines, due to an increase in premiums for renewals in 2Q20 in the fire and aviation lines; (v) SOAT, due to a decrease in new sales in the brokers and bancassurance channels.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increased 8.4% YoY for the reasons outlined in the QoQ analysis.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YTD, total premiums increased 6.5% and accumulated net premiums, 3.0%, for the reasons given in the YoY analysis.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in P&amp;C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4445</wp:posOffset>
            </wp:positionV>
            <wp:extent cx="4806950" cy="1998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6950"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claims increased 19.1% QoQ, which was primarily attributable to (i) Medical Assistance, due to an increase in the frequency of cases of COVID and other illnesses under comprehensive policies (ii) Commercial lines, due to an increase in severity in the transportation line for damaged merchandise and in maritime, due to sunken vessels; (iii) Cars, due to an uptick in case frequency after confinement measures and restrictions on car use were lifted; (iv) Personal lines, after more cases were filed for property insurance. The aforementioned was mitigated by the evolution of SOAT, which was marked by a catastrophic event in 1Q21.</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the YoY and YTD analyses, net claims rose 62.2% and 13.8% respectively. These increases were driven by Medical Assistance, after claims were liquidated in a context of low consumption of insurance products due to the quarantine and by Cars, which was affected by more stringent mobilization restrictions in 2Q20. The aforementioned was mitigated by Personal Lines, due to a decrease in premiums for Autoseguro.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6.3. Acquisition Cost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8"/>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rPr>
              <w:t>Quarter</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 change</w:t>
            </w:r>
          </w:p>
        </w:tc>
        <w:tc>
          <w:tcPr>
            <w:tcW w:w="1700" w:type="dxa"/>
            <w:vAlign w:val="bottom"/>
            <w:gridSpan w:val="4"/>
          </w:tcPr>
          <w:p>
            <w:pPr>
              <w:jc w:val="right"/>
              <w:ind w:right="683"/>
              <w:spacing w:after="0"/>
              <w:rPr>
                <w:sz w:val="20"/>
                <w:szCs w:val="20"/>
                <w:color w:val="auto"/>
              </w:rPr>
            </w:pPr>
            <w:r>
              <w:rPr>
                <w:rFonts w:ascii="Arial" w:cs="Arial" w:eastAsia="Arial" w:hAnsi="Arial"/>
                <w:sz w:val="18"/>
                <w:szCs w:val="18"/>
                <w:b w:val="1"/>
                <w:bCs w:val="1"/>
                <w:color w:val="auto"/>
              </w:rPr>
              <w:t>YTD</w:t>
            </w:r>
          </w:p>
        </w:tc>
        <w:tc>
          <w:tcPr>
            <w:tcW w:w="1260" w:type="dxa"/>
            <w:vAlign w:val="bottom"/>
            <w:gridSpan w:val="2"/>
          </w:tcPr>
          <w:p>
            <w:pPr>
              <w:jc w:val="right"/>
              <w:ind w:right="251"/>
              <w:spacing w:after="0"/>
              <w:rPr>
                <w:sz w:val="20"/>
                <w:szCs w:val="20"/>
                <w:color w:val="auto"/>
              </w:rPr>
            </w:pPr>
            <w:r>
              <w:rPr>
                <w:rFonts w:ascii="Arial" w:cs="Arial" w:eastAsia="Arial" w:hAnsi="Arial"/>
                <w:sz w:val="18"/>
                <w:szCs w:val="18"/>
                <w:b w:val="1"/>
                <w:bCs w:val="1"/>
                <w:color w:val="auto"/>
              </w:rPr>
              <w:t>% change</w:t>
            </w:r>
          </w:p>
        </w:tc>
      </w:tr>
      <w:tr>
        <w:trPr>
          <w:trHeight w:val="220"/>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2Q20</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1Q21</w:t>
            </w:r>
          </w:p>
        </w:tc>
        <w:tc>
          <w:tcPr>
            <w:tcW w:w="2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2Q21</w:t>
            </w:r>
          </w:p>
        </w:tc>
        <w:tc>
          <w:tcPr>
            <w:tcW w:w="2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Jun 20</w:t>
            </w:r>
          </w:p>
        </w:tc>
        <w:tc>
          <w:tcPr>
            <w:tcW w:w="2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Jun 21</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Jun21 / Jun20</w:t>
            </w:r>
          </w:p>
        </w:tc>
        <w:tc>
          <w:tcPr>
            <w:tcW w:w="160" w:type="dxa"/>
            <w:vAlign w:val="bottom"/>
            <w:tcBorders>
              <w:bottom w:val="single" w:sz="8" w:color="CCEEFF"/>
            </w:tcBorders>
          </w:tcPr>
          <w:p>
            <w:pPr>
              <w:spacing w:after="0"/>
              <w:rPr>
                <w:sz w:val="19"/>
                <w:szCs w:val="19"/>
                <w:color w:val="auto"/>
              </w:rPr>
            </w:pPr>
          </w:p>
        </w:tc>
      </w:tr>
      <w:tr>
        <w:trPr>
          <w:trHeight w:val="206"/>
        </w:trPr>
        <w:tc>
          <w:tcPr>
            <w:tcW w:w="4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0"/>
              </w:rPr>
              <w:t>(49,084)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0"/>
              </w:rPr>
              <w:t>(55,605)</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0"/>
              </w:rPr>
              <w:t>(53,808)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0"/>
              </w:rPr>
              <w:t>(115,734)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7"/>
              </w:rPr>
              <w:t>(109,413)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5.5%</w:t>
            </w:r>
          </w:p>
        </w:tc>
      </w:tr>
      <w:tr>
        <w:trPr>
          <w:trHeight w:val="212"/>
        </w:trPr>
        <w:tc>
          <w:tcPr>
            <w:tcW w:w="43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(39,189)</w:t>
            </w:r>
          </w:p>
        </w:tc>
        <w:tc>
          <w:tcPr>
            <w:tcW w:w="860" w:type="dxa"/>
            <w:vAlign w:val="bottom"/>
            <w:gridSpan w:val="3"/>
          </w:tcPr>
          <w:p>
            <w:pPr>
              <w:jc w:val="right"/>
              <w:ind w:right="121"/>
              <w:spacing w:after="0"/>
              <w:rPr>
                <w:sz w:val="20"/>
                <w:szCs w:val="20"/>
                <w:color w:val="auto"/>
              </w:rPr>
            </w:pPr>
            <w:r>
              <w:rPr>
                <w:rFonts w:ascii="Arial" w:cs="Arial" w:eastAsia="Arial" w:hAnsi="Arial"/>
                <w:sz w:val="18"/>
                <w:szCs w:val="18"/>
                <w:color w:val="auto"/>
              </w:rPr>
              <w:t>(31,557)</w:t>
            </w:r>
          </w:p>
        </w:tc>
        <w:tc>
          <w:tcPr>
            <w:tcW w:w="780" w:type="dxa"/>
            <w:vAlign w:val="bottom"/>
            <w:gridSpan w:val="2"/>
          </w:tcPr>
          <w:p>
            <w:pPr>
              <w:jc w:val="right"/>
              <w:ind w:right="83"/>
              <w:spacing w:after="0"/>
              <w:rPr>
                <w:sz w:val="20"/>
                <w:szCs w:val="20"/>
                <w:color w:val="auto"/>
              </w:rPr>
            </w:pPr>
            <w:r>
              <w:rPr>
                <w:rFonts w:ascii="Arial" w:cs="Arial" w:eastAsia="Arial" w:hAnsi="Arial"/>
                <w:sz w:val="18"/>
                <w:szCs w:val="18"/>
                <w:color w:val="auto"/>
                <w:w w:val="89"/>
              </w:rPr>
              <w:t>(31,842)</w:t>
            </w:r>
          </w:p>
        </w:tc>
        <w:tc>
          <w:tcPr>
            <w:tcW w:w="820" w:type="dxa"/>
            <w:vAlign w:val="bottom"/>
            <w:gridSpan w:val="2"/>
          </w:tcPr>
          <w:p>
            <w:pPr>
              <w:jc w:val="right"/>
              <w:ind w:right="51"/>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51"/>
              <w:spacing w:after="0"/>
              <w:rPr>
                <w:sz w:val="20"/>
                <w:szCs w:val="20"/>
                <w:color w:val="auto"/>
              </w:rPr>
            </w:pPr>
            <w:r>
              <w:rPr>
                <w:rFonts w:ascii="Arial" w:cs="Arial" w:eastAsia="Arial" w:hAnsi="Arial"/>
                <w:sz w:val="18"/>
                <w:szCs w:val="18"/>
                <w:color w:val="auto"/>
              </w:rPr>
              <w:t>18.7%</w:t>
            </w:r>
          </w:p>
        </w:tc>
        <w:tc>
          <w:tcPr>
            <w:tcW w:w="860" w:type="dxa"/>
            <w:vAlign w:val="bottom"/>
            <w:gridSpan w:val="2"/>
          </w:tcPr>
          <w:p>
            <w:pPr>
              <w:jc w:val="right"/>
              <w:ind w:right="83"/>
              <w:spacing w:after="0"/>
              <w:rPr>
                <w:sz w:val="20"/>
                <w:szCs w:val="20"/>
                <w:color w:val="auto"/>
              </w:rPr>
            </w:pPr>
            <w:r>
              <w:rPr>
                <w:rFonts w:ascii="Arial" w:cs="Arial" w:eastAsia="Arial" w:hAnsi="Arial"/>
                <w:sz w:val="18"/>
                <w:szCs w:val="18"/>
                <w:color w:val="auto"/>
              </w:rPr>
              <w:t>(85,650)</w:t>
            </w:r>
          </w:p>
        </w:tc>
        <w:tc>
          <w:tcPr>
            <w:tcW w:w="840" w:type="dxa"/>
            <w:vAlign w:val="bottom"/>
            <w:gridSpan w:val="2"/>
          </w:tcPr>
          <w:p>
            <w:pPr>
              <w:jc w:val="right"/>
              <w:ind w:right="83"/>
              <w:spacing w:after="0"/>
              <w:rPr>
                <w:sz w:val="20"/>
                <w:szCs w:val="20"/>
                <w:color w:val="auto"/>
              </w:rPr>
            </w:pPr>
            <w:r>
              <w:rPr>
                <w:rFonts w:ascii="Arial" w:cs="Arial" w:eastAsia="Arial" w:hAnsi="Arial"/>
                <w:sz w:val="18"/>
                <w:szCs w:val="18"/>
                <w:color w:val="auto"/>
                <w:w w:val="98"/>
              </w:rPr>
              <w:t>(63,399)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2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6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675</w:t>
            </w:r>
          </w:p>
        </w:tc>
        <w:tc>
          <w:tcPr>
            <w:tcW w:w="86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1,340</w:t>
            </w:r>
          </w:p>
        </w:tc>
        <w:tc>
          <w:tcPr>
            <w:tcW w:w="7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706</w:t>
            </w:r>
          </w:p>
        </w:tc>
        <w:tc>
          <w:tcPr>
            <w:tcW w:w="8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2,045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6"/>
        </w:trPr>
        <w:tc>
          <w:tcPr>
            <w:tcW w:w="432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Acquisition cost</w:t>
            </w:r>
          </w:p>
        </w:tc>
        <w:tc>
          <w:tcPr>
            <w:tcW w:w="5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88"/>
              </w:rPr>
              <w:t>(87,598</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9"/>
              </w:rPr>
              <w:t>)</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88"/>
              </w:rPr>
              <w:t>(85,822</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5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88"/>
              </w:rPr>
              <w:t>(84,944</w:t>
            </w:r>
          </w:p>
        </w:tc>
        <w:tc>
          <w:tcPr>
            <w:tcW w:w="220" w:type="dxa"/>
            <w:vAlign w:val="bottom"/>
          </w:tcPr>
          <w:p>
            <w:pPr>
              <w:jc w:val="right"/>
              <w:ind w:right="83"/>
              <w:spacing w:after="0"/>
              <w:rPr>
                <w:sz w:val="20"/>
                <w:szCs w:val="20"/>
                <w:color w:val="auto"/>
              </w:rPr>
            </w:pPr>
            <w:r>
              <w:rPr>
                <w:rFonts w:ascii="Arial" w:cs="Arial" w:eastAsia="Arial" w:hAnsi="Arial"/>
                <w:sz w:val="15"/>
                <w:szCs w:val="15"/>
                <w:b w:val="1"/>
                <w:bCs w:val="1"/>
                <w:color w:val="auto"/>
                <w:w w:val="79"/>
              </w:rPr>
              <w:t>)</w:t>
            </w:r>
          </w:p>
        </w:tc>
        <w:tc>
          <w:tcPr>
            <w:tcW w:w="5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-1.0</w:t>
            </w:r>
          </w:p>
        </w:tc>
        <w:tc>
          <w:tcPr>
            <w:tcW w:w="300" w:type="dxa"/>
            <w:vAlign w:val="bottom"/>
          </w:tcPr>
          <w:p>
            <w:pPr>
              <w:jc w:val="right"/>
              <w:ind w:right="31"/>
              <w:spacing w:after="0" w:line="20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-3.0</w:t>
            </w:r>
          </w:p>
        </w:tc>
        <w:tc>
          <w:tcPr>
            <w:tcW w:w="300" w:type="dxa"/>
            <w:vAlign w:val="bottom"/>
          </w:tcPr>
          <w:p>
            <w:pPr>
              <w:jc w:val="right"/>
              <w:ind w:right="31"/>
              <w:spacing w:after="0" w:line="206"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87"/>
              </w:rPr>
              <w:t>(200,105</w:t>
            </w:r>
          </w:p>
        </w:tc>
        <w:tc>
          <w:tcPr>
            <w:tcW w:w="220" w:type="dxa"/>
            <w:vAlign w:val="bottom"/>
          </w:tcPr>
          <w:p>
            <w:pPr>
              <w:jc w:val="right"/>
              <w:ind w:right="83"/>
              <w:spacing w:after="0"/>
              <w:rPr>
                <w:sz w:val="20"/>
                <w:szCs w:val="20"/>
                <w:color w:val="auto"/>
              </w:rPr>
            </w:pPr>
            <w:r>
              <w:rPr>
                <w:rFonts w:ascii="Arial" w:cs="Arial" w:eastAsia="Arial" w:hAnsi="Arial"/>
                <w:sz w:val="15"/>
                <w:szCs w:val="15"/>
                <w:b w:val="1"/>
                <w:bCs w:val="1"/>
                <w:color w:val="auto"/>
                <w:w w:val="79"/>
              </w:rPr>
              <w:t>)</w:t>
            </w:r>
          </w:p>
        </w:tc>
        <w:tc>
          <w:tcPr>
            <w:tcW w:w="6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84"/>
              </w:rPr>
              <w:t>(170,767</w:t>
            </w:r>
          </w:p>
        </w:tc>
        <w:tc>
          <w:tcPr>
            <w:tcW w:w="220" w:type="dxa"/>
            <w:vAlign w:val="bottom"/>
          </w:tcPr>
          <w:p>
            <w:pPr>
              <w:jc w:val="right"/>
              <w:ind w:right="83"/>
              <w:spacing w:after="0"/>
              <w:rPr>
                <w:sz w:val="20"/>
                <w:szCs w:val="20"/>
                <w:color w:val="auto"/>
              </w:rPr>
            </w:pPr>
            <w:r>
              <w:rPr>
                <w:rFonts w:ascii="Arial" w:cs="Arial" w:eastAsia="Arial" w:hAnsi="Arial"/>
                <w:sz w:val="15"/>
                <w:szCs w:val="15"/>
                <w:b w:val="1"/>
                <w:bCs w:val="1"/>
                <w:color w:val="auto"/>
                <w:w w:val="79"/>
              </w:rPr>
              <w:t>)</w:t>
            </w:r>
          </w:p>
        </w:tc>
        <w:tc>
          <w:tcPr>
            <w:tcW w:w="110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-14.7</w:t>
            </w:r>
          </w:p>
        </w:tc>
        <w:tc>
          <w:tcPr>
            <w:tcW w:w="1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87"/>
              </w:rPr>
              <w:t>%</w:t>
            </w: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4445</wp:posOffset>
            </wp:positionV>
            <wp:extent cx="2951480" cy="1788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51480"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46" w:name="page47"/>
    <w:bookmarkEnd w:id="46"/>
    <w:p>
      <w:pPr>
        <w:jc w:val="both"/>
        <w:spacing w:after="0" w:line="278" w:lineRule="auto"/>
        <w:rPr>
          <w:sz w:val="20"/>
          <w:szCs w:val="20"/>
          <w:color w:val="auto"/>
        </w:rPr>
      </w:pPr>
      <w:r>
        <w:rPr>
          <w:rFonts w:ascii="Arial" w:cs="Arial" w:eastAsia="Arial" w:hAnsi="Arial"/>
          <w:sz w:val="17"/>
          <w:szCs w:val="17"/>
          <w:color w:val="auto"/>
        </w:rPr>
        <w:t>The acquisition cost fell 1.0% QoQ after commissions dropped, in line with a decrease in direct premiums in both businesses. This was partially offset by an increase in underwriting expenses in the P&amp;C business and through Medical Assistance, which experienced an uptick in sales expenses and in provisions for doubtful collections, and via Personal Lines, which experienced an increase in sales expenses for promotions and claims servicing.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 the YoY analysis, the acquisition cost fell 3.0%. This result was mainly driven by the evolution of the P&amp;C business and due to the following in 2Q20:</w:t>
      </w:r>
    </w:p>
    <w:p>
      <w:pPr>
        <w:spacing w:after="0" w:line="51" w:lineRule="exact"/>
        <w:rPr>
          <w:sz w:val="20"/>
          <w:szCs w:val="20"/>
          <w:color w:val="auto"/>
        </w:rPr>
      </w:pPr>
    </w:p>
    <w:p>
      <w:pPr>
        <w:jc w:val="both"/>
        <w:ind w:firstLine="6"/>
        <w:spacing w:after="0" w:line="248"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premium reversals in Cars given that clients were unable to use their vehicles due to COVID-19 restrictions, and (ii) an increase in provisions for doubtful collections in all business lines. The aforementioned was attenuated by an uptick in commissions in both businesses. The result in P&amp;C was attributable to the evolution of Commercial Lines and Personal Lines whereas the result in Life was driven by growth in direct premiums in Credit Life, Individual Life and Group life.</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YTD, the acquisition cost fell 14.7% given that the underwriting expenses registered in P&amp;C last year was higher. This was due to the fact that the Cars line was impacted by premium reversals for 10 million in the context of COVID-19 mobility restrictions; provisions to cover uncollectible premiums increased; and sales expenses in Individual Life fell. Commissions declined in the Life business via the alliance channel given that solidarity payments were reported for Financiera Oh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Underwriting Result by Business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139065</wp:posOffset>
            </wp:positionV>
            <wp:extent cx="3086735" cy="2099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8673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QoQ analysis, the decrease in the underwriting result was attributable primarily to Life insurance and to a lesser extent, to P&amp;C. The result in Life was mainly driven by an increase in claims due to an uptick in cases reported in the second wave of COVID-19 and by a decrease in net premiums. In P&amp;C, the decrease in the underwriting result was attributable to an increase in claims in Medical Assistance after cases of COVID-19 and other illnesses were registered in comprehensive products.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YoY analysis, is given for the reasons outlined in the analysis QoQ and higher IBNR provisions due to the second wave of COVID-19 in the life business.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YTD, the decrease in the underwriting result was attributable to Life insurance and mitigated by P&amp;C insurance. The result in Life was driven by an increase in claims and in IBNR for the second wave of COVID-19; this was mitigated by an increase in net premiums in all business lines and by a drop in acquisition costs. The result in P&amp;C was attributable to an increase in sales in Commercial lines and in Medical Assistance, which was attenuated by growth in claims after confinement and social distancing measures were eased.</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443230</wp:posOffset>
            </wp:positionV>
            <wp:extent cx="7134860" cy="8644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644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7. Operating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 change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3"/>
        </w:trPr>
        <w:tc>
          <w:tcPr>
            <w:tcW w:w="39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2Q20</w:t>
            </w:r>
          </w:p>
        </w:tc>
        <w:tc>
          <w:tcPr>
            <w:tcW w:w="20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1Q21</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2Q21</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ind w:left="180"/>
              <w:spacing w:after="0" w:line="153" w:lineRule="exact"/>
              <w:rPr>
                <w:sz w:val="20"/>
                <w:szCs w:val="20"/>
                <w:color w:val="auto"/>
              </w:rPr>
            </w:pPr>
            <w:r>
              <w:rPr>
                <w:rFonts w:ascii="Arial" w:cs="Arial" w:eastAsia="Arial" w:hAnsi="Arial"/>
                <w:sz w:val="14"/>
                <w:szCs w:val="14"/>
                <w:b w:val="1"/>
                <w:bCs w:val="1"/>
                <w:color w:val="auto"/>
              </w:rPr>
              <w:t>QoQ</w:t>
            </w: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Jun 20</w:t>
            </w:r>
          </w:p>
        </w:tc>
        <w:tc>
          <w:tcPr>
            <w:tcW w:w="28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Jun 21</w:t>
            </w:r>
          </w:p>
        </w:tc>
        <w:tc>
          <w:tcPr>
            <w:tcW w:w="22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Jun 21 / Jun 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825,997</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857,559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882,177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6.8%</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1,717,180</w:t>
            </w:r>
          </w:p>
        </w:tc>
        <w:tc>
          <w:tcPr>
            <w:tcW w:w="2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1,739,736</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040" w:type="dxa"/>
            <w:vAlign w:val="bottom"/>
            <w:gridSpan w:val="2"/>
          </w:tcPr>
          <w:p>
            <w:pPr>
              <w:ind w:left="40"/>
              <w:spacing w:after="0" w:line="186" w:lineRule="exact"/>
              <w:rPr>
                <w:sz w:val="20"/>
                <w:szCs w:val="20"/>
                <w:color w:val="auto"/>
              </w:rPr>
            </w:pPr>
            <w:r>
              <w:rPr>
                <w:rFonts w:ascii="Arial" w:cs="Arial" w:eastAsia="Arial" w:hAnsi="Arial"/>
                <w:sz w:val="13"/>
                <w:szCs w:val="13"/>
                <w:color w:val="auto"/>
              </w:rPr>
              <w:t xml:space="preserve">Administrative, general and tax expenses </w:t>
            </w:r>
            <w:r>
              <w:rPr>
                <w:rFonts w:ascii="Arial" w:cs="Arial" w:eastAsia="Arial" w:hAnsi="Arial"/>
                <w:sz w:val="21"/>
                <w:szCs w:val="21"/>
                <w:color w:val="auto"/>
                <w:vertAlign w:val="superscript"/>
              </w:rPr>
              <w:t>(1)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510,694</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580,842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672,805</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1,052,798</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1,253,647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4040" w:type="dxa"/>
            <w:vAlign w:val="bottom"/>
            <w:gridSpan w:val="2"/>
            <w:shd w:val="clear" w:color="auto" w:fill="CCEEFF"/>
          </w:tcPr>
          <w:p>
            <w:pPr>
              <w:ind w:left="40"/>
              <w:spacing w:after="0" w:line="18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169,310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166,765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163,869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339,269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330,634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6"/>
        </w:trPr>
        <w:tc>
          <w:tcPr>
            <w:tcW w:w="40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Association in participation</w:t>
            </w:r>
          </w:p>
        </w:tc>
        <w:tc>
          <w:tcPr>
            <w:tcW w:w="86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17,944</w:t>
            </w: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13,906</w:t>
            </w:r>
          </w:p>
        </w:tc>
        <w:tc>
          <w:tcPr>
            <w:tcW w:w="8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8,879</w:t>
            </w: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-36.1%</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-50.5%</w:t>
            </w:r>
          </w:p>
        </w:tc>
        <w:tc>
          <w:tcPr>
            <w:tcW w:w="940" w:type="dxa"/>
            <w:vAlign w:val="bottom"/>
            <w:gridSpan w:val="2"/>
          </w:tcPr>
          <w:p>
            <w:pPr>
              <w:jc w:val="right"/>
              <w:ind w:right="280"/>
              <w:spacing w:after="0" w:line="146" w:lineRule="exact"/>
              <w:rPr>
                <w:sz w:val="20"/>
                <w:szCs w:val="20"/>
                <w:color w:val="auto"/>
              </w:rPr>
            </w:pPr>
            <w:r>
              <w:rPr>
                <w:rFonts w:ascii="Arial" w:cs="Arial" w:eastAsia="Arial" w:hAnsi="Arial"/>
                <w:sz w:val="14"/>
                <w:szCs w:val="14"/>
                <w:color w:val="auto"/>
              </w:rPr>
              <w:t>24,374</w:t>
            </w:r>
          </w:p>
        </w:tc>
        <w:tc>
          <w:tcPr>
            <w:tcW w:w="8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22,785</w:t>
            </w:r>
          </w:p>
        </w:tc>
        <w:tc>
          <w:tcPr>
            <w:tcW w:w="104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9"/>
        </w:trPr>
        <w:tc>
          <w:tcPr>
            <w:tcW w:w="4040" w:type="dxa"/>
            <w:vAlign w:val="bottom"/>
            <w:gridSpan w:val="2"/>
            <w:shd w:val="clear" w:color="auto" w:fill="CCEEFF"/>
          </w:tcPr>
          <w:p>
            <w:pPr>
              <w:ind w:left="40"/>
              <w:spacing w:after="0" w:line="199"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87,598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200,105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170,766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40"/>
              <w:spacing w:after="0" w:line="19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(3)</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40" w:type="dxa"/>
            <w:vAlign w:val="bottom"/>
            <w:gridSpan w:val="2"/>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1,611,543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1,704,894</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1,812,674</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3,333,726</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3,517,568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320" w:hanging="314"/>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It differs from what was previously reported by reclassification of IFRS16.</w:t>
      </w:r>
    </w:p>
    <w:p>
      <w:pPr>
        <w:ind w:left="320" w:hanging="314"/>
        <w:spacing w:after="0" w:line="217"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ind w:left="320" w:hanging="314"/>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expenses + Depreciation and amortization + Association in participation + Acquisition cost.</w:t>
      </w:r>
    </w:p>
    <w:p>
      <w:pPr>
        <w:spacing w:after="0" w:line="119" w:lineRule="exact"/>
        <w:rPr>
          <w:sz w:val="20"/>
          <w:szCs w:val="20"/>
          <w:color w:val="auto"/>
        </w:rPr>
      </w:pPr>
    </w:p>
    <w:p>
      <w:pPr>
        <w:jc w:val="center"/>
        <w:ind w:right="7080"/>
        <w:spacing w:after="0"/>
        <w:rPr>
          <w:sz w:val="20"/>
          <w:szCs w:val="20"/>
          <w:color w:val="auto"/>
        </w:rPr>
      </w:pPr>
      <w:r>
        <w:rPr>
          <w:rFonts w:ascii="Arial" w:cs="Arial" w:eastAsia="Arial" w:hAnsi="Arial"/>
          <w:sz w:val="18"/>
          <w:szCs w:val="18"/>
          <w:b w:val="1"/>
          <w:bCs w:val="1"/>
          <w:color w:val="auto"/>
        </w:rPr>
        <w:t>Composition of operating expenses as of</w:t>
      </w:r>
    </w:p>
    <w:p>
      <w:pPr>
        <w:spacing w:after="0" w:line="23" w:lineRule="exact"/>
        <w:rPr>
          <w:sz w:val="20"/>
          <w:szCs w:val="20"/>
          <w:color w:val="auto"/>
        </w:rPr>
      </w:pPr>
    </w:p>
    <w:p>
      <w:pPr>
        <w:jc w:val="center"/>
        <w:ind w:right="7080"/>
        <w:spacing w:after="0"/>
        <w:rPr>
          <w:sz w:val="20"/>
          <w:szCs w:val="20"/>
          <w:color w:val="auto"/>
        </w:rPr>
      </w:pPr>
      <w:r>
        <w:rPr>
          <w:rFonts w:ascii="Arial" w:cs="Arial" w:eastAsia="Arial" w:hAnsi="Arial"/>
          <w:sz w:val="18"/>
          <w:szCs w:val="18"/>
          <w:b w:val="1"/>
          <w:bCs w:val="1"/>
          <w:color w:val="auto"/>
        </w:rPr>
        <w:t>June-21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and YoY</w:t>
      </w:r>
      <w:r>
        <w:rPr>
          <w:rFonts w:ascii="Arial" w:cs="Arial" w:eastAsia="Arial" w:hAnsi="Arial"/>
          <w:sz w:val="18"/>
          <w:szCs w:val="18"/>
          <w:color w:val="auto"/>
        </w:rPr>
        <w:t xml:space="preserve"> analysis, +6.3% and +12.5% growth in Operating Expenses, respectively, was attributable to:</w:t>
      </w:r>
    </w:p>
    <w:p>
      <w:pPr>
        <w:spacing w:after="0" w:line="218" w:lineRule="exact"/>
        <w:rPr>
          <w:sz w:val="20"/>
          <w:szCs w:val="20"/>
          <w:color w:val="auto"/>
        </w:rPr>
      </w:pPr>
    </w:p>
    <w:p>
      <w:pPr>
        <w:jc w:val="both"/>
        <w:ind w:left="4460" w:hanging="310"/>
        <w:spacing w:after="0" w:line="322" w:lineRule="auto"/>
        <w:tabs>
          <w:tab w:leader="none" w:pos="4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Growth in </w:t>
      </w:r>
      <w:r>
        <w:rPr>
          <w:rFonts w:ascii="Arial" w:cs="Arial" w:eastAsia="Arial" w:hAnsi="Arial"/>
          <w:sz w:val="15"/>
          <w:szCs w:val="15"/>
          <w:b w:val="1"/>
          <w:bCs w:val="1"/>
          <w:color w:val="auto"/>
        </w:rPr>
        <w:t>Administrative and general expenses and taxes</w:t>
      </w:r>
      <w:r>
        <w:rPr>
          <w:rFonts w:ascii="Arial" w:cs="Arial" w:eastAsia="Arial" w:hAnsi="Arial"/>
          <w:sz w:val="15"/>
          <w:szCs w:val="15"/>
          <w:color w:val="auto"/>
        </w:rPr>
        <w:t xml:space="preserve"> (+15.8%), which was driven primarily by </w:t>
      </w:r>
      <w:r>
        <w:rPr>
          <w:rFonts w:ascii="Arial" w:cs="Arial" w:eastAsia="Arial" w:hAnsi="Arial"/>
          <w:sz w:val="15"/>
          <w:szCs w:val="15"/>
          <w:b w:val="1"/>
          <w:bCs w:val="1"/>
          <w:color w:val="auto"/>
        </w:rPr>
        <w:t>BCP Stand-alone</w:t>
      </w:r>
      <w:r>
        <w:rPr>
          <w:rFonts w:ascii="Arial" w:cs="Arial" w:eastAsia="Arial" w:hAnsi="Arial"/>
          <w:sz w:val="15"/>
          <w:szCs w:val="15"/>
          <w:color w:val="auto"/>
        </w:rPr>
        <w:t xml:space="preserve"> and via an increase in advertising expenses in social networks to promote Yape, Savings accounts and Personal loans, and through an uptick in expenses for the fidelity program Millas Latam, which reflected growth in credit card transactions.</w:t>
      </w:r>
    </w:p>
    <w:p>
      <w:pPr>
        <w:spacing w:after="0" w:line="136" w:lineRule="exact"/>
        <w:rPr>
          <w:rFonts w:ascii="Arial" w:cs="Arial" w:eastAsia="Arial" w:hAnsi="Arial"/>
          <w:sz w:val="15"/>
          <w:szCs w:val="15"/>
          <w:color w:val="auto"/>
        </w:rPr>
      </w:pPr>
    </w:p>
    <w:p>
      <w:pPr>
        <w:ind w:left="4460" w:hanging="310"/>
        <w:spacing w:after="0" w:line="272" w:lineRule="auto"/>
        <w:tabs>
          <w:tab w:leader="none" w:pos="4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 2.9% increase in </w:t>
      </w:r>
      <w:r>
        <w:rPr>
          <w:rFonts w:ascii="Arial" w:cs="Arial" w:eastAsia="Arial" w:hAnsi="Arial"/>
          <w:sz w:val="18"/>
          <w:szCs w:val="18"/>
          <w:b w:val="1"/>
          <w:bCs w:val="1"/>
          <w:color w:val="auto"/>
        </w:rPr>
        <w:t>Salaries and Employee Benefits</w:t>
      </w:r>
      <w:r>
        <w:rPr>
          <w:rFonts w:ascii="Arial" w:cs="Arial" w:eastAsia="Arial" w:hAnsi="Arial"/>
          <w:sz w:val="18"/>
          <w:szCs w:val="18"/>
          <w:color w:val="auto"/>
        </w:rPr>
        <w:t>, which reflected an increase in provisions for profit sharing, in line with growth in net income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-960120</wp:posOffset>
            </wp:positionV>
            <wp:extent cx="2606040" cy="2218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6040" cy="221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increase in spending was partially offset by a reduction in </w:t>
      </w:r>
      <w:r>
        <w:rPr>
          <w:rFonts w:ascii="Arial" w:cs="Arial" w:eastAsia="Arial" w:hAnsi="Arial"/>
          <w:sz w:val="18"/>
          <w:szCs w:val="18"/>
          <w:b w:val="1"/>
          <w:bCs w:val="1"/>
          <w:color w:val="auto"/>
        </w:rPr>
        <w:t>Association in Participation</w:t>
      </w:r>
      <w:r>
        <w:rPr>
          <w:rFonts w:ascii="Arial" w:cs="Arial" w:eastAsia="Arial" w:hAnsi="Arial"/>
          <w:sz w:val="18"/>
          <w:szCs w:val="18"/>
          <w:color w:val="auto"/>
        </w:rPr>
        <w:t>, which was driven by a decrease in earnings on private health insurance after claims levels rose relative to COVID-19 cases and other illnesses.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w:t>
      </w:r>
      <w:r>
        <w:rPr>
          <w:rFonts w:ascii="Arial" w:cs="Arial" w:eastAsia="Arial" w:hAnsi="Arial"/>
          <w:sz w:val="18"/>
          <w:szCs w:val="18"/>
          <w:color w:val="auto"/>
        </w:rPr>
        <w:t>, Operating Expenses increased +5.5%, due to:</w:t>
      </w:r>
    </w:p>
    <w:p>
      <w:pPr>
        <w:spacing w:after="0" w:line="218" w:lineRule="exact"/>
        <w:rPr>
          <w:sz w:val="20"/>
          <w:szCs w:val="20"/>
          <w:color w:val="auto"/>
        </w:rPr>
      </w:pPr>
    </w:p>
    <w:p>
      <w:pPr>
        <w:ind w:left="640" w:hanging="315"/>
        <w:spacing w:after="0" w:line="272"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xml:space="preserve"> due to an uptick in investment in cybersecurity and digital transformation projects, in line with strategies to promote digital channels.</w:t>
      </w:r>
    </w:p>
    <w:p>
      <w:pPr>
        <w:spacing w:after="0" w:line="168" w:lineRule="exact"/>
        <w:rPr>
          <w:rFonts w:ascii="Arial" w:cs="Arial" w:eastAsia="Arial" w:hAnsi="Arial"/>
          <w:sz w:val="18"/>
          <w:szCs w:val="18"/>
          <w:color w:val="auto"/>
        </w:rPr>
      </w:pPr>
    </w:p>
    <w:p>
      <w:pPr>
        <w:ind w:left="640" w:hanging="315"/>
        <w:spacing w:after="0"/>
        <w:tabs>
          <w:tab w:leader="none" w:pos="6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Growth in </w:t>
      </w:r>
      <w:r>
        <w:rPr>
          <w:rFonts w:ascii="Arial" w:cs="Arial" w:eastAsia="Arial" w:hAnsi="Arial"/>
          <w:sz w:val="15"/>
          <w:szCs w:val="15"/>
          <w:b w:val="1"/>
          <w:bCs w:val="1"/>
          <w:color w:val="auto"/>
        </w:rPr>
        <w:t>Salaries and Employee Benefits</w:t>
      </w:r>
      <w:r>
        <w:rPr>
          <w:rFonts w:ascii="Arial" w:cs="Arial" w:eastAsia="Arial" w:hAnsi="Arial"/>
          <w:sz w:val="15"/>
          <w:szCs w:val="15"/>
          <w:color w:val="auto"/>
        </w:rPr>
        <w:t xml:space="preserve"> after provisions were shored up to cover profit sharing, in line with the improvement in results this year.</w:t>
      </w:r>
    </w:p>
    <w:p>
      <w:pPr>
        <w:spacing w:after="0" w:line="25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This increase was partially offset by a reduction in the </w:t>
      </w:r>
      <w:r>
        <w:rPr>
          <w:rFonts w:ascii="Arial" w:cs="Arial" w:eastAsia="Arial" w:hAnsi="Arial"/>
          <w:sz w:val="18"/>
          <w:szCs w:val="18"/>
          <w:b w:val="1"/>
          <w:bCs w:val="1"/>
          <w:color w:val="auto"/>
        </w:rPr>
        <w:t>Acquisition cost</w:t>
      </w:r>
      <w:r>
        <w:rPr>
          <w:rFonts w:ascii="Arial" w:cs="Arial" w:eastAsia="Arial" w:hAnsi="Arial"/>
          <w:sz w:val="18"/>
          <w:szCs w:val="18"/>
          <w:color w:val="auto"/>
        </w:rPr>
        <w:t xml:space="preserve"> (-14.7%), which was primarily associated with premium reversals for car insurance in the first half of 2020 in the context of the pandemic.</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7.1. Administrative and general expenses and taxes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and general expenses and 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Administrative, general and tax expenses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Quarter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ind w:left="520"/>
              <w:spacing w:after="0"/>
              <w:rPr>
                <w:sz w:val="20"/>
                <w:szCs w:val="20"/>
                <w:color w:val="auto"/>
              </w:rPr>
            </w:pPr>
            <w:r>
              <w:rPr>
                <w:rFonts w:ascii="Arial" w:cs="Arial" w:eastAsia="Arial" w:hAnsi="Arial"/>
                <w:sz w:val="12"/>
                <w:szCs w:val="12"/>
                <w:b w:val="1"/>
                <w:bCs w:val="1"/>
                <w:color w:val="auto"/>
                <w:w w:val="96"/>
              </w:rPr>
              <w:t>% change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tcPr>
          <w:p>
            <w:pPr>
              <w:ind w:left="640"/>
              <w:spacing w:after="0"/>
              <w:rPr>
                <w:sz w:val="20"/>
                <w:szCs w:val="20"/>
                <w:color w:val="auto"/>
              </w:rPr>
            </w:pPr>
            <w:r>
              <w:rPr>
                <w:rFonts w:ascii="Arial" w:cs="Arial" w:eastAsia="Arial" w:hAnsi="Arial"/>
                <w:sz w:val="12"/>
                <w:szCs w:val="12"/>
                <w:b w:val="1"/>
                <w:bCs w:val="1"/>
                <w:color w:val="auto"/>
              </w:rPr>
              <w:t>YTD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rPr>
              <w:t>% change</w:t>
            </w:r>
          </w:p>
        </w:tc>
      </w:tr>
      <w:tr>
        <w:trPr>
          <w:trHeight w:val="139"/>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2Q20</w:t>
            </w:r>
          </w:p>
        </w:tc>
        <w:tc>
          <w:tcPr>
            <w:tcW w:w="2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1Q21</w:t>
            </w:r>
          </w:p>
        </w:tc>
        <w:tc>
          <w:tcPr>
            <w:tcW w:w="2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2Q21</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Jun 20</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Jun 21</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Jun 21 / Jun 20</w:t>
            </w:r>
          </w:p>
        </w:tc>
        <w:tc>
          <w:tcPr>
            <w:tcW w:w="120" w:type="dxa"/>
            <w:vAlign w:val="bottom"/>
            <w:tcBorders>
              <w:bottom w:val="single" w:sz="8" w:color="CCEEFF"/>
            </w:tcBorders>
          </w:tcPr>
          <w:p>
            <w:pPr>
              <w:spacing w:after="0"/>
              <w:rPr>
                <w:sz w:val="12"/>
                <w:szCs w:val="12"/>
                <w:color w:val="auto"/>
              </w:rPr>
            </w:pPr>
          </w:p>
        </w:tc>
      </w:tr>
      <w:tr>
        <w:trPr>
          <w:trHeight w:val="126"/>
        </w:trPr>
        <w:tc>
          <w:tcPr>
            <w:tcW w:w="40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IT, Repair and maintenance</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98,069</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106,625</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116,692</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78"/>
              <w:spacing w:after="0" w:line="126" w:lineRule="exact"/>
              <w:rPr>
                <w:sz w:val="20"/>
                <w:szCs w:val="20"/>
                <w:color w:val="auto"/>
              </w:rPr>
            </w:pPr>
            <w:r>
              <w:rPr>
                <w:rFonts w:ascii="Arial" w:cs="Arial" w:eastAsia="Arial" w:hAnsi="Arial"/>
                <w:sz w:val="12"/>
                <w:szCs w:val="12"/>
                <w:color w:val="auto"/>
              </w:rPr>
              <w:t>9.4%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58"/>
              <w:spacing w:after="0" w:line="126" w:lineRule="exact"/>
              <w:rPr>
                <w:sz w:val="20"/>
                <w:szCs w:val="20"/>
                <w:color w:val="auto"/>
              </w:rPr>
            </w:pPr>
            <w:r>
              <w:rPr>
                <w:rFonts w:ascii="Arial" w:cs="Arial" w:eastAsia="Arial" w:hAnsi="Arial"/>
                <w:sz w:val="12"/>
                <w:szCs w:val="12"/>
                <w:color w:val="auto"/>
              </w:rPr>
              <w:t>19.0%</w:t>
            </w: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174,120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223,317</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28.3%</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Marketing</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53,505</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72,270</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104,862</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45.1%</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96.0%</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128,761</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177,132</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37.6%</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Taxes and contributions</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63,344</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68,808</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77,406</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12.5%</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22.2%</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131,361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146,214</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11.3%</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Consulting and professional fees</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46,412</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40,858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57,720</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41.3%</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24.4%</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85,897</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98,578</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14.8%</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Transport and communications</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30,156</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42,697</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51,169</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19.8%</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69.7%</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65,622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93,866</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43.0%</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IBM services expenses</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33,006</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40,445</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42,826</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5.9%</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29.8%</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63,315</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83,271</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31.5%</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Comissions by agents</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19,076</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25,036</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25,218</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0.7%</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32.2%</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40,505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50,254</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24.1%</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Security and protection</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15,823</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15,959</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15,691</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-1.7%</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-0.8%</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31,802</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31,650</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-0.5%</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Sundry supplies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9,908</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14,819</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14,171</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-4.4%</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43.0%</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33,547</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28,990</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-13.6%</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Leases of low value and short-term</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15,091</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20,902</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20,145</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-3.6%</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33.5%</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36,394</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41,047</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12.8%</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Electricity and water</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13,133</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10,691</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12,709</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18.9%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-3.2%</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24,946</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23,400</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-6.2%</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Subscriptions and quotes</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12,219</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13,183</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13,462</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2.1%</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10.2%</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22,971</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26,645</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16.0%</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Insurance</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3,195</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8,274</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5,320</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-35.7%</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66.5%</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8,105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13,594</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67.7%</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Electronic processing</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6,840</w:t>
            </w:r>
          </w:p>
        </w:tc>
        <w:tc>
          <w:tcPr>
            <w:tcW w:w="200" w:type="dxa"/>
            <w:vAlign w:val="bottom"/>
          </w:tcPr>
          <w:p>
            <w:pPr>
              <w:spacing w:after="0"/>
              <w:rPr>
                <w:sz w:val="11"/>
                <w:szCs w:val="11"/>
                <w:color w:val="auto"/>
              </w:rPr>
            </w:pP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9,968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11,123</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11.6%</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62.6%</w:t>
            </w: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15,477</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21,091</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36.3%</w:t>
            </w:r>
          </w:p>
        </w:tc>
      </w:tr>
      <w:tr>
        <w:trPr>
          <w:trHeight w:val="133"/>
        </w:trPr>
        <w:tc>
          <w:tcPr>
            <w:tcW w:w="41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Cleaning</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5,522</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5,282</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5,206</w:t>
            </w:r>
          </w:p>
        </w:tc>
        <w:tc>
          <w:tcPr>
            <w:tcW w:w="90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-5.7%</w:t>
            </w: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11,040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10,488</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-5.0%</w:t>
            </w:r>
          </w:p>
        </w:tc>
      </w:tr>
      <w:tr>
        <w:trPr>
          <w:trHeight w:val="133"/>
        </w:trPr>
        <w:tc>
          <w:tcPr>
            <w:tcW w:w="4100" w:type="dxa"/>
            <w:vAlign w:val="bottom"/>
            <w:gridSpan w:val="2"/>
          </w:tcPr>
          <w:p>
            <w:pPr>
              <w:spacing w:after="0" w:line="133" w:lineRule="exact"/>
              <w:rPr>
                <w:sz w:val="20"/>
                <w:szCs w:val="20"/>
                <w:color w:val="auto"/>
              </w:rPr>
            </w:pPr>
            <w:r>
              <w:rPr>
                <w:rFonts w:ascii="Arial" w:cs="Arial" w:eastAsia="Arial" w:hAnsi="Arial"/>
                <w:sz w:val="12"/>
                <w:szCs w:val="12"/>
                <w:color w:val="auto"/>
              </w:rPr>
              <w:t>Audit Services</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1,220</w:t>
            </w:r>
          </w:p>
        </w:tc>
        <w:tc>
          <w:tcPr>
            <w:tcW w:w="200" w:type="dxa"/>
            <w:vAlign w:val="bottom"/>
          </w:tcPr>
          <w:p>
            <w:pPr>
              <w:spacing w:after="0"/>
              <w:rPr>
                <w:sz w:val="11"/>
                <w:szCs w:val="11"/>
                <w:color w:val="auto"/>
              </w:rPr>
            </w:pPr>
          </w:p>
        </w:tc>
        <w:tc>
          <w:tcPr>
            <w:tcW w:w="8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1,258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2,206</w:t>
            </w:r>
          </w:p>
        </w:tc>
        <w:tc>
          <w:tcPr>
            <w:tcW w:w="90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75.4%</w:t>
            </w:r>
          </w:p>
        </w:tc>
        <w:tc>
          <w:tcPr>
            <w:tcW w:w="180" w:type="dxa"/>
            <w:vAlign w:val="bottom"/>
          </w:tcPr>
          <w:p>
            <w:pPr>
              <w:spacing w:after="0"/>
              <w:rPr>
                <w:sz w:val="11"/>
                <w:szCs w:val="11"/>
                <w:color w:val="auto"/>
              </w:rPr>
            </w:pPr>
          </w:p>
        </w:tc>
        <w:tc>
          <w:tcPr>
            <w:tcW w:w="7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80.8%</w:t>
            </w:r>
          </w:p>
        </w:tc>
        <w:tc>
          <w:tcPr>
            <w:tcW w:w="88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2,470</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3,464</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40.2%</w:t>
            </w:r>
          </w:p>
        </w:tc>
      </w:tr>
      <w:tr>
        <w:trPr>
          <w:trHeight w:val="186"/>
        </w:trPr>
        <w:tc>
          <w:tcPr>
            <w:tcW w:w="4100" w:type="dxa"/>
            <w:vAlign w:val="bottom"/>
            <w:gridSpan w:val="2"/>
            <w:shd w:val="clear" w:color="auto" w:fill="CCEEFF"/>
          </w:tcPr>
          <w:p>
            <w:pPr>
              <w:spacing w:after="0" w:line="186" w:lineRule="exact"/>
              <w:rPr>
                <w:sz w:val="20"/>
                <w:szCs w:val="20"/>
                <w:color w:val="auto"/>
              </w:rPr>
            </w:pPr>
            <w:r>
              <w:rPr>
                <w:rFonts w:ascii="Arial" w:cs="Arial" w:eastAsia="Arial" w:hAnsi="Arial"/>
                <w:sz w:val="12"/>
                <w:szCs w:val="12"/>
                <w:color w:val="auto"/>
              </w:rPr>
              <w:t xml:space="preserve">Services by third-party and others </w:t>
            </w:r>
            <w:r>
              <w:rPr>
                <w:rFonts w:ascii="Arial" w:cs="Arial" w:eastAsia="Arial" w:hAnsi="Arial"/>
                <w:sz w:val="20"/>
                <w:szCs w:val="20"/>
                <w:color w:val="auto"/>
                <w:vertAlign w:val="superscript"/>
              </w:rPr>
              <w:t>(1)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84,175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83,767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96,878</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15.7%</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15.1%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176,465</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180,645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26"/>
        </w:trPr>
        <w:tc>
          <w:tcPr>
            <w:tcW w:w="41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Total administrative and general expenses</w:t>
            </w: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510,694</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580,842</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672,804</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15.8</w:t>
            </w:r>
          </w:p>
        </w:tc>
        <w:tc>
          <w:tcPr>
            <w:tcW w:w="240" w:type="dxa"/>
            <w:vAlign w:val="bottom"/>
          </w:tcPr>
          <w:p>
            <w:pPr>
              <w:jc w:val="right"/>
              <w:ind w:right="58"/>
              <w:spacing w:after="0" w:line="126" w:lineRule="exact"/>
              <w:rPr>
                <w:sz w:val="20"/>
                <w:szCs w:val="20"/>
                <w:color w:val="auto"/>
              </w:rPr>
            </w:pPr>
            <w:r>
              <w:rPr>
                <w:rFonts w:ascii="Arial" w:cs="Arial" w:eastAsia="Arial" w:hAnsi="Arial"/>
                <w:sz w:val="12"/>
                <w:szCs w:val="12"/>
                <w:b w:val="1"/>
                <w:bCs w:val="1"/>
                <w:color w:val="auto"/>
                <w:w w:val="93"/>
              </w:rPr>
              <w:t>%</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31.7</w:t>
            </w:r>
          </w:p>
        </w:tc>
        <w:tc>
          <w:tcPr>
            <w:tcW w:w="240" w:type="dxa"/>
            <w:vAlign w:val="bottom"/>
          </w:tcPr>
          <w:p>
            <w:pPr>
              <w:jc w:val="right"/>
              <w:ind w:right="38"/>
              <w:spacing w:after="0" w:line="126" w:lineRule="exact"/>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1,052,798</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1,253,646</w:t>
            </w:r>
          </w:p>
        </w:tc>
        <w:tc>
          <w:tcPr>
            <w:tcW w:w="220" w:type="dxa"/>
            <w:vAlign w:val="bottom"/>
          </w:tcPr>
          <w:p>
            <w:pPr>
              <w:spacing w:after="0"/>
              <w:rPr>
                <w:sz w:val="10"/>
                <w:szCs w:val="10"/>
                <w:color w:val="auto"/>
              </w:rPr>
            </w:pPr>
          </w:p>
        </w:tc>
        <w:tc>
          <w:tcPr>
            <w:tcW w:w="8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19.1</w:t>
            </w:r>
          </w:p>
        </w:tc>
        <w:tc>
          <w:tcPr>
            <w:tcW w:w="1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3"/>
              </w:rPr>
              <w:t>%</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(1) The balance consists mainly of security and protection services, cleaning service, representation expenses, electricity and water utilities, insurance policiy expenses, subscription expenses and commission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administrative and general expenses and taxes increased 15.8% due to:</w:t>
      </w:r>
    </w:p>
    <w:p>
      <w:pPr>
        <w:spacing w:after="0" w:line="218" w:lineRule="exact"/>
        <w:rPr>
          <w:sz w:val="20"/>
          <w:szCs w:val="20"/>
          <w:color w:val="auto"/>
        </w:rPr>
      </w:pPr>
    </w:p>
    <w:p>
      <w:pPr>
        <w:ind w:left="640" w:hanging="315"/>
        <w:spacing w:after="0" w:line="272"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Growth in expenses for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(+45.1%) due to higher advertising expenses in social networks and an increase in expenses for Millas Latam, in line with an uptick in the use of credit and debit cards.</w:t>
      </w:r>
    </w:p>
    <w:p>
      <w:pPr>
        <w:spacing w:after="0" w:line="168" w:lineRule="exact"/>
        <w:rPr>
          <w:rFonts w:ascii="Arial" w:cs="Arial" w:eastAsia="Arial" w:hAnsi="Arial"/>
          <w:sz w:val="18"/>
          <w:szCs w:val="18"/>
          <w:color w:val="auto"/>
        </w:rPr>
      </w:pPr>
    </w:p>
    <w:p>
      <w:pPr>
        <w:ind w:left="640" w:right="20" w:hanging="315"/>
        <w:spacing w:after="0" w:line="272"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41.3% increase in expenses for </w:t>
      </w:r>
      <w:r>
        <w:rPr>
          <w:rFonts w:ascii="Arial" w:cs="Arial" w:eastAsia="Arial" w:hAnsi="Arial"/>
          <w:sz w:val="18"/>
          <w:szCs w:val="18"/>
          <w:b w:val="1"/>
          <w:bCs w:val="1"/>
          <w:color w:val="auto"/>
        </w:rPr>
        <w:t>Consulting and Professional Fees</w:t>
      </w:r>
      <w:r>
        <w:rPr>
          <w:rFonts w:ascii="Arial" w:cs="Arial" w:eastAsia="Arial" w:hAnsi="Arial"/>
          <w:sz w:val="18"/>
          <w:szCs w:val="18"/>
          <w:color w:val="auto"/>
        </w:rPr>
        <w:t xml:space="preserve"> related to the digital transformation program and services for account auditing.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administrative and general expenses and taxes grew +31.7% due to:</w:t>
      </w:r>
    </w:p>
    <w:p>
      <w:pPr>
        <w:spacing w:after="0" w:line="218" w:lineRule="exact"/>
        <w:rPr>
          <w:sz w:val="20"/>
          <w:szCs w:val="20"/>
          <w:color w:val="auto"/>
        </w:rPr>
      </w:pPr>
    </w:p>
    <w:p>
      <w:pPr>
        <w:ind w:left="640" w:hanging="315"/>
        <w:spacing w:after="0" w:line="272"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Growth in expenses for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(+96.0%), after consumption relative to millas LATAM rose in line with economic activation and an uptick in card use.</w:t>
      </w:r>
    </w:p>
    <w:p>
      <w:pPr>
        <w:spacing w:after="0" w:line="168"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Higher expenses in </w:t>
      </w:r>
      <w:r>
        <w:rPr>
          <w:rFonts w:ascii="Arial" w:cs="Arial" w:eastAsia="Arial" w:hAnsi="Arial"/>
          <w:sz w:val="18"/>
          <w:szCs w:val="18"/>
          <w:b w:val="1"/>
          <w:bCs w:val="1"/>
          <w:color w:val="auto"/>
        </w:rPr>
        <w:t>Transportation and Communications</w:t>
      </w:r>
      <w:r>
        <w:rPr>
          <w:rFonts w:ascii="Arial" w:cs="Arial" w:eastAsia="Arial" w:hAnsi="Arial"/>
          <w:sz w:val="18"/>
          <w:szCs w:val="18"/>
          <w:color w:val="auto"/>
        </w:rPr>
        <w:t xml:space="preserve"> (69.7%), which reflects an increase in the use of services for transport and custody of remittances after US Dollars were imported to satisfy internal demand in a context of a stronger dollar.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YTD, </w:t>
      </w:r>
      <w:r>
        <w:rPr>
          <w:rFonts w:ascii="Arial" w:cs="Arial" w:eastAsia="Arial" w:hAnsi="Arial"/>
          <w:sz w:val="18"/>
          <w:szCs w:val="18"/>
          <w:color w:val="auto"/>
        </w:rPr>
        <w:t>administrative and general expenses and taxes increased +19.1%, which was attributable to:</w:t>
      </w:r>
    </w:p>
    <w:p>
      <w:pPr>
        <w:spacing w:after="0" w:line="218" w:lineRule="exact"/>
        <w:rPr>
          <w:sz w:val="20"/>
          <w:szCs w:val="20"/>
          <w:color w:val="auto"/>
        </w:rPr>
      </w:pPr>
    </w:p>
    <w:p>
      <w:pPr>
        <w:ind w:left="640" w:hanging="315"/>
        <w:spacing w:after="0" w:line="272"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Higher expenses for </w:t>
      </w:r>
      <w:r>
        <w:rPr>
          <w:rFonts w:ascii="Arial" w:cs="Arial" w:eastAsia="Arial" w:hAnsi="Arial"/>
          <w:sz w:val="18"/>
          <w:szCs w:val="18"/>
          <w:b w:val="1"/>
          <w:bCs w:val="1"/>
          <w:color w:val="auto"/>
        </w:rPr>
        <w:t>IT, Repair and Maintenance</w:t>
      </w:r>
      <w:r>
        <w:rPr>
          <w:rFonts w:ascii="Arial" w:cs="Arial" w:eastAsia="Arial" w:hAnsi="Arial"/>
          <w:sz w:val="18"/>
          <w:szCs w:val="18"/>
          <w:color w:val="auto"/>
        </w:rPr>
        <w:t xml:space="preserve"> for digitalization and cybersecurity projects implemented in the first half of the year under the digital transformation strategy.</w:t>
      </w:r>
    </w:p>
    <w:p>
      <w:pPr>
        <w:spacing w:after="0" w:line="168"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 increase in expenses for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due to higher consumption under the millas LATAM program. This reflected an uptick in transactions with cards compared to the same period in 2020, when a strict quarantine was in effect.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9006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ind w:left="320" w:hanging="314"/>
        <w:spacing w:after="0"/>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Efficiency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Operating Efficiency</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w w:val="88"/>
              </w:rPr>
              <w:t>% 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ind w:left="780"/>
              <w:spacing w:after="0"/>
              <w:rPr>
                <w:sz w:val="20"/>
                <w:szCs w:val="20"/>
                <w:color w:val="auto"/>
              </w:rPr>
            </w:pPr>
            <w:r>
              <w:rPr>
                <w:rFonts w:ascii="Arial" w:cs="Arial" w:eastAsia="Arial" w:hAnsi="Arial"/>
                <w:sz w:val="18"/>
                <w:szCs w:val="18"/>
                <w:b w:val="1"/>
                <w:bCs w:val="1"/>
                <w:color w:val="auto"/>
                <w:w w:val="97"/>
              </w:rPr>
              <w:t>Year</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 change</w:t>
            </w:r>
          </w:p>
        </w:tc>
      </w:tr>
      <w:tr>
        <w:trPr>
          <w:trHeight w:val="220"/>
        </w:trPr>
        <w:tc>
          <w:tcPr>
            <w:tcW w:w="20" w:type="dxa"/>
            <w:vAlign w:val="bottom"/>
          </w:tcPr>
          <w:p>
            <w:pPr>
              <w:spacing w:after="0"/>
              <w:rPr>
                <w:sz w:val="19"/>
                <w:szCs w:val="19"/>
                <w:color w:val="auto"/>
              </w:rPr>
            </w:pPr>
          </w:p>
        </w:tc>
        <w:tc>
          <w:tcPr>
            <w:tcW w:w="1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2Q20</w:t>
            </w:r>
          </w:p>
        </w:tc>
        <w:tc>
          <w:tcPr>
            <w:tcW w:w="16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1Q21</w:t>
            </w: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2Q21</w:t>
            </w:r>
          </w:p>
        </w:tc>
        <w:tc>
          <w:tcPr>
            <w:tcW w:w="16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YoY</w:t>
            </w:r>
          </w:p>
        </w:tc>
        <w:tc>
          <w:tcPr>
            <w:tcW w:w="2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Jun 20</w:t>
            </w: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Jun 21</w:t>
            </w:r>
          </w:p>
        </w:tc>
        <w:tc>
          <w:tcPr>
            <w:tcW w:w="16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Jun 21 / Jun 20</w:t>
            </w:r>
          </w:p>
        </w:tc>
        <w:tc>
          <w:tcPr>
            <w:tcW w:w="160" w:type="dxa"/>
            <w:vAlign w:val="bottom"/>
            <w:tcBorders>
              <w:bottom w:val="single" w:sz="8" w:color="CCEEFF"/>
            </w:tcBorders>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8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Operating expenses </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1,611,543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1,704,894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1,812,674</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3,333,726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3,517,568</w:t>
            </w: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52"/>
        </w:trPr>
        <w:tc>
          <w:tcPr>
            <w:tcW w:w="20" w:type="dxa"/>
            <w:vAlign w:val="bottom"/>
          </w:tcPr>
          <w:p>
            <w:pPr>
              <w:spacing w:after="0"/>
              <w:rPr>
                <w:sz w:val="21"/>
                <w:szCs w:val="21"/>
                <w:color w:val="auto"/>
              </w:rPr>
            </w:pPr>
          </w:p>
        </w:tc>
        <w:tc>
          <w:tcPr>
            <w:tcW w:w="196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9"/>
                <w:szCs w:val="29"/>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3,213,316</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3,871,563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4,147,704</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880" w:type="dxa"/>
            <w:vAlign w:val="bottom"/>
          </w:tcPr>
          <w:p>
            <w:pPr>
              <w:jc w:val="right"/>
              <w:spacing w:after="0"/>
              <w:rPr>
                <w:sz w:val="20"/>
                <w:szCs w:val="20"/>
                <w:color w:val="auto"/>
              </w:rPr>
            </w:pPr>
            <w:r>
              <w:rPr>
                <w:rFonts w:ascii="Arial" w:cs="Arial" w:eastAsia="Arial" w:hAnsi="Arial"/>
                <w:sz w:val="18"/>
                <w:szCs w:val="18"/>
                <w:color w:val="auto"/>
              </w:rPr>
              <w:t>7,181,896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8,019,267</w:t>
            </w:r>
          </w:p>
        </w:tc>
        <w:tc>
          <w:tcPr>
            <w:tcW w:w="16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52"/>
        </w:trPr>
        <w:tc>
          <w:tcPr>
            <w:tcW w:w="20" w:type="dxa"/>
            <w:vAlign w:val="bottom"/>
          </w:tcPr>
          <w:p>
            <w:pPr>
              <w:spacing w:after="0"/>
              <w:rPr>
                <w:sz w:val="21"/>
                <w:szCs w:val="21"/>
                <w:color w:val="auto"/>
              </w:rPr>
            </w:pPr>
          </w:p>
        </w:tc>
        <w:tc>
          <w:tcPr>
            <w:tcW w:w="196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 bps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-650 bps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 bps</w:t>
            </w:r>
          </w:p>
        </w:tc>
      </w:tr>
      <w:tr>
        <w:trPr>
          <w:trHeight w:val="202"/>
        </w:trPr>
        <w:tc>
          <w:tcPr>
            <w:tcW w:w="20" w:type="dxa"/>
            <w:vAlign w:val="bottom"/>
          </w:tcPr>
          <w:p>
            <w:pPr>
              <w:spacing w:after="0"/>
              <w:rPr>
                <w:sz w:val="17"/>
                <w:szCs w:val="17"/>
                <w:color w:val="auto"/>
              </w:rPr>
            </w:pPr>
          </w:p>
        </w:tc>
        <w:tc>
          <w:tcPr>
            <w:tcW w:w="196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 /</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85"/>
        </w:trPr>
        <w:tc>
          <w:tcPr>
            <w:tcW w:w="1980" w:type="dxa"/>
            <w:vAlign w:val="bottom"/>
            <w:gridSpan w:val="3"/>
          </w:tcPr>
          <w:p>
            <w:pPr>
              <w:spacing w:after="0"/>
              <w:rPr>
                <w:sz w:val="20"/>
                <w:szCs w:val="20"/>
                <w:color w:val="auto"/>
              </w:rPr>
            </w:pPr>
            <w:r>
              <w:rPr>
                <w:rFonts w:ascii="Arial" w:cs="Arial" w:eastAsia="Arial" w:hAnsi="Arial"/>
                <w:sz w:val="18"/>
                <w:szCs w:val="18"/>
                <w:color w:val="auto"/>
              </w:rPr>
              <w:t xml:space="preserve">Total average assets </w:t>
            </w:r>
            <w:r>
              <w:rPr>
                <w:rFonts w:ascii="Arial" w:cs="Arial" w:eastAsia="Arial" w:hAnsi="Arial"/>
                <w:sz w:val="29"/>
                <w:szCs w:val="29"/>
                <w:color w:val="auto"/>
                <w:vertAlign w:val="superscript"/>
              </w:rPr>
              <w:t>(4)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 bps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 bps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-34 bps</w:t>
            </w:r>
          </w:p>
        </w:tc>
      </w:tr>
    </w:tbl>
    <w:p>
      <w:pPr>
        <w:spacing w:after="0" w:line="78" w:lineRule="exact"/>
        <w:rPr>
          <w:sz w:val="20"/>
          <w:szCs w:val="20"/>
          <w:color w:val="auto"/>
        </w:rPr>
      </w:pPr>
    </w:p>
    <w:p>
      <w:pPr>
        <w:ind w:firstLine="6"/>
        <w:spacing w:after="0" w:line="252" w:lineRule="auto"/>
        <w:tabs>
          <w:tab w:leader="none" w:pos="2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expenses = Salaries and employee’s benefits + Administrative expenses + Depreciation and amortization + Association in participation + Acquisition cost.</w:t>
      </w:r>
    </w:p>
    <w:p>
      <w:pPr>
        <w:spacing w:after="0" w:line="1" w:lineRule="exact"/>
        <w:rPr>
          <w:rFonts w:ascii="Arial" w:cs="Arial" w:eastAsia="Arial" w:hAnsi="Arial"/>
          <w:sz w:val="18"/>
          <w:szCs w:val="18"/>
          <w:color w:val="auto"/>
        </w:rPr>
      </w:pPr>
    </w:p>
    <w:p>
      <w:pPr>
        <w:ind w:firstLine="6"/>
        <w:spacing w:after="0" w:line="246" w:lineRule="auto"/>
        <w:tabs>
          <w:tab w:leader="none" w:pos="2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260" w:hanging="254"/>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expenses / Operating income.</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expenses / Average of Total Assets. Average is calculated with period beginning and period-ending balances.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Efficiency ratio by income and expense item</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efficiency ratio improved 30bps due to an uptick in operating income, which was in turn attributable to growth in </w:t>
      </w:r>
      <w:r>
        <w:rPr>
          <w:rFonts w:ascii="Arial" w:cs="Arial" w:eastAsia="Arial" w:hAnsi="Arial"/>
          <w:sz w:val="18"/>
          <w:szCs w:val="18"/>
          <w:b w:val="1"/>
          <w:bCs w:val="1"/>
          <w:color w:val="auto"/>
        </w:rPr>
        <w:t>Net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income </w:t>
      </w:r>
      <w:r>
        <w:rPr>
          <w:rFonts w:ascii="Arial" w:cs="Arial" w:eastAsia="Arial" w:hAnsi="Arial"/>
          <w:sz w:val="18"/>
          <w:szCs w:val="18"/>
          <w:color w:val="auto"/>
        </w:rPr>
        <w:t>given that i) in 1Q21, extraordinary expenses were reported for the payment of premiums on bond repurchases, ii) structural loans registered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and iii) Mibanco improved its funding structure.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was partially offset by an increase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xml:space="preserve"> which registered an increase in advertising expenses in the social networks for the Yape, Savings Accounts and Personal Loans campaigns.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149860</wp:posOffset>
            </wp:positionV>
            <wp:extent cx="5894705" cy="1686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4705" cy="168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149860</wp:posOffset>
            </wp:positionV>
            <wp:extent cx="5886450" cy="1416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86450" cy="141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
        <w:spacing w:after="0" w:line="252" w:lineRule="auto"/>
        <w:tabs>
          <w:tab w:leader="none" w:pos="2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4"/>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of 650 bps and 250 bps in the efficiency ratio YoY and YTD respectively was primarily due to:</w:t>
      </w:r>
    </w:p>
    <w:p>
      <w:pPr>
        <w:spacing w:after="0" w:line="212" w:lineRule="exact"/>
        <w:rPr>
          <w:sz w:val="20"/>
          <w:szCs w:val="20"/>
          <w:color w:val="auto"/>
        </w:rPr>
      </w:pPr>
    </w:p>
    <w:p>
      <w:pPr>
        <w:ind w:left="960" w:hanging="635"/>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given that in 2Q20, clients were offered exemptions that have since been discontinued.</w:t>
      </w:r>
    </w:p>
    <w:p>
      <w:pPr>
        <w:spacing w:after="0" w:line="217" w:lineRule="exact"/>
        <w:rPr>
          <w:rFonts w:ascii="Arial" w:cs="Arial" w:eastAsia="Arial" w:hAnsi="Arial"/>
          <w:sz w:val="18"/>
          <w:szCs w:val="18"/>
          <w:color w:val="auto"/>
        </w:rPr>
      </w:pPr>
    </w:p>
    <w:p>
      <w:pPr>
        <w:ind w:left="960" w:hanging="635"/>
        <w:spacing w:after="0"/>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Net interest income</w:t>
      </w:r>
      <w:r>
        <w:rPr>
          <w:rFonts w:ascii="Arial" w:cs="Arial" w:eastAsia="Arial" w:hAnsi="Arial"/>
          <w:sz w:val="17"/>
          <w:szCs w:val="17"/>
          <w:color w:val="auto"/>
        </w:rPr>
        <w:t xml:space="preserve"> given that in 2Q20, a loss was recognized of </w:t>
      </w:r>
      <w:r>
        <w:rPr>
          <w:rFonts w:ascii="Arial" w:cs="Arial" w:eastAsia="Arial" w:hAnsi="Arial"/>
          <w:sz w:val="17"/>
          <w:szCs w:val="17"/>
          <w:i w:val="1"/>
          <w:iCs w:val="1"/>
          <w:color w:val="auto"/>
        </w:rPr>
        <w:t>one-off impairment</w:t>
      </w:r>
      <w:r>
        <w:rPr>
          <w:rFonts w:ascii="Arial" w:cs="Arial" w:eastAsia="Arial" w:hAnsi="Arial"/>
          <w:sz w:val="17"/>
          <w:szCs w:val="17"/>
          <w:color w:val="auto"/>
        </w:rPr>
        <w:t xml:space="preserve"> in the loan portfolio due to frozen loans.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826" w:gutter="0" w:footer="0" w:header="0"/>
        </w:sectPr>
      </w:pPr>
    </w:p>
    <w:bookmarkStart w:id="52" w:name="page53"/>
    <w:bookmarkEnd w:id="52"/>
    <w:p>
      <w:pPr>
        <w:ind w:left="960" w:hanging="635"/>
        <w:spacing w:after="0" w:line="194" w:lineRule="auto"/>
        <w:tabs>
          <w:tab w:leader="none" w:pos="960" w:val="left"/>
        </w:tabs>
        <w:numPr>
          <w:ilvl w:val="0"/>
          <w:numId w:val="73"/>
        </w:numPr>
        <w:rPr>
          <w:rFonts w:ascii="Arial" w:cs="Arial" w:eastAsia="Arial" w:hAnsi="Arial"/>
          <w:sz w:val="34"/>
          <w:szCs w:val="34"/>
          <w:color w:val="auto"/>
          <w:vertAlign w:val="superscript"/>
        </w:rPr>
      </w:pPr>
      <w:r>
        <w:rPr>
          <w:rFonts w:ascii="Arial" w:cs="Arial" w:eastAsia="Arial" w:hAnsi="Arial"/>
          <w:sz w:val="17"/>
          <w:szCs w:val="17"/>
          <w:color w:val="auto"/>
        </w:rPr>
        <w:t xml:space="preserve">Higher income from </w:t>
      </w:r>
      <w:r>
        <w:rPr>
          <w:rFonts w:ascii="Arial" w:cs="Arial" w:eastAsia="Arial" w:hAnsi="Arial"/>
          <w:sz w:val="17"/>
          <w:szCs w:val="17"/>
          <w:b w:val="1"/>
          <w:bCs w:val="1"/>
          <w:color w:val="auto"/>
        </w:rPr>
        <w:t>Net earned premiums</w:t>
      </w:r>
      <w:r>
        <w:rPr>
          <w:rFonts w:ascii="Arial" w:cs="Arial" w:eastAsia="Arial" w:hAnsi="Arial"/>
          <w:sz w:val="17"/>
          <w:szCs w:val="17"/>
          <w:color w:val="auto"/>
        </w:rPr>
        <w:t xml:space="preserve"> after Pacifico won higher portion of the auction under SISCO V</w:t>
      </w:r>
      <w:r>
        <w:rPr>
          <w:rFonts w:ascii="Arial" w:cs="Arial" w:eastAsia="Arial" w:hAnsi="Arial"/>
          <w:sz w:val="28"/>
          <w:szCs w:val="28"/>
          <w:color w:val="auto"/>
          <w:vertAlign w:val="superscript"/>
        </w:rPr>
        <w:t>14</w:t>
      </w:r>
      <w:r>
        <w:rPr>
          <w:rFonts w:ascii="Arial" w:cs="Arial" w:eastAsia="Arial" w:hAnsi="Arial"/>
          <w:sz w:val="17"/>
          <w:szCs w:val="17"/>
          <w:color w:val="auto"/>
        </w:rPr>
        <w:t xml:space="preserve"> (which contemplates a higher fee structure than SISCO IV) and premiums rose for credit life insurance, in line with an uptick in loans at Mibanco.</w:t>
      </w:r>
    </w:p>
    <w:p>
      <w:pPr>
        <w:spacing w:after="0" w:line="195" w:lineRule="exact"/>
        <w:rPr>
          <w:rFonts w:ascii="Arial" w:cs="Arial" w:eastAsia="Arial" w:hAnsi="Arial"/>
          <w:sz w:val="34"/>
          <w:szCs w:val="34"/>
          <w:color w:val="auto"/>
          <w:vertAlign w:val="superscript"/>
        </w:rPr>
      </w:pPr>
    </w:p>
    <w:p>
      <w:pPr>
        <w:ind w:left="960" w:hanging="635"/>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Net gains on foreign exchange operations,</w:t>
      </w:r>
      <w:r>
        <w:rPr>
          <w:rFonts w:ascii="Arial" w:cs="Arial" w:eastAsia="Arial" w:hAnsi="Arial"/>
          <w:sz w:val="18"/>
          <w:szCs w:val="18"/>
          <w:color w:val="auto"/>
        </w:rPr>
        <w:t xml:space="preserve"> which was spurred by uncertainty surrounding the elections in 2Q21.</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aforementioned improvement was partially offset by an increase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xml:space="preserve"> (higher expenses for the fidelity program Millas Latam, transportation of remittances and IT projects) and </w:t>
      </w:r>
      <w:r>
        <w:rPr>
          <w:rFonts w:ascii="Arial" w:cs="Arial" w:eastAsia="Arial" w:hAnsi="Arial"/>
          <w:sz w:val="18"/>
          <w:szCs w:val="18"/>
          <w:b w:val="1"/>
          <w:bCs w:val="1"/>
          <w:color w:val="auto"/>
        </w:rPr>
        <w:t>Salaries and employee benefits</w:t>
      </w:r>
      <w:r>
        <w:rPr>
          <w:rFonts w:ascii="Arial" w:cs="Arial" w:eastAsia="Arial" w:hAnsi="Arial"/>
          <w:sz w:val="18"/>
          <w:szCs w:val="18"/>
          <w:color w:val="auto"/>
        </w:rPr>
        <w:t xml:space="preserve"> (increase in profit sharing, in line with an improvement in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8.2. Efficiency ratio by subsidiary </w:t>
      </w:r>
      <w:r>
        <w:rPr>
          <w:rFonts w:ascii="Arial" w:cs="Arial" w:eastAsia="Arial" w:hAnsi="Arial"/>
          <w:sz w:val="29"/>
          <w:szCs w:val="29"/>
          <w:b w:val="1"/>
          <w:bCs w:val="1"/>
          <w:color w:val="auto"/>
          <w:vertAlign w:val="superscript"/>
        </w:rPr>
        <w:t>(1)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4"/>
              </w:rPr>
              <w:t>BCP</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Stand-</w:t>
            </w: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BCP</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Mibanco</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alone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Bolivia</w:t>
            </w:r>
          </w:p>
        </w:tc>
        <w:tc>
          <w:tcPr>
            <w:tcW w:w="38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Mibanco Peru</w:t>
            </w: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Colombia</w:t>
            </w: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Pacifico</w:t>
            </w: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Prima AFP</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Credicorp</w:t>
            </w:r>
          </w:p>
        </w:tc>
        <w:tc>
          <w:tcPr>
            <w:tcW w:w="0" w:type="dxa"/>
            <w:vAlign w:val="bottom"/>
          </w:tcPr>
          <w:p>
            <w:pPr>
              <w:spacing w:after="0"/>
              <w:rPr>
                <w:sz w:val="1"/>
                <w:szCs w:val="1"/>
                <w:color w:val="auto"/>
              </w:rPr>
            </w:pPr>
          </w:p>
        </w:tc>
      </w:tr>
      <w:tr>
        <w:trPr>
          <w:trHeight w:val="20"/>
        </w:trPr>
        <w:tc>
          <w:tcPr>
            <w:tcW w:w="2120" w:type="dxa"/>
            <w:vAlign w:val="bottom"/>
            <w:vMerge w:val="restart"/>
            <w:shd w:val="clear" w:color="auto" w:fill="CCEEFF"/>
          </w:tcPr>
          <w:p>
            <w:pPr>
              <w:ind w:left="820"/>
              <w:spacing w:after="0"/>
              <w:rPr>
                <w:sz w:val="20"/>
                <w:szCs w:val="20"/>
                <w:color w:val="auto"/>
              </w:rPr>
            </w:pPr>
            <w:r>
              <w:rPr>
                <w:rFonts w:ascii="Arial" w:cs="Arial" w:eastAsia="Arial" w:hAnsi="Arial"/>
                <w:sz w:val="18"/>
                <w:szCs w:val="18"/>
                <w:b w:val="1"/>
                <w:bCs w:val="1"/>
                <w:color w:val="auto"/>
              </w:rPr>
              <w:t>2Q20</w:t>
            </w: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12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0"/>
              </w:rPr>
              <w:t>93.7%</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89.8%</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40.0%</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57.3%</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2"/>
        </w:trPr>
        <w:tc>
          <w:tcPr>
            <w:tcW w:w="2120" w:type="dxa"/>
            <w:vAlign w:val="bottom"/>
          </w:tcPr>
          <w:p>
            <w:pPr>
              <w:ind w:left="820"/>
              <w:spacing w:after="0"/>
              <w:rPr>
                <w:sz w:val="20"/>
                <w:szCs w:val="20"/>
                <w:color w:val="auto"/>
              </w:rPr>
            </w:pPr>
            <w:r>
              <w:rPr>
                <w:rFonts w:ascii="Arial" w:cs="Arial" w:eastAsia="Arial" w:hAnsi="Arial"/>
                <w:sz w:val="18"/>
                <w:szCs w:val="18"/>
                <w:b w:val="1"/>
                <w:bCs w:val="1"/>
                <w:color w:val="auto"/>
              </w:rPr>
              <w:t>1Q21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18"/>
                <w:szCs w:val="18"/>
                <w:color w:val="auto"/>
              </w:rPr>
            </w:pPr>
          </w:p>
        </w:tc>
        <w:tc>
          <w:tcPr>
            <w:tcW w:w="106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62.0%</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78.3%</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37.4%</w:t>
            </w:r>
          </w:p>
        </w:tc>
        <w:tc>
          <w:tcPr>
            <w:tcW w:w="1280" w:type="dxa"/>
            <w:vAlign w:val="bottom"/>
            <w:gridSpan w:val="2"/>
          </w:tcPr>
          <w:p>
            <w:pPr>
              <w:ind w:left="600"/>
              <w:spacing w:after="0"/>
              <w:rPr>
                <w:sz w:val="20"/>
                <w:szCs w:val="20"/>
                <w:color w:val="auto"/>
              </w:rPr>
            </w:pPr>
            <w:r>
              <w:rPr>
                <w:rFonts w:ascii="Arial" w:cs="Arial" w:eastAsia="Arial" w:hAnsi="Arial"/>
                <w:sz w:val="18"/>
                <w:szCs w:val="18"/>
                <w:color w:val="auto"/>
              </w:rPr>
              <w:t>46.5%</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2Q21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0"/>
              </w:rPr>
              <w:t>55.6%</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74.1%</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36.6%</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44.9%</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2"/>
        </w:trPr>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Var. QoQ</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10bps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-80bps</w:t>
            </w:r>
          </w:p>
        </w:tc>
        <w:tc>
          <w:tcPr>
            <w:tcW w:w="400" w:type="dxa"/>
            <w:vAlign w:val="bottom"/>
          </w:tcPr>
          <w:p>
            <w:pPr>
              <w:spacing w:after="0"/>
              <w:rPr>
                <w:sz w:val="18"/>
                <w:szCs w:val="18"/>
                <w:color w:val="auto"/>
              </w:rPr>
            </w:pPr>
          </w:p>
        </w:tc>
        <w:tc>
          <w:tcPr>
            <w:tcW w:w="1060" w:type="dxa"/>
            <w:vAlign w:val="bottom"/>
            <w:gridSpan w:val="2"/>
          </w:tcPr>
          <w:p>
            <w:pPr>
              <w:jc w:val="center"/>
              <w:ind w:left="151"/>
              <w:spacing w:after="0"/>
              <w:rPr>
                <w:sz w:val="20"/>
                <w:szCs w:val="20"/>
                <w:color w:val="auto"/>
              </w:rPr>
            </w:pPr>
            <w:r>
              <w:rPr>
                <w:rFonts w:ascii="Arial" w:cs="Arial" w:eastAsia="Arial" w:hAnsi="Arial"/>
                <w:sz w:val="18"/>
                <w:szCs w:val="18"/>
                <w:b w:val="1"/>
                <w:bCs w:val="1"/>
                <w:color w:val="auto"/>
                <w:w w:val="85"/>
              </w:rPr>
              <w:t>-640bps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-420bps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-80bps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-160bps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-30bps</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Var. YoY</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-270bps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790bps</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84"/>
              </w:rPr>
              <w:t>-3810bps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-1570bps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-340bps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-1240bps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-650bps</w:t>
            </w: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Jun 21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62.6%</w:t>
            </w:r>
          </w:p>
        </w:tc>
        <w:tc>
          <w:tcPr>
            <w:tcW w:w="13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76.1%</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40.3%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2"/>
        </w:trPr>
        <w:tc>
          <w:tcPr>
            <w:tcW w:w="2120" w:type="dxa"/>
            <w:vAlign w:val="bottom"/>
          </w:tcPr>
          <w:p>
            <w:pPr>
              <w:ind w:left="840"/>
              <w:spacing w:after="0"/>
              <w:rPr>
                <w:sz w:val="20"/>
                <w:szCs w:val="20"/>
                <w:color w:val="auto"/>
              </w:rPr>
            </w:pPr>
            <w:r>
              <w:rPr>
                <w:rFonts w:ascii="Arial" w:cs="Arial" w:eastAsia="Arial" w:hAnsi="Arial"/>
                <w:sz w:val="18"/>
                <w:szCs w:val="18"/>
                <w:b w:val="1"/>
                <w:bCs w:val="1"/>
                <w:color w:val="auto"/>
              </w:rPr>
              <w:t>Jun 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8"/>
                <w:szCs w:val="18"/>
                <w:color w:val="auto"/>
              </w:rPr>
            </w:pP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58.6%</w:t>
            </w:r>
          </w:p>
        </w:tc>
        <w:tc>
          <w:tcPr>
            <w:tcW w:w="1340" w:type="dxa"/>
            <w:vAlign w:val="bottom"/>
            <w:gridSpan w:val="2"/>
          </w:tcPr>
          <w:p>
            <w:pPr>
              <w:ind w:left="66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37.0%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720"/>
              <w:spacing w:after="0" w:line="195" w:lineRule="exact"/>
              <w:rPr>
                <w:sz w:val="20"/>
                <w:szCs w:val="20"/>
                <w:color w:val="auto"/>
              </w:rPr>
            </w:pPr>
            <w:r>
              <w:rPr>
                <w:rFonts w:ascii="Arial" w:cs="Arial" w:eastAsia="Arial" w:hAnsi="Arial"/>
                <w:sz w:val="18"/>
                <w:szCs w:val="18"/>
                <w:b w:val="1"/>
                <w:bCs w:val="1"/>
                <w:color w:val="auto"/>
              </w:rPr>
              <w:t>% change</w:t>
            </w:r>
          </w:p>
        </w:tc>
        <w:tc>
          <w:tcPr>
            <w:tcW w:w="138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b w:val="1"/>
                <w:bCs w:val="1"/>
                <w:color w:val="auto"/>
                <w:w w:val="92"/>
              </w:rPr>
              <w:t>-50bps</w:t>
            </w:r>
          </w:p>
        </w:tc>
        <w:tc>
          <w:tcPr>
            <w:tcW w:w="152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b w:val="1"/>
                <w:bCs w:val="1"/>
                <w:color w:val="auto"/>
              </w:rPr>
              <w:t>560bps</w:t>
            </w:r>
          </w:p>
        </w:tc>
        <w:tc>
          <w:tcPr>
            <w:tcW w:w="10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w w:val="91"/>
              </w:rPr>
              <w:t>-400bps</w:t>
            </w:r>
          </w:p>
        </w:tc>
        <w:tc>
          <w:tcPr>
            <w:tcW w:w="13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w w:val="94"/>
              </w:rPr>
              <w:t>1140bps</w:t>
            </w:r>
          </w:p>
        </w:tc>
        <w:tc>
          <w:tcPr>
            <w:tcW w:w="13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w w:val="96"/>
              </w:rPr>
              <w:t>-330bps</w:t>
            </w:r>
          </w:p>
        </w:tc>
        <w:tc>
          <w:tcPr>
            <w:tcW w:w="12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w w:val="94"/>
              </w:rPr>
              <w:t>-140bps</w:t>
            </w:r>
          </w:p>
        </w:tc>
        <w:tc>
          <w:tcPr>
            <w:tcW w:w="12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w w:val="85"/>
              </w:rPr>
              <w:t>-250bps</w:t>
            </w:r>
          </w:p>
        </w:tc>
        <w:tc>
          <w:tcPr>
            <w:tcW w:w="0" w:type="dxa"/>
            <w:vAlign w:val="bottom"/>
          </w:tcPr>
          <w:p>
            <w:pPr>
              <w:spacing w:after="0"/>
              <w:rPr>
                <w:sz w:val="1"/>
                <w:szCs w:val="1"/>
                <w:color w:val="auto"/>
              </w:rPr>
            </w:pPr>
          </w:p>
        </w:tc>
      </w:tr>
      <w:tr>
        <w:trPr>
          <w:trHeight w:val="123"/>
        </w:trPr>
        <w:tc>
          <w:tcPr>
            <w:tcW w:w="2120" w:type="dxa"/>
            <w:vAlign w:val="bottom"/>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Jun 21 / Jun 20</w:t>
            </w:r>
          </w:p>
        </w:tc>
        <w:tc>
          <w:tcPr>
            <w:tcW w:w="1380" w:type="dxa"/>
            <w:vAlign w:val="bottom"/>
            <w:gridSpan w:val="3"/>
            <w:vMerge w:val="continue"/>
            <w:shd w:val="clear" w:color="auto" w:fill="CCEEFF"/>
          </w:tcPr>
          <w:p>
            <w:pPr>
              <w:spacing w:after="0"/>
              <w:rPr>
                <w:sz w:val="10"/>
                <w:szCs w:val="10"/>
                <w:color w:val="auto"/>
              </w:rPr>
            </w:pPr>
          </w:p>
        </w:tc>
        <w:tc>
          <w:tcPr>
            <w:tcW w:w="1520" w:type="dxa"/>
            <w:vAlign w:val="bottom"/>
            <w:gridSpan w:val="3"/>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120" w:type="dxa"/>
            <w:vAlign w:val="bottom"/>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325"/>
        <w:spacing w:after="0" w:line="256" w:lineRule="auto"/>
        <w:tabs>
          <w:tab w:leader="none" w:pos="5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efficiency ratio improved. This was primarily driven by:</w:t>
      </w:r>
    </w:p>
    <w:p>
      <w:pPr>
        <w:spacing w:after="0" w:line="218" w:lineRule="exact"/>
        <w:rPr>
          <w:sz w:val="20"/>
          <w:szCs w:val="20"/>
          <w:color w:val="auto"/>
        </w:rPr>
      </w:pPr>
    </w:p>
    <w:p>
      <w:pPr>
        <w:ind w:left="960" w:hanging="635"/>
        <w:spacing w:after="0" w:line="272"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Growth in Net interest income in </w:t>
      </w:r>
      <w:r>
        <w:rPr>
          <w:rFonts w:ascii="Arial" w:cs="Arial" w:eastAsia="Arial" w:hAnsi="Arial"/>
          <w:sz w:val="18"/>
          <w:szCs w:val="18"/>
          <w:b w:val="1"/>
          <w:bCs w:val="1"/>
          <w:color w:val="auto"/>
        </w:rPr>
        <w:t>Microfinance,</w:t>
      </w:r>
      <w:r>
        <w:rPr>
          <w:rFonts w:ascii="Arial" w:cs="Arial" w:eastAsia="Arial" w:hAnsi="Arial"/>
          <w:sz w:val="18"/>
          <w:szCs w:val="18"/>
          <w:color w:val="auto"/>
        </w:rPr>
        <w:t xml:space="preserve"> which was attributable to growth in structural loans and to a decrease in the funding cost due to lower market rates.</w:t>
      </w:r>
    </w:p>
    <w:p>
      <w:pPr>
        <w:spacing w:after="0" w:line="168" w:lineRule="exact"/>
        <w:rPr>
          <w:rFonts w:ascii="Arial" w:cs="Arial" w:eastAsia="Arial" w:hAnsi="Arial"/>
          <w:sz w:val="18"/>
          <w:szCs w:val="18"/>
          <w:color w:val="auto"/>
        </w:rPr>
      </w:pPr>
    </w:p>
    <w:p>
      <w:pPr>
        <w:ind w:left="960" w:hanging="635"/>
        <w:spacing w:after="0" w:line="375" w:lineRule="auto"/>
        <w:tabs>
          <w:tab w:leader="none" w:pos="9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A drop in operating expenses at </w:t>
      </w:r>
      <w:r>
        <w:rPr>
          <w:rFonts w:ascii="Arial" w:cs="Arial" w:eastAsia="Arial" w:hAnsi="Arial"/>
          <w:sz w:val="15"/>
          <w:szCs w:val="15"/>
          <w:b w:val="1"/>
          <w:bCs w:val="1"/>
          <w:color w:val="auto"/>
        </w:rPr>
        <w:t>Pacifico</w:t>
      </w:r>
      <w:r>
        <w:rPr>
          <w:rFonts w:ascii="Arial" w:cs="Arial" w:eastAsia="Arial" w:hAnsi="Arial"/>
          <w:sz w:val="15"/>
          <w:szCs w:val="15"/>
          <w:color w:val="auto"/>
        </w:rPr>
        <w:t>. This was primarily attributable to a decrease in remunerations and in association in participation; the former was a product of the strategy to control expenses and the latter, the result of an uptick in claims in the health insurance segment.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149860</wp:posOffset>
            </wp:positionV>
            <wp:extent cx="6071870" cy="1593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315"/>
        <w:spacing w:after="0" w:line="265" w:lineRule="auto"/>
        <w:tabs>
          <w:tab w:leader="none" w:pos="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Crédito, among other subsidiaries and the eliminations for consolidation purposes.</w:t>
      </w:r>
    </w:p>
    <w:p>
      <w:pPr>
        <w:spacing w:after="0" w:line="353" w:lineRule="exact"/>
        <w:rPr>
          <w:rFonts w:ascii="Arial" w:cs="Arial" w:eastAsia="Arial" w:hAnsi="Arial"/>
          <w:sz w:val="18"/>
          <w:szCs w:val="18"/>
          <w:color w:val="auto"/>
        </w:rPr>
      </w:pPr>
    </w:p>
    <w:p>
      <w:pPr>
        <w:ind w:firstLine="6"/>
        <w:spacing w:after="0" w:line="233" w:lineRule="auto"/>
        <w:tabs>
          <w:tab w:leader="none" w:pos="297" w:val="left"/>
        </w:tabs>
        <w:numPr>
          <w:ilvl w:val="0"/>
          <w:numId w:val="77"/>
        </w:numPr>
        <w:rPr>
          <w:rFonts w:ascii="Arial" w:cs="Arial" w:eastAsia="Arial" w:hAnsi="Arial"/>
          <w:sz w:val="24"/>
          <w:szCs w:val="24"/>
          <w:color w:val="auto"/>
          <w:vertAlign w:val="superscript"/>
        </w:rPr>
      </w:pPr>
      <w:r>
        <w:rPr>
          <w:rFonts w:ascii="Arial" w:cs="Arial" w:eastAsia="Arial" w:hAnsi="Arial"/>
          <w:sz w:val="15"/>
          <w:szCs w:val="15"/>
          <w:color w:val="auto"/>
        </w:rPr>
        <w:t>Consist in the join administration of the risk of disability, survival and burial expenses of the AFP affiliates by the insurance companies that are winners in the public bidding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-344170</wp:posOffset>
            </wp:positionV>
            <wp:extent cx="1788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In the YoY analysis, efficiency improved 650 bps, which was primarily attributable to:</w:t>
      </w:r>
    </w:p>
    <w:p>
      <w:pPr>
        <w:spacing w:after="0" w:line="212" w:lineRule="exact"/>
        <w:rPr>
          <w:sz w:val="20"/>
          <w:szCs w:val="20"/>
          <w:color w:val="auto"/>
        </w:rPr>
      </w:pPr>
    </w:p>
    <w:p>
      <w:pPr>
        <w:ind w:left="320" w:hanging="314"/>
        <w:spacing w:after="0" w:line="272"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Net interest income</w:t>
      </w:r>
      <w:r>
        <w:rPr>
          <w:rFonts w:ascii="Arial" w:cs="Arial" w:eastAsia="Arial" w:hAnsi="Arial"/>
          <w:sz w:val="18"/>
          <w:szCs w:val="18"/>
          <w:color w:val="auto"/>
        </w:rPr>
        <w:t xml:space="preserve"> in </w:t>
      </w:r>
      <w:r>
        <w:rPr>
          <w:rFonts w:ascii="Arial" w:cs="Arial" w:eastAsia="Arial" w:hAnsi="Arial"/>
          <w:sz w:val="18"/>
          <w:szCs w:val="18"/>
          <w:b w:val="1"/>
          <w:bCs w:val="1"/>
          <w:color w:val="auto"/>
        </w:rPr>
        <w:t>Microfinance</w:t>
      </w:r>
      <w:r>
        <w:rPr>
          <w:rFonts w:ascii="Arial" w:cs="Arial" w:eastAsia="Arial" w:hAnsi="Arial"/>
          <w:sz w:val="18"/>
          <w:szCs w:val="18"/>
          <w:color w:val="auto"/>
        </w:rPr>
        <w:t xml:space="preserve"> given that in 2Q20, a </w:t>
      </w:r>
      <w:r>
        <w:rPr>
          <w:rFonts w:ascii="Arial" w:cs="Arial" w:eastAsia="Arial" w:hAnsi="Arial"/>
          <w:sz w:val="18"/>
          <w:szCs w:val="18"/>
          <w:i w:val="1"/>
          <w:iCs w:val="1"/>
          <w:color w:val="auto"/>
        </w:rPr>
        <w:t>one-off impairment</w:t>
      </w:r>
      <w:r>
        <w:rPr>
          <w:rFonts w:ascii="Arial" w:cs="Arial" w:eastAsia="Arial" w:hAnsi="Arial"/>
          <w:sz w:val="18"/>
          <w:szCs w:val="18"/>
          <w:color w:val="auto"/>
        </w:rPr>
        <w:t xml:space="preserve"> was recognized in the loan portfolio (generated by frozen loans).</w:t>
      </w:r>
    </w:p>
    <w:p>
      <w:pPr>
        <w:spacing w:after="0" w:line="168" w:lineRule="exact"/>
        <w:rPr>
          <w:rFonts w:ascii="Arial" w:cs="Arial" w:eastAsia="Arial" w:hAnsi="Arial"/>
          <w:sz w:val="18"/>
          <w:szCs w:val="18"/>
          <w:color w:val="auto"/>
        </w:rPr>
      </w:pPr>
    </w:p>
    <w:p>
      <w:pPr>
        <w:ind w:left="320" w:right="20" w:hanging="314"/>
        <w:spacing w:after="0" w:line="272"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An increase in operating income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which reflected two factors: in 2Q20, clients were offered exemptions to weather the pandemic and a </w:t>
      </w:r>
      <w:r>
        <w:rPr>
          <w:rFonts w:ascii="Arial" w:cs="Arial" w:eastAsia="Arial" w:hAnsi="Arial"/>
          <w:sz w:val="18"/>
          <w:szCs w:val="18"/>
          <w:i w:val="1"/>
          <w:iCs w:val="1"/>
          <w:color w:val="auto"/>
        </w:rPr>
        <w:t>one-off impairment</w:t>
      </w:r>
      <w:r>
        <w:rPr>
          <w:rFonts w:ascii="Arial" w:cs="Arial" w:eastAsia="Arial" w:hAnsi="Arial"/>
          <w:sz w:val="18"/>
          <w:szCs w:val="18"/>
          <w:color w:val="auto"/>
        </w:rPr>
        <w:t xml:space="preserve"> in the loan portfolio (due to frozen loans) was recognized.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149860</wp:posOffset>
            </wp:positionV>
            <wp:extent cx="6004560" cy="1593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456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315"/>
        <w:spacing w:after="0" w:line="265"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Crédito, among other subsidiaries and the eliminations for consolidation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YTD, </w:t>
      </w:r>
      <w:r>
        <w:rPr>
          <w:rFonts w:ascii="Arial" w:cs="Arial" w:eastAsia="Arial" w:hAnsi="Arial"/>
          <w:sz w:val="18"/>
          <w:szCs w:val="18"/>
          <w:color w:val="auto"/>
        </w:rPr>
        <w:t>the efficiency ratio improved due to:</w:t>
      </w:r>
    </w:p>
    <w:p>
      <w:pPr>
        <w:spacing w:after="0" w:line="218" w:lineRule="exact"/>
        <w:rPr>
          <w:sz w:val="20"/>
          <w:szCs w:val="20"/>
          <w:color w:val="auto"/>
        </w:rPr>
      </w:pPr>
    </w:p>
    <w:p>
      <w:pPr>
        <w:ind w:left="640" w:hanging="315"/>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 increase in interest income in </w:t>
      </w:r>
      <w:r>
        <w:rPr>
          <w:rFonts w:ascii="Arial" w:cs="Arial" w:eastAsia="Arial" w:hAnsi="Arial"/>
          <w:sz w:val="18"/>
          <w:szCs w:val="18"/>
          <w:b w:val="1"/>
          <w:bCs w:val="1"/>
          <w:color w:val="auto"/>
        </w:rPr>
        <w:t>Microfinanc</w:t>
      </w:r>
      <w:r>
        <w:rPr>
          <w:rFonts w:ascii="Arial" w:cs="Arial" w:eastAsia="Arial" w:hAnsi="Arial"/>
          <w:sz w:val="18"/>
          <w:szCs w:val="18"/>
          <w:color w:val="auto"/>
        </w:rPr>
        <w:t>e due to the factors mentioned above,</w:t>
      </w:r>
    </w:p>
    <w:p>
      <w:pPr>
        <w:spacing w:after="0" w:line="217"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Growth in premiums at </w:t>
      </w:r>
      <w:r>
        <w:rPr>
          <w:rFonts w:ascii="Arial" w:cs="Arial" w:eastAsia="Arial" w:hAnsi="Arial"/>
          <w:sz w:val="18"/>
          <w:szCs w:val="18"/>
          <w:b w:val="1"/>
          <w:bCs w:val="1"/>
          <w:color w:val="auto"/>
        </w:rPr>
        <w:t>Pacifico</w:t>
      </w:r>
      <w:r>
        <w:rPr>
          <w:rFonts w:ascii="Arial" w:cs="Arial" w:eastAsia="Arial" w:hAnsi="Arial"/>
          <w:sz w:val="18"/>
          <w:szCs w:val="18"/>
          <w:color w:val="auto"/>
        </w:rPr>
        <w:t>, which was attributable to the fact that Pacifico won a higher portion of the SISCO V auction, which offered a better fee structure than SISCO IV, and to an increase in health policy renewals.</w:t>
      </w:r>
    </w:p>
    <w:p>
      <w:pPr>
        <w:spacing w:after="0" w:line="168" w:lineRule="exact"/>
        <w:rPr>
          <w:rFonts w:ascii="Arial" w:cs="Arial" w:eastAsia="Arial" w:hAnsi="Arial"/>
          <w:sz w:val="18"/>
          <w:szCs w:val="18"/>
          <w:color w:val="auto"/>
        </w:rPr>
      </w:pPr>
    </w:p>
    <w:p>
      <w:pPr>
        <w:ind w:left="640" w:hanging="315"/>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 increase in Net fee income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due to the factors outlined above and</w:t>
      </w:r>
    </w:p>
    <w:p>
      <w:pPr>
        <w:spacing w:after="0" w:line="217" w:lineRule="exact"/>
        <w:rPr>
          <w:rFonts w:ascii="Arial" w:cs="Arial" w:eastAsia="Arial" w:hAnsi="Arial"/>
          <w:sz w:val="18"/>
          <w:szCs w:val="18"/>
          <w:color w:val="auto"/>
        </w:rPr>
      </w:pPr>
    </w:p>
    <w:p>
      <w:pPr>
        <w:ind w:left="640" w:hanging="315"/>
        <w:spacing w:after="0" w:line="272"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Growth in Net fee income </w:t>
      </w:r>
      <w:r>
        <w:rPr>
          <w:rFonts w:ascii="Arial" w:cs="Arial" w:eastAsia="Arial" w:hAnsi="Arial"/>
          <w:sz w:val="18"/>
          <w:szCs w:val="18"/>
          <w:b w:val="1"/>
          <w:bCs w:val="1"/>
          <w:color w:val="auto"/>
        </w:rPr>
        <w:t>from Investment Banking and Wealth Management</w:t>
      </w:r>
      <w:r>
        <w:rPr>
          <w:rFonts w:ascii="Arial" w:cs="Arial" w:eastAsia="Arial" w:hAnsi="Arial"/>
          <w:sz w:val="18"/>
          <w:szCs w:val="18"/>
          <w:color w:val="auto"/>
        </w:rPr>
        <w:t xml:space="preserve"> due to fee charged to clients which enter to international platforms through the services of ASB.</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577850</wp:posOffset>
            </wp:positionV>
            <wp:extent cx="6712585" cy="9605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712585" cy="9605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9.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Regulatory Capital at Credicorp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 regulatory capital ratio at Credicorp grew +16 bps QoQ and grew +23 bps YoY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146050</wp:posOffset>
            </wp:positionV>
            <wp:extent cx="3077845" cy="1771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77845" cy="177101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left="320" w:right="5620" w:hanging="314"/>
        <w:spacing w:after="0" w:line="265"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QoQ analysis, a drop of -13.0% QoQ in the regulatory capital requirement at Credicorp, which reflected the regulator’s decision to reduce the reserve requirement for companies in the financial system due to large-scale withdrawals of severance indeminity funds. This result was slightly attenuated by a decrease in total capital (-3.3%), which was driven primarily by a drop in subordinated debt after the remainder of the make-whole in FC at BCP Stand-alone was executed in the month of April, and by pre-payments at Mibanco.</w:t>
      </w:r>
    </w:p>
    <w:p>
      <w:pPr>
        <w:spacing w:after="0" w:line="212" w:lineRule="exact"/>
        <w:rPr>
          <w:rFonts w:ascii="Arial" w:cs="Arial" w:eastAsia="Arial" w:hAnsi="Arial"/>
          <w:sz w:val="17"/>
          <w:szCs w:val="17"/>
          <w:color w:val="auto"/>
        </w:rPr>
      </w:pPr>
    </w:p>
    <w:p>
      <w:pPr>
        <w:ind w:left="320" w:hanging="314"/>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YoY analysis, growth of +7.7% in Total Capital at Credicorp due to</w:t>
      </w:r>
    </w:p>
    <w:p>
      <w:pPr>
        <w:spacing w:after="0" w:line="16" w:lineRule="exact"/>
        <w:rPr>
          <w:rFonts w:ascii="Arial" w:cs="Arial" w:eastAsia="Arial" w:hAnsi="Arial"/>
          <w:sz w:val="18"/>
          <w:szCs w:val="18"/>
          <w:color w:val="auto"/>
        </w:rPr>
      </w:pPr>
    </w:p>
    <w:p>
      <w:pPr>
        <w:jc w:val="both"/>
        <w:ind w:left="320" w:right="5620" w:firstLine="5"/>
        <w:spacing w:after="0" w:line="247" w:lineRule="auto"/>
        <w:tabs>
          <w:tab w:leader="none" w:pos="56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increase in subordinated debt, which was primarily generated by liability management at BCP Stand-alone and (ii) losses that were reported in 2Q20 for the current year net loss at the Credicorp Level in the context of the pandemic. The result was also boost by an -7.9% YoY decrease in Credicorp’s Regulatory capital requirement, as outlined in the QoQ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capital ratio at Credicorp was 1.60 times higher than that required by the regulator in Peru.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Regulatory Capital BCP Individual – Peru GAAP</w:t>
      </w:r>
    </w:p>
    <w:p>
      <w:pPr>
        <w:spacing w:after="0" w:line="224" w:lineRule="exact"/>
        <w:rPr>
          <w:sz w:val="20"/>
          <w:szCs w:val="20"/>
          <w:color w:val="auto"/>
        </w:rPr>
      </w:pPr>
    </w:p>
    <w:p>
      <w:pPr>
        <w:jc w:val="both"/>
        <w:ind w:left="5620"/>
        <w:spacing w:after="0" w:line="256" w:lineRule="auto"/>
        <w:rPr>
          <w:sz w:val="20"/>
          <w:szCs w:val="20"/>
          <w:color w:val="auto"/>
        </w:rPr>
      </w:pPr>
      <w:r>
        <w:rPr>
          <w:rFonts w:ascii="Arial" w:cs="Arial" w:eastAsia="Arial" w:hAnsi="Arial"/>
          <w:sz w:val="18"/>
          <w:szCs w:val="18"/>
          <w:color w:val="auto"/>
        </w:rPr>
        <w:t>At the end of 2Q21, the Tier 1 and BIS ratios at BCP Stand-alone fell QoQ to 10.31% and 15.34% respectively, driven by a +2.9% increased QoQ in RWAs, which was in turn spurred by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3255010" cy="1711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5010" cy="1711960"/>
                    </a:xfrm>
                    <a:prstGeom prst="rect">
                      <a:avLst/>
                    </a:prstGeom>
                    <a:noFill/>
                  </pic:spPr>
                </pic:pic>
              </a:graphicData>
            </a:graphic>
          </wp:anchor>
        </w:drawing>
      </w:r>
    </w:p>
    <w:p>
      <w:pPr>
        <w:spacing w:after="0" w:line="168" w:lineRule="exact"/>
        <w:rPr>
          <w:sz w:val="20"/>
          <w:szCs w:val="20"/>
          <w:color w:val="auto"/>
        </w:rPr>
      </w:pPr>
    </w:p>
    <w:p>
      <w:pPr>
        <w:jc w:val="both"/>
        <w:ind w:left="5620"/>
        <w:spacing w:after="0" w:line="256" w:lineRule="auto"/>
        <w:rPr>
          <w:sz w:val="20"/>
          <w:szCs w:val="20"/>
          <w:color w:val="auto"/>
        </w:rPr>
      </w:pPr>
      <w:r>
        <w:rPr>
          <w:rFonts w:ascii="Arial" w:cs="Arial" w:eastAsia="Arial" w:hAnsi="Arial"/>
          <w:sz w:val="18"/>
          <w:szCs w:val="18"/>
          <w:color w:val="auto"/>
        </w:rPr>
        <w:t>Total regulatory capital fell -4.1%, which was attributable to the execution of the remainder of the make-whole of a subordinated bond in April under the liability management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hanging="254"/>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YoY evolution shows inverse variations. In the comparison with 2Q20, the BIS ratio increased but the Tier 1 level decreased. The uptick in the BIS ratio was attributable to was attributable to (i) growth in subordinated debt, which was a product of the liability management strategy at BCP Stand-alone in a context of low interest rates due to the pandemic (ii) capitalization of earnings and reserves to cover future obligations. The result for the Tier 1 ratio was primarily impacted by an +3.4% increase in RWAS.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Tier 1 Common Equity Ratio– BCP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149860</wp:posOffset>
            </wp:positionV>
            <wp:extent cx="6915150" cy="12312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15150"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hanging="254"/>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Figures at Mar21 differ from previously reported, please consider the data presented on this report.</w:t>
      </w:r>
    </w:p>
    <w:p>
      <w:pPr>
        <w:spacing w:after="0" w:line="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investments in BCP Bolivia and other subsidiaries.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the Tier 1 Common Equity ratio (CET1), which is considered the most rigorous indicator of capitalization levels, registered growth of +12 bps QoQ and stood at 11.23% at the end of 2Q21. This increase was driven by growth in Tier 1 Common Equity and Tier 1 (+3.8% QoQ) in a context market by an improvement in YTD and quarterly results.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YoY analysis, the CET1 ratio rose + 1 bps due to a +4.6% increase in (i) capital and reserves after capitalization in March 21 and (ii) in YTD and period-end results, which was partially attenuated by a decrease in unrealized earnings due to high long-term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Regulatory Capital Mibanco – Perú GAAP</w:t>
      </w:r>
    </w:p>
    <w:p>
      <w:pPr>
        <w:spacing w:after="0" w:line="224" w:lineRule="exact"/>
        <w:rPr>
          <w:sz w:val="20"/>
          <w:szCs w:val="20"/>
          <w:color w:val="auto"/>
        </w:rPr>
      </w:pPr>
    </w:p>
    <w:p>
      <w:pPr>
        <w:jc w:val="both"/>
        <w:ind w:left="5620"/>
        <w:spacing w:after="0" w:line="256" w:lineRule="auto"/>
        <w:rPr>
          <w:sz w:val="20"/>
          <w:szCs w:val="20"/>
          <w:color w:val="auto"/>
        </w:rPr>
      </w:pPr>
      <w:r>
        <w:rPr>
          <w:rFonts w:ascii="Arial" w:cs="Arial" w:eastAsia="Arial" w:hAnsi="Arial"/>
          <w:sz w:val="18"/>
          <w:szCs w:val="18"/>
          <w:color w:val="auto"/>
        </w:rPr>
        <w:t>At the end of 2Q21, the Tier 1 Ratio at Mibanco stood at 14.66%, which reflected a QoQ increase of +18 bps due to growth in accumulated earnings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3255010" cy="1703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5010" cy="1703705"/>
                    </a:xfrm>
                    <a:prstGeom prst="rect">
                      <a:avLst/>
                    </a:prstGeom>
                    <a:noFill/>
                  </pic:spPr>
                </pic:pic>
              </a:graphicData>
            </a:graphic>
          </wp:anchor>
        </w:drawing>
      </w:r>
    </w:p>
    <w:p>
      <w:pPr>
        <w:spacing w:after="0" w:line="168" w:lineRule="exact"/>
        <w:rPr>
          <w:sz w:val="20"/>
          <w:szCs w:val="20"/>
          <w:color w:val="auto"/>
        </w:rPr>
      </w:pPr>
    </w:p>
    <w:p>
      <w:pPr>
        <w:jc w:val="both"/>
        <w:ind w:left="5620"/>
        <w:spacing w:after="0" w:line="256" w:lineRule="auto"/>
        <w:rPr>
          <w:sz w:val="20"/>
          <w:szCs w:val="20"/>
          <w:color w:val="auto"/>
        </w:rPr>
      </w:pPr>
      <w:r>
        <w:rPr>
          <w:rFonts w:ascii="Arial" w:cs="Arial" w:eastAsia="Arial" w:hAnsi="Arial"/>
          <w:sz w:val="18"/>
          <w:szCs w:val="18"/>
          <w:color w:val="auto"/>
        </w:rPr>
        <w:t>The BIS ratio stood at 17.22%, after falling -65 bps due to a pre-payment on a subordinated bond in LC and driven by an increase in RWAs (+2.0%), which was attributable to growth in Mibanco’s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hanging="254"/>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Mar 21 BIS Ratio differ from previously reported, please consider the data presented on this report.</w:t>
      </w:r>
    </w:p>
    <w:p>
      <w:pPr>
        <w:spacing w:after="0" w:line="207"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YoY evolution registered growth of +83 bps and +128 bps in the Tier 1 and BIS ratios respectively. The uptick in Tier 1 was driven by the positive evolution of Level 1 regulatory capital (+2.6%) while the increase in the BIS ratio was fueled by growth in total regulatory capital (+18.5%). The upward trend in Tier 1 was spurred by an increase in accumulated earning agreements, while the uptick in BIS reflected both growth in accumulated earnings agreements and active debt management. RWAs fell -3.2%, which reflected a decrease in the risk profile of Mibanco’s loans due to Government programs.</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the Tier 1 Common Equity ratio (CET 1), which is considered the most rigorous indicator of capitalization levels, registered growth of +38 bps QoQ and stood at 15.26% at the end of 2Q21. This expansion was driven by a 4.6% increase in Tier 1 Common Equity Ratio, after Mibanco registered an uptick in retained earnings this quarter. This was partially attenuated by growth of +2.0% in RWAs. In the YoY analysis, the CET 1 ratio rose +72 bps, driven by the effect described in the QoQ evolution and by a contraction of -5.8% in RWAs.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443230</wp:posOffset>
            </wp:positionV>
            <wp:extent cx="7134860" cy="8585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8585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10. Distribution Model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5"/>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10.1. Distribution Model at BCP Stand-alone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5"/>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10.1.1 Digital Clients in Personal Banking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88"/>
        </w:trPr>
        <w:tc>
          <w:tcPr>
            <w:tcW w:w="6560" w:type="dxa"/>
            <w:vAlign w:val="bottom"/>
            <w:gridSpan w:val="2"/>
          </w:tcPr>
          <w:p>
            <w:pPr>
              <w:ind w:left="1720"/>
              <w:spacing w:after="0"/>
              <w:rPr>
                <w:sz w:val="20"/>
                <w:szCs w:val="20"/>
                <w:color w:val="auto"/>
              </w:rPr>
            </w:pPr>
            <w:r>
              <w:rPr>
                <w:rFonts w:ascii="Arial" w:cs="Arial" w:eastAsia="Arial" w:hAnsi="Arial"/>
                <w:sz w:val="18"/>
                <w:szCs w:val="18"/>
                <w:b w:val="1"/>
                <w:bCs w:val="1"/>
                <w:color w:val="auto"/>
              </w:rPr>
              <w:t xml:space="preserve">Evolution of digital clients </w:t>
            </w:r>
            <w:r>
              <w:rPr>
                <w:rFonts w:ascii="Arial" w:cs="Arial" w:eastAsia="Arial" w:hAnsi="Arial"/>
                <w:sz w:val="29"/>
                <w:szCs w:val="29"/>
                <w:b w:val="1"/>
                <w:bCs w:val="1"/>
                <w:color w:val="auto"/>
                <w:vertAlign w:val="superscript"/>
              </w:rPr>
              <w:t>(1)</w:t>
            </w:r>
          </w:p>
        </w:tc>
        <w:tc>
          <w:tcPr>
            <w:tcW w:w="3660" w:type="dxa"/>
            <w:vAlign w:val="bottom"/>
            <w:gridSpan w:val="6"/>
          </w:tcPr>
          <w:p>
            <w:pPr>
              <w:jc w:val="right"/>
              <w:ind w:right="31"/>
              <w:spacing w:after="0"/>
              <w:rPr>
                <w:sz w:val="20"/>
                <w:szCs w:val="20"/>
                <w:color w:val="auto"/>
              </w:rPr>
            </w:pPr>
            <w:r>
              <w:rPr>
                <w:rFonts w:ascii="Arial" w:cs="Arial" w:eastAsia="Arial" w:hAnsi="Arial"/>
                <w:sz w:val="18"/>
                <w:szCs w:val="18"/>
                <w:b w:val="1"/>
                <w:bCs w:val="1"/>
                <w:color w:val="auto"/>
                <w:w w:val="91"/>
              </w:rPr>
              <w:t xml:space="preserve">Composition of digital clients </w:t>
            </w:r>
            <w:r>
              <w:rPr>
                <w:rFonts w:ascii="Arial" w:cs="Arial" w:eastAsia="Arial" w:hAnsi="Arial"/>
                <w:sz w:val="29"/>
                <w:szCs w:val="29"/>
                <w:b w:val="1"/>
                <w:bCs w:val="1"/>
                <w:color w:val="auto"/>
                <w:w w:val="91"/>
                <w:vertAlign w:val="superscript"/>
              </w:rPr>
              <w:t>(1)</w:t>
            </w:r>
            <w:r>
              <w:rPr>
                <w:rFonts w:ascii="Arial" w:cs="Arial" w:eastAsia="Arial" w:hAnsi="Arial"/>
                <w:sz w:val="18"/>
                <w:szCs w:val="18"/>
                <w:b w:val="1"/>
                <w:bCs w:val="1"/>
                <w:color w:val="auto"/>
                <w:w w:val="91"/>
              </w:rPr>
              <w:t xml:space="preserve"> by segment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6"/>
        </w:trPr>
        <w:tc>
          <w:tcPr>
            <w:tcW w:w="562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Group</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2Q20</w:t>
            </w:r>
          </w:p>
        </w:tc>
        <w:tc>
          <w:tcPr>
            <w:tcW w:w="2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1Q21</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2Q21</w:t>
            </w:r>
          </w:p>
        </w:tc>
        <w:tc>
          <w:tcPr>
            <w:tcW w:w="140" w:type="dxa"/>
            <w:vAlign w:val="bottom"/>
            <w:tcBorders>
              <w:bottom w:val="single" w:sz="8" w:color="CCEEFF"/>
            </w:tcBorders>
          </w:tcPr>
          <w:p>
            <w:pPr>
              <w:spacing w:after="0"/>
              <w:rPr>
                <w:sz w:val="24"/>
                <w:szCs w:val="24"/>
                <w:color w:val="auto"/>
              </w:rPr>
            </w:pPr>
          </w:p>
        </w:tc>
      </w:tr>
      <w:tr>
        <w:trPr>
          <w:trHeight w:val="206"/>
        </w:trPr>
        <w:tc>
          <w:tcPr>
            <w:tcW w:w="5620" w:type="dxa"/>
            <w:vAlign w:val="bottom"/>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Enalta</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w:t>
            </w:r>
          </w:p>
        </w:tc>
      </w:tr>
      <w:tr>
        <w:trPr>
          <w:trHeight w:val="212"/>
        </w:trPr>
        <w:tc>
          <w:tcPr>
            <w:tcW w:w="56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Affluent</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77.04%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81.23%</w:t>
            </w:r>
          </w:p>
        </w:tc>
      </w:tr>
      <w:tr>
        <w:trPr>
          <w:trHeight w:val="226"/>
        </w:trPr>
        <w:tc>
          <w:tcPr>
            <w:tcW w:w="56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w:t>
            </w:r>
          </w:p>
        </w:tc>
      </w:tr>
      <w:tr>
        <w:trPr>
          <w:trHeight w:val="206"/>
        </w:trPr>
        <w:tc>
          <w:tcPr>
            <w:tcW w:w="5620" w:type="dxa"/>
            <w:vAlign w:val="bottom"/>
          </w:tcPr>
          <w:p>
            <w:pPr>
              <w:spacing w:after="0"/>
              <w:rPr>
                <w:sz w:val="17"/>
                <w:szCs w:val="17"/>
                <w:color w:val="auto"/>
              </w:rPr>
            </w:pPr>
          </w:p>
        </w:tc>
        <w:tc>
          <w:tcPr>
            <w:tcW w:w="940" w:type="dxa"/>
            <w:vAlign w:val="bottom"/>
          </w:tcPr>
          <w:p>
            <w:pPr>
              <w:spacing w:after="0" w:line="204" w:lineRule="exact"/>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49.60</w:t>
            </w:r>
          </w:p>
        </w:tc>
        <w:tc>
          <w:tcPr>
            <w:tcW w:w="200" w:type="dxa"/>
            <w:vAlign w:val="bottom"/>
          </w:tcPr>
          <w:p>
            <w:pPr>
              <w:jc w:val="right"/>
              <w:spacing w:after="0" w:line="204" w:lineRule="exact"/>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56.14</w:t>
            </w:r>
          </w:p>
        </w:tc>
        <w:tc>
          <w:tcPr>
            <w:tcW w:w="220" w:type="dxa"/>
            <w:vAlign w:val="bottom"/>
          </w:tcPr>
          <w:p>
            <w:pPr>
              <w:jc w:val="right"/>
              <w:spacing w:after="0" w:line="204" w:lineRule="exact"/>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56.33</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5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-716280</wp:posOffset>
            </wp:positionV>
            <wp:extent cx="3339465" cy="1585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3946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
        <w:spacing w:after="0" w:line="265" w:lineRule="auto"/>
        <w:tabs>
          <w:tab w:leader="none" w:pos="2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Clientes digitales: Clientes de la banca minorista que realizan el 50% de sus transacciones monetarias a través de canales digitales; o compró productos online en los últimos 12 meses</w:t>
      </w:r>
    </w:p>
    <w:p>
      <w:pPr>
        <w:spacing w:after="0" w:line="180" w:lineRule="exact"/>
        <w:rPr>
          <w:rFonts w:ascii="Arial" w:cs="Arial" w:eastAsia="Arial" w:hAnsi="Arial"/>
          <w:sz w:val="18"/>
          <w:szCs w:val="18"/>
          <w:color w:val="auto"/>
        </w:rPr>
      </w:pPr>
    </w:p>
    <w:p>
      <w:pPr>
        <w:jc w:val="both"/>
        <w:ind w:left="640" w:hanging="315"/>
        <w:spacing w:after="0" w:line="252" w:lineRule="auto"/>
        <w:tabs>
          <w:tab w:leader="none" w:pos="6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number of digitalized clients within the pool of total clients has followed an upward trend over the last few quarters. In 2Q21, digital clients represented 56.33% of total clients in Individuals Banking at BCP Stand-alone. The consumer segment, which marks the trend for digitalization given that it possesses the largest share of clients of total individuals banking clients, registered the most pronounced increase in digitalization since the quarantine began, reaching a digitalization level of 55.15% in 2Q21.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10.1.2. Transactions per channel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transactions per channel and the unit transaction cost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139065</wp:posOffset>
            </wp:positionV>
            <wp:extent cx="3406775" cy="26060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067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monthly average transactions increased +14%. This growth was primarily driven by digital channels, which have lower transactional cost and grew 16.2%, led by:</w:t>
      </w:r>
    </w:p>
    <w:p>
      <w:pPr>
        <w:spacing w:after="0" w:line="168" w:lineRule="exact"/>
        <w:rPr>
          <w:sz w:val="20"/>
          <w:szCs w:val="20"/>
          <w:color w:val="auto"/>
        </w:rPr>
      </w:pPr>
    </w:p>
    <w:p>
      <w:pPr>
        <w:ind w:left="640" w:hanging="315"/>
        <w:spacing w:after="0" w:line="272"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Yape</w:t>
      </w:r>
      <w:r>
        <w:rPr>
          <w:rFonts w:ascii="Arial" w:cs="Arial" w:eastAsia="Arial" w:hAnsi="Arial"/>
          <w:sz w:val="18"/>
          <w:szCs w:val="18"/>
          <w:color w:val="auto"/>
        </w:rPr>
        <w:t>, which has registered on-going growth over the past few quarters that was particularly noteworthy this 2Q21: +35.8% in monthly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This improvement was driven by aggressive marketing campaigns.</w:t>
      </w:r>
    </w:p>
    <w:p>
      <w:pPr>
        <w:spacing w:after="0" w:line="168" w:lineRule="exact"/>
        <w:rPr>
          <w:sz w:val="20"/>
          <w:szCs w:val="20"/>
          <w:color w:val="auto"/>
        </w:rPr>
      </w:pPr>
    </w:p>
    <w:p>
      <w:pPr>
        <w:ind w:left="640" w:hanging="315"/>
        <w:spacing w:after="0" w:line="272"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Transactions through </w:t>
      </w:r>
      <w:r>
        <w:rPr>
          <w:rFonts w:ascii="Arial" w:cs="Arial" w:eastAsia="Arial" w:hAnsi="Arial"/>
          <w:sz w:val="18"/>
          <w:szCs w:val="18"/>
          <w:b w:val="1"/>
          <w:bCs w:val="1"/>
          <w:color w:val="auto"/>
        </w:rPr>
        <w:t>Mobile Banking</w:t>
      </w:r>
      <w:r>
        <w:rPr>
          <w:rFonts w:ascii="Arial" w:cs="Arial" w:eastAsia="Arial" w:hAnsi="Arial"/>
          <w:sz w:val="18"/>
          <w:szCs w:val="18"/>
          <w:color w:val="auto"/>
        </w:rPr>
        <w:t xml:space="preserve"> increased 9.6%, which reflected economic reactivation after a second quarantine was enacted in the first quarter of the year to contain COVID-19.</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monthly average transactions increased +84.2%. Growth was driven by a significant uptick in transactions via </w:t>
      </w:r>
      <w:r>
        <w:rPr>
          <w:rFonts w:ascii="Arial" w:cs="Arial" w:eastAsia="Arial" w:hAnsi="Arial"/>
          <w:sz w:val="18"/>
          <w:szCs w:val="18"/>
          <w:b w:val="1"/>
          <w:bCs w:val="1"/>
          <w:color w:val="auto"/>
        </w:rPr>
        <w:t>digital channels</w:t>
      </w:r>
      <w:r>
        <w:rPr>
          <w:rFonts w:ascii="Arial" w:cs="Arial" w:eastAsia="Arial" w:hAnsi="Arial"/>
          <w:sz w:val="18"/>
          <w:szCs w:val="18"/>
          <w:color w:val="auto"/>
        </w:rPr>
        <w:t>, where volume was up +88.3%.</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4" w:right="339" w:bottom="560" w:gutter="0" w:footer="0" w:header="0"/>
        </w:sectPr>
      </w:pPr>
    </w:p>
    <w:bookmarkStart w:id="60" w:name="page61"/>
    <w:bookmarkEnd w:id="60"/>
    <w:p>
      <w:pPr>
        <w:spacing w:after="0" w:line="272" w:lineRule="auto"/>
        <w:rPr>
          <w:sz w:val="20"/>
          <w:szCs w:val="20"/>
          <w:color w:val="auto"/>
        </w:rPr>
      </w:pPr>
      <w:r>
        <w:rPr>
          <w:rFonts w:ascii="Arial" w:cs="Arial" w:eastAsia="Arial" w:hAnsi="Arial"/>
          <w:sz w:val="18"/>
          <w:szCs w:val="18"/>
          <w:b w:val="1"/>
          <w:bCs w:val="1"/>
          <w:color w:val="auto"/>
        </w:rPr>
        <w:t xml:space="preserve">Traditional and self-service channels </w:t>
      </w:r>
      <w:r>
        <w:rPr>
          <w:rFonts w:ascii="Arial" w:cs="Arial" w:eastAsia="Arial" w:hAnsi="Arial"/>
          <w:sz w:val="18"/>
          <w:szCs w:val="18"/>
          <w:color w:val="auto"/>
        </w:rPr>
        <w:t>grew 75.2% and 53.2% respectively given that in 2Q20, a strict quarantine was in place, which meant that fewer</w:t>
      </w:r>
      <w:r>
        <w:rPr>
          <w:rFonts w:ascii="Arial" w:cs="Arial" w:eastAsia="Arial" w:hAnsi="Arial"/>
          <w:sz w:val="18"/>
          <w:szCs w:val="18"/>
          <w:b w:val="1"/>
          <w:bCs w:val="1"/>
          <w:color w:val="auto"/>
        </w:rPr>
        <w:t xml:space="preserve"> </w:t>
      </w:r>
      <w:r>
        <w:rPr>
          <w:rFonts w:ascii="Arial" w:cs="Arial" w:eastAsia="Arial" w:hAnsi="Arial"/>
          <w:sz w:val="18"/>
          <w:szCs w:val="18"/>
          <w:color w:val="auto"/>
        </w:rPr>
        <w:t>people visited branches and other physical points of service.</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most significant variations were registered by </w:t>
      </w:r>
      <w:r>
        <w:rPr>
          <w:rFonts w:ascii="Arial" w:cs="Arial" w:eastAsia="Arial" w:hAnsi="Arial"/>
          <w:sz w:val="18"/>
          <w:szCs w:val="18"/>
          <w:b w:val="1"/>
          <w:bCs w:val="1"/>
          <w:color w:val="auto"/>
        </w:rPr>
        <w:t>Yape and Mobile Banking,</w:t>
      </w:r>
      <w:r>
        <w:rPr>
          <w:rFonts w:ascii="Arial" w:cs="Arial" w:eastAsia="Arial" w:hAnsi="Arial"/>
          <w:sz w:val="18"/>
          <w:szCs w:val="18"/>
          <w:color w:val="auto"/>
        </w:rPr>
        <w:t xml:space="preserve"> which expanded 470.4% and 51.5%, respectively. This growth led the transaction cost per unit to fall -64.2% in the case of Yape while the cost for Mobile Banking remained flat.</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It is important to note that over the last few quarters, client migration has driven down the was transactions cost per unit in digital channels. In this contact, the total average monthly transactions cost fell from 0.35 in 2Q20 to 0.21 in 2Q21.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10.1.3. Retail Banking Sales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2380" w:type="dxa"/>
            <w:vAlign w:val="bottom"/>
            <w:gridSpan w:val="5"/>
          </w:tcPr>
          <w:p>
            <w:pPr>
              <w:ind w:left="720"/>
              <w:spacing w:after="0"/>
              <w:rPr>
                <w:sz w:val="20"/>
                <w:szCs w:val="20"/>
                <w:color w:val="auto"/>
              </w:rPr>
            </w:pPr>
            <w:r>
              <w:rPr>
                <w:rFonts w:ascii="Arial" w:cs="Arial" w:eastAsia="Arial" w:hAnsi="Arial"/>
                <w:sz w:val="18"/>
                <w:szCs w:val="18"/>
                <w:b w:val="1"/>
                <w:bCs w:val="1"/>
                <w:color w:val="auto"/>
                <w:w w:val="91"/>
              </w:rPr>
              <w:t>Unit sold per Quarter</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Unit sold YTD</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0"/>
        </w:trPr>
        <w:tc>
          <w:tcPr>
            <w:tcW w:w="20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2Q20</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1Q21</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2Q21</w:t>
            </w: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TaT</w:t>
            </w:r>
          </w:p>
        </w:tc>
        <w:tc>
          <w:tcPr>
            <w:tcW w:w="3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AaA</w:t>
            </w:r>
          </w:p>
        </w:tc>
        <w:tc>
          <w:tcPr>
            <w:tcW w:w="3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 21/ Jun 20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6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 xml:space="preserve">Traditionals Sales </w:t>
            </w:r>
            <w:r>
              <w:rPr>
                <w:rFonts w:ascii="Arial" w:cs="Arial" w:eastAsia="Arial" w:hAnsi="Arial"/>
                <w:sz w:val="26"/>
                <w:szCs w:val="26"/>
                <w:color w:val="auto"/>
                <w:vertAlign w:val="superscript"/>
              </w:rPr>
              <w: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781,740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1,459,229</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1,977,813</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2,526,364</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2"/>
        </w:trPr>
        <w:tc>
          <w:tcPr>
            <w:tcW w:w="2060" w:type="dxa"/>
            <w:vAlign w:val="bottom"/>
          </w:tcPr>
          <w:p>
            <w:pPr>
              <w:spacing w:after="0"/>
              <w:rPr>
                <w:sz w:val="20"/>
                <w:szCs w:val="20"/>
                <w:color w:val="auto"/>
              </w:rPr>
            </w:pPr>
            <w:r>
              <w:rPr>
                <w:rFonts w:ascii="Arial" w:cs="Arial" w:eastAsia="Arial" w:hAnsi="Arial"/>
                <w:sz w:val="18"/>
                <w:szCs w:val="18"/>
                <w:color w:val="auto"/>
              </w:rPr>
              <w:t>Selfserved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143,533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265,067</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337,929</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135.4%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612,833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602,996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6"/>
        </w:trPr>
        <w:tc>
          <w:tcPr>
            <w:tcW w:w="206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 xml:space="preserve">Digital Sales </w:t>
            </w:r>
            <w:r>
              <w:rPr>
                <w:rFonts w:ascii="Arial" w:cs="Arial" w:eastAsia="Arial" w:hAnsi="Arial"/>
                <w:sz w:val="29"/>
                <w:szCs w:val="29"/>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516,696</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729,008</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816,952</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672,126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1,545,960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266" w:lineRule="exact"/>
              <w:rPr>
                <w:sz w:val="20"/>
                <w:szCs w:val="20"/>
                <w:color w:val="auto"/>
              </w:rPr>
            </w:pPr>
            <w:r>
              <w:rPr>
                <w:rFonts w:ascii="Arial" w:cs="Arial" w:eastAsia="Arial" w:hAnsi="Arial"/>
                <w:sz w:val="18"/>
                <w:szCs w:val="18"/>
                <w:b w:val="1"/>
                <w:bCs w:val="1"/>
                <w:color w:val="auto"/>
              </w:rPr>
              <w:t xml:space="preserve">Total Sales </w:t>
            </w:r>
            <w:r>
              <w:rPr>
                <w:rFonts w:ascii="Arial" w:cs="Arial" w:eastAsia="Arial" w:hAnsi="Arial"/>
                <w:sz w:val="29"/>
                <w:szCs w:val="29"/>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60" w:type="dxa"/>
            <w:vAlign w:val="bottom"/>
            <w:vMerge w:val="continue"/>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1,441,969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2,061,210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2,614,110</w:t>
            </w:r>
          </w:p>
        </w:tc>
        <w:tc>
          <w:tcPr>
            <w:tcW w:w="220" w:type="dxa"/>
            <w:vAlign w:val="bottom"/>
          </w:tcPr>
          <w:p>
            <w:pPr>
              <w:spacing w:after="0"/>
              <w:rPr>
                <w:sz w:val="21"/>
                <w:szCs w:val="21"/>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b w:val="1"/>
                <w:bCs w:val="1"/>
                <w:color w:val="auto"/>
              </w:rPr>
              <w:t>26.8%</w:t>
            </w:r>
          </w:p>
        </w:tc>
        <w:tc>
          <w:tcPr>
            <w:tcW w:w="2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3,546,933</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4,675,320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60" w:hanging="254"/>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Figures differ from those previously reported</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Includes advance on wages, personal loans, saving account, time deposits, cash withdrawal, insurance, credit cards y SME working capital loans.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retail banking sales registered growth of +26.8%. This improvement was driven primarily by:</w:t>
      </w:r>
    </w:p>
    <w:p>
      <w:pPr>
        <w:spacing w:after="0" w:line="218" w:lineRule="exact"/>
        <w:rPr>
          <w:sz w:val="20"/>
          <w:szCs w:val="20"/>
          <w:color w:val="auto"/>
        </w:rPr>
      </w:pPr>
    </w:p>
    <w:p>
      <w:pPr>
        <w:ind w:left="640" w:hanging="315"/>
        <w:spacing w:after="0" w:line="272"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traditional channels,</w:t>
      </w:r>
      <w:r>
        <w:rPr>
          <w:rFonts w:ascii="Arial" w:cs="Arial" w:eastAsia="Arial" w:hAnsi="Arial"/>
          <w:sz w:val="18"/>
          <w:szCs w:val="18"/>
          <w:color w:val="auto"/>
        </w:rPr>
        <w:t xml:space="preserve"> in a context of economic reactivation and given that fact that that in the first quarter of the year, a second quarantine was imposed.</w:t>
      </w:r>
    </w:p>
    <w:p>
      <w:pPr>
        <w:spacing w:after="0" w:line="168" w:lineRule="exact"/>
        <w:rPr>
          <w:rFonts w:ascii="Arial" w:cs="Arial" w:eastAsia="Arial" w:hAnsi="Arial"/>
          <w:sz w:val="18"/>
          <w:szCs w:val="18"/>
          <w:color w:val="auto"/>
        </w:rPr>
      </w:pPr>
    </w:p>
    <w:p>
      <w:pPr>
        <w:jc w:val="both"/>
        <w:ind w:left="640" w:hanging="315"/>
        <w:spacing w:after="0" w:line="259"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 uptick in sales through </w:t>
      </w:r>
      <w:r>
        <w:rPr>
          <w:rFonts w:ascii="Arial" w:cs="Arial" w:eastAsia="Arial" w:hAnsi="Arial"/>
          <w:sz w:val="18"/>
          <w:szCs w:val="18"/>
          <w:b w:val="1"/>
          <w:bCs w:val="1"/>
          <w:color w:val="auto"/>
        </w:rPr>
        <w:t>digital channels,</w:t>
      </w:r>
      <w:r>
        <w:rPr>
          <w:rFonts w:ascii="Arial" w:cs="Arial" w:eastAsia="Arial" w:hAnsi="Arial"/>
          <w:sz w:val="18"/>
          <w:szCs w:val="18"/>
          <w:color w:val="auto"/>
        </w:rPr>
        <w:t xml:space="preserve"> which also benefitted from economic reactivation. The products that registered the most favorable evolution were: </w:t>
      </w:r>
      <w:r>
        <w:rPr>
          <w:rFonts w:ascii="Arial" w:cs="Arial" w:eastAsia="Arial" w:hAnsi="Arial"/>
          <w:sz w:val="18"/>
          <w:szCs w:val="18"/>
          <w:b w:val="1"/>
          <w:bCs w:val="1"/>
          <w:color w:val="auto"/>
        </w:rPr>
        <w:t>Advances on wages and Insurance</w:t>
      </w:r>
      <w:r>
        <w:rPr>
          <w:rFonts w:ascii="Arial" w:cs="Arial" w:eastAsia="Arial" w:hAnsi="Arial"/>
          <w:sz w:val="18"/>
          <w:szCs w:val="18"/>
          <w:color w:val="auto"/>
        </w:rPr>
        <w:t>, which posted growth of 22% and 56% respectively due to aggressive marketing campaigns this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and YTD analysis,</w:t>
      </w:r>
      <w:r>
        <w:rPr>
          <w:rFonts w:ascii="Arial" w:cs="Arial" w:eastAsia="Arial" w:hAnsi="Arial"/>
          <w:sz w:val="18"/>
          <w:szCs w:val="18"/>
          <w:color w:val="auto"/>
        </w:rPr>
        <w:t xml:space="preserve"> sales grew +81.3% and +31.8% respectively. This evolution was attributable to:</w:t>
      </w:r>
    </w:p>
    <w:p>
      <w:pPr>
        <w:spacing w:after="0" w:line="218" w:lineRule="exact"/>
        <w:rPr>
          <w:sz w:val="20"/>
          <w:szCs w:val="20"/>
          <w:color w:val="auto"/>
        </w:rPr>
      </w:pPr>
    </w:p>
    <w:p>
      <w:pPr>
        <w:ind w:left="640" w:hanging="315"/>
        <w:spacing w:after="0" w:line="272"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Growth in sales through </w:t>
      </w:r>
      <w:r>
        <w:rPr>
          <w:rFonts w:ascii="Arial" w:cs="Arial" w:eastAsia="Arial" w:hAnsi="Arial"/>
          <w:sz w:val="18"/>
          <w:szCs w:val="18"/>
          <w:b w:val="1"/>
          <w:bCs w:val="1"/>
          <w:color w:val="auto"/>
        </w:rPr>
        <w:t>digital channels</w:t>
      </w:r>
      <w:r>
        <w:rPr>
          <w:rFonts w:ascii="Arial" w:cs="Arial" w:eastAsia="Arial" w:hAnsi="Arial"/>
          <w:sz w:val="18"/>
          <w:szCs w:val="18"/>
          <w:color w:val="auto"/>
        </w:rPr>
        <w:t xml:space="preserve">, which has captured high numbers of clients this year. The products that have led this growth are: </w:t>
      </w:r>
      <w:r>
        <w:rPr>
          <w:rFonts w:ascii="Arial" w:cs="Arial" w:eastAsia="Arial" w:hAnsi="Arial"/>
          <w:sz w:val="18"/>
          <w:szCs w:val="18"/>
          <w:b w:val="1"/>
          <w:bCs w:val="1"/>
          <w:color w:val="auto"/>
        </w:rPr>
        <w:t>Savings</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 Advances on wages and Insurance</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640" w:hanging="315"/>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Sales through traditional channels, which registered an uptick in sales of </w:t>
      </w: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aforementioned was partially offset by a slight drop in self-service channels. </w:t>
      </w:r>
      <w:r>
        <w:rPr>
          <w:rFonts w:ascii="Arial" w:cs="Arial" w:eastAsia="Arial" w:hAnsi="Arial"/>
          <w:sz w:val="18"/>
          <w:szCs w:val="18"/>
          <w:b w:val="1"/>
          <w:bCs w:val="1"/>
          <w:color w:val="auto"/>
        </w:rPr>
        <w:t>Advances on wages,</w:t>
      </w:r>
      <w:r>
        <w:rPr>
          <w:rFonts w:ascii="Arial" w:cs="Arial" w:eastAsia="Arial" w:hAnsi="Arial"/>
          <w:sz w:val="18"/>
          <w:szCs w:val="18"/>
          <w:color w:val="auto"/>
        </w:rPr>
        <w:t xml:space="preserve"> accounted for the majority of the decline in the use of self-service options due to its clients have migrated to digital channels.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It is important to note that </w:t>
      </w:r>
      <w:r>
        <w:rPr>
          <w:rFonts w:ascii="Arial" w:cs="Arial" w:eastAsia="Arial" w:hAnsi="Arial"/>
          <w:sz w:val="18"/>
          <w:szCs w:val="18"/>
          <w:b w:val="1"/>
          <w:bCs w:val="1"/>
          <w:color w:val="auto"/>
        </w:rPr>
        <w:t>Total sales</w:t>
      </w:r>
      <w:r>
        <w:rPr>
          <w:rFonts w:ascii="Arial" w:cs="Arial" w:eastAsia="Arial" w:hAnsi="Arial"/>
          <w:sz w:val="18"/>
          <w:szCs w:val="18"/>
          <w:color w:val="auto"/>
        </w:rPr>
        <w:t xml:space="preserve"> have topped pre-pandemic levels (increase of +7% with regard to 4Q19). </w:t>
      </w:r>
      <w:r>
        <w:rPr>
          <w:rFonts w:ascii="Arial" w:cs="Arial" w:eastAsia="Arial" w:hAnsi="Arial"/>
          <w:sz w:val="18"/>
          <w:szCs w:val="18"/>
          <w:b w:val="1"/>
          <w:bCs w:val="1"/>
          <w:color w:val="auto"/>
        </w:rPr>
        <w:t>Sales in digital channels</w:t>
      </w:r>
      <w:r>
        <w:rPr>
          <w:rFonts w:ascii="Arial" w:cs="Arial" w:eastAsia="Arial" w:hAnsi="Arial"/>
          <w:sz w:val="18"/>
          <w:szCs w:val="18"/>
          <w:color w:val="auto"/>
        </w:rPr>
        <w:t xml:space="preserve"> went from representing 20.9% of total sales in 1Q20 to 31.3% in 2Q21, driven by client migration to digital platforms and by advertising campaigns to spur purchases through these venues.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color w:val="auto"/>
              </w:rPr>
              <w:t>10.2. Points of Contact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5"/>
        </w:trPr>
        <w:tc>
          <w:tcPr>
            <w:tcW w:w="3240" w:type="dxa"/>
            <w:vAlign w:val="bottom"/>
          </w:tcPr>
          <w:p>
            <w:pPr>
              <w:spacing w:after="0"/>
              <w:rPr>
                <w:sz w:val="20"/>
                <w:szCs w:val="20"/>
                <w:color w:val="auto"/>
              </w:rPr>
            </w:pPr>
            <w:r>
              <w:rPr>
                <w:rFonts w:ascii="Arial" w:cs="Arial" w:eastAsia="Arial" w:hAnsi="Arial"/>
                <w:sz w:val="18"/>
                <w:szCs w:val="18"/>
                <w:b w:val="1"/>
                <w:bCs w:val="1"/>
                <w:color w:val="auto"/>
              </w:rPr>
              <w:t>10.2.1 Points of Contact BCP</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20"/>
        </w:trPr>
        <w:tc>
          <w:tcPr>
            <w:tcW w:w="3240" w:type="dxa"/>
            <w:vAlign w:val="bottom"/>
          </w:tcPr>
          <w:p>
            <w:pPr>
              <w:spacing w:after="0"/>
              <w:rPr>
                <w:sz w:val="19"/>
                <w:szCs w:val="19"/>
                <w:color w:val="auto"/>
              </w:rPr>
            </w:pPr>
          </w:p>
        </w:tc>
        <w:tc>
          <w:tcPr>
            <w:tcW w:w="11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Jun 20</w:t>
            </w:r>
          </w:p>
        </w:tc>
        <w:tc>
          <w:tcPr>
            <w:tcW w:w="12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Mar 21</w:t>
            </w:r>
          </w:p>
        </w:tc>
        <w:tc>
          <w:tcPr>
            <w:tcW w:w="9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21</w:t>
            </w:r>
          </w:p>
        </w:tc>
        <w:tc>
          <w:tcPr>
            <w:tcW w:w="200" w:type="dxa"/>
            <w:vAlign w:val="bottom"/>
          </w:tcPr>
          <w:p>
            <w:pPr>
              <w:spacing w:after="0"/>
              <w:rPr>
                <w:sz w:val="19"/>
                <w:szCs w:val="19"/>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96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YoY</w:t>
            </w:r>
          </w:p>
        </w:tc>
        <w:tc>
          <w:tcPr>
            <w:tcW w:w="80" w:type="dxa"/>
            <w:vAlign w:val="bottom"/>
            <w:gridSpan w:val="2"/>
          </w:tcPr>
          <w:p>
            <w:pPr>
              <w:spacing w:after="0"/>
              <w:rPr>
                <w:sz w:val="19"/>
                <w:szCs w:val="19"/>
                <w:color w:val="auto"/>
              </w:rPr>
            </w:pPr>
          </w:p>
        </w:tc>
      </w:tr>
      <w:tr>
        <w:trPr>
          <w:trHeight w:val="206"/>
        </w:trPr>
        <w:tc>
          <w:tcPr>
            <w:tcW w:w="32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Branches</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403</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388</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363</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3240" w:type="dxa"/>
            <w:vAlign w:val="bottom"/>
          </w:tcPr>
          <w:p>
            <w:pPr>
              <w:spacing w:after="0"/>
              <w:rPr>
                <w:sz w:val="20"/>
                <w:szCs w:val="20"/>
                <w:color w:val="auto"/>
              </w:rPr>
            </w:pPr>
            <w:r>
              <w:rPr>
                <w:rFonts w:ascii="Arial" w:cs="Arial" w:eastAsia="Arial" w:hAnsi="Arial"/>
                <w:sz w:val="18"/>
                <w:szCs w:val="18"/>
                <w:color w:val="auto"/>
              </w:rPr>
              <w:t>ATMs</w:t>
            </w:r>
          </w:p>
        </w:tc>
        <w:tc>
          <w:tcPr>
            <w:tcW w:w="1000" w:type="dxa"/>
            <w:vAlign w:val="bottom"/>
          </w:tcPr>
          <w:p>
            <w:pPr>
              <w:jc w:val="right"/>
              <w:spacing w:after="0"/>
              <w:rPr>
                <w:sz w:val="20"/>
                <w:szCs w:val="20"/>
                <w:color w:val="auto"/>
              </w:rPr>
            </w:pPr>
            <w:r>
              <w:rPr>
                <w:rFonts w:ascii="Arial" w:cs="Arial" w:eastAsia="Arial" w:hAnsi="Arial"/>
                <w:sz w:val="18"/>
                <w:szCs w:val="18"/>
                <w:color w:val="auto"/>
              </w:rPr>
              <w:t>2,291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2,306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2,291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r>
      <w:tr>
        <w:trPr>
          <w:trHeight w:val="206"/>
        </w:trPr>
        <w:tc>
          <w:tcPr>
            <w:tcW w:w="3240" w:type="dxa"/>
            <w:vAlign w:val="bottom"/>
          </w:tcPr>
          <w:p>
            <w:pPr>
              <w:spacing w:after="0" w:line="206" w:lineRule="exact"/>
              <w:rPr>
                <w:sz w:val="20"/>
                <w:szCs w:val="20"/>
                <w:color w:val="auto"/>
              </w:rPr>
            </w:pPr>
            <w:r>
              <w:rPr>
                <w:rFonts w:ascii="Arial" w:cs="Arial" w:eastAsia="Arial" w:hAnsi="Arial"/>
                <w:sz w:val="18"/>
                <w:szCs w:val="18"/>
                <w:b w:val="1"/>
                <w:bCs w:val="1"/>
                <w:color w:val="auto"/>
              </w:rPr>
              <w:t>Total BCP's Network</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9,633</w:t>
            </w:r>
          </w:p>
        </w:tc>
        <w:tc>
          <w:tcPr>
            <w:tcW w:w="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9,554</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9,472</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-161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Client migration to digital channels led BCP Stand-alone to reduce its number of Branches, ATMS and Agentes BCP by 25 units, 15 untis and 42 units QoQ respectively. In YoY terms, Branches and Agentes fell by 40 and 121 respectively.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color w:val="auto"/>
              </w:rPr>
              <w:t>10.2.2 Points of Contact BCP Bolivia</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9"/>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20"/>
        </w:trPr>
        <w:tc>
          <w:tcPr>
            <w:tcW w:w="324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Jun 20</w:t>
            </w:r>
          </w:p>
        </w:tc>
        <w:tc>
          <w:tcPr>
            <w:tcW w:w="12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Mar 21</w:t>
            </w:r>
          </w:p>
        </w:tc>
        <w:tc>
          <w:tcPr>
            <w:tcW w:w="9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21</w:t>
            </w:r>
          </w:p>
        </w:tc>
        <w:tc>
          <w:tcPr>
            <w:tcW w:w="200" w:type="dxa"/>
            <w:vAlign w:val="bottom"/>
          </w:tcPr>
          <w:p>
            <w:pPr>
              <w:spacing w:after="0"/>
              <w:rPr>
                <w:sz w:val="19"/>
                <w:szCs w:val="19"/>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96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YoY</w:t>
            </w:r>
          </w:p>
        </w:tc>
        <w:tc>
          <w:tcPr>
            <w:tcW w:w="80" w:type="dxa"/>
            <w:vAlign w:val="bottom"/>
            <w:gridSpan w:val="2"/>
          </w:tcPr>
          <w:p>
            <w:pPr>
              <w:spacing w:after="0"/>
              <w:rPr>
                <w:sz w:val="19"/>
                <w:szCs w:val="19"/>
                <w:color w:val="auto"/>
              </w:rPr>
            </w:pPr>
          </w:p>
        </w:tc>
      </w:tr>
      <w:tr>
        <w:trPr>
          <w:trHeight w:val="206"/>
        </w:trPr>
        <w:tc>
          <w:tcPr>
            <w:tcW w:w="32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Branches</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47</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3240" w:type="dxa"/>
            <w:vAlign w:val="bottom"/>
          </w:tcPr>
          <w:p>
            <w:pPr>
              <w:spacing w:after="0"/>
              <w:rPr>
                <w:sz w:val="20"/>
                <w:szCs w:val="20"/>
                <w:color w:val="auto"/>
              </w:rPr>
            </w:pPr>
            <w:r>
              <w:rPr>
                <w:rFonts w:ascii="Arial" w:cs="Arial" w:eastAsia="Arial" w:hAnsi="Arial"/>
                <w:sz w:val="18"/>
                <w:szCs w:val="18"/>
                <w:color w:val="auto"/>
              </w:rPr>
              <w:t>ATMs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2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9"/>
                <w:szCs w:val="19"/>
                <w:color w:val="auto"/>
              </w:rPr>
            </w:pPr>
          </w:p>
        </w:tc>
      </w:tr>
      <w:tr>
        <w:trPr>
          <w:trHeight w:val="206"/>
        </w:trPr>
        <w:tc>
          <w:tcPr>
            <w:tcW w:w="3240" w:type="dxa"/>
            <w:vAlign w:val="bottom"/>
          </w:tcPr>
          <w:p>
            <w:pPr>
              <w:spacing w:after="0" w:line="206" w:lineRule="exact"/>
              <w:rPr>
                <w:sz w:val="20"/>
                <w:szCs w:val="20"/>
                <w:color w:val="auto"/>
              </w:rPr>
            </w:pPr>
            <w:r>
              <w:rPr>
                <w:rFonts w:ascii="Arial" w:cs="Arial" w:eastAsia="Arial" w:hAnsi="Arial"/>
                <w:sz w:val="18"/>
                <w:szCs w:val="18"/>
                <w:b w:val="1"/>
                <w:bCs w:val="1"/>
                <w:color w:val="auto"/>
              </w:rPr>
              <w:t>Total Bolivia's Network</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945</w:t>
            </w:r>
          </w:p>
        </w:tc>
        <w:tc>
          <w:tcPr>
            <w:tcW w:w="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1,214</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1,203</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258</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At BCP Bolivia, points of contact fell by 11 units QoQ after 7 branches were closed and 5 ATMs were eliminated. On the contrary, YoY, points of contact rose +258 due to growth in Agentes BCP (+268), in line with the strategy to expand through cost-efficient channels.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color w:val="auto"/>
                <w:w w:val="89"/>
              </w:rPr>
              <w:t>10.2.1. Physical points of contact Mibanco</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9"/>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change (units)</w:t>
            </w:r>
          </w:p>
        </w:tc>
      </w:tr>
      <w:tr>
        <w:trPr>
          <w:trHeight w:val="220"/>
        </w:trPr>
        <w:tc>
          <w:tcPr>
            <w:tcW w:w="3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Jun 20</w:t>
            </w:r>
          </w:p>
        </w:tc>
        <w:tc>
          <w:tcPr>
            <w:tcW w:w="18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21</w:t>
            </w:r>
          </w:p>
        </w:tc>
        <w:tc>
          <w:tcPr>
            <w:tcW w:w="20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Jun 21</w:t>
            </w:r>
          </w:p>
        </w:tc>
        <w:tc>
          <w:tcPr>
            <w:tcW w:w="2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QoQ</w:t>
            </w:r>
          </w:p>
        </w:tc>
        <w:tc>
          <w:tcPr>
            <w:tcW w:w="1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YoY</w:t>
            </w:r>
          </w:p>
        </w:tc>
        <w:tc>
          <w:tcPr>
            <w:tcW w:w="80" w:type="dxa"/>
            <w:vAlign w:val="bottom"/>
            <w:tcBorders>
              <w:bottom w:val="single" w:sz="8" w:color="CCEEFF"/>
            </w:tcBorders>
          </w:tcPr>
          <w:p>
            <w:pPr>
              <w:spacing w:after="0"/>
              <w:rPr>
                <w:sz w:val="19"/>
                <w:szCs w:val="19"/>
                <w:color w:val="auto"/>
              </w:rPr>
            </w:pPr>
          </w:p>
        </w:tc>
      </w:tr>
      <w:tr>
        <w:trPr>
          <w:trHeight w:val="232"/>
        </w:trPr>
        <w:tc>
          <w:tcPr>
            <w:tcW w:w="3240" w:type="dxa"/>
            <w:vAlign w:val="bottom"/>
            <w:shd w:val="clear" w:color="auto" w:fill="CCEEFF"/>
          </w:tcPr>
          <w:p>
            <w:pPr>
              <w:spacing w:after="0" w:line="232" w:lineRule="exact"/>
              <w:rPr>
                <w:sz w:val="20"/>
                <w:szCs w:val="20"/>
                <w:color w:val="auto"/>
              </w:rPr>
            </w:pPr>
            <w:r>
              <w:rPr>
                <w:rFonts w:ascii="Arial" w:cs="Arial" w:eastAsia="Arial" w:hAnsi="Arial"/>
                <w:sz w:val="16"/>
                <w:szCs w:val="16"/>
                <w:b w:val="1"/>
                <w:bCs w:val="1"/>
                <w:color w:val="auto"/>
              </w:rPr>
              <w:t xml:space="preserve">Total Mibanco's Network </w:t>
            </w:r>
            <w:r>
              <w:rPr>
                <w:rFonts w:ascii="Arial" w:cs="Arial" w:eastAsia="Arial" w:hAnsi="Arial"/>
                <w:sz w:val="26"/>
                <w:szCs w:val="26"/>
                <w:b w:val="1"/>
                <w:bCs w:val="1"/>
                <w:color w:val="auto"/>
                <w:vertAlign w:val="superscript"/>
              </w:rPr>
              <w:t>(1)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r>
    </w:tbl>
    <w:p>
      <w:pPr>
        <w:spacing w:after="0" w:line="200" w:lineRule="exact"/>
        <w:rPr>
          <w:sz w:val="20"/>
          <w:szCs w:val="20"/>
          <w:color w:val="auto"/>
        </w:rPr>
      </w:pPr>
    </w:p>
    <w:p>
      <w:pPr>
        <w:ind w:right="180" w:firstLine="6"/>
        <w:spacing w:after="0" w:line="265" w:lineRule="auto"/>
        <w:tabs>
          <w:tab w:leader="none" w:pos="2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Mibanco has not ATMs of Agentes given that it uses BCP’s network. The branch number includes branches operated by the Banco de la Nacion that can be used by Mibanco’s clients, which in Jun 20, Mar 21 and June 21 totaled 34, 34 and 34 respectively.</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Mibanco registered an increase of 2 branches QoQ. YoY, however, 8 branches were eliminated under a strategy to reduce costs in the context of the pandemic. It is important to note that Mibanco has an agreement with the Banco de la Nacion to use its branches at the national level to reduce operating costs. At the end of 2Q21, these branches represented 11% (34 branches) of the 319 operated by Mibanco.</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443230</wp:posOffset>
            </wp:positionV>
            <wp:extent cx="7134860" cy="88214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11. Economic Perspectives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11.1. Peru: Economic Forecasts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122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9"/>
                <w:szCs w:val="29"/>
                <w:b w:val="1"/>
                <w:bCs w:val="1"/>
                <w:color w:val="auto"/>
                <w:vertAlign w:val="superscript"/>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GDP (US$ Millions)</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214,330</w:t>
            </w: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225,430</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231,006</w:t>
            </w: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204,500</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210,155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7,108</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66"/>
        </w:trPr>
        <w:tc>
          <w:tcPr>
            <w:tcW w:w="394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line="266" w:lineRule="exact"/>
              <w:rPr>
                <w:sz w:val="20"/>
                <w:szCs w:val="20"/>
                <w:color w:val="auto"/>
              </w:rPr>
            </w:pPr>
            <w:r>
              <w:rPr>
                <w:rFonts w:ascii="Arial" w:cs="Arial" w:eastAsia="Arial" w:hAnsi="Arial"/>
                <w:sz w:val="18"/>
                <w:szCs w:val="18"/>
                <w:color w:val="auto"/>
              </w:rPr>
              <w:t>Inflation</w:t>
            </w:r>
            <w:r>
              <w:rPr>
                <w:rFonts w:ascii="Arial" w:cs="Arial" w:eastAsia="Arial" w:hAnsi="Arial"/>
                <w:sz w:val="29"/>
                <w:szCs w:val="29"/>
                <w:color w:val="auto"/>
                <w:vertAlign w:val="superscript"/>
              </w:rPr>
              <w:t>(2)</w:t>
            </w: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940" w:type="dxa"/>
            <w:vAlign w:val="bottom"/>
            <w:gridSpan w:val="2"/>
            <w:vMerge w:val="continue"/>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6"/>
        </w:trPr>
        <w:tc>
          <w:tcPr>
            <w:tcW w:w="3940" w:type="dxa"/>
            <w:vAlign w:val="bottom"/>
            <w:tcBorders>
              <w:top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Reference Rate</w:t>
            </w:r>
          </w:p>
        </w:tc>
        <w:tc>
          <w:tcPr>
            <w:tcW w:w="12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3.25</w:t>
            </w: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2.75</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2.25</w:t>
            </w: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0.25</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0.25 - 0.50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40" w:type="dxa"/>
            <w:vAlign w:val="bottom"/>
            <w:gridSpan w:val="2"/>
          </w:tcPr>
          <w:p>
            <w:pPr>
              <w:spacing w:after="0" w:line="205" w:lineRule="exact"/>
              <w:rPr>
                <w:sz w:val="20"/>
                <w:szCs w:val="20"/>
                <w:color w:val="auto"/>
              </w:rPr>
            </w:pPr>
            <w:r>
              <w:rPr>
                <w:rFonts w:ascii="Arial" w:cs="Arial" w:eastAsia="Arial" w:hAnsi="Arial"/>
                <w:sz w:val="18"/>
                <w:szCs w:val="18"/>
                <w:color w:val="auto"/>
              </w:rPr>
              <w:t>Exchange rate, end of period</w:t>
            </w:r>
          </w:p>
        </w:tc>
        <w:tc>
          <w:tcPr>
            <w:tcW w:w="1200" w:type="dxa"/>
            <w:vAlign w:val="bottom"/>
          </w:tcPr>
          <w:p>
            <w:pPr>
              <w:jc w:val="right"/>
              <w:spacing w:after="0" w:line="206" w:lineRule="exact"/>
              <w:rPr>
                <w:sz w:val="20"/>
                <w:szCs w:val="20"/>
                <w:color w:val="auto"/>
              </w:rPr>
            </w:pPr>
            <w:r>
              <w:rPr>
                <w:rFonts w:ascii="Arial" w:cs="Arial" w:eastAsia="Arial" w:hAnsi="Arial"/>
                <w:sz w:val="18"/>
                <w:szCs w:val="18"/>
                <w:color w:val="auto"/>
              </w:rPr>
              <w:t>3.24</w:t>
            </w:r>
          </w:p>
        </w:tc>
        <w:tc>
          <w:tcPr>
            <w:tcW w:w="280" w:type="dxa"/>
            <w:vAlign w:val="bottom"/>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Arial" w:cs="Arial" w:eastAsia="Arial" w:hAnsi="Arial"/>
                <w:sz w:val="18"/>
                <w:szCs w:val="18"/>
                <w:color w:val="auto"/>
              </w:rPr>
              <w:t>3.37</w:t>
            </w:r>
          </w:p>
        </w:tc>
        <w:tc>
          <w:tcPr>
            <w:tcW w:w="26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Arial" w:cs="Arial" w:eastAsia="Arial" w:hAnsi="Arial"/>
                <w:sz w:val="18"/>
                <w:szCs w:val="18"/>
                <w:color w:val="auto"/>
              </w:rPr>
              <w:t>3.31</w:t>
            </w:r>
          </w:p>
        </w:tc>
        <w:tc>
          <w:tcPr>
            <w:tcW w:w="28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Arial" w:cs="Arial" w:eastAsia="Arial" w:hAnsi="Arial"/>
                <w:sz w:val="18"/>
                <w:szCs w:val="18"/>
                <w:color w:val="auto"/>
              </w:rPr>
              <w:t>3.62</w:t>
            </w:r>
          </w:p>
        </w:tc>
        <w:tc>
          <w:tcPr>
            <w:tcW w:w="26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Arial" w:cs="Arial" w:eastAsia="Arial" w:hAnsi="Arial"/>
                <w:sz w:val="18"/>
                <w:szCs w:val="18"/>
                <w:color w:val="auto"/>
              </w:rPr>
              <w:t>4.00 - 4.25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6"/>
        </w:trPr>
        <w:tc>
          <w:tcPr>
            <w:tcW w:w="3940" w:type="dxa"/>
            <w:vAlign w:val="bottom"/>
            <w:tcBorders>
              <w:bottom w:val="single" w:sz="8" w:color="CCEEFF"/>
            </w:tcBorders>
            <w:gridSpan w:val="2"/>
          </w:tcPr>
          <w:p>
            <w:pPr>
              <w:spacing w:after="0" w:line="204" w:lineRule="exact"/>
              <w:rPr>
                <w:sz w:val="20"/>
                <w:szCs w:val="20"/>
                <w:color w:val="auto"/>
              </w:rPr>
            </w:pPr>
            <w:r>
              <w:rPr>
                <w:rFonts w:ascii="Arial" w:cs="Arial" w:eastAsia="Arial" w:hAnsi="Arial"/>
                <w:sz w:val="18"/>
                <w:szCs w:val="18"/>
                <w:color w:val="auto"/>
              </w:rPr>
              <w:t>Fiscal balance (% GDP)</w:t>
            </w:r>
          </w:p>
        </w:tc>
        <w:tc>
          <w:tcPr>
            <w:tcW w:w="12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Trade balance (US$ Millions)</w:t>
            </w:r>
          </w:p>
        </w:tc>
        <w:tc>
          <w:tcPr>
            <w:tcW w:w="12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6,700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7,197</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6,614</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7,750</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45,422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49,066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47,688</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42,413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38,722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41,870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41,074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34,663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Current account balance (As % GDP)</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63,621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60,121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68,316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74,707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BCRP, and SBS.</w:t>
      </w:r>
    </w:p>
    <w:p>
      <w:pPr>
        <w:spacing w:after="0" w:line="17" w:lineRule="exact"/>
        <w:rPr>
          <w:sz w:val="20"/>
          <w:szCs w:val="20"/>
          <w:color w:val="auto"/>
        </w:rPr>
      </w:pPr>
    </w:p>
    <w:p>
      <w:pPr>
        <w:ind w:left="260" w:hanging="254"/>
        <w:spacing w:after="0"/>
        <w:tabs>
          <w:tab w:leader="none" w:pos="26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System, Current Exchange Rate.</w:t>
      </w:r>
    </w:p>
    <w:p>
      <w:pPr>
        <w:spacing w:after="0" w:line="5" w:lineRule="exact"/>
        <w:rPr>
          <w:rFonts w:ascii="Arial" w:cs="Arial" w:eastAsia="Arial" w:hAnsi="Arial"/>
          <w:sz w:val="18"/>
          <w:szCs w:val="18"/>
          <w:i w:val="1"/>
          <w:iCs w:val="1"/>
          <w:color w:val="auto"/>
        </w:rPr>
      </w:pPr>
    </w:p>
    <w:p>
      <w:pPr>
        <w:ind w:left="260" w:hanging="254"/>
        <w:spacing w:after="0"/>
        <w:tabs>
          <w:tab w:leader="none" w:pos="26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Inflation target: 1% - 3%.</w:t>
      </w:r>
    </w:p>
    <w:p>
      <w:pPr>
        <w:spacing w:after="0" w:line="5" w:lineRule="exact"/>
        <w:rPr>
          <w:rFonts w:ascii="Arial" w:cs="Arial" w:eastAsia="Arial" w:hAnsi="Arial"/>
          <w:sz w:val="18"/>
          <w:szCs w:val="18"/>
          <w:i w:val="1"/>
          <w:iCs w:val="1"/>
          <w:color w:val="auto"/>
        </w:rPr>
      </w:pPr>
    </w:p>
    <w:p>
      <w:pPr>
        <w:ind w:left="260" w:hanging="254"/>
        <w:spacing w:after="0"/>
        <w:tabs>
          <w:tab w:leader="none" w:pos="26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by BCP Economic Research as of July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Variations,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3660140" cy="1686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60140" cy="1686560"/>
                    </a:xfrm>
                    <a:prstGeom prst="rect">
                      <a:avLst/>
                    </a:prstGeom>
                    <a:noFill/>
                  </pic:spPr>
                </pic:pic>
              </a:graphicData>
            </a:graphic>
          </wp:anchor>
        </w:drawing>
      </w:r>
    </w:p>
    <w:p>
      <w:pPr>
        <w:spacing w:after="0" w:line="399" w:lineRule="exact"/>
        <w:rPr>
          <w:sz w:val="20"/>
          <w:szCs w:val="20"/>
          <w:color w:val="auto"/>
        </w:rPr>
      </w:pPr>
    </w:p>
    <w:p>
      <w:pPr>
        <w:jc w:val="both"/>
        <w:ind w:left="6500" w:hanging="319"/>
        <w:spacing w:after="0" w:line="256" w:lineRule="auto"/>
        <w:tabs>
          <w:tab w:leader="none" w:pos="6480" w:val="left"/>
        </w:tabs>
        <w:rPr>
          <w:sz w:val="20"/>
          <w:szCs w:val="20"/>
          <w:color w:val="auto"/>
        </w:rPr>
      </w:pPr>
      <w:r>
        <w:rPr>
          <w:rFonts w:ascii="Arial" w:cs="Arial" w:eastAsia="Arial" w:hAnsi="Arial"/>
          <w:sz w:val="18"/>
          <w:szCs w:val="18"/>
          <w:color w:val="auto"/>
        </w:rPr>
        <w:t>·</w:t>
        <w:tab/>
        <w:t>After a rebound of 58% YoY in April, the economy advanced 48% YoY in May 2021 and stood only 0.4% below the level of May 2019.</w:t>
      </w:r>
    </w:p>
    <w:p>
      <w:pPr>
        <w:spacing w:after="0" w:line="188" w:lineRule="exact"/>
        <w:rPr>
          <w:sz w:val="20"/>
          <w:szCs w:val="20"/>
          <w:color w:val="auto"/>
        </w:rPr>
      </w:pPr>
    </w:p>
    <w:p>
      <w:pPr>
        <w:jc w:val="both"/>
        <w:ind w:left="6500" w:hanging="319"/>
        <w:spacing w:after="0" w:line="256" w:lineRule="auto"/>
        <w:tabs>
          <w:tab w:leader="none" w:pos="6480" w:val="left"/>
        </w:tabs>
        <w:rPr>
          <w:sz w:val="20"/>
          <w:szCs w:val="20"/>
          <w:color w:val="auto"/>
        </w:rPr>
      </w:pPr>
      <w:r>
        <w:rPr>
          <w:rFonts w:ascii="Arial" w:cs="Arial" w:eastAsia="Arial" w:hAnsi="Arial"/>
          <w:sz w:val="18"/>
          <w:szCs w:val="18"/>
          <w:color w:val="auto"/>
        </w:rPr>
        <w:t>·</w:t>
        <w:tab/>
        <w:t>Our estimates suggest that GDP grew around 41.5% YoY in 2Q21 after contracting 30% YoY in 2Q20 in a context of strict lockdowns.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In the first half of 2021, GDP experienced a rebound of around 20% YoY, but remained 0.5% below the figure reported for the same period of 2019.</w:t>
      </w:r>
    </w:p>
    <w:p>
      <w:pPr>
        <w:spacing w:after="0" w:line="252" w:lineRule="exact"/>
        <w:rPr>
          <w:rFonts w:ascii="Arial" w:cs="Arial" w:eastAsia="Arial" w:hAnsi="Arial"/>
          <w:sz w:val="15"/>
          <w:szCs w:val="15"/>
          <w:color w:val="auto"/>
        </w:rPr>
      </w:pPr>
    </w:p>
    <w:p>
      <w:pPr>
        <w:ind w:left="320" w:hanging="314"/>
        <w:spacing w:after="0" w:line="295"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June, according to the Central Bank’s macroeconomic expectations survey, 12-months-ahead economic expectations fell to their lowest point (47 points) if we isolate the effects of the global financial crisis (44 points) and results of the second quarter of 2020 (41 points).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0" w:lineRule="exact"/>
        <w:rPr>
          <w:sz w:val="20"/>
          <w:szCs w:val="20"/>
          <w:color w:val="auto"/>
        </w:rPr>
      </w:pPr>
    </w:p>
    <w:p>
      <w:pPr>
        <w:spacing w:after="0" w:line="236" w:lineRule="exact"/>
        <w:rPr>
          <w:sz w:val="20"/>
          <w:szCs w:val="20"/>
          <w:color w:val="auto"/>
        </w:rPr>
      </w:pPr>
    </w:p>
    <w:p>
      <w:pPr>
        <w:jc w:val="both"/>
        <w:ind w:left="5940" w:hanging="319"/>
        <w:spacing w:after="0" w:line="278" w:lineRule="auto"/>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headline inflation rate closed the second quarter of 2021 at 3.3% YoY (1Q21: 2.6%) and exceeded the upper band of the Central Bank’s target range (1%-3%) for the first time since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-287655</wp:posOffset>
            </wp:positionV>
            <wp:extent cx="3373120" cy="1661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73120" cy="1661160"/>
                    </a:xfrm>
                    <a:prstGeom prst="rect">
                      <a:avLst/>
                    </a:prstGeom>
                    <a:noFill/>
                  </pic:spPr>
                </pic:pic>
              </a:graphicData>
            </a:graphic>
          </wp:anchor>
        </w:drawing>
      </w:r>
    </w:p>
    <w:p>
      <w:pPr>
        <w:spacing w:after="0" w:line="151" w:lineRule="exact"/>
        <w:rPr>
          <w:sz w:val="20"/>
          <w:szCs w:val="20"/>
          <w:color w:val="auto"/>
        </w:rPr>
      </w:pPr>
    </w:p>
    <w:p>
      <w:pPr>
        <w:jc w:val="both"/>
        <w:ind w:left="5940" w:hanging="319"/>
        <w:spacing w:after="0" w:line="331" w:lineRule="auto"/>
        <w:tabs>
          <w:tab w:leader="none" w:pos="5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Acceleration in the 2Q21 was driven primarily by the Food and Energy items due to an uptick in the exchange rate, higher prices for agricultural commodities and an increase in prices for fuel and electricity.</w:t>
      </w:r>
    </w:p>
    <w:p>
      <w:pPr>
        <w:spacing w:after="0" w:line="136"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Core inflation (excluding food and energy) stood at 1.9% YoY (1Q21:</w:t>
      </w:r>
    </w:p>
    <w:p>
      <w:pPr>
        <w:spacing w:after="0" w:line="2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1.8%) and registered 16 consecutive months below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20" w:hanging="314"/>
        <w:spacing w:after="0" w:line="256"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reference rate has remained at 0.25% since April 2020. At the last monetary policy meeting in July 2021, the official statement reflected changes: phrases referring to maintaining a strong expansive stance “for a prolonged period” and that the Board “stands ready to expand monetary policy stimulus using a range of instruments” were withdrawn.</w:t>
      </w:r>
    </w:p>
    <w:p>
      <w:pPr>
        <w:spacing w:after="0" w:line="187"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the end of the second quarter of 2021, repo operations with state guarantees (mainly associated with the Reactiva Peru program) that were liquidated stood at PEN 48.0 billion (1Q21: PEN 49.9 billion).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3524885" cy="2428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24885" cy="2428875"/>
                    </a:xfrm>
                    <a:prstGeom prst="rect">
                      <a:avLst/>
                    </a:prstGeom>
                    <a:noFill/>
                  </pic:spPr>
                </pic:pic>
              </a:graphicData>
            </a:graphic>
          </wp:anchor>
        </w:drawing>
      </w:r>
    </w:p>
    <w:p>
      <w:pPr>
        <w:spacing w:after="0" w:line="399" w:lineRule="exact"/>
        <w:rPr>
          <w:sz w:val="20"/>
          <w:szCs w:val="20"/>
          <w:color w:val="auto"/>
        </w:rPr>
      </w:pPr>
    </w:p>
    <w:p>
      <w:pPr>
        <w:ind w:left="5940" w:hanging="319"/>
        <w:spacing w:after="0" w:line="265" w:lineRule="auto"/>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annualized terms, fiscal deficit represented 6.4% of GDP in 2Q21 (1Q21: 8.5%).</w:t>
      </w:r>
    </w:p>
    <w:p>
      <w:pPr>
        <w:spacing w:after="0" w:line="180" w:lineRule="exact"/>
        <w:rPr>
          <w:sz w:val="20"/>
          <w:szCs w:val="20"/>
          <w:color w:val="auto"/>
        </w:rPr>
      </w:pPr>
    </w:p>
    <w:p>
      <w:pPr>
        <w:ind w:left="5940" w:hanging="319"/>
        <w:spacing w:after="0" w:line="366" w:lineRule="auto"/>
        <w:tabs>
          <w:tab w:leader="none" w:pos="5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In the second quarter of 2021, fiscal revenues grew 73% YoY after declining 38% YoY in 2Q20 and have increased 7% compared to 2Q19.</w:t>
      </w:r>
    </w:p>
    <w:p>
      <w:pPr>
        <w:spacing w:after="0" w:line="111" w:lineRule="exact"/>
        <w:rPr>
          <w:sz w:val="20"/>
          <w:szCs w:val="20"/>
          <w:color w:val="auto"/>
        </w:rPr>
      </w:pPr>
    </w:p>
    <w:p>
      <w:pPr>
        <w:ind w:left="5940"/>
        <w:spacing w:after="0"/>
        <w:tabs>
          <w:tab w:leader="none" w:pos="6240" w:val="left"/>
        </w:tabs>
        <w:rPr>
          <w:sz w:val="20"/>
          <w:szCs w:val="20"/>
          <w:color w:val="auto"/>
        </w:rPr>
      </w:pPr>
      <w:r>
        <w:rPr>
          <w:rFonts w:ascii="Arial" w:cs="Arial" w:eastAsia="Arial" w:hAnsi="Arial"/>
          <w:sz w:val="18"/>
          <w:szCs w:val="18"/>
          <w:color w:val="auto"/>
        </w:rPr>
        <w:t>a.</w:t>
        <w:tab/>
        <w:t>Higher VAT revenues (+82% YoY, +17% vs 2Q19).</w:t>
      </w:r>
    </w:p>
    <w:p>
      <w:pPr>
        <w:spacing w:after="0" w:line="218" w:lineRule="exact"/>
        <w:rPr>
          <w:sz w:val="20"/>
          <w:szCs w:val="20"/>
          <w:color w:val="auto"/>
        </w:rPr>
      </w:pPr>
    </w:p>
    <w:p>
      <w:pPr>
        <w:ind w:left="5940"/>
        <w:spacing w:after="0"/>
        <w:tabs>
          <w:tab w:leader="none" w:pos="6240" w:val="left"/>
        </w:tabs>
        <w:rPr>
          <w:sz w:val="20"/>
          <w:szCs w:val="20"/>
          <w:color w:val="auto"/>
        </w:rPr>
      </w:pPr>
      <w:r>
        <w:rPr>
          <w:rFonts w:ascii="Arial" w:cs="Arial" w:eastAsia="Arial" w:hAnsi="Arial"/>
          <w:sz w:val="15"/>
          <w:szCs w:val="15"/>
          <w:color w:val="auto"/>
        </w:rPr>
        <w:t>b.</w:t>
        <w:tab/>
        <w:t>An increase in Income Tax revenues (+45% YoY, +15% vs 2Q19).</w:t>
      </w:r>
    </w:p>
    <w:p>
      <w:pPr>
        <w:spacing w:after="0" w:line="253" w:lineRule="exact"/>
        <w:rPr>
          <w:sz w:val="20"/>
          <w:szCs w:val="20"/>
          <w:color w:val="auto"/>
        </w:rPr>
      </w:pPr>
    </w:p>
    <w:p>
      <w:pPr>
        <w:ind w:left="5940" w:hanging="319"/>
        <w:spacing w:after="0" w:line="265" w:lineRule="auto"/>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the second quarter of 2021, non-financial government spending increased 28% YoY (1Q21: 21%) and 17% compared to 2Q19.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hanging="314"/>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Current spending rose 9% YoY (1Q21: +15%) amid an uptick in spending for goods and services (+49%).</w:t>
      </w:r>
    </w:p>
    <w:p>
      <w:pPr>
        <w:spacing w:after="0" w:line="217"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Public investment by the general government increased 320% YoY (1Q21: +43%) after falling 73% YoY in 2Q20 and stands 13% above the levels of 2Q19.</w:t>
      </w:r>
    </w:p>
    <w:p>
      <w:pPr>
        <w:spacing w:after="0" w:line="180" w:lineRule="exact"/>
        <w:rPr>
          <w:rFonts w:ascii="Arial" w:cs="Arial" w:eastAsia="Arial" w:hAnsi="Arial"/>
          <w:sz w:val="18"/>
          <w:szCs w:val="18"/>
          <w:color w:val="auto"/>
        </w:rPr>
      </w:pPr>
    </w:p>
    <w:p>
      <w:pPr>
        <w:ind w:left="320" w:hanging="314"/>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May 2021, Moody’s changed the credit rating outlook for Peru from stable to negative but ratified the country’s A3 credit rating.</w:t>
      </w:r>
    </w:p>
    <w:p>
      <w:pPr>
        <w:spacing w:after="0" w:line="217"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From January to May 2021, the trade balance posted a surplus of US$ 3,981 million, almost 700% above the number recorded for the same period last year (Jan/May-20: US$ 500 million).</w:t>
      </w:r>
    </w:p>
    <w:p>
      <w:pPr>
        <w:spacing w:after="0" w:line="180" w:lineRule="exact"/>
        <w:rPr>
          <w:rFonts w:ascii="Arial" w:cs="Arial" w:eastAsia="Arial" w:hAnsi="Arial"/>
          <w:sz w:val="18"/>
          <w:szCs w:val="18"/>
          <w:color w:val="auto"/>
        </w:rPr>
      </w:pPr>
    </w:p>
    <w:p>
      <w:pPr>
        <w:jc w:val="both"/>
        <w:ind w:left="320" w:hanging="314"/>
        <w:spacing w:after="0" w:line="256" w:lineRule="auto"/>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Exports grew 60% YoY during the same period; this result was driven by 68% YoY increase in traditional exports and an advance of 40% YoY in non-traditional exports. Imports grew 36% YoY and Capital goods imports rose 44%. In the past 12-months up to May-21, the trade balance registered a surplus of US$ 11.2 billion, a new historical peak for Perú.</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ind w:left="320" w:hanging="314"/>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May-21, the terms of trade grew 22% YoY (for 10 consecutive months of two-digit growth) to hit a record high.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por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3500120" cy="2226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00120" cy="2226310"/>
                    </a:xfrm>
                    <a:prstGeom prst="rect">
                      <a:avLst/>
                    </a:prstGeom>
                    <a:noFill/>
                  </pic:spPr>
                </pic:pic>
              </a:graphicData>
            </a:graphic>
          </wp:anchor>
        </w:drawing>
      </w:r>
    </w:p>
    <w:p>
      <w:pPr>
        <w:spacing w:after="0" w:line="399" w:lineRule="exact"/>
        <w:rPr>
          <w:sz w:val="20"/>
          <w:szCs w:val="20"/>
          <w:color w:val="auto"/>
        </w:rPr>
      </w:pPr>
    </w:p>
    <w:p>
      <w:pPr>
        <w:jc w:val="both"/>
        <w:ind w:left="5940" w:hanging="319"/>
        <w:spacing w:after="0" w:line="331" w:lineRule="auto"/>
        <w:tabs>
          <w:tab w:leader="none" w:pos="5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exchange rate closed 2Q21 at USDPEN 3.858. In this context, the Peruvian Sol depreciated 2.6% compared to 1Q21 (USDPEN 3.757) and 16.3% compared to the closing rate of 2019 (USDPEN 3.314).</w:t>
      </w:r>
    </w:p>
    <w:p>
      <w:pPr>
        <w:spacing w:after="0" w:line="136"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2Q21, the exchange rate reached a peak of USDPEN 3.985.</w:t>
      </w:r>
    </w:p>
    <w:p>
      <w:pPr>
        <w:spacing w:after="0" w:line="218" w:lineRule="exact"/>
        <w:rPr>
          <w:sz w:val="20"/>
          <w:szCs w:val="20"/>
          <w:color w:val="auto"/>
        </w:rPr>
      </w:pPr>
    </w:p>
    <w:p>
      <w:pPr>
        <w:jc w:val="both"/>
        <w:ind w:left="5940" w:hanging="319"/>
        <w:spacing w:after="0" w:line="256" w:lineRule="auto"/>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June 2021, the real multilateral exchange rate stood at a peak of 116 points, the highest point recorded since data has been available (January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hanging="314"/>
        <w:spacing w:after="0" w:line="265"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currencies in the LatAm region presented mixed results in 2Q21: appreciation in the Brazilian Real (+11.8%) and Mexican Peso (+2.4%) and depreciation in the Colombian Peso (-2.5%) and Chilean Peso (-2.1%).</w:t>
      </w:r>
    </w:p>
    <w:p>
      <w:pPr>
        <w:spacing w:after="0" w:line="180" w:lineRule="exact"/>
        <w:rPr>
          <w:rFonts w:ascii="Arial" w:cs="Arial" w:eastAsia="Arial" w:hAnsi="Arial"/>
          <w:sz w:val="18"/>
          <w:szCs w:val="18"/>
          <w:color w:val="auto"/>
        </w:rPr>
      </w:pPr>
    </w:p>
    <w:p>
      <w:pPr>
        <w:jc w:val="both"/>
        <w:ind w:left="320" w:hanging="314"/>
        <w:spacing w:after="0" w:line="272" w:lineRule="auto"/>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second quarter of 2021, the Central Bank made sales in the spot FX market for US$ 2,571 million (in Jun-21 alone it sold US$ 1,292 million) and accumulated spot US$ sales for 4,967 million YTD. The monetary entity continued to use instruments to mitigate depreciation pressures on the exchange rage: by the end of 2Q21, the outstanding BCRP Re-adjustable Certificate Deposits totalled PEN 7.7 billion (1Q21: PEN 6.9 billion) while outstanding cross currency swaps (sales) stood at PEN 26.9 billion (1Q21: PEN 28.6 billion).</w:t>
      </w:r>
    </w:p>
    <w:p>
      <w:pPr>
        <w:spacing w:after="0" w:line="176" w:lineRule="exact"/>
        <w:rPr>
          <w:rFonts w:ascii="Arial" w:cs="Arial" w:eastAsia="Arial" w:hAnsi="Arial"/>
          <w:sz w:val="17"/>
          <w:szCs w:val="17"/>
          <w:color w:val="auto"/>
        </w:rPr>
      </w:pPr>
    </w:p>
    <w:p>
      <w:pPr>
        <w:ind w:left="320" w:hanging="314"/>
        <w:spacing w:after="0" w:line="265"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International Reserves closed 2Q21 at US$ 71.9 billion compared to US$ 79.9 billion at the end of 1Q21 (by end-2020, they stood at US$ 74.7 billion).</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577850</wp:posOffset>
            </wp:positionV>
            <wp:extent cx="7134860" cy="893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8939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12.1. Credicorp</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CREDICORP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2020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2021</w:t>
            </w:r>
          </w:p>
        </w:tc>
        <w:tc>
          <w:tcPr>
            <w:tcW w:w="1220" w:type="dxa"/>
            <w:vAlign w:val="bottom"/>
          </w:tcPr>
          <w:p>
            <w:pPr>
              <w:ind w:left="280"/>
              <w:spacing w:after="0"/>
              <w:rPr>
                <w:sz w:val="20"/>
                <w:szCs w:val="20"/>
                <w:color w:val="auto"/>
              </w:rPr>
            </w:pPr>
            <w:r>
              <w:rPr>
                <w:rFonts w:ascii="Arial" w:cs="Arial" w:eastAsia="Arial" w:hAnsi="Arial"/>
                <w:sz w:val="18"/>
                <w:szCs w:val="18"/>
                <w:b w:val="1"/>
                <w:bCs w:val="1"/>
                <w:color w:val="auto"/>
              </w:rPr>
              <w:t>Jun 2021</w:t>
            </w:r>
          </w:p>
        </w:tc>
        <w:tc>
          <w:tcPr>
            <w:tcW w:w="220" w:type="dxa"/>
            <w:vAlign w:val="bottom"/>
          </w:tcPr>
          <w:p>
            <w:pPr>
              <w:spacing w:after="0"/>
              <w:rPr>
                <w:sz w:val="19"/>
                <w:szCs w:val="19"/>
                <w:color w:val="auto"/>
              </w:rPr>
            </w:pPr>
          </w:p>
        </w:tc>
        <w:tc>
          <w:tcPr>
            <w:tcW w:w="186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b w:val="1"/>
                <w:bCs w:val="1"/>
                <w:color w:val="auto"/>
              </w:rPr>
              <w:t xml:space="preserve">Cash and due from banks </w:t>
            </w:r>
            <w:r>
              <w:rPr>
                <w:rFonts w:ascii="Arial" w:cs="Arial" w:eastAsia="Arial" w:hAnsi="Arial"/>
                <w:sz w:val="29"/>
                <w:szCs w:val="29"/>
                <w:color w:val="auto"/>
                <w:vertAlign w:val="superscript"/>
              </w:rPr>
              <w:t>(1)</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6,685,864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7,281,695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8,883,164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29,430,518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31,895,249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29,075,474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580"/>
              <w:spacing w:after="0"/>
              <w:rPr>
                <w:sz w:val="20"/>
                <w:szCs w:val="20"/>
                <w:color w:val="auto"/>
              </w:rPr>
            </w:pPr>
            <w:r>
              <w:rPr>
                <w:rFonts w:ascii="Arial" w:cs="Arial" w:eastAsia="Arial" w:hAnsi="Arial"/>
                <w:sz w:val="18"/>
                <w:szCs w:val="18"/>
                <w:b w:val="1"/>
                <w:bCs w:val="1"/>
                <w:color w:val="auto"/>
                <w:w w:val="90"/>
              </w:rPr>
              <w:t>Total cash and due from banks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36,116,382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39,176,944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37,958,638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collateral, reverse repurchase agreements and</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securities borrowing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2,920,789</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1,769,690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1,616,654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w w:val="99"/>
              </w:rPr>
              <w:t xml:space="preserve">Fair value through profit or loss investments </w:t>
            </w:r>
            <w:r>
              <w:rPr>
                <w:rFonts w:ascii="Arial" w:cs="Arial" w:eastAsia="Arial" w:hAnsi="Arial"/>
                <w:sz w:val="29"/>
                <w:szCs w:val="29"/>
                <w:color w:val="auto"/>
                <w:w w:val="99"/>
                <w:vertAlign w:val="superscript"/>
              </w:rPr>
              <w:t>(1)(2)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5,118,994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8,083,128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6,791,288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Fair value through other comprehensive income</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line="263"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32,213,665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45,681,969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40,273,400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Amortized cost investments </w:t>
            </w:r>
            <w:r>
              <w:rPr>
                <w:rFonts w:ascii="Arial" w:cs="Arial" w:eastAsia="Arial" w:hAnsi="Arial"/>
                <w:sz w:val="29"/>
                <w:szCs w:val="29"/>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4,304,385</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5,647,635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7,707,956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132,741,720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137,031,239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143,091,752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Current</w:t>
            </w:r>
          </w:p>
        </w:tc>
        <w:tc>
          <w:tcPr>
            <w:tcW w:w="1220" w:type="dxa"/>
            <w:vAlign w:val="bottom"/>
          </w:tcPr>
          <w:p>
            <w:pPr>
              <w:jc w:val="right"/>
              <w:spacing w:after="0"/>
              <w:rPr>
                <w:sz w:val="20"/>
                <w:szCs w:val="20"/>
                <w:color w:val="auto"/>
              </w:rPr>
            </w:pPr>
            <w:r>
              <w:rPr>
                <w:rFonts w:ascii="Arial" w:cs="Arial" w:eastAsia="Arial" w:hAnsi="Arial"/>
                <w:sz w:val="18"/>
                <w:szCs w:val="18"/>
                <w:color w:val="auto"/>
              </w:rPr>
              <w:t>128,898,890</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132,162,756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138,037,399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 overdue 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3,842,830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4,868,483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5,054,353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Less - allowance for loan losses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(8,412,544)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(9,744,298)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(9,391,151)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124,329,176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127,286,941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133,700,601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Financial assets designated at fair value through profit</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or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662,634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888,420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921,851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7"/>
              </w:rPr>
              <w:t>Accounts receivable from reinsurers and coinsurers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817,773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981,379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1,043,042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Premiums and other policyholder receivables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799,644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827,807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780,824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tcPr>
          <w:p>
            <w:pPr>
              <w:jc w:val="right"/>
              <w:spacing w:after="0"/>
              <w:rPr>
                <w:sz w:val="20"/>
                <w:szCs w:val="20"/>
                <w:color w:val="auto"/>
              </w:rPr>
            </w:pPr>
            <w:r>
              <w:rPr>
                <w:rFonts w:ascii="Arial" w:cs="Arial" w:eastAsia="Arial" w:hAnsi="Arial"/>
                <w:sz w:val="18"/>
                <w:szCs w:val="18"/>
                <w:color w:val="auto"/>
              </w:rPr>
              <w:t>2,104,654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1,996,860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1,944,127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from customers on acceptances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532,584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558,934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Investments in associates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626,992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620,603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627,683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and goodwill, net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2,474,740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2,599,291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2,647,676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8,681,365</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8,109,764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8,455,556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58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221,502,784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244,203,015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245,028,230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41,310,487</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48,469,215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52,879,988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88,353,845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100,157,124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96,281,815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Total deposits and obligations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129,664,332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148,626,339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149,161,803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3"/>
              </w:rPr>
              <w:t>Payables from repurchase agreements and securities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gridSpan w:val="2"/>
          </w:tcPr>
          <w:p>
            <w:pPr>
              <w:spacing w:after="0"/>
              <w:rPr>
                <w:sz w:val="20"/>
                <w:szCs w:val="20"/>
                <w:color w:val="auto"/>
              </w:rPr>
            </w:pPr>
            <w:r>
              <w:rPr>
                <w:rFonts w:ascii="Arial" w:cs="Arial" w:eastAsia="Arial" w:hAnsi="Arial"/>
                <w:sz w:val="18"/>
                <w:szCs w:val="18"/>
                <w:color w:val="auto"/>
              </w:rPr>
              <w:t>lending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22,437,742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26,657,010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25,963,227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19,441,733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24,303,193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23,329,990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Repurchase agreements with third parties</w:t>
            </w:r>
          </w:p>
        </w:tc>
        <w:tc>
          <w:tcPr>
            <w:tcW w:w="1220" w:type="dxa"/>
            <w:vAlign w:val="bottom"/>
          </w:tcPr>
          <w:p>
            <w:pPr>
              <w:jc w:val="right"/>
              <w:spacing w:after="0"/>
              <w:rPr>
                <w:sz w:val="20"/>
                <w:szCs w:val="20"/>
                <w:color w:val="auto"/>
              </w:rPr>
            </w:pPr>
            <w:r>
              <w:rPr>
                <w:rFonts w:ascii="Arial" w:cs="Arial" w:eastAsia="Arial" w:hAnsi="Arial"/>
                <w:sz w:val="18"/>
                <w:szCs w:val="18"/>
                <w:color w:val="auto"/>
              </w:rPr>
              <w:t>2,091,798</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1,159,587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1,276,678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ind w:left="140"/>
              <w:spacing w:after="0" w:line="252" w:lineRule="exact"/>
              <w:rPr>
                <w:sz w:val="20"/>
                <w:szCs w:val="20"/>
                <w:color w:val="auto"/>
              </w:rPr>
            </w:pPr>
            <w:r>
              <w:rPr>
                <w:rFonts w:ascii="Arial" w:cs="Arial" w:eastAsia="Arial" w:hAnsi="Arial"/>
                <w:sz w:val="18"/>
                <w:szCs w:val="18"/>
                <w:color w:val="auto"/>
              </w:rPr>
              <w:t xml:space="preserve">Repurchase agreements with customers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904,211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1,194,230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1,356,559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8,374,009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5,305,933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6,239,161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Bonds and notes issued </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17,250,531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17,863,198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16,951,481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532,584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558,934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Reserves for property and casualty claims</w:t>
            </w:r>
          </w:p>
        </w:tc>
        <w:tc>
          <w:tcPr>
            <w:tcW w:w="1220" w:type="dxa"/>
            <w:vAlign w:val="bottom"/>
          </w:tcPr>
          <w:p>
            <w:pPr>
              <w:jc w:val="right"/>
              <w:spacing w:after="0"/>
              <w:rPr>
                <w:sz w:val="20"/>
                <w:szCs w:val="20"/>
                <w:color w:val="auto"/>
              </w:rPr>
            </w:pPr>
            <w:r>
              <w:rPr>
                <w:rFonts w:ascii="Arial" w:cs="Arial" w:eastAsia="Arial" w:hAnsi="Arial"/>
                <w:sz w:val="18"/>
                <w:szCs w:val="18"/>
                <w:color w:val="auto"/>
              </w:rPr>
              <w:t>1,791,871</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2,248,082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2,492,303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Reserve for unearned premiums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8,839,019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9,561,612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9,664,914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Accounts payable to reinsurers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221,118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290,866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317,185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Financial liabilities at fair value through profit or loss</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480,952</w:t>
            </w: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772,385</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313,256</w:t>
            </w: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3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(1)</w:t>
            </w:r>
          </w:p>
        </w:tc>
        <w:tc>
          <w:tcPr>
            <w:tcW w:w="144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9"/>
                <w:szCs w:val="29"/>
                <w:color w:val="auto"/>
                <w:vertAlign w:val="superscript"/>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8,235,529</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7,326,432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7,789,038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58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197,626,694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219,184,441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219,451,302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23,396,062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24,529,958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25,073,706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Treasury stock</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(209,309)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(207,840)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(207,756)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160,430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224,591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224,103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Reserves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21,381,402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21,707,166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21,725,663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1,151,939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840,581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677,159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(407,393)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646,467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1,335,544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480,028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488,616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503,222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580"/>
              <w:spacing w:after="0"/>
              <w:rPr>
                <w:sz w:val="20"/>
                <w:szCs w:val="20"/>
                <w:color w:val="auto"/>
              </w:rPr>
            </w:pPr>
            <w:r>
              <w:rPr>
                <w:rFonts w:ascii="Arial" w:cs="Arial" w:eastAsia="Arial" w:hAnsi="Arial"/>
                <w:sz w:val="18"/>
                <w:szCs w:val="18"/>
                <w:b w:val="1"/>
                <w:bCs w:val="1"/>
                <w:color w:val="auto"/>
              </w:rPr>
              <w:t>Total Net Equity</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23,876,090</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25,018,574</w:t>
            </w:r>
          </w:p>
        </w:tc>
        <w:tc>
          <w:tcPr>
            <w:tcW w:w="174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25,576,928</w:t>
            </w:r>
          </w:p>
        </w:tc>
        <w:tc>
          <w:tcPr>
            <w:tcW w:w="156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221,502,784</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244,203,015</w:t>
            </w:r>
          </w:p>
        </w:tc>
        <w:tc>
          <w:tcPr>
            <w:tcW w:w="174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245,028,230</w:t>
            </w:r>
          </w:p>
        </w:tc>
        <w:tc>
          <w:tcPr>
            <w:tcW w:w="156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129,132,266</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150,250,539</w:t>
            </w:r>
          </w:p>
        </w:tc>
        <w:tc>
          <w:tcPr>
            <w:tcW w:w="174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149,828,527</w:t>
            </w:r>
          </w:p>
        </w:tc>
        <w:tc>
          <w:tcPr>
            <w:tcW w:w="156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19,271,152</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21,761,484</w:t>
            </w:r>
          </w:p>
        </w:tc>
        <w:tc>
          <w:tcPr>
            <w:tcW w:w="1740" w:type="dxa"/>
            <w:vAlign w:val="bottom"/>
          </w:tcPr>
          <w:p>
            <w:pPr>
              <w:jc w:val="right"/>
              <w:ind w:right="491"/>
              <w:spacing w:after="0"/>
              <w:rPr>
                <w:sz w:val="20"/>
                <w:szCs w:val="20"/>
                <w:color w:val="auto"/>
              </w:rPr>
            </w:pPr>
            <w:r>
              <w:rPr>
                <w:rFonts w:ascii="Arial" w:cs="Arial" w:eastAsia="Arial" w:hAnsi="Arial"/>
                <w:sz w:val="18"/>
                <w:szCs w:val="18"/>
                <w:color w:val="auto"/>
              </w:rPr>
              <w:t>22,723,385</w:t>
            </w:r>
          </w:p>
        </w:tc>
        <w:tc>
          <w:tcPr>
            <w:tcW w:w="1560" w:type="dxa"/>
            <w:vAlign w:val="bottom"/>
          </w:tcPr>
          <w:p>
            <w:pPr>
              <w:jc w:val="right"/>
              <w:ind w:right="471"/>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80,651,014</w:t>
            </w:r>
          </w:p>
        </w:tc>
        <w:tc>
          <w:tcPr>
            <w:tcW w:w="1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90,946,335</w:t>
            </w:r>
          </w:p>
        </w:tc>
        <w:tc>
          <w:tcPr>
            <w:tcW w:w="17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91,280,633</w:t>
            </w:r>
          </w:p>
        </w:tc>
        <w:tc>
          <w:tcPr>
            <w:tcW w:w="15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29,210,100</w:t>
            </w: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37,542,720</w:t>
            </w:r>
          </w:p>
        </w:tc>
        <w:tc>
          <w:tcPr>
            <w:tcW w:w="1740" w:type="dxa"/>
            <w:vAlign w:val="bottom"/>
          </w:tcPr>
          <w:p>
            <w:pPr>
              <w:jc w:val="right"/>
              <w:ind w:right="491"/>
              <w:spacing w:after="0"/>
              <w:rPr>
                <w:sz w:val="20"/>
                <w:szCs w:val="20"/>
                <w:color w:val="auto"/>
              </w:rPr>
            </w:pPr>
            <w:r>
              <w:rPr>
                <w:rFonts w:ascii="Arial" w:cs="Arial" w:eastAsia="Arial" w:hAnsi="Arial"/>
                <w:sz w:val="18"/>
                <w:szCs w:val="18"/>
                <w:color w:val="auto"/>
              </w:rPr>
              <w:t>35,824,509</w:t>
            </w:r>
          </w:p>
        </w:tc>
        <w:tc>
          <w:tcPr>
            <w:tcW w:w="1560" w:type="dxa"/>
            <w:vAlign w:val="bottom"/>
          </w:tcPr>
          <w:p>
            <w:pPr>
              <w:jc w:val="right"/>
              <w:ind w:right="471"/>
              <w:spacing w:after="0"/>
              <w:rPr>
                <w:sz w:val="20"/>
                <w:szCs w:val="20"/>
                <w:color w:val="auto"/>
              </w:rPr>
            </w:pPr>
            <w:r>
              <w:rPr>
                <w:rFonts w:ascii="Arial" w:cs="Arial" w:eastAsia="Arial" w:hAnsi="Arial"/>
                <w:sz w:val="18"/>
                <w:szCs w:val="18"/>
                <w:color w:val="auto"/>
              </w:rPr>
              <w:t>-4.6%</w:t>
            </w: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4"/>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2020 period, due to the reclassifications.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2Q20</w:t>
            </w:r>
          </w:p>
        </w:tc>
        <w:tc>
          <w:tcPr>
            <w:tcW w:w="100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1Q21</w:t>
            </w:r>
          </w:p>
        </w:tc>
        <w:tc>
          <w:tcPr>
            <w:tcW w:w="760" w:type="dxa"/>
            <w:vAlign w:val="bottom"/>
            <w:tcBorders>
              <w:top w:val="single" w:sz="8" w:color="auto"/>
            </w:tcBorders>
          </w:tcPr>
          <w:p>
            <w:pPr>
              <w:ind w:left="220"/>
              <w:spacing w:after="0" w:line="153" w:lineRule="exact"/>
              <w:rPr>
                <w:sz w:val="20"/>
                <w:szCs w:val="20"/>
                <w:color w:val="auto"/>
              </w:rPr>
            </w:pPr>
            <w:r>
              <w:rPr>
                <w:rFonts w:ascii="Arial" w:cs="Arial" w:eastAsia="Arial" w:hAnsi="Arial"/>
                <w:sz w:val="14"/>
                <w:szCs w:val="14"/>
                <w:b w:val="1"/>
                <w:bCs w:val="1"/>
                <w:color w:val="auto"/>
              </w:rPr>
              <w:t>2Q21</w:t>
            </w:r>
          </w:p>
        </w:tc>
        <w:tc>
          <w:tcPr>
            <w:tcW w:w="220" w:type="dxa"/>
            <w:vAlign w:val="bottom"/>
          </w:tcPr>
          <w:p>
            <w:pPr>
              <w:spacing w:after="0"/>
              <w:rPr>
                <w:sz w:val="13"/>
                <w:szCs w:val="13"/>
                <w:color w:val="auto"/>
              </w:rPr>
            </w:pPr>
          </w:p>
        </w:tc>
        <w:tc>
          <w:tcPr>
            <w:tcW w:w="1240" w:type="dxa"/>
            <w:vAlign w:val="bottom"/>
            <w:tcBorders>
              <w:top w:val="single" w:sz="8" w:color="auto"/>
            </w:tcBorders>
            <w:gridSpan w:val="3"/>
          </w:tcPr>
          <w:p>
            <w:pPr>
              <w:ind w:left="240"/>
              <w:spacing w:after="0" w:line="153" w:lineRule="exact"/>
              <w:rPr>
                <w:sz w:val="20"/>
                <w:szCs w:val="20"/>
                <w:color w:val="auto"/>
              </w:rPr>
            </w:pPr>
            <w:r>
              <w:rPr>
                <w:rFonts w:ascii="Arial" w:cs="Arial" w:eastAsia="Arial" w:hAnsi="Arial"/>
                <w:sz w:val="14"/>
                <w:szCs w:val="14"/>
                <w:b w:val="1"/>
                <w:bCs w:val="1"/>
                <w:color w:val="auto"/>
              </w:rPr>
              <w:t>QoQ</w:t>
            </w:r>
          </w:p>
        </w:tc>
        <w:tc>
          <w:tcPr>
            <w:tcW w:w="54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1080" w:type="dxa"/>
            <w:vAlign w:val="bottom"/>
            <w:tcBorders>
              <w:top w:val="single" w:sz="8" w:color="auto"/>
            </w:tcBorders>
            <w:gridSpan w:val="3"/>
          </w:tcPr>
          <w:p>
            <w:pPr>
              <w:ind w:left="180"/>
              <w:spacing w:after="0" w:line="153" w:lineRule="exact"/>
              <w:rPr>
                <w:sz w:val="20"/>
                <w:szCs w:val="20"/>
                <w:color w:val="auto"/>
              </w:rPr>
            </w:pPr>
            <w:r>
              <w:rPr>
                <w:rFonts w:ascii="Arial" w:cs="Arial" w:eastAsia="Arial" w:hAnsi="Arial"/>
                <w:sz w:val="14"/>
                <w:szCs w:val="14"/>
                <w:b w:val="1"/>
                <w:bCs w:val="1"/>
                <w:color w:val="auto"/>
              </w:rPr>
              <w:t>Jun 20</w:t>
            </w:r>
          </w:p>
        </w:tc>
        <w:tc>
          <w:tcPr>
            <w:tcW w:w="68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21</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Jun 21 / Jun 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ind w:left="140"/>
              <w:spacing w:after="0" w:line="146" w:lineRule="exact"/>
              <w:rPr>
                <w:sz w:val="20"/>
                <w:szCs w:val="20"/>
                <w:color w:val="auto"/>
              </w:rPr>
            </w:pPr>
            <w:r>
              <w:rPr>
                <w:rFonts w:ascii="Arial" w:cs="Arial" w:eastAsia="Arial" w:hAnsi="Arial"/>
                <w:sz w:val="14"/>
                <w:szCs w:val="14"/>
                <w:color w:val="auto"/>
              </w:rPr>
              <w:t>Interest and dividend income</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2,727,369</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2,816,073</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2,891,579</w:t>
            </w: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6.0%</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5,890,978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5,707,652</w:t>
            </w:r>
          </w:p>
        </w:tc>
        <w:tc>
          <w:tcPr>
            <w:tcW w:w="108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(766,019)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(692,690)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(582,537)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(1,550,101)</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(1,275,227)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ind w:left="140"/>
              <w:spacing w:after="0" w:line="146" w:lineRule="exact"/>
              <w:rPr>
                <w:sz w:val="20"/>
                <w:szCs w:val="20"/>
                <w:color w:val="auto"/>
              </w:rPr>
            </w:pPr>
            <w:r>
              <w:rPr>
                <w:rFonts w:ascii="Arial" w:cs="Arial" w:eastAsia="Arial" w:hAnsi="Arial"/>
                <w:sz w:val="14"/>
                <w:szCs w:val="14"/>
                <w:b w:val="1"/>
                <w:bCs w:val="1"/>
                <w:color w:val="auto"/>
              </w:rPr>
              <w:t>Net interest income</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1,961,350</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2,123,383</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2,309,042</w:t>
            </w:r>
          </w:p>
        </w:tc>
        <w:tc>
          <w:tcPr>
            <w:tcW w:w="102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8.7%</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17.7%</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4,340,877</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4,432,425</w:t>
            </w:r>
          </w:p>
        </w:tc>
        <w:tc>
          <w:tcPr>
            <w:tcW w:w="108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color w:val="auto"/>
              </w:rPr>
              <w:t>Gross provision for credit losses on loan portfolio</w:t>
            </w:r>
          </w:p>
        </w:tc>
        <w:tc>
          <w:tcPr>
            <w:tcW w:w="98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(2,557,658)</w:t>
            </w:r>
          </w:p>
        </w:tc>
        <w:tc>
          <w:tcPr>
            <w:tcW w:w="100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(622,982)</w:t>
            </w:r>
          </w:p>
        </w:tc>
        <w:tc>
          <w:tcPr>
            <w:tcW w:w="98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(441,007)</w:t>
            </w: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-29.2%</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-82.8%</w:t>
            </w:r>
          </w:p>
        </w:tc>
        <w:tc>
          <w:tcPr>
            <w:tcW w:w="98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(3,946,369)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w w:val="97"/>
              </w:rPr>
              <w:t>(1,063,989)</w:t>
            </w:r>
          </w:p>
        </w:tc>
        <w:tc>
          <w:tcPr>
            <w:tcW w:w="108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Recoveries of written-off loans</w:t>
            </w:r>
          </w:p>
        </w:tc>
        <w:tc>
          <w:tcPr>
            <w:tcW w:w="9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17,201</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65,335</w:t>
            </w: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77,627</w:t>
            </w:r>
          </w:p>
        </w:tc>
        <w:tc>
          <w:tcPr>
            <w:tcW w:w="10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351.3%</w:t>
            </w:r>
          </w:p>
        </w:tc>
        <w:tc>
          <w:tcPr>
            <w:tcW w:w="9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64,431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142,962</w:t>
            </w:r>
          </w:p>
        </w:tc>
        <w:tc>
          <w:tcPr>
            <w:tcW w:w="10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line="124" w:lineRule="exact"/>
              <w:rPr>
                <w:sz w:val="20"/>
                <w:szCs w:val="20"/>
                <w:color w:val="auto"/>
              </w:rPr>
            </w:pPr>
            <w:r>
              <w:rPr>
                <w:rFonts w:ascii="Arial" w:cs="Arial" w:eastAsia="Arial" w:hAnsi="Arial"/>
                <w:sz w:val="14"/>
                <w:szCs w:val="14"/>
                <w:b w:val="1"/>
                <w:bCs w:val="1"/>
                <w:color w:val="auto"/>
                <w:w w:val="94"/>
              </w:rPr>
              <w:t>Provision for credit losses on loan portfolio, net of</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(2,540,457)</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(557,647)</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(363,380)</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-34.8%</w:t>
            </w:r>
          </w:p>
        </w:tc>
        <w:tc>
          <w:tcPr>
            <w:tcW w:w="2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-85.7%</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(3,881,938)</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(921,027)</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-76.3%</w:t>
            </w:r>
          </w:p>
        </w:tc>
        <w:tc>
          <w:tcPr>
            <w:tcW w:w="0" w:type="dxa"/>
            <w:vAlign w:val="bottom"/>
          </w:tcPr>
          <w:p>
            <w:pPr>
              <w:spacing w:after="0"/>
              <w:rPr>
                <w:sz w:val="1"/>
                <w:szCs w:val="1"/>
                <w:color w:val="auto"/>
              </w:rPr>
            </w:pPr>
          </w:p>
        </w:tc>
      </w:tr>
      <w:tr>
        <w:trPr>
          <w:trHeight w:val="16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b w:val="1"/>
                <w:bCs w:val="1"/>
                <w:color w:val="auto"/>
              </w:rPr>
              <w:t>Risk-adjusted net interest income</w:t>
            </w:r>
          </w:p>
        </w:tc>
        <w:tc>
          <w:tcPr>
            <w:tcW w:w="980" w:type="dxa"/>
            <w:vAlign w:val="bottom"/>
            <w:gridSpan w:val="2"/>
          </w:tcPr>
          <w:p>
            <w:pPr>
              <w:jc w:val="right"/>
              <w:ind w:right="160"/>
              <w:spacing w:after="0" w:line="146" w:lineRule="exact"/>
              <w:rPr>
                <w:sz w:val="20"/>
                <w:szCs w:val="20"/>
                <w:color w:val="auto"/>
              </w:rPr>
            </w:pPr>
            <w:r>
              <w:rPr>
                <w:rFonts w:ascii="Arial" w:cs="Arial" w:eastAsia="Arial" w:hAnsi="Arial"/>
                <w:sz w:val="14"/>
                <w:szCs w:val="14"/>
                <w:b w:val="1"/>
                <w:bCs w:val="1"/>
                <w:color w:val="auto"/>
              </w:rPr>
              <w:t>(579,107)</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1,565,736</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1,945,662</w:t>
            </w:r>
          </w:p>
        </w:tc>
        <w:tc>
          <w:tcPr>
            <w:tcW w:w="102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24.3%</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-436.0%</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458,939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3,511,398</w:t>
            </w:r>
          </w:p>
        </w:tc>
        <w:tc>
          <w:tcPr>
            <w:tcW w:w="108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rPr>
              <w:t>665.1%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b w:val="1"/>
                <w:bCs w:val="1"/>
                <w:color w:val="auto"/>
              </w:rPr>
              <w:t>Non-financial income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Fee income</w:t>
            </w:r>
          </w:p>
        </w:tc>
        <w:tc>
          <w:tcPr>
            <w:tcW w:w="9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503,488</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830,771</w:t>
            </w: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862,411</w:t>
            </w:r>
          </w:p>
        </w:tc>
        <w:tc>
          <w:tcPr>
            <w:tcW w:w="10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71.3%</w:t>
            </w:r>
          </w:p>
        </w:tc>
        <w:tc>
          <w:tcPr>
            <w:tcW w:w="9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1,263,817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1,693,182</w:t>
            </w:r>
          </w:p>
        </w:tc>
        <w:tc>
          <w:tcPr>
            <w:tcW w:w="10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ind w:left="140"/>
              <w:spacing w:after="0" w:line="146" w:lineRule="exact"/>
              <w:rPr>
                <w:sz w:val="20"/>
                <w:szCs w:val="20"/>
                <w:color w:val="auto"/>
              </w:rPr>
            </w:pPr>
            <w:r>
              <w:rPr>
                <w:rFonts w:ascii="Arial" w:cs="Arial" w:eastAsia="Arial" w:hAnsi="Arial"/>
                <w:sz w:val="14"/>
                <w:szCs w:val="14"/>
                <w:color w:val="auto"/>
              </w:rPr>
              <w:t>Net gain on foreign exchange transactions</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149,308</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179,889</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232,668</w:t>
            </w: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29.3%</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55.8%</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316,291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412,557</w:t>
            </w:r>
          </w:p>
        </w:tc>
        <w:tc>
          <w:tcPr>
            <w:tcW w:w="108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 on sales of securities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280,563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16,287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(69,947)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529.5%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159,930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(53,660)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ind w:left="140"/>
              <w:spacing w:after="0" w:line="146" w:lineRule="exact"/>
              <w:rPr>
                <w:sz w:val="20"/>
                <w:szCs w:val="20"/>
                <w:color w:val="auto"/>
              </w:rPr>
            </w:pPr>
            <w:r>
              <w:rPr>
                <w:rFonts w:ascii="Arial" w:cs="Arial" w:eastAsia="Arial" w:hAnsi="Arial"/>
                <w:sz w:val="14"/>
                <w:szCs w:val="14"/>
                <w:color w:val="auto"/>
              </w:rPr>
              <w:t>Net gain from associates</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14,906</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29,405</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12,302</w:t>
            </w: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-58.2%</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-17.5%</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34,131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41,707</w:t>
            </w:r>
          </w:p>
        </w:tc>
        <w:tc>
          <w:tcPr>
            <w:tcW w:w="108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 on derivatives held for trading</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8,358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69,723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443.3%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43,788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115,136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tcPr>
          <w:p>
            <w:pPr>
              <w:ind w:left="140"/>
              <w:spacing w:after="0" w:line="212" w:lineRule="exact"/>
              <w:rPr>
                <w:sz w:val="20"/>
                <w:szCs w:val="20"/>
                <w:color w:val="auto"/>
              </w:rPr>
            </w:pPr>
            <w:r>
              <w:rPr>
                <w:rFonts w:ascii="Arial" w:cs="Arial" w:eastAsia="Arial" w:hAnsi="Arial"/>
                <w:sz w:val="14"/>
                <w:szCs w:val="14"/>
                <w:color w:val="auto"/>
              </w:rPr>
              <w:t xml:space="preserve">Net gain from exchange differences </w:t>
            </w:r>
            <w:r>
              <w:rPr>
                <w:rFonts w:ascii="Arial" w:cs="Arial" w:eastAsia="Arial" w:hAnsi="Arial"/>
                <w:sz w:val="23"/>
                <w:szCs w:val="23"/>
                <w:color w:val="auto"/>
                <w:vertAlign w:val="superscript"/>
              </w:rPr>
              <w:t>(1)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23,845</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(5,536)</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45,924</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92.6%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40,388</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1248.1%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 xml:space="preserve">Other non-financial income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35,195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73,991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62,923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152,965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136,914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ind w:left="140"/>
              <w:spacing w:after="0" w:line="146" w:lineRule="exact"/>
              <w:rPr>
                <w:sz w:val="20"/>
                <w:szCs w:val="20"/>
                <w:color w:val="auto"/>
              </w:rPr>
            </w:pPr>
            <w:r>
              <w:rPr>
                <w:rFonts w:ascii="Arial" w:cs="Arial" w:eastAsia="Arial" w:hAnsi="Arial"/>
                <w:sz w:val="14"/>
                <w:szCs w:val="14"/>
                <w:b w:val="1"/>
                <w:bCs w:val="1"/>
                <w:color w:val="auto"/>
              </w:rPr>
              <w:t>Total non-financial income</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1,015,663</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1,194,530</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1,191,694</w:t>
            </w:r>
          </w:p>
        </w:tc>
        <w:tc>
          <w:tcPr>
            <w:tcW w:w="102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-0.2%</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rPr>
              <w:t>17.3%</w:t>
            </w:r>
          </w:p>
        </w:tc>
        <w:tc>
          <w:tcPr>
            <w:tcW w:w="9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1,973,918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rPr>
              <w:t>2,386,224</w:t>
            </w:r>
          </w:p>
        </w:tc>
        <w:tc>
          <w:tcPr>
            <w:tcW w:w="108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b w:val="1"/>
                <w:bCs w:val="1"/>
                <w:color w:val="auto"/>
              </w:rPr>
              <w:t>Insurance underwriting result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 xml:space="preserve">Net earned premiums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552,061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643,928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639,944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1,179,996</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1,283,872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40"/>
              <w:spacing w:after="0" w:line="186" w:lineRule="exact"/>
              <w:rPr>
                <w:sz w:val="20"/>
                <w:szCs w:val="20"/>
                <w:color w:val="auto"/>
              </w:rPr>
            </w:pPr>
            <w:r>
              <w:rPr>
                <w:rFonts w:ascii="Arial" w:cs="Arial" w:eastAsia="Arial" w:hAnsi="Arial"/>
                <w:sz w:val="13"/>
                <w:szCs w:val="13"/>
                <w:color w:val="auto"/>
              </w:rPr>
              <w:t xml:space="preserve">Net claims </w:t>
            </w:r>
            <w:r>
              <w:rPr>
                <w:rFonts w:ascii="Arial" w:cs="Arial" w:eastAsia="Arial" w:hAnsi="Arial"/>
                <w:sz w:val="21"/>
                <w:szCs w:val="21"/>
                <w:color w:val="auto"/>
                <w:vertAlign w:val="superscript"/>
              </w:rPr>
              <w:t>(1)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(328,783)</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(623,353)</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(691,335)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110.3%</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(702,285)</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(1,314,688)</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(87,598)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(85,822)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(84,944)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(200,105)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(170,766)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4"/>
                <w:szCs w:val="14"/>
                <w:b w:val="1"/>
                <w:bCs w:val="1"/>
                <w:color w:val="auto"/>
              </w:rPr>
              <w:t>Total insurance underwriting result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135,680</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(65,247)</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(136,335)</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n.a.</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n.a.</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277,606</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(201,582)</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-172.6%</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b w:val="1"/>
                <w:bCs w:val="1"/>
                <w:color w:val="auto"/>
              </w:rPr>
              <w:t>Total expenses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Salaries and employee benefits</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(825,997)</w:t>
            </w:r>
          </w:p>
        </w:tc>
        <w:tc>
          <w:tcPr>
            <w:tcW w:w="10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(857,559)</w:t>
            </w:r>
          </w:p>
        </w:tc>
        <w:tc>
          <w:tcPr>
            <w:tcW w:w="9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(882,177)</w:t>
            </w:r>
          </w:p>
        </w:tc>
        <w:tc>
          <w:tcPr>
            <w:tcW w:w="10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6.8%</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(1,717,180)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w w:val="97"/>
              </w:rPr>
              <w:t>(1,739,736)</w:t>
            </w:r>
          </w:p>
        </w:tc>
        <w:tc>
          <w:tcPr>
            <w:tcW w:w="10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40"/>
              <w:spacing w:after="0" w:line="186" w:lineRule="exact"/>
              <w:rPr>
                <w:sz w:val="20"/>
                <w:szCs w:val="20"/>
                <w:color w:val="auto"/>
              </w:rPr>
            </w:pPr>
            <w:r>
              <w:rPr>
                <w:rFonts w:ascii="Arial" w:cs="Arial" w:eastAsia="Arial" w:hAnsi="Arial"/>
                <w:sz w:val="13"/>
                <w:szCs w:val="13"/>
                <w:color w:val="auto"/>
              </w:rPr>
              <w:t xml:space="preserve">Administrative, general and tax expenses </w:t>
            </w:r>
            <w:r>
              <w:rPr>
                <w:rFonts w:ascii="Arial" w:cs="Arial" w:eastAsia="Arial" w:hAnsi="Arial"/>
                <w:sz w:val="21"/>
                <w:szCs w:val="21"/>
                <w:color w:val="auto"/>
                <w:vertAlign w:val="superscript"/>
              </w:rPr>
              <w:t>(1)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(510,694)</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(580,842)</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(672,805)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31.7%</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(1,052,798)</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(1,253,647)</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ind w:left="140"/>
              <w:spacing w:after="0" w:line="18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(169,310)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(166,765)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(163,869)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(339,269)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(330,634)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Impairment loss on goodwill</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Association in participation</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(17,944)</w:t>
            </w:r>
          </w:p>
        </w:tc>
        <w:tc>
          <w:tcPr>
            <w:tcW w:w="10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(13,906)</w:t>
            </w:r>
          </w:p>
        </w:tc>
        <w:tc>
          <w:tcPr>
            <w:tcW w:w="9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(8,879)</w:t>
            </w:r>
          </w:p>
        </w:tc>
        <w:tc>
          <w:tcPr>
            <w:tcW w:w="10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4"/>
                <w:szCs w:val="14"/>
                <w:color w:val="auto"/>
              </w:rPr>
              <w:t>-50.5%</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(24,374)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(22,785)</w:t>
            </w:r>
          </w:p>
        </w:tc>
        <w:tc>
          <w:tcPr>
            <w:tcW w:w="108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40"/>
              <w:spacing w:after="0" w:line="186" w:lineRule="exact"/>
              <w:rPr>
                <w:sz w:val="20"/>
                <w:szCs w:val="20"/>
                <w:color w:val="auto"/>
              </w:rPr>
            </w:pPr>
            <w:r>
              <w:rPr>
                <w:rFonts w:ascii="Arial" w:cs="Arial" w:eastAsia="Arial" w:hAnsi="Arial"/>
                <w:sz w:val="13"/>
                <w:szCs w:val="13"/>
                <w:color w:val="auto"/>
              </w:rPr>
              <w:t xml:space="preserve">Other expenses </w:t>
            </w:r>
            <w:r>
              <w:rPr>
                <w:rFonts w:ascii="Arial" w:cs="Arial" w:eastAsia="Arial" w:hAnsi="Arial"/>
                <w:sz w:val="21"/>
                <w:szCs w:val="21"/>
                <w:color w:val="auto"/>
                <w:vertAlign w:val="superscript"/>
              </w:rPr>
              <w:t>(1)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(104,453)</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(61,199)</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(132,717)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116.9%</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27.1%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(274,083)</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(193,916)</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b w:val="1"/>
                <w:bCs w:val="1"/>
                <w:color w:val="auto"/>
              </w:rPr>
              <w:t>Total expenses</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(1,628,398)</w:t>
            </w:r>
          </w:p>
        </w:tc>
        <w:tc>
          <w:tcPr>
            <w:tcW w:w="100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b w:val="1"/>
                <w:bCs w:val="1"/>
                <w:color w:val="auto"/>
              </w:rPr>
              <w:t>(1,680,271)</w:t>
            </w:r>
          </w:p>
        </w:tc>
        <w:tc>
          <w:tcPr>
            <w:tcW w:w="9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b w:val="1"/>
                <w:bCs w:val="1"/>
                <w:color w:val="auto"/>
              </w:rPr>
              <w:t>(1,860,447)</w:t>
            </w:r>
          </w:p>
        </w:tc>
        <w:tc>
          <w:tcPr>
            <w:tcW w:w="10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10.7%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14.3%</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(3,407,704)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w w:val="97"/>
              </w:rPr>
              <w:t>(3,540,718)</w:t>
            </w:r>
          </w:p>
        </w:tc>
        <w:tc>
          <w:tcPr>
            <w:tcW w:w="10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Profit before income tax</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(1,056,162)</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1,014,748</w:t>
            </w: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1,140,574</w:t>
            </w:r>
          </w:p>
        </w:tc>
        <w:tc>
          <w:tcPr>
            <w:tcW w:w="10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12.4%</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-208.0%</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(697,241)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2,155,322</w:t>
            </w:r>
          </w:p>
        </w:tc>
        <w:tc>
          <w:tcPr>
            <w:tcW w:w="10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-409.1%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414,726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(337,599)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(423,491)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-202.1%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268,980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(761,090)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Net profit</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(641,436)</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677,149</w:t>
            </w: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717,083</w:t>
            </w:r>
          </w:p>
        </w:tc>
        <w:tc>
          <w:tcPr>
            <w:tcW w:w="10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5.9%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b w:val="1"/>
                <w:bCs w:val="1"/>
                <w:color w:val="auto"/>
              </w:rPr>
              <w:t>-211.8%</w:t>
            </w:r>
          </w:p>
        </w:tc>
        <w:tc>
          <w:tcPr>
            <w:tcW w:w="9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b w:val="1"/>
                <w:bCs w:val="1"/>
                <w:color w:val="auto"/>
              </w:rPr>
              <w:t>(428,261)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b w:val="1"/>
                <w:bCs w:val="1"/>
                <w:color w:val="auto"/>
              </w:rPr>
              <w:t>1,394,232</w:t>
            </w:r>
          </w:p>
        </w:tc>
        <w:tc>
          <w:tcPr>
            <w:tcW w:w="10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b w:val="1"/>
                <w:bCs w:val="1"/>
                <w:color w:val="auto"/>
              </w:rPr>
              <w:t>-425.6%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line="146" w:lineRule="exact"/>
              <w:rPr>
                <w:sz w:val="20"/>
                <w:szCs w:val="20"/>
                <w:color w:val="auto"/>
              </w:rPr>
            </w:pPr>
            <w:r>
              <w:rPr>
                <w:rFonts w:ascii="Arial" w:cs="Arial" w:eastAsia="Arial" w:hAnsi="Arial"/>
                <w:sz w:val="14"/>
                <w:szCs w:val="14"/>
                <w:color w:val="auto"/>
              </w:rPr>
              <w:t>Non-controlling interest</w:t>
            </w:r>
          </w:p>
        </w:tc>
        <w:tc>
          <w:tcPr>
            <w:tcW w:w="98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(21,046)</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16,351</w:t>
            </w: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17,614</w:t>
            </w:r>
          </w:p>
        </w:tc>
        <w:tc>
          <w:tcPr>
            <w:tcW w:w="102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-183.7%</w:t>
            </w:r>
          </w:p>
        </w:tc>
        <w:tc>
          <w:tcPr>
            <w:tcW w:w="98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(17,145)</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33,965</w:t>
            </w:r>
          </w:p>
        </w:tc>
        <w:tc>
          <w:tcPr>
            <w:tcW w:w="108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Net profit attributable to Credicorp</w:t>
            </w:r>
          </w:p>
        </w:tc>
        <w:tc>
          <w:tcPr>
            <w:tcW w:w="9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b w:val="1"/>
                <w:bCs w:val="1"/>
                <w:color w:val="auto"/>
              </w:rPr>
              <w:t>(620,390)</w:t>
            </w:r>
          </w:p>
        </w:tc>
        <w:tc>
          <w:tcPr>
            <w:tcW w:w="10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b w:val="1"/>
                <w:bCs w:val="1"/>
                <w:color w:val="auto"/>
              </w:rPr>
              <w:t>660,798</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b w:val="1"/>
                <w:bCs w:val="1"/>
                <w:color w:val="auto"/>
              </w:rPr>
              <w:t>699,469</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b w:val="1"/>
                <w:bCs w:val="1"/>
                <w:color w:val="auto"/>
              </w:rPr>
              <w:t>5.9%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b w:val="1"/>
                <w:bCs w:val="1"/>
                <w:color w:val="auto"/>
              </w:rPr>
              <w:t>-212.7%</w:t>
            </w:r>
          </w:p>
        </w:tc>
        <w:tc>
          <w:tcPr>
            <w:tcW w:w="9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b w:val="1"/>
                <w:bCs w:val="1"/>
                <w:color w:val="auto"/>
              </w:rPr>
              <w:t>(411,116)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b w:val="1"/>
                <w:bCs w:val="1"/>
                <w:color w:val="auto"/>
              </w:rPr>
              <w:t>1,360,267</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-430.9%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00" w:hanging="194"/>
        <w:spacing w:after="0"/>
        <w:tabs>
          <w:tab w:leader="none" w:pos="2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amounts differ from those previously reported in 2020 period due to reclassifications.</w:t>
      </w:r>
    </w:p>
    <w:p>
      <w:pPr>
        <w:ind w:left="200" w:hanging="194"/>
        <w:spacing w:after="0"/>
        <w:tabs>
          <w:tab w:leader="none" w:pos="2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Regulatory Capital and Capital Adequacy Ratios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21</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Capital Stock</w:t>
            </w: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Treasury Stocks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(209,309)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(207,840)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(207,756)</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160,430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224,591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224,103</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21,381,402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21,707,166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21,725,663</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418,868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456,849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429,448</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8"/>
                <w:szCs w:val="18"/>
                <w:color w:val="auto"/>
              </w:rPr>
              <w:t>1,876,506</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1,809,048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1,913,045</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Subordinated Debt</w:t>
            </w:r>
          </w:p>
        </w:tc>
        <w:tc>
          <w:tcPr>
            <w:tcW w:w="1220" w:type="dxa"/>
            <w:vAlign w:val="bottom"/>
          </w:tcPr>
          <w:p>
            <w:pPr>
              <w:jc w:val="right"/>
              <w:spacing w:after="0"/>
              <w:rPr>
                <w:sz w:val="20"/>
                <w:szCs w:val="20"/>
                <w:color w:val="auto"/>
              </w:rPr>
            </w:pPr>
            <w:r>
              <w:rPr>
                <w:rFonts w:ascii="Arial" w:cs="Arial" w:eastAsia="Arial" w:hAnsi="Arial"/>
                <w:sz w:val="18"/>
                <w:szCs w:val="18"/>
                <w:color w:val="auto"/>
              </w:rPr>
              <w:t>4,698,109</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7,118,128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5,979,619</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financial and insurance companies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(674,492)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(735,021)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(717,711)</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(851,731)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(812,242)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(813,492)</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year Net Loss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(411,117)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97"/>
              </w:rPr>
              <w:t>Deduction for subordinated debt limit (50% of Tier I</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line="263" w:lineRule="exact"/>
              <w:rPr>
                <w:sz w:val="20"/>
                <w:szCs w:val="20"/>
                <w:color w:val="auto"/>
              </w:rPr>
            </w:pPr>
            <w:r>
              <w:rPr>
                <w:rFonts w:ascii="Arial" w:cs="Arial" w:eastAsia="Arial" w:hAnsi="Arial"/>
                <w:sz w:val="18"/>
                <w:szCs w:val="18"/>
                <w:color w:val="auto"/>
              </w:rPr>
              <w:t xml:space="preserve">excluding deductions) </w:t>
            </w:r>
            <w:r>
              <w:rPr>
                <w:rFonts w:ascii="Arial" w:cs="Arial" w:eastAsia="Arial" w:hAnsi="Arial"/>
                <w:sz w:val="29"/>
                <w:szCs w:val="29"/>
                <w:color w:val="auto"/>
                <w:vertAlign w:val="superscript"/>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Deduction for Tier I Limit (50% of Regulatory capital)</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(4)</w:t>
            </w: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Total Regulatory Capital (A)</w:t>
            </w: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27,707,660</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30,879,672</w:t>
            </w: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29,851,912</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-3.3</w:t>
            </w:r>
          </w:p>
        </w:tc>
        <w:tc>
          <w:tcPr>
            <w:tcW w:w="300" w:type="dxa"/>
            <w:vAlign w:val="bottom"/>
            <w:tcBorders>
              <w:bottom w:val="single" w:sz="8" w:color="CCEEFF"/>
            </w:tcBorders>
          </w:tcPr>
          <w:p>
            <w:pPr>
              <w:jc w:val="right"/>
              <w:ind w:right="31"/>
              <w:spacing w:after="0" w:line="20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7.7</w:t>
            </w:r>
          </w:p>
        </w:tc>
        <w:tc>
          <w:tcPr>
            <w:tcW w:w="180" w:type="dxa"/>
            <w:vAlign w:val="bottom"/>
            <w:tcBorders>
              <w:bottom w:val="single" w:sz="8" w:color="CCEEFF"/>
            </w:tcBorders>
          </w:tcPr>
          <w:p>
            <w:pPr>
              <w:jc w:val="right"/>
              <w:spacing w:after="0" w:line="206"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14,833,795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15,357,748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15,337,348</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12,873,865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15,357,748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14,514,564</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Consolidated Group (FCG) Regulatory</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 xml:space="preserve">Capital Requirements </w:t>
            </w:r>
            <w:r>
              <w:rPr>
                <w:rFonts w:ascii="Arial" w:cs="Arial" w:eastAsia="Arial" w:hAnsi="Arial"/>
                <w:sz w:val="29"/>
                <w:szCs w:val="29"/>
                <w:color w:val="auto"/>
                <w:vertAlign w:val="superscript"/>
              </w:rPr>
              <w:t>(8)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19,619,598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20,650,921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17,894,230</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Insurance Consolidated Group (ICG) Capital</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line="263" w:lineRule="exact"/>
              <w:rPr>
                <w:sz w:val="20"/>
                <w:szCs w:val="20"/>
                <w:color w:val="auto"/>
              </w:rPr>
            </w:pPr>
            <w:r>
              <w:rPr>
                <w:rFonts w:ascii="Arial" w:cs="Arial" w:eastAsia="Arial" w:hAnsi="Arial"/>
                <w:sz w:val="18"/>
                <w:szCs w:val="18"/>
                <w:color w:val="auto"/>
              </w:rPr>
              <w:t xml:space="preserve">Requirements </w:t>
            </w:r>
            <w:r>
              <w:rPr>
                <w:rFonts w:ascii="Arial" w:cs="Arial" w:eastAsia="Arial" w:hAnsi="Arial"/>
                <w:sz w:val="29"/>
                <w:szCs w:val="29"/>
                <w:color w:val="auto"/>
                <w:vertAlign w:val="superscript"/>
              </w:rPr>
              <w:t>(9)</w:t>
            </w:r>
          </w:p>
        </w:tc>
        <w:tc>
          <w:tcPr>
            <w:tcW w:w="1220" w:type="dxa"/>
            <w:vAlign w:val="bottom"/>
          </w:tcPr>
          <w:p>
            <w:pPr>
              <w:jc w:val="right"/>
              <w:spacing w:after="0"/>
              <w:rPr>
                <w:sz w:val="20"/>
                <w:szCs w:val="20"/>
                <w:color w:val="auto"/>
              </w:rPr>
            </w:pPr>
            <w:r>
              <w:rPr>
                <w:rFonts w:ascii="Arial" w:cs="Arial" w:eastAsia="Arial" w:hAnsi="Arial"/>
                <w:sz w:val="18"/>
                <w:szCs w:val="18"/>
                <w:color w:val="auto"/>
              </w:rPr>
              <w:t>1,232,497</w:t>
            </w:r>
          </w:p>
        </w:tc>
        <w:tc>
          <w:tcPr>
            <w:tcW w:w="22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1,362,246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1,325,595</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FCG Capital Requirements related to operations with</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ICG</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(500,356)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(467,303)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(471,394)</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5"/>
              </w:rPr>
              <w:t>ICG Capital Requirements related to operations with</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FCG</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20,351,739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21,545,864</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18,748,432</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0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line="206" w:lineRule="exact"/>
              <w:rPr>
                <w:sz w:val="20"/>
                <w:szCs w:val="20"/>
                <w:color w:val="auto"/>
              </w:rPr>
            </w:pPr>
            <w:r>
              <w:rPr>
                <w:rFonts w:ascii="Arial" w:cs="Arial" w:eastAsia="Arial" w:hAnsi="Arial"/>
                <w:sz w:val="18"/>
                <w:szCs w:val="18"/>
                <w:b w:val="1"/>
                <w:bCs w:val="1"/>
                <w:color w:val="auto"/>
              </w:rPr>
              <w:t>Regulatory Capital Ratio (A) / (B)</w:t>
            </w:r>
          </w:p>
        </w:tc>
        <w:tc>
          <w:tcPr>
            <w:tcW w:w="12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1.36</w:t>
            </w:r>
          </w:p>
        </w:tc>
        <w:tc>
          <w:tcPr>
            <w:tcW w:w="22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1.43</w:t>
            </w:r>
          </w:p>
        </w:tc>
        <w:tc>
          <w:tcPr>
            <w:tcW w:w="200" w:type="dxa"/>
            <w:vAlign w:val="bottom"/>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1.59</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 xml:space="preserve">Required Regulatory Capital Ratio </w:t>
            </w:r>
            <w:r>
              <w:rPr>
                <w:rFonts w:ascii="Arial" w:cs="Arial" w:eastAsia="Arial" w:hAnsi="Arial"/>
                <w:sz w:val="29"/>
                <w:szCs w:val="29"/>
                <w:color w:val="auto"/>
                <w:vertAlign w:val="superscript"/>
              </w:rPr>
              <w:t>(10)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14,745 million) and optional capital reserves (PEN 6,661 million).</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Minority interest includes Tier I (PEN 429 million)</w:t>
      </w:r>
    </w:p>
    <w:p>
      <w:pPr>
        <w:spacing w:after="0" w:line="5" w:lineRule="exact"/>
        <w:rPr>
          <w:rFonts w:ascii="Arial" w:cs="Arial" w:eastAsia="Arial" w:hAnsi="Arial"/>
          <w:sz w:val="18"/>
          <w:szCs w:val="18"/>
          <w:color w:val="auto"/>
        </w:rPr>
      </w:pPr>
    </w:p>
    <w:p>
      <w:pPr>
        <w:ind w:firstLine="6"/>
        <w:spacing w:after="0" w:line="246" w:lineRule="auto"/>
        <w:tabs>
          <w:tab w:leader="none" w:pos="2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5" w:lineRule="exact"/>
        <w:rPr>
          <w:rFonts w:ascii="Arial" w:cs="Arial" w:eastAsia="Arial" w:hAnsi="Arial"/>
          <w:sz w:val="18"/>
          <w:szCs w:val="18"/>
          <w:color w:val="auto"/>
        </w:rPr>
      </w:pPr>
    </w:p>
    <w:p>
      <w:pPr>
        <w:ind w:firstLine="6"/>
        <w:spacing w:after="0" w:line="246" w:lineRule="auto"/>
        <w:tabs>
          <w:tab w:leader="none" w:pos="2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6"/>
        <w:spacing w:after="0" w:line="246" w:lineRule="auto"/>
        <w:tabs>
          <w:tab w:leader="none" w:pos="2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5" w:lineRule="exact"/>
        <w:rPr>
          <w:rFonts w:ascii="Arial" w:cs="Arial" w:eastAsia="Arial" w:hAnsi="Arial"/>
          <w:sz w:val="18"/>
          <w:szCs w:val="18"/>
          <w:color w:val="auto"/>
        </w:rPr>
      </w:pPr>
    </w:p>
    <w:p>
      <w:pPr>
        <w:ind w:left="340" w:hanging="33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12.2. Credicorp Stand-alone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Credicorp Stand-alone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Separate Statement of Financial Position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(S/ thousands, IFRS)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4"/>
          </w:tcPr>
          <w:p>
            <w:pPr>
              <w:ind w:left="360"/>
              <w:spacing w:after="0"/>
              <w:rPr>
                <w:sz w:val="20"/>
                <w:szCs w:val="20"/>
                <w:color w:val="auto"/>
              </w:rPr>
            </w:pPr>
            <w:r>
              <w:rPr>
                <w:rFonts w:ascii="Arial" w:cs="Arial" w:eastAsia="Arial" w:hAnsi="Arial"/>
                <w:sz w:val="18"/>
                <w:szCs w:val="18"/>
                <w:b w:val="1"/>
                <w:bCs w:val="1"/>
                <w:color w:val="auto"/>
              </w:rPr>
              <w:t>Jun 20</w:t>
            </w:r>
          </w:p>
        </w:tc>
        <w:tc>
          <w:tcPr>
            <w:tcW w:w="17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Mar 21</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Jun 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5"/>
          </w:tcPr>
          <w:p>
            <w:pPr>
              <w:ind w:left="4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YoY</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1,817,197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800,622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1,019,773</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fair value through profit or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520,413</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Fair value through other comprehensive income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469,393</w:t>
            </w:r>
          </w:p>
        </w:tc>
        <w:tc>
          <w:tcPr>
            <w:tcW w:w="1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490,778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397,551</w:t>
            </w:r>
          </w:p>
        </w:tc>
        <w:tc>
          <w:tcPr>
            <w:tcW w:w="60" w:type="dxa"/>
            <w:vAlign w:val="bottom"/>
          </w:tcPr>
          <w:p>
            <w:pPr>
              <w:spacing w:after="0"/>
              <w:rPr>
                <w:sz w:val="19"/>
                <w:szCs w:val="19"/>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subsidiaries and associates investments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27,118,956</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28,688,953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29,354,310</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137,049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29,405,637</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30,700,578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31,292,392</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NET SHAREHOLDERS'</w:t>
            </w: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1,756,654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1,875,925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1,914,141</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102,383</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133,300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149,936</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1,859,037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2,009,225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2,064,077</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1,318,993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1,318,993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1,318,993</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384,542</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384,542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384,542</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Reserve</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21,070,409</w:t>
            </w: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21,417,403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21,417,403</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results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935,610</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495,986</w:t>
            </w: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3,837,046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4,918,075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5,611,391</w:t>
            </w:r>
          </w:p>
        </w:tc>
        <w:tc>
          <w:tcPr>
            <w:tcW w:w="6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Total net equity</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27,546,600</w:t>
            </w: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28,691,353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29,228,315</w:t>
            </w:r>
          </w:p>
        </w:tc>
        <w:tc>
          <w:tcPr>
            <w:tcW w:w="6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29,405,637</w:t>
            </w:r>
          </w:p>
        </w:tc>
        <w:tc>
          <w:tcPr>
            <w:tcW w:w="1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30,700,578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31,292,392</w:t>
            </w:r>
          </w:p>
        </w:tc>
        <w:tc>
          <w:tcPr>
            <w:tcW w:w="60" w:type="dxa"/>
            <w:vAlign w:val="bottom"/>
          </w:tcPr>
          <w:p>
            <w:pPr>
              <w:spacing w:after="0"/>
              <w:rPr>
                <w:sz w:val="19"/>
                <w:szCs w:val="19"/>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8"/>
                <w:szCs w:val="18"/>
                <w:b w:val="1"/>
                <w:bCs w:val="1"/>
                <w:color w:val="auto"/>
                <w:w w:val="95"/>
              </w:rPr>
              <w:t>Quarter</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 Change</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b w:val="1"/>
                <w:bCs w:val="1"/>
                <w:color w:val="auto"/>
              </w:rPr>
              <w:t>2Q20</w:t>
            </w:r>
          </w:p>
        </w:tc>
        <w:tc>
          <w:tcPr>
            <w:tcW w:w="170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5"/>
              </w:rPr>
              <w:t>1Q21</w:t>
            </w:r>
          </w:p>
        </w:tc>
        <w:tc>
          <w:tcPr>
            <w:tcW w:w="820" w:type="dxa"/>
            <w:vAlign w:val="bottom"/>
          </w:tcPr>
          <w:p>
            <w:pPr>
              <w:jc w:val="right"/>
              <w:ind w:right="311"/>
              <w:spacing w:after="0"/>
              <w:rPr>
                <w:sz w:val="20"/>
                <w:szCs w:val="20"/>
                <w:color w:val="auto"/>
              </w:rPr>
            </w:pPr>
            <w:r>
              <w:rPr>
                <w:rFonts w:ascii="Arial" w:cs="Arial" w:eastAsia="Arial" w:hAnsi="Arial"/>
                <w:sz w:val="18"/>
                <w:szCs w:val="18"/>
                <w:b w:val="1"/>
                <w:bCs w:val="1"/>
                <w:color w:val="auto"/>
                <w:w w:val="90"/>
              </w:rPr>
              <w:t>2Q21</w:t>
            </w:r>
          </w:p>
        </w:tc>
        <w:tc>
          <w:tcPr>
            <w:tcW w:w="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5"/>
          </w:tcPr>
          <w:p>
            <w:pPr>
              <w:ind w:left="360"/>
              <w:spacing w:after="0"/>
              <w:rPr>
                <w:sz w:val="20"/>
                <w:szCs w:val="20"/>
                <w:color w:val="auto"/>
              </w:rPr>
            </w:pPr>
            <w:r>
              <w:rPr>
                <w:rFonts w:ascii="Arial" w:cs="Arial" w:eastAsia="Arial" w:hAnsi="Arial"/>
                <w:sz w:val="18"/>
                <w:szCs w:val="18"/>
                <w:b w:val="1"/>
                <w:bCs w:val="1"/>
                <w:color w:val="auto"/>
              </w:rPr>
              <w:t>QoQ</w:t>
            </w:r>
          </w:p>
        </w:tc>
        <w:tc>
          <w:tcPr>
            <w:tcW w:w="820" w:type="dxa"/>
            <w:vAlign w:val="bottom"/>
          </w:tcPr>
          <w:p>
            <w:pPr>
              <w:jc w:val="right"/>
              <w:ind w:right="331"/>
              <w:spacing w:after="0"/>
              <w:rPr>
                <w:sz w:val="20"/>
                <w:szCs w:val="20"/>
                <w:color w:val="auto"/>
              </w:rPr>
            </w:pPr>
            <w:r>
              <w:rPr>
                <w:rFonts w:ascii="Arial" w:cs="Arial" w:eastAsia="Arial" w:hAnsi="Arial"/>
                <w:sz w:val="18"/>
                <w:szCs w:val="18"/>
                <w:b w:val="1"/>
                <w:bCs w:val="1"/>
                <w:color w:val="auto"/>
              </w:rPr>
              <w:t>YoY</w:t>
            </w:r>
          </w:p>
        </w:tc>
        <w:tc>
          <w:tcPr>
            <w:tcW w:w="2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Interest income</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Net share of the income from investments in</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gridSpan w:val="3"/>
          </w:tcPr>
          <w:p>
            <w:pPr>
              <w:spacing w:after="0"/>
              <w:rPr>
                <w:sz w:val="20"/>
                <w:szCs w:val="20"/>
                <w:color w:val="auto"/>
              </w:rPr>
            </w:pPr>
            <w:r>
              <w:rPr>
                <w:rFonts w:ascii="Arial" w:cs="Arial" w:eastAsia="Arial" w:hAnsi="Arial"/>
                <w:sz w:val="18"/>
                <w:szCs w:val="18"/>
                <w:color w:val="auto"/>
              </w:rPr>
              <w:t>subsidiaries and associates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(608,651)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676,484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725,297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Net gain on financial assets at fair value through</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gridSpan w:val="3"/>
          </w:tcPr>
          <w:p>
            <w:pPr>
              <w:spacing w:after="0"/>
              <w:rPr>
                <w:sz w:val="20"/>
                <w:szCs w:val="20"/>
                <w:color w:val="auto"/>
              </w:rPr>
            </w:pPr>
            <w:r>
              <w:rPr>
                <w:rFonts w:ascii="Arial" w:cs="Arial" w:eastAsia="Arial" w:hAnsi="Arial"/>
                <w:sz w:val="18"/>
                <w:szCs w:val="18"/>
                <w:color w:val="auto"/>
              </w:rPr>
              <w:t>profit or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4,898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(608,477)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737,257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Administrative and general expenses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(5,765)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(614,242)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656,904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719,068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net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(619,983)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719,043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(19,546)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(619,983)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636,402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699,497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Double Leverage Ratio</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100.43%</w:t>
            </w:r>
          </w:p>
        </w:tc>
        <w:tc>
          <w:tcPr>
            <w:tcW w:w="60" w:type="dxa"/>
            <w:vAlign w:val="bottom"/>
          </w:tcPr>
          <w:p>
            <w:pPr>
              <w:spacing w:after="0"/>
              <w:rPr>
                <w:sz w:val="19"/>
                <w:szCs w:val="19"/>
                <w:color w:val="auto"/>
              </w:rPr>
            </w:pPr>
          </w:p>
        </w:tc>
        <w:tc>
          <w:tcPr>
            <w:tcW w:w="1840" w:type="dxa"/>
            <w:vAlign w:val="bottom"/>
            <w:gridSpan w:val="5"/>
          </w:tcPr>
          <w:p>
            <w:pPr>
              <w:ind w:left="900"/>
              <w:spacing w:after="0"/>
              <w:rPr>
                <w:sz w:val="20"/>
                <w:szCs w:val="20"/>
                <w:color w:val="auto"/>
              </w:rPr>
            </w:pPr>
            <w:r>
              <w:rPr>
                <w:rFonts w:ascii="Arial" w:cs="Arial" w:eastAsia="Arial" w:hAnsi="Arial"/>
                <w:sz w:val="18"/>
                <w:szCs w:val="18"/>
                <w:color w:val="auto"/>
              </w:rPr>
              <w:t>-44bps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202bps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2" w:name="page73"/>
    <w:bookmarkEnd w:id="7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BCP Consolidated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 20</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21</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Jun 21</w:t>
            </w:r>
          </w:p>
        </w:tc>
        <w:tc>
          <w:tcPr>
            <w:tcW w:w="220" w:type="dxa"/>
            <w:vAlign w:val="bottom"/>
          </w:tcPr>
          <w:p>
            <w:pPr>
              <w:spacing w:after="0"/>
              <w:rPr>
                <w:sz w:val="19"/>
                <w:szCs w:val="19"/>
                <w:color w:val="auto"/>
              </w:rPr>
            </w:pPr>
          </w:p>
        </w:tc>
        <w:tc>
          <w:tcPr>
            <w:tcW w:w="186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5,041,371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5,227,840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6,919,815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26,863,958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30,566,460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26,482,164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due from banks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31,905,329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35,794,300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33,401,979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8"/>
              </w:rPr>
              <w:t>Cash collateral, reverse repurchase agreements and</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borrowing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1,987,570</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772,790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544,937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1,630,272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3,549,042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2,118,559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Fair value through other comprehensive income</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18,724,601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31,556,758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25,735,158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4,280,002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5,466,463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7,366,267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121,391,338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124,970,804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130,864,182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Current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117,707,704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120,335,694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126,045,797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 overdue 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3,683,634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4,635,110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4,818,385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Less - allowance for loan losses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(7,910,329)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(9,090,737)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(8,797,871)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113,481,009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115,880,067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122,066,311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b w:val="1"/>
                <w:bCs w:val="1"/>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1,819,369</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1,729,286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1,681,651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331,591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532,584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558,934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7,303,556</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6,455,086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6,772,279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jc w:val="center"/>
              <w:ind w:right="31"/>
              <w:spacing w:after="0"/>
              <w:rPr>
                <w:sz w:val="20"/>
                <w:szCs w:val="20"/>
                <w:color w:val="auto"/>
              </w:rPr>
            </w:pPr>
            <w:r>
              <w:rPr>
                <w:rFonts w:ascii="Arial" w:cs="Arial" w:eastAsia="Arial" w:hAnsi="Arial"/>
                <w:sz w:val="18"/>
                <w:szCs w:val="18"/>
                <w:b w:val="1"/>
                <w:bCs w:val="1"/>
                <w:color w:val="auto"/>
                <w:w w:val="85"/>
              </w:rPr>
              <w:t>Total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181,463,299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201,736,376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200,246,075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shd w:val="clear" w:color="auto" w:fill="CCEEFF"/>
          </w:tcPr>
          <w:p>
            <w:pPr>
              <w:ind w:left="140"/>
              <w:spacing w:after="0" w:line="252" w:lineRule="exact"/>
              <w:rPr>
                <w:sz w:val="20"/>
                <w:szCs w:val="20"/>
                <w:color w:val="auto"/>
              </w:rPr>
            </w:pPr>
            <w:r>
              <w:rPr>
                <w:rFonts w:ascii="Arial" w:cs="Arial" w:eastAsia="Arial" w:hAnsi="Arial"/>
                <w:sz w:val="18"/>
                <w:szCs w:val="18"/>
                <w:color w:val="auto"/>
              </w:rPr>
              <w:t xml:space="preserve">Non-interest bearing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44,355,291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44,470,186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45,881,848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ind w:left="140"/>
              <w:spacing w:after="0" w:line="252" w:lineRule="exact"/>
              <w:rPr>
                <w:sz w:val="20"/>
                <w:szCs w:val="20"/>
                <w:color w:val="auto"/>
              </w:rPr>
            </w:pPr>
            <w:r>
              <w:rPr>
                <w:rFonts w:ascii="Arial" w:cs="Arial" w:eastAsia="Arial" w:hAnsi="Arial"/>
                <w:sz w:val="18"/>
                <w:szCs w:val="18"/>
                <w:color w:val="auto"/>
              </w:rPr>
              <w:t xml:space="preserve">Interest bearing </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70,151,519</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88,611,086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86,547,213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114,506,810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133,081,272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132,429,061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Payables from repurchase agreements and</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lending</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20,912,125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24,839,353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23,879,115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19,441,733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24,303,193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23,329,990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 with third parties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1,470,392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536,160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549,125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8,205,084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5,040,881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5,636,702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notes issued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14,964,339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15,301,214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14,368,316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331,591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532,584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558,934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6"/>
              </w:rPr>
              <w:t>Financial liabilities at fair value through profit or</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108,189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461,069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84,071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-81.8%</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000" w:type="dxa"/>
            <w:vAlign w:val="bottom"/>
          </w:tcPr>
          <w:p>
            <w:pPr>
              <w:spacing w:after="0" w:line="252"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5,367,864</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4,197,747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4,261,450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Total Liabilities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164,396,002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183,454,120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181,217,649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16,963,254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18,165,016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18,908,512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Capital stock</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10,774,006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11,024,006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11,024,006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5,945,313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6,488,641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6,488,969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Unrealized gains and losses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333,548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(68,242)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(123,542)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(89,613)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720,611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1,519,079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104,043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117,240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119,914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jc w:val="center"/>
              <w:ind w:right="31"/>
              <w:spacing w:after="0"/>
              <w:rPr>
                <w:sz w:val="20"/>
                <w:szCs w:val="20"/>
                <w:color w:val="auto"/>
              </w:rPr>
            </w:pPr>
            <w:r>
              <w:rPr>
                <w:rFonts w:ascii="Arial" w:cs="Arial" w:eastAsia="Arial" w:hAnsi="Arial"/>
                <w:sz w:val="18"/>
                <w:szCs w:val="18"/>
                <w:b w:val="1"/>
                <w:bCs w:val="1"/>
                <w:color w:val="auto"/>
                <w:w w:val="90"/>
              </w:rPr>
              <w:t>Total Net Equity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17,067,297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18,282,256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19,028,426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181,463,299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201,736,376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200,246,075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115,150,387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130,403,638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131,540,506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17,490,615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20,320,600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21,228,772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70,509,409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73,973,965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75,964,511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27,150,363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36,109,073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34,347,223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Right of use asset of lease contracts is included by application of IFRS 16.</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81" w:orient="portrait"/>
          <w:cols w:equalWidth="0" w:num="1">
            <w:col w:w="11240"/>
          </w:cols>
          <w:pgMar w:left="320" w:top="1104" w:right="33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(4)  Figures differ from those presented in fiscal year 2020.</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 change</w:t>
            </w:r>
          </w:p>
        </w:tc>
        <w:tc>
          <w:tcPr>
            <w:tcW w:w="1200" w:type="dxa"/>
            <w:vAlign w:val="bottom"/>
            <w:gridSpan w:val="3"/>
          </w:tcPr>
          <w:p>
            <w:pPr>
              <w:ind w:left="820"/>
              <w:spacing w:after="0"/>
              <w:rPr>
                <w:sz w:val="20"/>
                <w:szCs w:val="20"/>
                <w:color w:val="auto"/>
              </w:rPr>
            </w:pPr>
            <w:r>
              <w:rPr>
                <w:rFonts w:ascii="Arial" w:cs="Arial" w:eastAsia="Arial" w:hAnsi="Arial"/>
                <w:sz w:val="18"/>
                <w:szCs w:val="18"/>
                <w:b w:val="1"/>
                <w:bCs w:val="1"/>
                <w:color w:val="auto"/>
                <w:w w:val="92"/>
              </w:rPr>
              <w:t>Year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Jun 2021</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2Q20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1Q21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2Q21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120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 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21</w:t>
            </w: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Jun 2020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2,325,119</w:t>
            </w:r>
          </w:p>
        </w:tc>
        <w:tc>
          <w:tcPr>
            <w:tcW w:w="880" w:type="dxa"/>
            <w:vAlign w:val="bottom"/>
          </w:tcPr>
          <w:p>
            <w:pPr>
              <w:jc w:val="right"/>
              <w:spacing w:after="0"/>
              <w:rPr>
                <w:sz w:val="20"/>
                <w:szCs w:val="20"/>
                <w:color w:val="auto"/>
              </w:rPr>
            </w:pPr>
            <w:r>
              <w:rPr>
                <w:rFonts w:ascii="Arial" w:cs="Arial" w:eastAsia="Arial" w:hAnsi="Arial"/>
                <w:sz w:val="18"/>
                <w:szCs w:val="18"/>
                <w:color w:val="auto"/>
              </w:rPr>
              <w:t>2,407,997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2,446,731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5,089,042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4,854,728</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(636,317)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(555,008)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(438,943)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(1,297,065)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(993,951)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1,688,802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1,852,989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2,007,788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3,791,977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3,860,777</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6"/>
              </w:rPr>
              <w:t>Provision for credit losses on loan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portfolio</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(2,425,753)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(585,257)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(480,116)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(3,766,728)</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(1,065,373)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Recoveries of written-off loans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73,023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134,119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b w:val="1"/>
                <w:bCs w:val="1"/>
                <w:color w:val="auto"/>
                <w:w w:val="88"/>
              </w:rPr>
              <w:t>Provision for credit losses on loan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portfolio, net of recoveries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(2,409,569)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(524,161)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(407,093)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(3,706,590)</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(931,254)</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w w:val="90"/>
              </w:rPr>
              <w:t>Risk-adjusted net interest income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(720,767)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1,328,828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1,600,695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-322.1%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85,387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2,929,523</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648,980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982,518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1,280,758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tcPr>
          <w:p>
            <w:pPr>
              <w:ind w:left="140"/>
              <w:spacing w:after="0" w:line="201" w:lineRule="exact"/>
              <w:rPr>
                <w:sz w:val="20"/>
                <w:szCs w:val="20"/>
                <w:color w:val="auto"/>
              </w:rPr>
            </w:pPr>
            <w:r>
              <w:rPr>
                <w:rFonts w:ascii="Arial" w:cs="Arial" w:eastAsia="Arial" w:hAnsi="Arial"/>
                <w:sz w:val="18"/>
                <w:szCs w:val="18"/>
                <w:color w:val="auto"/>
              </w:rPr>
              <w:t>Net gain on foreign exchange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transactions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143,905</w:t>
            </w:r>
          </w:p>
        </w:tc>
        <w:tc>
          <w:tcPr>
            <w:tcW w:w="880" w:type="dxa"/>
            <w:vAlign w:val="bottom"/>
          </w:tcPr>
          <w:p>
            <w:pPr>
              <w:jc w:val="right"/>
              <w:spacing w:after="0"/>
              <w:rPr>
                <w:sz w:val="20"/>
                <w:szCs w:val="20"/>
                <w:color w:val="auto"/>
              </w:rPr>
            </w:pPr>
            <w:r>
              <w:rPr>
                <w:rFonts w:ascii="Arial" w:cs="Arial" w:eastAsia="Arial" w:hAnsi="Arial"/>
                <w:sz w:val="18"/>
                <w:szCs w:val="18"/>
                <w:color w:val="auto"/>
              </w:rPr>
              <w:t>173,465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240,553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321,312</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414,018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securities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(130,474)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(88,362)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tcPr>
          <w:p>
            <w:pPr>
              <w:ind w:left="140"/>
              <w:spacing w:after="0" w:line="201" w:lineRule="exact"/>
              <w:rPr>
                <w:sz w:val="20"/>
                <w:szCs w:val="20"/>
                <w:color w:val="auto"/>
              </w:rPr>
            </w:pPr>
            <w:r>
              <w:rPr>
                <w:rFonts w:ascii="Arial" w:cs="Arial" w:eastAsia="Arial" w:hAnsi="Arial"/>
                <w:sz w:val="18"/>
                <w:szCs w:val="18"/>
                <w:color w:val="auto"/>
                <w:w w:val="99"/>
              </w:rPr>
              <w:t>Net gain on derivatives held for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trading</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34,979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31,844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34,411</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44,164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Net gain from exchange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56,816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53,995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Others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21,512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58,392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41,734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114,320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100,126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other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661,488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915,246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889,453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1,482,772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1,804,699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w w:val="97"/>
              </w:rPr>
              <w:t>Salaries and employee benefits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(589,893)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(603,175)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(632,636)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(1,247,667)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(1,235,811)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(381,303)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(433,717)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(516,669)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(788,680)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(950,386)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(132,008)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(127,578)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(125,592)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(264,147)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(253,170)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(77,386)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(49,176)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(59,093)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(108,269)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(1,180,590)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(1,213,646)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(1,333,990)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(2,529,243)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(2,547,636)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Profit before income tax</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(1,239,869)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1,030,428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1,156,158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-193.2%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(961,084)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2,186,586</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422,060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(274,798)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(356,194)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(630,992)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Net profit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(817,809)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755,630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799,964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-197.8%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(636,553)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1,555,594</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b w:val="1"/>
                <w:bCs w:val="1"/>
                <w:color w:val="auto"/>
              </w:rPr>
              <w:t>Net profit attributable to BCP</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(803,543)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755,050</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797,222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(623,821)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1,552,272</w:t>
            </w:r>
          </w:p>
        </w:tc>
        <w:tc>
          <w:tcPr>
            <w:tcW w:w="20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YTD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2Q20</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1Q21</w:t>
            </w: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2Q21</w:t>
            </w:r>
          </w:p>
        </w:tc>
        <w:tc>
          <w:tcPr>
            <w:tcW w:w="260" w:type="dxa"/>
            <w:vAlign w:val="bottom"/>
          </w:tcPr>
          <w:p>
            <w:pPr>
              <w:spacing w:after="0"/>
              <w:rPr>
                <w:sz w:val="19"/>
                <w:szCs w:val="19"/>
                <w:color w:val="auto"/>
              </w:rPr>
            </w:pP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Jun 20</w:t>
            </w:r>
          </w:p>
        </w:tc>
        <w:tc>
          <w:tcPr>
            <w:tcW w:w="940" w:type="dxa"/>
            <w:vAlign w:val="bottom"/>
          </w:tcPr>
          <w:p>
            <w:pPr>
              <w:ind w:left="140"/>
              <w:spacing w:after="0"/>
              <w:rPr>
                <w:sz w:val="20"/>
                <w:szCs w:val="20"/>
                <w:color w:val="auto"/>
              </w:rPr>
            </w:pPr>
            <w:r>
              <w:rPr>
                <w:rFonts w:ascii="Arial" w:cs="Arial" w:eastAsia="Arial" w:hAnsi="Arial"/>
                <w:sz w:val="18"/>
                <w:szCs w:val="18"/>
                <w:b w:val="1"/>
                <w:bCs w:val="1"/>
                <w:color w:val="auto"/>
              </w:rPr>
              <w:t>Jun 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Profitability</w:t>
            </w: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tcPr>
          <w:p>
            <w:pPr>
              <w:spacing w:after="0" w:line="252"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(0.071)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0.067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0.070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(0.055)</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0.137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tcPr>
          <w:p>
            <w:pPr>
              <w:spacing w:after="0" w:line="252"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tcPr>
          <w:p>
            <w:pPr>
              <w:spacing w:after="0" w:line="252"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IOL ratio</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Coverage of IOLs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tcPr>
          <w:p>
            <w:pPr>
              <w:spacing w:after="0" w:line="252"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8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w w:val="94"/>
              </w:rPr>
              <w:t xml:space="preserve">Oper. expenses as a percent. of total income - reported </w:t>
            </w:r>
            <w:r>
              <w:rPr>
                <w:rFonts w:ascii="Arial" w:cs="Arial" w:eastAsia="Arial" w:hAnsi="Arial"/>
                <w:sz w:val="29"/>
                <w:szCs w:val="29"/>
                <w:color w:val="auto"/>
                <w:w w:val="94"/>
                <w:vertAlign w:val="superscript"/>
              </w:rPr>
              <w:t>(6)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Oper. expenses as a percent. of total income - including all</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99"/>
              </w:rPr>
              <w:t xml:space="preserve">Oper. expenses as a percent. of av. tot. assets </w:t>
            </w:r>
            <w:r>
              <w:rPr>
                <w:rFonts w:ascii="Arial" w:cs="Arial" w:eastAsia="Arial" w:hAnsi="Arial"/>
                <w:sz w:val="29"/>
                <w:szCs w:val="29"/>
                <w:color w:val="auto"/>
                <w:w w:val="99"/>
                <w:vertAlign w:val="superscript"/>
              </w:rPr>
              <w:t>(2)(3)(6)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11,317</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11,317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11,317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11,067</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hanging="254"/>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5" w:lineRule="exact"/>
        <w:rPr>
          <w:rFonts w:ascii="Arial" w:cs="Arial" w:eastAsia="Arial" w:hAnsi="Arial"/>
          <w:sz w:val="18"/>
          <w:szCs w:val="18"/>
          <w:color w:val="auto"/>
        </w:rPr>
      </w:pPr>
    </w:p>
    <w:p>
      <w:pPr>
        <w:ind w:firstLine="6"/>
        <w:spacing w:after="0" w:line="295" w:lineRule="auto"/>
        <w:tabs>
          <w:tab w:leader="none" w:pos="266"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260" w:hanging="254"/>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5" w:lineRule="exact"/>
        <w:rPr>
          <w:rFonts w:ascii="Arial" w:cs="Arial" w:eastAsia="Arial" w:hAnsi="Arial"/>
          <w:sz w:val="18"/>
          <w:szCs w:val="18"/>
          <w:color w:val="auto"/>
        </w:rPr>
      </w:pPr>
    </w:p>
    <w:p>
      <w:pPr>
        <w:ind w:firstLine="6"/>
        <w:spacing w:after="0" w:line="281" w:lineRule="auto"/>
        <w:tabs>
          <w:tab w:leader="none" w:pos="2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12.4. BCP Stand-alone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7"/>
              </w:rPr>
              <w:t>BANCO DE CREDITO DEL PERU</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gridSpan w:val="6"/>
          </w:tcPr>
          <w:p>
            <w:pPr>
              <w:jc w:val="center"/>
              <w:ind w:left="3811"/>
              <w:spacing w:after="0"/>
              <w:rPr>
                <w:sz w:val="20"/>
                <w:szCs w:val="20"/>
                <w:color w:val="auto"/>
              </w:rPr>
            </w:pPr>
            <w:r>
              <w:rPr>
                <w:rFonts w:ascii="Arial" w:cs="Arial" w:eastAsia="Arial" w:hAnsi="Arial"/>
                <w:sz w:val="18"/>
                <w:szCs w:val="18"/>
                <w:b w:val="1"/>
                <w:bCs w:val="1"/>
                <w:color w:val="auto"/>
              </w:rPr>
              <w:t>STATEMENT OF FINANCIAL POSITION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8"/>
              </w:rPr>
              <w:t>(S/ thousands, IFRS)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 20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21</w:t>
            </w:r>
          </w:p>
        </w:tc>
        <w:tc>
          <w:tcPr>
            <w:tcW w:w="1220" w:type="dxa"/>
            <w:vAlign w:val="bottom"/>
          </w:tcPr>
          <w:p>
            <w:pPr>
              <w:jc w:val="right"/>
              <w:ind w:right="271"/>
              <w:spacing w:after="0"/>
              <w:rPr>
                <w:sz w:val="20"/>
                <w:szCs w:val="20"/>
                <w:color w:val="auto"/>
              </w:rPr>
            </w:pPr>
            <w:r>
              <w:rPr>
                <w:rFonts w:ascii="Arial" w:cs="Arial" w:eastAsia="Arial" w:hAnsi="Arial"/>
                <w:sz w:val="18"/>
                <w:szCs w:val="18"/>
                <w:b w:val="1"/>
                <w:bCs w:val="1"/>
                <w:color w:val="auto"/>
              </w:rPr>
              <w:t>Jun 21</w:t>
            </w:r>
          </w:p>
        </w:tc>
        <w:tc>
          <w:tcPr>
            <w:tcW w:w="220" w:type="dxa"/>
            <w:vAlign w:val="bottom"/>
          </w:tcPr>
          <w:p>
            <w:pPr>
              <w:spacing w:after="0"/>
              <w:rPr>
                <w:sz w:val="19"/>
                <w:szCs w:val="19"/>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4,402,832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4,774,267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6,413,791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26,045,808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29,710,731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25,585,201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due from banks</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30,448,640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34,484,998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31,998,992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Cash collateral, reverse repurchase agreements and</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borrowing</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1,987,570</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772,790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544,937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1,630,272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3,549,042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2,118,559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Fair value through other comprehensive income</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17,562,854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30,302,999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24,477,519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3,995,043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5,174,978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7,071,197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111,821,212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112,597,400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118,872,541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Current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108,857,750</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109,158,605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115,221,323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 overdue loans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2,963,462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3,438,795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3,651,218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Less - allowance for loan losses</w:t>
            </w: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auto"/>
              </w:rPr>
              <w:t>(6,438,182)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(7,218,294)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(7,124,855)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105,383,030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105,379,106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111,747,686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1,429,298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1,386,433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1,359,061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331,591</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532,584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558,934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associates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1,862,221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2,106,918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2,142,791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40" w:type="dxa"/>
            <w:vAlign w:val="bottom"/>
          </w:tcPr>
          <w:p>
            <w:pPr>
              <w:spacing w:after="0" w:line="252"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(1)</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6,494,408</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5,485,436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5,836,135</w:t>
            </w: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jc w:val="center"/>
              <w:ind w:left="111"/>
              <w:spacing w:after="0"/>
              <w:rPr>
                <w:sz w:val="20"/>
                <w:szCs w:val="20"/>
                <w:color w:val="auto"/>
              </w:rPr>
            </w:pPr>
            <w:r>
              <w:rPr>
                <w:rFonts w:ascii="Arial" w:cs="Arial" w:eastAsia="Arial" w:hAnsi="Arial"/>
                <w:sz w:val="18"/>
                <w:szCs w:val="18"/>
                <w:b w:val="1"/>
                <w:bCs w:val="1"/>
                <w:color w:val="auto"/>
                <w:w w:val="84"/>
              </w:rPr>
              <w:t>Total Assets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171,124,927</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189,175,284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187,855,811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44,355,685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44,464,518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45,880,454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bearing</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62,066,600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80,288,334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78,320,355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106,422,285</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124,752,852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124,200,809</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b w:val="1"/>
                <w:bCs w:val="1"/>
                <w:color w:val="auto"/>
                <w:w w:val="90"/>
              </w:rPr>
              <w:t>Payables from repurchase agreements and securities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20,656,894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22,313,686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21,394,306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BCRP instruments</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19,186,502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21,777,527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20,845,181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Repurchase agreements with third parties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1,470,392</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536,159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549,125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7,062,622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4,288,270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4,830,856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Bonds and notes issued</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14,831,741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15,010,690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14,179,541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331,591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532,584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558,934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w w:val="90"/>
              </w:rPr>
              <w:t>Financial liabilities at fair value through profit or loss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108,189</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461,069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84,071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40" w:type="dxa"/>
            <w:vAlign w:val="bottom"/>
            <w:shd w:val="clear" w:color="auto" w:fill="CCEEFF"/>
          </w:tcPr>
          <w:p>
            <w:pPr>
              <w:spacing w:after="0" w:line="252"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4,746,615</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3,648,048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3,695,174</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0"/>
              </w:rPr>
              <w:t>Total Liabilities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154,159,937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171,007,199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168,943,691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16,964,990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18,168,085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18,912,120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Capital stock</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10,774,006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11,024,006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11,024,006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5,945,313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6,488,641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6,488,969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Unrealized gains and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333,548</w:t>
            </w:r>
          </w:p>
        </w:tc>
        <w:tc>
          <w:tcPr>
            <w:tcW w:w="2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(68,242)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(123,542)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(87,877)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723,680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1,522,687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1"/>
              </w:rPr>
              <w:t>Total Net Equity</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16,964,990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18,168,085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18,912,120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171,124,927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189,175,284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187,855,811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113,527,769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117,468,548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119,457,875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17,490,977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20,320,875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21,229,047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69,526,957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74,532,576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75,613,731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26,509,835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22,615,097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22,615,097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hanging="254"/>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 change</w:t>
            </w:r>
          </w:p>
        </w:tc>
        <w:tc>
          <w:tcPr>
            <w:tcW w:w="1200" w:type="dxa"/>
            <w:vAlign w:val="bottom"/>
            <w:gridSpan w:val="3"/>
          </w:tcPr>
          <w:p>
            <w:pPr>
              <w:ind w:left="820"/>
              <w:spacing w:after="0"/>
              <w:rPr>
                <w:sz w:val="20"/>
                <w:szCs w:val="20"/>
                <w:color w:val="auto"/>
              </w:rPr>
            </w:pPr>
            <w:r>
              <w:rPr>
                <w:rFonts w:ascii="Arial" w:cs="Arial" w:eastAsia="Arial" w:hAnsi="Arial"/>
                <w:sz w:val="18"/>
                <w:szCs w:val="18"/>
                <w:b w:val="1"/>
                <w:bCs w:val="1"/>
                <w:color w:val="auto"/>
                <w:w w:val="92"/>
              </w:rPr>
              <w:t>Year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Jun 2021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2Q20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1Q21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2Q21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YoY</w:t>
            </w:r>
          </w:p>
        </w:tc>
        <w:tc>
          <w:tcPr>
            <w:tcW w:w="120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 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21</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Jun 2020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Interest and dividend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1,968,404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1,939,749</w:t>
            </w:r>
          </w:p>
        </w:tc>
        <w:tc>
          <w:tcPr>
            <w:tcW w:w="900" w:type="dxa"/>
            <w:vAlign w:val="bottom"/>
          </w:tcPr>
          <w:p>
            <w:pPr>
              <w:jc w:val="right"/>
              <w:spacing w:after="0"/>
              <w:rPr>
                <w:sz w:val="20"/>
                <w:szCs w:val="20"/>
                <w:color w:val="auto"/>
              </w:rPr>
            </w:pPr>
            <w:r>
              <w:rPr>
                <w:rFonts w:ascii="Arial" w:cs="Arial" w:eastAsia="Arial" w:hAnsi="Arial"/>
                <w:sz w:val="18"/>
                <w:szCs w:val="18"/>
                <w:color w:val="auto"/>
              </w:rPr>
              <w:t>1,930,221</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00" w:type="dxa"/>
            <w:vAlign w:val="bottom"/>
          </w:tcPr>
          <w:p>
            <w:pPr>
              <w:jc w:val="right"/>
              <w:spacing w:after="0"/>
              <w:rPr>
                <w:sz w:val="20"/>
                <w:szCs w:val="20"/>
                <w:color w:val="auto"/>
              </w:rPr>
            </w:pPr>
            <w:r>
              <w:rPr>
                <w:rFonts w:ascii="Arial" w:cs="Arial" w:eastAsia="Arial" w:hAnsi="Arial"/>
                <w:sz w:val="18"/>
                <w:szCs w:val="18"/>
                <w:color w:val="auto"/>
              </w:rPr>
              <w:t>1,968,404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1,930,221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shd w:val="clear" w:color="auto" w:fill="CCEEFF"/>
          </w:tcPr>
          <w:p>
            <w:pPr>
              <w:ind w:left="140"/>
              <w:spacing w:after="0" w:line="25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(545,952)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(492,099)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(382,994)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(545,952)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(382,994)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Net interest income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1,422,452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1,447,650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1,547,227</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1,422,452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1,547,227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6"/>
              </w:rPr>
              <w:t>Provision for credit losses on loan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portfolio</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(2,017,137)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(435,378)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(337,668)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(2,017,137)</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(337,668)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Recoveries of written-off loans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55,807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b w:val="1"/>
                <w:bCs w:val="1"/>
                <w:color w:val="auto"/>
              </w:rPr>
              <w:t>Provision for credit losses on</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w w:val="97"/>
              </w:rPr>
              <w:t>loan portfolio, net of recoveries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(2,003,048)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(385,353)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(281,861)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-85.9%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(2,003,048)</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(281,861)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b w:val="1"/>
                <w:bCs w:val="1"/>
                <w:color w:val="auto"/>
              </w:rPr>
              <w:t>Risk-adjusted net interest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(580,596)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1,062,297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1,265,366</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(580,596)</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1,265,366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379,049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614,423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637,821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637,821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tcPr>
          <w:p>
            <w:pPr>
              <w:ind w:left="140"/>
              <w:spacing w:after="0" w:line="201" w:lineRule="exact"/>
              <w:rPr>
                <w:sz w:val="20"/>
                <w:szCs w:val="20"/>
                <w:color w:val="auto"/>
              </w:rPr>
            </w:pPr>
            <w:r>
              <w:rPr>
                <w:rFonts w:ascii="Arial" w:cs="Arial" w:eastAsia="Arial" w:hAnsi="Arial"/>
                <w:sz w:val="18"/>
                <w:szCs w:val="18"/>
                <w:color w:val="auto"/>
              </w:rPr>
              <w:t>Net gain on foreign exchange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transactions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142,210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172,489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238,775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900" w:type="dxa"/>
            <w:vAlign w:val="bottom"/>
          </w:tcPr>
          <w:p>
            <w:pPr>
              <w:jc w:val="right"/>
              <w:spacing w:after="0"/>
              <w:rPr>
                <w:sz w:val="20"/>
                <w:szCs w:val="20"/>
                <w:color w:val="auto"/>
              </w:rPr>
            </w:pPr>
            <w:r>
              <w:rPr>
                <w:rFonts w:ascii="Arial" w:cs="Arial" w:eastAsia="Arial" w:hAnsi="Arial"/>
                <w:sz w:val="18"/>
                <w:szCs w:val="18"/>
                <w:color w:val="auto"/>
              </w:rPr>
              <w:t>142,210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238,775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securities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(22,406)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41,963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(130,488)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(130,488)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Net gain from associates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(166,973)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14,110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52,809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274.3%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-131.6%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(166,973)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52,809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Net gain on derivatives held for</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trading</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31,076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34,437</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31,076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tcPr>
          <w:p>
            <w:pPr>
              <w:ind w:left="140"/>
              <w:spacing w:after="0" w:line="201" w:lineRule="exact"/>
              <w:rPr>
                <w:sz w:val="20"/>
                <w:szCs w:val="20"/>
                <w:color w:val="auto"/>
              </w:rPr>
            </w:pPr>
            <w:r>
              <w:rPr>
                <w:rFonts w:ascii="Arial" w:cs="Arial" w:eastAsia="Arial" w:hAnsi="Arial"/>
                <w:sz w:val="18"/>
                <w:szCs w:val="18"/>
                <w:color w:val="auto"/>
              </w:rPr>
              <w:t>Net gain from exchange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differences</w:t>
            </w:r>
          </w:p>
        </w:tc>
        <w:tc>
          <w:tcPr>
            <w:tcW w:w="880" w:type="dxa"/>
            <w:vAlign w:val="bottom"/>
          </w:tcPr>
          <w:p>
            <w:pPr>
              <w:jc w:val="right"/>
              <w:spacing w:after="0"/>
              <w:rPr>
                <w:sz w:val="20"/>
                <w:szCs w:val="20"/>
                <w:color w:val="auto"/>
              </w:rPr>
            </w:pPr>
            <w:r>
              <w:rPr>
                <w:rFonts w:ascii="Arial" w:cs="Arial" w:eastAsia="Arial" w:hAnsi="Arial"/>
                <w:sz w:val="18"/>
                <w:szCs w:val="18"/>
                <w:color w:val="auto"/>
              </w:rPr>
              <w:t>11,120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(3,052)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55,219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-1909.3%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11,120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55,219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49,931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41,144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41,144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Total other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397,420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901,692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926,356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397,420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926,356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Salaries and employee benefits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(400,800)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(418,397)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(444,586)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(400,800)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(444,586)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(345,465)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(379,632)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(461,867)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(345,465)</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(461,867)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(107,564)</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(103,864)</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(104,592)</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(107,564)</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(104,592)</w:t>
            </w: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w:t>
            </w:r>
          </w:p>
        </w:tc>
        <w:tc>
          <w:tcPr>
            <w:tcW w:w="11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(68,142)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(42,193)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(50,765)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(68,142)</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(50,765)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(921,971)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(944,086)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(1,061,810)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(921,971)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(1,061,810)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(1,105,147)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1,019,903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1,129,912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(1,105,147)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1,129,912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Income 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302,034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(264,385)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(332,151)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900" w:type="dxa"/>
            <w:vAlign w:val="bottom"/>
          </w:tcPr>
          <w:p>
            <w:pPr>
              <w:jc w:val="right"/>
              <w:spacing w:after="0"/>
              <w:rPr>
                <w:sz w:val="20"/>
                <w:szCs w:val="20"/>
                <w:color w:val="auto"/>
              </w:rPr>
            </w:pPr>
            <w:r>
              <w:rPr>
                <w:rFonts w:ascii="Arial" w:cs="Arial" w:eastAsia="Arial" w:hAnsi="Arial"/>
                <w:sz w:val="18"/>
                <w:szCs w:val="18"/>
                <w:color w:val="auto"/>
              </w:rPr>
              <w:t>302,034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(332,151)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(803,113)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755,518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797,761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(803,113)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797,761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profit attributable to BCP</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Stand-alone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(803,113)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755,518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797,761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-199.3%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(803,113)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797,761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hanging="234"/>
        <w:spacing w:after="0"/>
        <w:tabs>
          <w:tab w:leader="none" w:pos="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16" w:lineRule="exact"/>
        <w:rPr>
          <w:rFonts w:ascii="Arial" w:cs="Arial" w:eastAsia="Arial" w:hAnsi="Arial"/>
          <w:sz w:val="18"/>
          <w:szCs w:val="18"/>
          <w:color w:val="auto"/>
        </w:rPr>
      </w:pPr>
    </w:p>
    <w:p>
      <w:pPr>
        <w:ind w:firstLine="6"/>
        <w:spacing w:after="0" w:line="351" w:lineRule="auto"/>
        <w:tabs>
          <w:tab w:leader="none" w:pos="251" w:val="left"/>
        </w:tabs>
        <w:numPr>
          <w:ilvl w:val="0"/>
          <w:numId w:val="104"/>
        </w:numPr>
        <w:rPr>
          <w:rFonts w:ascii="Arial" w:cs="Arial" w:eastAsia="Arial" w:hAnsi="Arial"/>
          <w:sz w:val="15"/>
          <w:szCs w:val="15"/>
          <w:color w:val="auto"/>
        </w:rPr>
      </w:pPr>
      <w:r>
        <w:rPr>
          <w:rFonts w:ascii="Arial" w:cs="Arial" w:eastAsia="Arial" w:hAnsi="Arial"/>
          <w:sz w:val="15"/>
          <w:szCs w:val="15"/>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YTD</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0"/>
        </w:trPr>
        <w:tc>
          <w:tcPr>
            <w:tcW w:w="396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0"/>
              </w:rPr>
              <w:t>2Q20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1Q21</w:t>
            </w: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2Q21</w:t>
            </w:r>
          </w:p>
        </w:tc>
        <w:tc>
          <w:tcPr>
            <w:tcW w:w="260" w:type="dxa"/>
            <w:vAlign w:val="bottom"/>
          </w:tcPr>
          <w:p>
            <w:pPr>
              <w:spacing w:after="0"/>
              <w:rPr>
                <w:sz w:val="19"/>
                <w:szCs w:val="19"/>
                <w:color w:val="auto"/>
              </w:rPr>
            </w:pPr>
          </w:p>
        </w:tc>
        <w:tc>
          <w:tcPr>
            <w:tcW w:w="1680" w:type="dxa"/>
            <w:vAlign w:val="bottom"/>
            <w:gridSpan w:val="3"/>
          </w:tcPr>
          <w:p>
            <w:pPr>
              <w:ind w:left="360"/>
              <w:spacing w:after="0"/>
              <w:rPr>
                <w:sz w:val="20"/>
                <w:szCs w:val="20"/>
                <w:color w:val="auto"/>
              </w:rPr>
            </w:pPr>
            <w:r>
              <w:rPr>
                <w:rFonts w:ascii="Arial" w:cs="Arial" w:eastAsia="Arial" w:hAnsi="Arial"/>
                <w:sz w:val="18"/>
                <w:szCs w:val="18"/>
                <w:b w:val="1"/>
                <w:bCs w:val="1"/>
                <w:color w:val="auto"/>
              </w:rPr>
              <w:t>Jun 20</w:t>
            </w: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Jun 21</w:t>
            </w:r>
          </w:p>
        </w:tc>
        <w:tc>
          <w:tcPr>
            <w:tcW w:w="160" w:type="dxa"/>
            <w:vAlign w:val="bottom"/>
          </w:tcPr>
          <w:p>
            <w:pPr>
              <w:spacing w:after="0"/>
              <w:rPr>
                <w:sz w:val="19"/>
                <w:szCs w:val="19"/>
                <w:color w:val="auto"/>
              </w:rPr>
            </w:pPr>
          </w:p>
        </w:tc>
      </w:tr>
      <w:tr>
        <w:trPr>
          <w:trHeight w:val="206"/>
        </w:trPr>
        <w:tc>
          <w:tcPr>
            <w:tcW w:w="396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Profitability</w:t>
            </w: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2"/>
        </w:trPr>
        <w:tc>
          <w:tcPr>
            <w:tcW w:w="4780" w:type="dxa"/>
            <w:vAlign w:val="bottom"/>
            <w:gridSpan w:val="2"/>
          </w:tcPr>
          <w:p>
            <w:pPr>
              <w:spacing w:after="0" w:line="252"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52"/>
        </w:trPr>
        <w:tc>
          <w:tcPr>
            <w:tcW w:w="4780" w:type="dxa"/>
            <w:vAlign w:val="bottom"/>
            <w:gridSpan w:val="2"/>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-18.0%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r>
      <w:tr>
        <w:trPr>
          <w:trHeight w:val="252"/>
        </w:trPr>
        <w:tc>
          <w:tcPr>
            <w:tcW w:w="478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(1)(2)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r>
      <w:tr>
        <w:trPr>
          <w:trHeight w:val="252"/>
        </w:trPr>
        <w:tc>
          <w:tcPr>
            <w:tcW w:w="478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(1)(2)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r>
      <w:tr>
        <w:trPr>
          <w:trHeight w:val="252"/>
        </w:trPr>
        <w:tc>
          <w:tcPr>
            <w:tcW w:w="478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(1)(2)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217.3%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209.9%</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195.1%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195.1%</w:t>
            </w: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160.3%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w:t>
            </w:r>
          </w:p>
        </w:tc>
      </w:tr>
      <w:tr>
        <w:trPr>
          <w:trHeight w:val="252"/>
        </w:trPr>
        <w:tc>
          <w:tcPr>
            <w:tcW w:w="4780" w:type="dxa"/>
            <w:vAlign w:val="bottom"/>
            <w:gridSpan w:val="2"/>
          </w:tcPr>
          <w:p>
            <w:pPr>
              <w:spacing w:after="0" w:line="252"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Oper. expenses as a percent. of total income -</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3"/>
        </w:trPr>
        <w:tc>
          <w:tcPr>
            <w:tcW w:w="4780" w:type="dxa"/>
            <w:vAlign w:val="bottom"/>
            <w:gridSpan w:val="2"/>
          </w:tcPr>
          <w:p>
            <w:pPr>
              <w:spacing w:after="0" w:line="263" w:lineRule="exact"/>
              <w:rPr>
                <w:sz w:val="20"/>
                <w:szCs w:val="20"/>
                <w:color w:val="auto"/>
              </w:rPr>
            </w:pPr>
            <w:r>
              <w:rPr>
                <w:rFonts w:ascii="Arial" w:cs="Arial" w:eastAsia="Arial" w:hAnsi="Arial"/>
                <w:sz w:val="18"/>
                <w:szCs w:val="18"/>
                <w:color w:val="auto"/>
              </w:rPr>
              <w:t xml:space="preserve">reported </w:t>
            </w:r>
            <w:r>
              <w:rPr>
                <w:rFonts w:ascii="Arial" w:cs="Arial" w:eastAsia="Arial" w:hAnsi="Arial"/>
                <w:sz w:val="29"/>
                <w:szCs w:val="29"/>
                <w:color w:val="auto"/>
                <w:vertAlign w:val="superscript"/>
              </w:rPr>
              <w:t>(4)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r>
      <w:tr>
        <w:trPr>
          <w:trHeight w:val="266"/>
        </w:trPr>
        <w:tc>
          <w:tcPr>
            <w:tcW w:w="478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(1)(2)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r>
    </w:tbl>
    <w:p>
      <w:pPr>
        <w:spacing w:after="0" w:line="200" w:lineRule="exact"/>
        <w:rPr>
          <w:sz w:val="20"/>
          <w:szCs w:val="20"/>
          <w:color w:val="auto"/>
        </w:rPr>
      </w:pPr>
    </w:p>
    <w:p>
      <w:pPr>
        <w:ind w:left="260" w:hanging="254"/>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5" w:lineRule="exact"/>
        <w:rPr>
          <w:rFonts w:ascii="Arial" w:cs="Arial" w:eastAsia="Arial" w:hAnsi="Arial"/>
          <w:sz w:val="18"/>
          <w:szCs w:val="18"/>
          <w:color w:val="auto"/>
        </w:rPr>
      </w:pPr>
    </w:p>
    <w:p>
      <w:pPr>
        <w:ind w:right="820" w:firstLine="6"/>
        <w:spacing w:after="0" w:line="351" w:lineRule="auto"/>
        <w:tabs>
          <w:tab w:leader="none" w:pos="24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Regulatory Capital and Capital Adequacy Ratios at BCP Stand-alone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Peru GAAP)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Regulatory Capital and Capital Adequacy Ratios - SBS</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 change</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60" w:type="dxa"/>
            <w:vAlign w:val="bottom"/>
            <w:tcBorders>
              <w:bottom w:val="single" w:sz="8" w:color="auto"/>
            </w:tcBorders>
            <w:gridSpan w:val="3"/>
          </w:tcPr>
          <w:p>
            <w:pPr>
              <w:spacing w:after="0" w:line="153"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b w:val="1"/>
                <w:bCs w:val="1"/>
                <w:color w:val="auto"/>
              </w:rPr>
              <w:t>Jun 20</w:t>
            </w: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09"/>
              <w:spacing w:after="0" w:line="153" w:lineRule="exact"/>
              <w:rPr>
                <w:sz w:val="20"/>
                <w:szCs w:val="20"/>
                <w:color w:val="auto"/>
              </w:rPr>
            </w:pPr>
            <w:r>
              <w:rPr>
                <w:rFonts w:ascii="Arial" w:cs="Arial" w:eastAsia="Arial" w:hAnsi="Arial"/>
                <w:sz w:val="14"/>
                <w:szCs w:val="14"/>
                <w:b w:val="1"/>
                <w:bCs w:val="1"/>
                <w:color w:val="auto"/>
              </w:rPr>
              <w:t>Mar 21</w:t>
            </w: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09"/>
              <w:spacing w:after="0" w:line="153" w:lineRule="exact"/>
              <w:rPr>
                <w:sz w:val="20"/>
                <w:szCs w:val="20"/>
                <w:color w:val="auto"/>
              </w:rPr>
            </w:pPr>
            <w:r>
              <w:rPr>
                <w:rFonts w:ascii="Arial" w:cs="Arial" w:eastAsia="Arial" w:hAnsi="Arial"/>
                <w:sz w:val="14"/>
                <w:szCs w:val="14"/>
                <w:b w:val="1"/>
                <w:bCs w:val="1"/>
                <w:color w:val="auto"/>
              </w:rPr>
              <w:t>Jun 21</w:t>
            </w:r>
          </w:p>
        </w:tc>
        <w:tc>
          <w:tcPr>
            <w:tcW w:w="2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9"/>
              <w:spacing w:after="0" w:line="153" w:lineRule="exact"/>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Capital Stock</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11,067,387</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11,317,387</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11,317,387</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Legal and Other capital reserves</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6,164,175</w:t>
            </w: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6,707,503</w:t>
            </w:r>
          </w:p>
        </w:tc>
        <w:tc>
          <w:tcPr>
            <w:tcW w:w="22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6,707,831</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Accumulated earnings with capitalization agreement</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540"/>
              <w:spacing w:after="0" w:line="146" w:lineRule="exact"/>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140" w:type="dxa"/>
            <w:vAlign w:val="bottom"/>
            <w:gridSpan w:val="3"/>
          </w:tcPr>
          <w:p>
            <w:pPr>
              <w:spacing w:after="0" w:line="186"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1"/>
                <w:szCs w:val="21"/>
                <w:color w:val="auto"/>
                <w:vertAlign w:val="superscript"/>
              </w:rPr>
              <w:t>(1)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1,603,535</w:t>
            </w:r>
          </w:p>
        </w:tc>
        <w:tc>
          <w:tcPr>
            <w:tcW w:w="1000" w:type="dxa"/>
            <w:vAlign w:val="bottom"/>
          </w:tcPr>
          <w:p>
            <w:pPr>
              <w:jc w:val="right"/>
              <w:spacing w:after="0"/>
              <w:rPr>
                <w:sz w:val="20"/>
                <w:szCs w:val="20"/>
                <w:color w:val="auto"/>
              </w:rPr>
            </w:pPr>
            <w:r>
              <w:rPr>
                <w:rFonts w:ascii="Arial" w:cs="Arial" w:eastAsia="Arial" w:hAnsi="Arial"/>
                <w:sz w:val="14"/>
                <w:szCs w:val="14"/>
                <w:color w:val="auto"/>
              </w:rPr>
              <w:t>1,609,750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1,676,768</w:t>
            </w:r>
          </w:p>
        </w:tc>
        <w:tc>
          <w:tcPr>
            <w:tcW w:w="240" w:type="dxa"/>
            <w:vAlign w:val="bottom"/>
          </w:tcPr>
          <w:p>
            <w:pPr>
              <w:spacing w:after="0"/>
              <w:rPr>
                <w:sz w:val="16"/>
                <w:szCs w:val="16"/>
                <w:color w:val="auto"/>
              </w:rPr>
            </w:pPr>
          </w:p>
        </w:tc>
        <w:tc>
          <w:tcPr>
            <w:tcW w:w="1240" w:type="dxa"/>
            <w:vAlign w:val="bottom"/>
            <w:gridSpan w:val="2"/>
          </w:tcPr>
          <w:p>
            <w:pPr>
              <w:jc w:val="right"/>
              <w:ind w:right="69"/>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Perpetual subordinated debt</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540"/>
              <w:spacing w:after="0" w:line="146" w:lineRule="exact"/>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Subordinated Debt</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4,248,967</w:t>
            </w: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6,276,991</w:t>
            </w:r>
          </w:p>
        </w:tc>
        <w:tc>
          <w:tcPr>
            <w:tcW w:w="22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5,223,300</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-16.8%</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Investment in subsidiaries and others, net of unrealized profit and net income</w:t>
            </w:r>
          </w:p>
        </w:tc>
        <w:tc>
          <w:tcPr>
            <w:tcW w:w="12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(1,934,790)</w:t>
            </w:r>
          </w:p>
        </w:tc>
        <w:tc>
          <w:tcPr>
            <w:tcW w:w="12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(2,281,859)</w:t>
            </w:r>
          </w:p>
        </w:tc>
        <w:tc>
          <w:tcPr>
            <w:tcW w:w="12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(2,263,859)</w:t>
            </w:r>
          </w:p>
        </w:tc>
        <w:tc>
          <w:tcPr>
            <w:tcW w:w="12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-0.8%</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ind w:left="280"/>
              <w:spacing w:after="0" w:line="146" w:lineRule="exact"/>
              <w:rPr>
                <w:sz w:val="20"/>
                <w:szCs w:val="20"/>
                <w:color w:val="auto"/>
              </w:rPr>
            </w:pPr>
            <w:r>
              <w:rPr>
                <w:rFonts w:ascii="Arial" w:cs="Arial" w:eastAsia="Arial" w:hAnsi="Arial"/>
                <w:sz w:val="14"/>
                <w:szCs w:val="14"/>
                <w:color w:val="auto"/>
              </w:rPr>
              <w:t>Investment in subsidiaries and others</w:t>
            </w:r>
          </w:p>
        </w:tc>
        <w:tc>
          <w:tcPr>
            <w:tcW w:w="12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(2,020,533)</w:t>
            </w:r>
          </w:p>
        </w:tc>
        <w:tc>
          <w:tcPr>
            <w:tcW w:w="12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(2,295,243)</w:t>
            </w:r>
          </w:p>
        </w:tc>
        <w:tc>
          <w:tcPr>
            <w:tcW w:w="12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(2,326,241)</w:t>
            </w: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ind w:left="280"/>
              <w:spacing w:after="0" w:line="146" w:lineRule="exact"/>
              <w:rPr>
                <w:sz w:val="20"/>
                <w:szCs w:val="20"/>
                <w:color w:val="auto"/>
              </w:rPr>
            </w:pPr>
            <w:r>
              <w:rPr>
                <w:rFonts w:ascii="Arial" w:cs="Arial" w:eastAsia="Arial" w:hAnsi="Arial"/>
                <w:sz w:val="14"/>
                <w:szCs w:val="14"/>
                <w:color w:val="auto"/>
              </w:rPr>
              <w:t>Unrealized profit and net income in subsidiaries</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85,742</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13,383</w:t>
            </w:r>
          </w:p>
        </w:tc>
        <w:tc>
          <w:tcPr>
            <w:tcW w:w="12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62,381</w:t>
            </w:r>
          </w:p>
        </w:tc>
        <w:tc>
          <w:tcPr>
            <w:tcW w:w="1520" w:type="dxa"/>
            <w:vAlign w:val="bottom"/>
            <w:gridSpan w:val="3"/>
            <w:shd w:val="clear" w:color="auto" w:fill="CCEEFF"/>
          </w:tcPr>
          <w:p>
            <w:pPr>
              <w:jc w:val="right"/>
              <w:ind w:right="540"/>
              <w:spacing w:after="0" w:line="146" w:lineRule="exact"/>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Goodwill</w:t>
            </w:r>
          </w:p>
        </w:tc>
        <w:tc>
          <w:tcPr>
            <w:tcW w:w="12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(122,083)</w:t>
            </w:r>
          </w:p>
        </w:tc>
        <w:tc>
          <w:tcPr>
            <w:tcW w:w="12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(122,083)</w:t>
            </w:r>
          </w:p>
        </w:tc>
        <w:tc>
          <w:tcPr>
            <w:tcW w:w="12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(122,083)</w:t>
            </w: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514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Regulatory Capital - SBS</w:t>
            </w: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b w:val="1"/>
                <w:bCs w:val="1"/>
                <w:color w:val="auto"/>
              </w:rPr>
              <w:t>21,027,190</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23,507,689</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22,539,343</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9"/>
              <w:spacing w:after="0" w:line="159" w:lineRule="exact"/>
              <w:rPr>
                <w:sz w:val="20"/>
                <w:szCs w:val="20"/>
                <w:color w:val="auto"/>
              </w:rPr>
            </w:pPr>
            <w:r>
              <w:rPr>
                <w:rFonts w:ascii="Arial" w:cs="Arial" w:eastAsia="Arial" w:hAnsi="Arial"/>
                <w:sz w:val="14"/>
                <w:szCs w:val="14"/>
                <w:b w:val="1"/>
                <w:bCs w:val="1"/>
                <w:color w:val="auto"/>
              </w:rPr>
              <w:t>-4.1%</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39"/>
        </w:trPr>
        <w:tc>
          <w:tcPr>
            <w:tcW w:w="4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gridSpan w:val="3"/>
          </w:tcPr>
          <w:p>
            <w:pPr>
              <w:spacing w:after="0" w:line="139" w:lineRule="exact"/>
              <w:rPr>
                <w:sz w:val="20"/>
                <w:szCs w:val="20"/>
                <w:color w:val="auto"/>
              </w:rPr>
            </w:pPr>
            <w:r>
              <w:rPr>
                <w:rFonts w:ascii="Arial" w:cs="Arial" w:eastAsia="Arial" w:hAnsi="Arial"/>
                <w:sz w:val="14"/>
                <w:szCs w:val="14"/>
                <w:b w:val="1"/>
                <w:bCs w:val="1"/>
                <w:color w:val="auto"/>
              </w:rPr>
              <w:t>Off-balance sheet</w:t>
            </w: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87,017,934</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94,853,451</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96,842,778</w:t>
            </w:r>
          </w:p>
        </w:tc>
        <w:tc>
          <w:tcPr>
            <w:tcW w:w="2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2.1</w:t>
            </w:r>
          </w:p>
        </w:tc>
        <w:tc>
          <w:tcPr>
            <w:tcW w:w="26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11.3</w:t>
            </w:r>
          </w:p>
        </w:tc>
        <w:tc>
          <w:tcPr>
            <w:tcW w:w="14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40" w:type="dxa"/>
            <w:vAlign w:val="bottom"/>
            <w:shd w:val="clear" w:color="auto" w:fill="CCEEFF"/>
          </w:tcPr>
          <w:p>
            <w:pPr>
              <w:spacing w:after="0"/>
              <w:rPr>
                <w:sz w:val="14"/>
                <w:szCs w:val="14"/>
                <w:color w:val="auto"/>
              </w:rPr>
            </w:pPr>
          </w:p>
        </w:tc>
        <w:tc>
          <w:tcPr>
            <w:tcW w:w="5140" w:type="dxa"/>
            <w:vAlign w:val="bottom"/>
            <w:gridSpan w:val="3"/>
            <w:shd w:val="clear" w:color="auto" w:fill="CCEEFF"/>
          </w:tcPr>
          <w:p>
            <w:pPr>
              <w:spacing w:after="0" w:line="166" w:lineRule="exact"/>
              <w:rPr>
                <w:sz w:val="20"/>
                <w:szCs w:val="20"/>
                <w:color w:val="auto"/>
              </w:rPr>
            </w:pPr>
            <w:r>
              <w:rPr>
                <w:rFonts w:ascii="Arial" w:cs="Arial" w:eastAsia="Arial" w:hAnsi="Arial"/>
                <w:sz w:val="12"/>
                <w:szCs w:val="12"/>
                <w:color w:val="auto"/>
              </w:rPr>
              <w:t xml:space="preserve">Regulatory Tier 1 Capital </w:t>
            </w:r>
            <w:r>
              <w:rPr>
                <w:rFonts w:ascii="Arial" w:cs="Arial" w:eastAsia="Arial" w:hAnsi="Arial"/>
                <w:sz w:val="19"/>
                <w:szCs w:val="19"/>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14,971,384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15,133,634</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15,142,961</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140" w:type="dxa"/>
            <w:vAlign w:val="bottom"/>
            <w:gridSpan w:val="3"/>
          </w:tcPr>
          <w:p>
            <w:pPr>
              <w:spacing w:after="0" w:line="153" w:lineRule="exact"/>
              <w:rPr>
                <w:sz w:val="20"/>
                <w:szCs w:val="20"/>
                <w:color w:val="auto"/>
              </w:rPr>
            </w:pPr>
            <w:r>
              <w:rPr>
                <w:rFonts w:ascii="Arial" w:cs="Arial" w:eastAsia="Arial" w:hAnsi="Arial"/>
                <w:sz w:val="11"/>
                <w:szCs w:val="11"/>
                <w:color w:val="auto"/>
              </w:rPr>
              <w:t xml:space="preserve">Regulatory Tier 2 Capital </w:t>
            </w:r>
            <w:r>
              <w:rPr>
                <w:rFonts w:ascii="Arial" w:cs="Arial" w:eastAsia="Arial" w:hAnsi="Arial"/>
                <w:sz w:val="17"/>
                <w:szCs w:val="17"/>
                <w:color w:val="auto"/>
                <w:vertAlign w:val="superscript"/>
              </w:rPr>
              <w:t>(3)</w:t>
            </w:r>
          </w:p>
        </w:tc>
        <w:tc>
          <w:tcPr>
            <w:tcW w:w="122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6,055,806</w:t>
            </w: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8,374,055</w:t>
            </w:r>
          </w:p>
        </w:tc>
        <w:tc>
          <w:tcPr>
            <w:tcW w:w="220" w:type="dxa"/>
            <w:vAlign w:val="bottom"/>
          </w:tcPr>
          <w:p>
            <w:pPr>
              <w:spacing w:after="0"/>
              <w:rPr>
                <w:sz w:val="15"/>
                <w:szCs w:val="15"/>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7,396,382</w:t>
            </w:r>
          </w:p>
        </w:tc>
        <w:tc>
          <w:tcPr>
            <w:tcW w:w="240" w:type="dxa"/>
            <w:vAlign w:val="bottom"/>
          </w:tcPr>
          <w:p>
            <w:pPr>
              <w:spacing w:after="0"/>
              <w:rPr>
                <w:sz w:val="15"/>
                <w:szCs w:val="15"/>
                <w:color w:val="auto"/>
              </w:rPr>
            </w:pPr>
          </w:p>
        </w:tc>
        <w:tc>
          <w:tcPr>
            <w:tcW w:w="1240" w:type="dxa"/>
            <w:vAlign w:val="bottom"/>
            <w:gridSpan w:val="2"/>
          </w:tcPr>
          <w:p>
            <w:pPr>
              <w:jc w:val="right"/>
              <w:ind w:right="69"/>
              <w:spacing w:after="0" w:line="153" w:lineRule="exact"/>
              <w:rPr>
                <w:sz w:val="20"/>
                <w:szCs w:val="20"/>
                <w:color w:val="auto"/>
              </w:rPr>
            </w:pPr>
            <w:r>
              <w:rPr>
                <w:rFonts w:ascii="Arial" w:cs="Arial" w:eastAsia="Arial" w:hAnsi="Arial"/>
                <w:sz w:val="14"/>
                <w:szCs w:val="14"/>
                <w:color w:val="auto"/>
              </w:rPr>
              <w:t>-11.7%</w:t>
            </w:r>
          </w:p>
        </w:tc>
        <w:tc>
          <w:tcPr>
            <w:tcW w:w="280" w:type="dxa"/>
            <w:vAlign w:val="bottom"/>
          </w:tcPr>
          <w:p>
            <w:pPr>
              <w:spacing w:after="0"/>
              <w:rPr>
                <w:sz w:val="15"/>
                <w:szCs w:val="15"/>
                <w:color w:val="auto"/>
              </w:rPr>
            </w:pPr>
          </w:p>
        </w:tc>
        <w:tc>
          <w:tcPr>
            <w:tcW w:w="8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shd w:val="clear" w:color="auto" w:fill="CCEEFF"/>
          </w:tcPr>
          <w:p>
            <w:pPr>
              <w:spacing w:after="0"/>
              <w:rPr>
                <w:sz w:val="14"/>
                <w:szCs w:val="14"/>
                <w:color w:val="auto"/>
              </w:rPr>
            </w:pPr>
          </w:p>
        </w:tc>
        <w:tc>
          <w:tcPr>
            <w:tcW w:w="5140" w:type="dxa"/>
            <w:vAlign w:val="bottom"/>
            <w:gridSpan w:val="3"/>
            <w:shd w:val="clear" w:color="auto" w:fill="CCEEFF"/>
          </w:tcPr>
          <w:p>
            <w:pPr>
              <w:spacing w:after="0" w:line="166" w:lineRule="exact"/>
              <w:rPr>
                <w:sz w:val="20"/>
                <w:szCs w:val="20"/>
                <w:color w:val="auto"/>
              </w:rPr>
            </w:pPr>
            <w:r>
              <w:rPr>
                <w:rFonts w:ascii="Arial" w:cs="Arial" w:eastAsia="Arial" w:hAnsi="Arial"/>
                <w:sz w:val="12"/>
                <w:szCs w:val="12"/>
                <w:b w:val="1"/>
                <w:bCs w:val="1"/>
                <w:color w:val="auto"/>
              </w:rPr>
              <w:t xml:space="preserve">Total risk-weighted assets - SBS </w:t>
            </w:r>
            <w:r>
              <w:rPr>
                <w:rFonts w:ascii="Arial" w:cs="Arial" w:eastAsia="Arial" w:hAnsi="Arial"/>
                <w:sz w:val="19"/>
                <w:szCs w:val="19"/>
                <w:b w:val="1"/>
                <w:bCs w:val="1"/>
                <w:color w:val="auto"/>
                <w:vertAlign w:val="superscript"/>
              </w:rPr>
              <w:t>(4)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142,071,064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142,854,356</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146,936,014</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2.9%</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40" w:type="dxa"/>
            <w:vAlign w:val="bottom"/>
            <w:gridSpan w:val="3"/>
            <w:vMerge w:val="restart"/>
          </w:tcPr>
          <w:p>
            <w:pPr>
              <w:spacing w:after="0" w:line="159" w:lineRule="exact"/>
              <w:rPr>
                <w:sz w:val="20"/>
                <w:szCs w:val="20"/>
                <w:color w:val="auto"/>
              </w:rPr>
            </w:pPr>
            <w:r>
              <w:rPr>
                <w:rFonts w:ascii="Arial" w:cs="Arial" w:eastAsia="Arial" w:hAnsi="Arial"/>
                <w:sz w:val="14"/>
                <w:szCs w:val="14"/>
                <w:color w:val="auto"/>
              </w:rPr>
              <w:t>Credit risk-weighted assets</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vMerge w:val="continue"/>
          </w:tcPr>
          <w:p>
            <w:pPr>
              <w:spacing w:after="0"/>
              <w:rPr>
                <w:sz w:val="12"/>
                <w:szCs w:val="12"/>
                <w:color w:val="auto"/>
              </w:rPr>
            </w:pPr>
          </w:p>
        </w:tc>
        <w:tc>
          <w:tcPr>
            <w:tcW w:w="5140" w:type="dxa"/>
            <w:vAlign w:val="bottom"/>
            <w:gridSpan w:val="3"/>
            <w:vMerge w:val="continue"/>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128,282,795</w:t>
            </w:r>
          </w:p>
        </w:tc>
        <w:tc>
          <w:tcPr>
            <w:tcW w:w="220" w:type="dxa"/>
            <w:vAlign w:val="bottom"/>
            <w:vMerge w:val="continue"/>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126,638,687</w:t>
            </w:r>
          </w:p>
        </w:tc>
        <w:tc>
          <w:tcPr>
            <w:tcW w:w="2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132,013,903</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39" w:lineRule="exact"/>
              <w:rPr>
                <w:sz w:val="20"/>
                <w:szCs w:val="20"/>
                <w:color w:val="auto"/>
              </w:rPr>
            </w:pPr>
            <w:r>
              <w:rPr>
                <w:rFonts w:ascii="Arial" w:cs="Arial" w:eastAsia="Arial" w:hAnsi="Arial"/>
                <w:sz w:val="14"/>
                <w:szCs w:val="14"/>
                <w:color w:val="auto"/>
              </w:rPr>
              <w:t>4.2%</w:t>
            </w:r>
          </w:p>
        </w:tc>
        <w:tc>
          <w:tcPr>
            <w:tcW w:w="280" w:type="dxa"/>
            <w:vAlign w:val="bottom"/>
          </w:tcPr>
          <w:p>
            <w:pPr>
              <w:spacing w:after="0"/>
              <w:rPr>
                <w:sz w:val="12"/>
                <w:szCs w:val="12"/>
                <w:color w:val="auto"/>
              </w:rPr>
            </w:pPr>
          </w:p>
        </w:tc>
        <w:tc>
          <w:tcPr>
            <w:tcW w:w="8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spacing w:after="0" w:line="186" w:lineRule="exact"/>
              <w:rPr>
                <w:sz w:val="20"/>
                <w:szCs w:val="20"/>
                <w:color w:val="auto"/>
              </w:rPr>
            </w:pPr>
            <w:r>
              <w:rPr>
                <w:rFonts w:ascii="Arial" w:cs="Arial" w:eastAsia="Arial" w:hAnsi="Arial"/>
                <w:sz w:val="13"/>
                <w:szCs w:val="13"/>
                <w:color w:val="auto"/>
              </w:rPr>
              <w:t xml:space="preserve">Market risk-weighted assets </w:t>
            </w:r>
            <w:r>
              <w:rPr>
                <w:rFonts w:ascii="Arial" w:cs="Arial" w:eastAsia="Arial" w:hAnsi="Arial"/>
                <w:sz w:val="21"/>
                <w:szCs w:val="21"/>
                <w:color w:val="auto"/>
                <w:vertAlign w:val="superscript"/>
              </w:rPr>
              <w:t>(5)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4,010,627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4,708,619</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3,127,460</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-33.6%</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140" w:type="dxa"/>
            <w:vAlign w:val="bottom"/>
            <w:gridSpan w:val="3"/>
          </w:tcPr>
          <w:p>
            <w:pPr>
              <w:spacing w:after="0" w:line="159" w:lineRule="exact"/>
              <w:rPr>
                <w:sz w:val="20"/>
                <w:szCs w:val="20"/>
                <w:color w:val="auto"/>
              </w:rPr>
            </w:pPr>
            <w:r>
              <w:rPr>
                <w:rFonts w:ascii="Arial" w:cs="Arial" w:eastAsia="Arial" w:hAnsi="Arial"/>
                <w:sz w:val="14"/>
                <w:szCs w:val="14"/>
                <w:color w:val="auto"/>
              </w:rPr>
              <w:t>Operational risk-weighted assets</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9,777,642</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11,507,050</w:t>
            </w:r>
          </w:p>
        </w:tc>
        <w:tc>
          <w:tcPr>
            <w:tcW w:w="124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rPr>
              <w:t>11,794,652</w:t>
            </w:r>
          </w:p>
        </w:tc>
        <w:tc>
          <w:tcPr>
            <w:tcW w:w="1240" w:type="dxa"/>
            <w:vAlign w:val="bottom"/>
            <w:gridSpan w:val="2"/>
          </w:tcPr>
          <w:p>
            <w:pPr>
              <w:jc w:val="right"/>
              <w:ind w:right="69"/>
              <w:spacing w:after="0" w:line="15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39"/>
        </w:trPr>
        <w:tc>
          <w:tcPr>
            <w:tcW w:w="40" w:type="dxa"/>
            <w:vAlign w:val="bottom"/>
            <w:tcBorders>
              <w:top w:val="single" w:sz="8" w:color="CCEEFF"/>
            </w:tcBorders>
            <w:shd w:val="clear" w:color="auto" w:fill="CCEEFF"/>
          </w:tcPr>
          <w:p>
            <w:pPr>
              <w:spacing w:after="0"/>
              <w:rPr>
                <w:sz w:val="12"/>
                <w:szCs w:val="12"/>
                <w:color w:val="auto"/>
              </w:rPr>
            </w:pPr>
          </w:p>
        </w:tc>
        <w:tc>
          <w:tcPr>
            <w:tcW w:w="5140" w:type="dxa"/>
            <w:vAlign w:val="bottom"/>
            <w:tcBorders>
              <w:top w:val="single" w:sz="8" w:color="CCEEFF"/>
            </w:tcBorders>
            <w:gridSpan w:val="3"/>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capital requirement -SBS</w:t>
            </w: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16,077,302</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16,509,727</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13,925,638</w:t>
            </w:r>
          </w:p>
        </w:tc>
        <w:tc>
          <w:tcPr>
            <w:tcW w:w="2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-15.7</w:t>
            </w:r>
          </w:p>
        </w:tc>
        <w:tc>
          <w:tcPr>
            <w:tcW w:w="2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-13.4</w:t>
            </w:r>
          </w:p>
        </w:tc>
        <w:tc>
          <w:tcPr>
            <w:tcW w:w="14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140" w:type="dxa"/>
            <w:vAlign w:val="bottom"/>
            <w:gridSpan w:val="3"/>
          </w:tcPr>
          <w:p>
            <w:pPr>
              <w:spacing w:after="0" w:line="139" w:lineRule="exact"/>
              <w:rPr>
                <w:sz w:val="20"/>
                <w:szCs w:val="20"/>
                <w:color w:val="auto"/>
              </w:rPr>
            </w:pPr>
            <w:r>
              <w:rPr>
                <w:rFonts w:ascii="Arial" w:cs="Arial" w:eastAsia="Arial" w:hAnsi="Arial"/>
                <w:sz w:val="14"/>
                <w:szCs w:val="14"/>
                <w:color w:val="auto"/>
              </w:rPr>
              <w:t>Credit risk capital requirement</w:t>
            </w: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12,828,280</w:t>
            </w:r>
          </w:p>
        </w:tc>
        <w:tc>
          <w:tcPr>
            <w:tcW w:w="2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12,663,869</w:t>
            </w:r>
          </w:p>
        </w:tc>
        <w:tc>
          <w:tcPr>
            <w:tcW w:w="2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10,561,112</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39" w:lineRule="exact"/>
              <w:rPr>
                <w:sz w:val="20"/>
                <w:szCs w:val="20"/>
                <w:color w:val="auto"/>
              </w:rPr>
            </w:pPr>
            <w:r>
              <w:rPr>
                <w:rFonts w:ascii="Arial" w:cs="Arial" w:eastAsia="Arial" w:hAnsi="Arial"/>
                <w:sz w:val="14"/>
                <w:szCs w:val="14"/>
                <w:color w:val="auto"/>
              </w:rPr>
              <w:t>-16.6%</w:t>
            </w:r>
          </w:p>
        </w:tc>
        <w:tc>
          <w:tcPr>
            <w:tcW w:w="280" w:type="dxa"/>
            <w:vAlign w:val="bottom"/>
          </w:tcPr>
          <w:p>
            <w:pPr>
              <w:spacing w:after="0"/>
              <w:rPr>
                <w:sz w:val="12"/>
                <w:szCs w:val="12"/>
                <w:color w:val="auto"/>
              </w:rPr>
            </w:pPr>
          </w:p>
        </w:tc>
        <w:tc>
          <w:tcPr>
            <w:tcW w:w="8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Market risk capital requirement</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401,063</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b w:val="1"/>
                <w:bCs w:val="1"/>
                <w:color w:val="auto"/>
              </w:rPr>
              <w:t>470,862</w:t>
            </w:r>
          </w:p>
        </w:tc>
        <w:tc>
          <w:tcPr>
            <w:tcW w:w="12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b w:val="1"/>
                <w:bCs w:val="1"/>
                <w:color w:val="auto"/>
              </w:rPr>
              <w:t>312,746</w:t>
            </w:r>
          </w:p>
        </w:tc>
        <w:tc>
          <w:tcPr>
            <w:tcW w:w="12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-33.6%</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Operational risk capital requirement</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977,764</w:t>
            </w:r>
          </w:p>
        </w:tc>
        <w:tc>
          <w:tcPr>
            <w:tcW w:w="100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1,150,705</w:t>
            </w:r>
          </w:p>
        </w:tc>
        <w:tc>
          <w:tcPr>
            <w:tcW w:w="22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1,179,465</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514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Additional capital requirements</w:t>
            </w: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b w:val="1"/>
                <w:bCs w:val="1"/>
                <w:color w:val="auto"/>
              </w:rPr>
              <w:t>1,870,195</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2,224,292</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1,872,315</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rPr>
              <w:t>-15.8%</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40" w:type="dxa"/>
            <w:vAlign w:val="bottom"/>
            <w:gridSpan w:val="3"/>
            <w:vMerge w:val="restart"/>
          </w:tcPr>
          <w:p>
            <w:pPr>
              <w:spacing w:after="0" w:line="199" w:lineRule="exact"/>
              <w:rPr>
                <w:sz w:val="20"/>
                <w:szCs w:val="20"/>
                <w:color w:val="auto"/>
              </w:rPr>
            </w:pPr>
            <w:r>
              <w:rPr>
                <w:rFonts w:ascii="Arial" w:cs="Arial" w:eastAsia="Arial" w:hAnsi="Arial"/>
                <w:sz w:val="14"/>
                <w:szCs w:val="14"/>
                <w:b w:val="1"/>
                <w:bCs w:val="1"/>
                <w:color w:val="auto"/>
              </w:rPr>
              <w:t xml:space="preserve">Common Equity Tier 1 - Basel </w:t>
            </w:r>
            <w:r>
              <w:rPr>
                <w:rFonts w:ascii="Arial" w:cs="Arial" w:eastAsia="Arial" w:hAnsi="Arial"/>
                <w:sz w:val="23"/>
                <w:szCs w:val="23"/>
                <w:b w:val="1"/>
                <w:bCs w:val="1"/>
                <w:color w:val="auto"/>
                <w:vertAlign w:val="superscript"/>
              </w:rPr>
              <w:t>(6)</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vMerge w:val="continue"/>
          </w:tcPr>
          <w:p>
            <w:pPr>
              <w:spacing w:after="0"/>
              <w:rPr>
                <w:sz w:val="15"/>
                <w:szCs w:val="15"/>
                <w:color w:val="auto"/>
              </w:rPr>
            </w:pPr>
          </w:p>
        </w:tc>
        <w:tc>
          <w:tcPr>
            <w:tcW w:w="5140" w:type="dxa"/>
            <w:vAlign w:val="bottom"/>
            <w:gridSpan w:val="3"/>
            <w:vMerge w:val="continue"/>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15,266,427</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14,966,550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15,531,636</w:t>
            </w:r>
          </w:p>
        </w:tc>
        <w:tc>
          <w:tcPr>
            <w:tcW w:w="240" w:type="dxa"/>
            <w:vAlign w:val="bottom"/>
          </w:tcPr>
          <w:p>
            <w:pPr>
              <w:spacing w:after="0"/>
              <w:rPr>
                <w:sz w:val="15"/>
                <w:szCs w:val="15"/>
                <w:color w:val="auto"/>
              </w:rPr>
            </w:pPr>
          </w:p>
        </w:tc>
        <w:tc>
          <w:tcPr>
            <w:tcW w:w="12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3.8%</w:t>
            </w:r>
          </w:p>
        </w:tc>
        <w:tc>
          <w:tcPr>
            <w:tcW w:w="2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CCEEFF"/>
          </w:tcPr>
          <w:p>
            <w:pPr>
              <w:spacing w:after="0" w:line="20" w:lineRule="exact"/>
              <w:rPr>
                <w:sz w:val="1"/>
                <w:szCs w:val="1"/>
                <w:color w:val="auto"/>
              </w:rPr>
            </w:pPr>
          </w:p>
        </w:tc>
        <w:tc>
          <w:tcPr>
            <w:tcW w:w="5140" w:type="dxa"/>
            <w:vAlign w:val="bottom"/>
            <w:gridSpan w:val="3"/>
            <w:vMerge w:val="restart"/>
            <w:shd w:val="clear" w:color="auto" w:fill="CCEEFF"/>
          </w:tcPr>
          <w:p>
            <w:pPr>
              <w:spacing w:after="0" w:line="159" w:lineRule="exact"/>
              <w:rPr>
                <w:sz w:val="20"/>
                <w:szCs w:val="20"/>
                <w:color w:val="auto"/>
              </w:rPr>
            </w:pPr>
            <w:r>
              <w:rPr>
                <w:rFonts w:ascii="Arial" w:cs="Arial" w:eastAsia="Arial" w:hAnsi="Arial"/>
                <w:sz w:val="14"/>
                <w:szCs w:val="14"/>
                <w:color w:val="auto"/>
              </w:rPr>
              <w:t>Capital and reserves</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vMerge w:val="continue"/>
            <w:shd w:val="clear" w:color="auto" w:fill="CCEEFF"/>
          </w:tcPr>
          <w:p>
            <w:pPr>
              <w:spacing w:after="0"/>
              <w:rPr>
                <w:sz w:val="12"/>
                <w:szCs w:val="12"/>
                <w:color w:val="auto"/>
              </w:rPr>
            </w:pPr>
          </w:p>
        </w:tc>
        <w:tc>
          <w:tcPr>
            <w:tcW w:w="5140" w:type="dxa"/>
            <w:vAlign w:val="bottom"/>
            <w:gridSpan w:val="3"/>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17,231,562</w:t>
            </w:r>
          </w:p>
        </w:tc>
        <w:tc>
          <w:tcPr>
            <w:tcW w:w="2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18,024,890</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18,025,217</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Retained earnings</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742,390</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460,214</w:t>
            </w: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1,159,776</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152.0%</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Unrealized gains (losses)</w:t>
            </w:r>
          </w:p>
        </w:tc>
        <w:tc>
          <w:tcPr>
            <w:tcW w:w="122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330,343</w:t>
            </w:r>
          </w:p>
        </w:tc>
        <w:tc>
          <w:tcPr>
            <w:tcW w:w="12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4"/>
                <w:szCs w:val="14"/>
                <w:color w:val="auto"/>
              </w:rPr>
              <w:t>(77,354)</w:t>
            </w:r>
          </w:p>
        </w:tc>
        <w:tc>
          <w:tcPr>
            <w:tcW w:w="124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4"/>
                <w:szCs w:val="14"/>
                <w:color w:val="auto"/>
              </w:rPr>
              <w:t>(130,864)</w:t>
            </w:r>
          </w:p>
        </w:tc>
        <w:tc>
          <w:tcPr>
            <w:tcW w:w="12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69.2%</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Goodwill and intangibles</w:t>
            </w:r>
          </w:p>
        </w:tc>
        <w:tc>
          <w:tcPr>
            <w:tcW w:w="122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(1,017,336)</w:t>
            </w:r>
          </w:p>
        </w:tc>
        <w:tc>
          <w:tcPr>
            <w:tcW w:w="1220" w:type="dxa"/>
            <w:vAlign w:val="bottom"/>
            <w:gridSpan w:val="2"/>
          </w:tcPr>
          <w:p>
            <w:pPr>
              <w:jc w:val="right"/>
              <w:ind w:right="160"/>
              <w:spacing w:after="0" w:line="146" w:lineRule="exact"/>
              <w:rPr>
                <w:sz w:val="20"/>
                <w:szCs w:val="20"/>
                <w:color w:val="auto"/>
              </w:rPr>
            </w:pPr>
            <w:r>
              <w:rPr>
                <w:rFonts w:ascii="Arial" w:cs="Arial" w:eastAsia="Arial" w:hAnsi="Arial"/>
                <w:sz w:val="14"/>
                <w:szCs w:val="14"/>
                <w:color w:val="auto"/>
              </w:rPr>
              <w:t>(1,145,958)</w:t>
            </w:r>
          </w:p>
        </w:tc>
        <w:tc>
          <w:tcPr>
            <w:tcW w:w="1240" w:type="dxa"/>
            <w:vAlign w:val="bottom"/>
            <w:gridSpan w:val="2"/>
          </w:tcPr>
          <w:p>
            <w:pPr>
              <w:jc w:val="right"/>
              <w:ind w:right="180"/>
              <w:spacing w:after="0" w:line="146" w:lineRule="exact"/>
              <w:rPr>
                <w:sz w:val="20"/>
                <w:szCs w:val="20"/>
                <w:color w:val="auto"/>
              </w:rPr>
            </w:pPr>
            <w:r>
              <w:rPr>
                <w:rFonts w:ascii="Arial" w:cs="Arial" w:eastAsia="Arial" w:hAnsi="Arial"/>
                <w:sz w:val="14"/>
                <w:szCs w:val="14"/>
                <w:color w:val="auto"/>
              </w:rPr>
              <w:t>(1,196,253)</w:t>
            </w: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514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Investments in subsidiaries</w:t>
            </w:r>
          </w:p>
        </w:tc>
        <w:tc>
          <w:tcPr>
            <w:tcW w:w="12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(2,020,533)</w:t>
            </w:r>
          </w:p>
        </w:tc>
        <w:tc>
          <w:tcPr>
            <w:tcW w:w="12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(2,295,243)</w:t>
            </w:r>
          </w:p>
        </w:tc>
        <w:tc>
          <w:tcPr>
            <w:tcW w:w="12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(2,326,241)</w:t>
            </w:r>
          </w:p>
        </w:tc>
        <w:tc>
          <w:tcPr>
            <w:tcW w:w="1240" w:type="dxa"/>
            <w:vAlign w:val="bottom"/>
            <w:gridSpan w:val="2"/>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40" w:type="dxa"/>
            <w:vAlign w:val="bottom"/>
            <w:gridSpan w:val="3"/>
            <w:vMerge w:val="restart"/>
          </w:tcPr>
          <w:p>
            <w:pPr>
              <w:spacing w:after="0" w:line="199" w:lineRule="exact"/>
              <w:rPr>
                <w:sz w:val="20"/>
                <w:szCs w:val="20"/>
                <w:color w:val="auto"/>
              </w:rPr>
            </w:pPr>
            <w:r>
              <w:rPr>
                <w:rFonts w:ascii="Arial" w:cs="Arial" w:eastAsia="Arial" w:hAnsi="Arial"/>
                <w:sz w:val="14"/>
                <w:szCs w:val="14"/>
                <w:b w:val="1"/>
                <w:bCs w:val="1"/>
                <w:color w:val="auto"/>
              </w:rPr>
              <w:t xml:space="preserve">Adjusted Risk-Weighted Assets - Basel </w:t>
            </w:r>
            <w:r>
              <w:rPr>
                <w:rFonts w:ascii="Arial" w:cs="Arial" w:eastAsia="Arial" w:hAnsi="Arial"/>
                <w:sz w:val="23"/>
                <w:szCs w:val="23"/>
                <w:b w:val="1"/>
                <w:bCs w:val="1"/>
                <w:color w:val="auto"/>
                <w:vertAlign w:val="superscript"/>
              </w:rPr>
              <w:t>(7)</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vMerge w:val="continue"/>
          </w:tcPr>
          <w:p>
            <w:pPr>
              <w:spacing w:after="0"/>
              <w:rPr>
                <w:sz w:val="15"/>
                <w:szCs w:val="15"/>
                <w:color w:val="auto"/>
              </w:rPr>
            </w:pPr>
          </w:p>
        </w:tc>
        <w:tc>
          <w:tcPr>
            <w:tcW w:w="5140" w:type="dxa"/>
            <w:vAlign w:val="bottom"/>
            <w:gridSpan w:val="3"/>
            <w:vMerge w:val="continue"/>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136,054,845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134,747,468</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138,305,356</w:t>
            </w:r>
          </w:p>
        </w:tc>
        <w:tc>
          <w:tcPr>
            <w:tcW w:w="240" w:type="dxa"/>
            <w:vAlign w:val="bottom"/>
          </w:tcPr>
          <w:p>
            <w:pPr>
              <w:spacing w:after="0"/>
              <w:rPr>
                <w:sz w:val="15"/>
                <w:szCs w:val="15"/>
                <w:color w:val="auto"/>
              </w:rPr>
            </w:pPr>
          </w:p>
        </w:tc>
        <w:tc>
          <w:tcPr>
            <w:tcW w:w="12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2.6%</w:t>
            </w:r>
          </w:p>
        </w:tc>
        <w:tc>
          <w:tcPr>
            <w:tcW w:w="2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0"/>
        </w:trPr>
        <w:tc>
          <w:tcPr>
            <w:tcW w:w="40" w:type="dxa"/>
            <w:vAlign w:val="bottom"/>
            <w:vMerge w:val="restart"/>
            <w:shd w:val="clear" w:color="auto" w:fill="CCEEFF"/>
          </w:tcPr>
          <w:p>
            <w:pPr>
              <w:spacing w:after="0" w:line="20" w:lineRule="exact"/>
              <w:rPr>
                <w:sz w:val="1"/>
                <w:szCs w:val="1"/>
                <w:color w:val="auto"/>
              </w:rPr>
            </w:pPr>
          </w:p>
        </w:tc>
        <w:tc>
          <w:tcPr>
            <w:tcW w:w="5140" w:type="dxa"/>
            <w:vAlign w:val="bottom"/>
            <w:gridSpan w:val="3"/>
            <w:vMerge w:val="restart"/>
            <w:shd w:val="clear" w:color="auto" w:fill="CCEEFF"/>
          </w:tcPr>
          <w:p>
            <w:pPr>
              <w:spacing w:after="0" w:line="159" w:lineRule="exact"/>
              <w:rPr>
                <w:sz w:val="20"/>
                <w:szCs w:val="20"/>
                <w:color w:val="auto"/>
              </w:rPr>
            </w:pPr>
            <w:r>
              <w:rPr>
                <w:rFonts w:ascii="Arial" w:cs="Arial" w:eastAsia="Arial" w:hAnsi="Arial"/>
                <w:sz w:val="14"/>
                <w:szCs w:val="14"/>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 w:type="dxa"/>
            <w:vAlign w:val="bottom"/>
            <w:vMerge w:val="continue"/>
            <w:shd w:val="clear" w:color="auto" w:fill="CCEEFF"/>
          </w:tcPr>
          <w:p>
            <w:pPr>
              <w:spacing w:after="0"/>
              <w:rPr>
                <w:sz w:val="12"/>
                <w:szCs w:val="12"/>
                <w:color w:val="auto"/>
              </w:rPr>
            </w:pPr>
          </w:p>
        </w:tc>
        <w:tc>
          <w:tcPr>
            <w:tcW w:w="5140" w:type="dxa"/>
            <w:vAlign w:val="bottom"/>
            <w:gridSpan w:val="3"/>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142,071,064</w:t>
            </w:r>
          </w:p>
        </w:tc>
        <w:tc>
          <w:tcPr>
            <w:tcW w:w="2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142,854,356</w:t>
            </w:r>
          </w:p>
        </w:tc>
        <w:tc>
          <w:tcPr>
            <w:tcW w:w="2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146,936,014</w:t>
            </w:r>
          </w:p>
        </w:tc>
        <w:tc>
          <w:tcPr>
            <w:tcW w:w="240" w:type="dxa"/>
            <w:vAlign w:val="bottom"/>
            <w:vMerge w:val="continue"/>
            <w:shd w:val="clear" w:color="auto" w:fill="CCEEFF"/>
          </w:tcPr>
          <w:p>
            <w:pPr>
              <w:spacing w:after="0"/>
              <w:rPr>
                <w:sz w:val="12"/>
                <w:szCs w:val="12"/>
                <w:color w:val="auto"/>
              </w:rPr>
            </w:pPr>
          </w:p>
        </w:tc>
        <w:tc>
          <w:tcPr>
            <w:tcW w:w="1240" w:type="dxa"/>
            <w:vAlign w:val="bottom"/>
            <w:gridSpan w:val="2"/>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ind w:left="120"/>
              <w:spacing w:after="0" w:line="146" w:lineRule="exact"/>
              <w:rPr>
                <w:sz w:val="20"/>
                <w:szCs w:val="20"/>
                <w:color w:val="auto"/>
              </w:rPr>
            </w:pPr>
            <w:r>
              <w:rPr>
                <w:rFonts w:ascii="Arial" w:cs="Arial" w:eastAsia="Arial" w:hAnsi="Arial"/>
                <w:sz w:val="14"/>
                <w:szCs w:val="14"/>
                <w:color w:val="auto"/>
              </w:rPr>
              <w:t>(-) RWA Intangible assets, excluding goodwill.</w:t>
            </w: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6,841,476</w:t>
            </w: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9,387,483</w:t>
            </w:r>
          </w:p>
        </w:tc>
        <w:tc>
          <w:tcPr>
            <w:tcW w:w="22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color w:val="auto"/>
              </w:rPr>
              <w:t>9,951,130</w:t>
            </w:r>
          </w:p>
        </w:tc>
        <w:tc>
          <w:tcPr>
            <w:tcW w:w="240" w:type="dxa"/>
            <w:vAlign w:val="bottom"/>
          </w:tcPr>
          <w:p>
            <w:pPr>
              <w:spacing w:after="0"/>
              <w:rPr>
                <w:sz w:val="12"/>
                <w:szCs w:val="12"/>
                <w:color w:val="auto"/>
              </w:rPr>
            </w:pPr>
          </w:p>
        </w:tc>
        <w:tc>
          <w:tcPr>
            <w:tcW w:w="12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6.0%</w:t>
            </w:r>
          </w:p>
        </w:tc>
        <w:tc>
          <w:tcPr>
            <w:tcW w:w="28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27"/>
        </w:trPr>
        <w:tc>
          <w:tcPr>
            <w:tcW w:w="4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ind w:left="120"/>
              <w:spacing w:after="0" w:line="128" w:lineRule="exact"/>
              <w:rPr>
                <w:sz w:val="20"/>
                <w:szCs w:val="20"/>
                <w:color w:val="auto"/>
              </w:rPr>
            </w:pPr>
            <w:r>
              <w:rPr>
                <w:rFonts w:ascii="Arial" w:cs="Arial" w:eastAsia="Arial" w:hAnsi="Arial"/>
                <w:sz w:val="14"/>
                <w:szCs w:val="14"/>
                <w:color w:val="auto"/>
                <w:w w:val="93"/>
              </w:rPr>
              <w:t>(+) RWA Deferred tax assets generated as a result of temporary differences in income</w:t>
            </w: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 in excess of 10% of CET1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825,258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1,280,595</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1,320,471</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3.1%</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1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 RWA Deferred tax assets generated as a result of past losses</w:t>
            </w: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40" w:type="dxa"/>
            <w:vAlign w:val="bottom"/>
            <w:gridSpan w:val="2"/>
          </w:tcPr>
          <w:p>
            <w:pPr>
              <w:jc w:val="right"/>
              <w:ind w:right="189"/>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180" w:type="dxa"/>
            <w:vAlign w:val="bottom"/>
            <w:gridSpan w:val="4"/>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Capital ratios</w:t>
            </w: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Regulatory Tier 1 ratio (8)</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10.54%</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10.59%</w:t>
            </w:r>
          </w:p>
        </w:tc>
        <w:tc>
          <w:tcPr>
            <w:tcW w:w="12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10.31%</w:t>
            </w:r>
          </w:p>
        </w:tc>
        <w:tc>
          <w:tcPr>
            <w:tcW w:w="1520" w:type="dxa"/>
            <w:vAlign w:val="bottom"/>
            <w:gridSpan w:val="3"/>
          </w:tcPr>
          <w:p>
            <w:pPr>
              <w:jc w:val="right"/>
              <w:ind w:right="540"/>
              <w:spacing w:after="0" w:line="146" w:lineRule="exact"/>
              <w:rPr>
                <w:sz w:val="20"/>
                <w:szCs w:val="20"/>
                <w:color w:val="auto"/>
              </w:rPr>
            </w:pPr>
            <w:r>
              <w:rPr>
                <w:rFonts w:ascii="Arial" w:cs="Arial" w:eastAsia="Arial" w:hAnsi="Arial"/>
                <w:sz w:val="14"/>
                <w:szCs w:val="14"/>
                <w:color w:val="auto"/>
              </w:rPr>
              <w:t>-28 bps</w:t>
            </w:r>
          </w:p>
        </w:tc>
        <w:tc>
          <w:tcPr>
            <w:tcW w:w="86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-23 bps</w:t>
            </w: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color w:val="auto"/>
              </w:rPr>
              <w:t>Common Equity Tier 1 ratio (9)</w:t>
            </w:r>
          </w:p>
        </w:tc>
        <w:tc>
          <w:tcPr>
            <w:tcW w:w="12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11.22%</w:t>
            </w:r>
          </w:p>
        </w:tc>
        <w:tc>
          <w:tcPr>
            <w:tcW w:w="122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11.11%</w:t>
            </w:r>
          </w:p>
        </w:tc>
        <w:tc>
          <w:tcPr>
            <w:tcW w:w="12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11.23%</w:t>
            </w:r>
          </w:p>
        </w:tc>
        <w:tc>
          <w:tcPr>
            <w:tcW w:w="1520" w:type="dxa"/>
            <w:vAlign w:val="bottom"/>
            <w:gridSpan w:val="3"/>
            <w:shd w:val="clear" w:color="auto" w:fill="CCEEFF"/>
          </w:tcPr>
          <w:p>
            <w:pPr>
              <w:jc w:val="right"/>
              <w:ind w:right="540"/>
              <w:spacing w:after="0" w:line="146" w:lineRule="exact"/>
              <w:rPr>
                <w:sz w:val="20"/>
                <w:szCs w:val="20"/>
                <w:color w:val="auto"/>
              </w:rPr>
            </w:pPr>
            <w:r>
              <w:rPr>
                <w:rFonts w:ascii="Arial" w:cs="Arial" w:eastAsia="Arial" w:hAnsi="Arial"/>
                <w:sz w:val="14"/>
                <w:szCs w:val="14"/>
                <w:color w:val="auto"/>
              </w:rPr>
              <w:t>12 bps</w:t>
            </w:r>
          </w:p>
        </w:tc>
        <w:tc>
          <w:tcPr>
            <w:tcW w:w="86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1 bps</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140" w:type="dxa"/>
            <w:vAlign w:val="bottom"/>
            <w:gridSpan w:val="3"/>
          </w:tcPr>
          <w:p>
            <w:pPr>
              <w:spacing w:after="0" w:line="146" w:lineRule="exact"/>
              <w:rPr>
                <w:sz w:val="20"/>
                <w:szCs w:val="20"/>
                <w:color w:val="auto"/>
              </w:rPr>
            </w:pPr>
            <w:r>
              <w:rPr>
                <w:rFonts w:ascii="Arial" w:cs="Arial" w:eastAsia="Arial" w:hAnsi="Arial"/>
                <w:sz w:val="14"/>
                <w:szCs w:val="14"/>
                <w:color w:val="auto"/>
              </w:rPr>
              <w:t>BIS ratio (10)</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14.80%</w:t>
            </w:r>
          </w:p>
        </w:tc>
        <w:tc>
          <w:tcPr>
            <w:tcW w:w="122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16.46%</w:t>
            </w:r>
          </w:p>
        </w:tc>
        <w:tc>
          <w:tcPr>
            <w:tcW w:w="12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15.34%</w:t>
            </w:r>
          </w:p>
        </w:tc>
        <w:tc>
          <w:tcPr>
            <w:tcW w:w="1520" w:type="dxa"/>
            <w:vAlign w:val="bottom"/>
            <w:gridSpan w:val="3"/>
          </w:tcPr>
          <w:p>
            <w:pPr>
              <w:jc w:val="right"/>
              <w:ind w:right="540"/>
              <w:spacing w:after="0" w:line="146" w:lineRule="exact"/>
              <w:rPr>
                <w:sz w:val="20"/>
                <w:szCs w:val="20"/>
                <w:color w:val="auto"/>
              </w:rPr>
            </w:pPr>
            <w:r>
              <w:rPr>
                <w:rFonts w:ascii="Arial" w:cs="Arial" w:eastAsia="Arial" w:hAnsi="Arial"/>
                <w:sz w:val="14"/>
                <w:szCs w:val="14"/>
                <w:color w:val="auto"/>
              </w:rPr>
              <w:t>-112 bps</w:t>
            </w:r>
          </w:p>
        </w:tc>
        <w:tc>
          <w:tcPr>
            <w:tcW w:w="86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54 bps</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514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Risk-weighted assets / Regulatory capital</w:t>
            </w: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6.76</w:t>
            </w:r>
          </w:p>
        </w:tc>
        <w:tc>
          <w:tcPr>
            <w:tcW w:w="12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6.08</w:t>
            </w:r>
          </w:p>
        </w:tc>
        <w:tc>
          <w:tcPr>
            <w:tcW w:w="12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6.52</w:t>
            </w:r>
          </w:p>
        </w:tc>
        <w:tc>
          <w:tcPr>
            <w:tcW w:w="1240" w:type="dxa"/>
            <w:vAlign w:val="bottom"/>
            <w:gridSpan w:val="2"/>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rPr>
              <w:t>7.3%</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hanging="254"/>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6" w:lineRule="exact"/>
        <w:rPr>
          <w:rFonts w:ascii="Arial" w:cs="Arial" w:eastAsia="Arial" w:hAnsi="Arial"/>
          <w:sz w:val="18"/>
          <w:szCs w:val="18"/>
          <w:color w:val="auto"/>
        </w:rPr>
      </w:pPr>
    </w:p>
    <w:p>
      <w:pPr>
        <w:jc w:val="both"/>
        <w:ind w:right="20" w:firstLine="6"/>
        <w:spacing w:after="0" w:line="295" w:lineRule="auto"/>
        <w:tabs>
          <w:tab w:leader="none" w:pos="262"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5"/>
          <w:szCs w:val="15"/>
          <w:color w:val="auto"/>
        </w:rPr>
      </w:pPr>
    </w:p>
    <w:p>
      <w:pPr>
        <w:ind w:firstLine="6"/>
        <w:spacing w:after="0" w:line="246" w:lineRule="auto"/>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6"/>
        <w:spacing w:after="0" w:line="246" w:lineRule="auto"/>
        <w:tabs>
          <w:tab w:leader="none" w:pos="25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4"/>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5" w:lineRule="exact"/>
        <w:rPr>
          <w:rFonts w:ascii="Arial" w:cs="Arial" w:eastAsia="Arial" w:hAnsi="Arial"/>
          <w:sz w:val="18"/>
          <w:szCs w:val="18"/>
          <w:color w:val="auto"/>
        </w:rPr>
      </w:pPr>
    </w:p>
    <w:p>
      <w:pPr>
        <w:ind w:firstLine="6"/>
        <w:spacing w:after="0" w:line="246" w:lineRule="auto"/>
        <w:tabs>
          <w:tab w:leader="none" w:pos="2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6"/>
        <w:spacing w:after="0" w:line="260" w:lineRule="auto"/>
        <w:tabs>
          <w:tab w:leader="none" w:pos="24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7"/>
          <w:szCs w:val="17"/>
          <w:color w:val="auto"/>
        </w:rPr>
      </w:pPr>
    </w:p>
    <w:p>
      <w:pPr>
        <w:ind w:left="260" w:hanging="254"/>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 Risk-Weighted Assets</w:t>
      </w:r>
    </w:p>
    <w:p>
      <w:pPr>
        <w:spacing w:after="0" w:line="5" w:lineRule="exact"/>
        <w:rPr>
          <w:rFonts w:ascii="Arial" w:cs="Arial" w:eastAsia="Arial" w:hAnsi="Arial"/>
          <w:sz w:val="18"/>
          <w:szCs w:val="18"/>
          <w:color w:val="auto"/>
        </w:rPr>
      </w:pPr>
    </w:p>
    <w:p>
      <w:pPr>
        <w:ind w:left="340" w:hanging="334"/>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12.5. BCP Bolivia</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08"/>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BCP BOLIVIA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12"/>
          </w:tcPr>
          <w:p>
            <w:pPr>
              <w:jc w:val="right"/>
              <w:ind w:right="1180"/>
              <w:spacing w:after="0"/>
              <w:rPr>
                <w:sz w:val="20"/>
                <w:szCs w:val="20"/>
                <w:color w:val="auto"/>
              </w:rPr>
            </w:pPr>
            <w:r>
              <w:rPr>
                <w:rFonts w:ascii="Arial" w:cs="Arial" w:eastAsia="Arial" w:hAnsi="Arial"/>
                <w:sz w:val="18"/>
                <w:szCs w:val="18"/>
                <w:b w:val="1"/>
                <w:bCs w:val="1"/>
                <w:color w:val="auto"/>
                <w:w w:val="93"/>
              </w:rPr>
              <w:t>(S/ thousands, IFRS)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9"/>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0"/>
        </w:trPr>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Jun 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8"/>
              </w:rPr>
              <w:t>Mar 21</w:t>
            </w:r>
          </w:p>
        </w:tc>
        <w:tc>
          <w:tcPr>
            <w:tcW w:w="80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87"/>
              </w:rPr>
              <w:t>Jun 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6"/>
          </w:tcPr>
          <w:p>
            <w:pPr>
              <w:ind w:left="40"/>
              <w:spacing w:after="0"/>
              <w:rPr>
                <w:sz w:val="20"/>
                <w:szCs w:val="20"/>
                <w:color w:val="auto"/>
              </w:rPr>
            </w:pPr>
            <w:r>
              <w:rPr>
                <w:rFonts w:ascii="Arial" w:cs="Arial" w:eastAsia="Arial" w:hAnsi="Arial"/>
                <w:sz w:val="18"/>
                <w:szCs w:val="18"/>
                <w:b w:val="1"/>
                <w:bCs w:val="1"/>
                <w:color w:val="auto"/>
              </w:rPr>
              <w:t>QoQ</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6"/>
        </w:trPr>
        <w:tc>
          <w:tcPr>
            <w:tcW w:w="2160" w:type="dxa"/>
            <w:vAlign w:val="bottom"/>
            <w:tcBorders>
              <w:top w:val="single" w:sz="8" w:color="CCEEFF"/>
            </w:tcBorders>
            <w:gridSpan w:val="2"/>
            <w:shd w:val="clear" w:color="auto" w:fill="CCEEFF"/>
          </w:tcPr>
          <w:p>
            <w:pPr>
              <w:ind w:left="40"/>
              <w:spacing w:after="0" w:line="206" w:lineRule="exact"/>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2"/>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Cash and due from banks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1,902,835</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2,124,586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2,228,226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1,410,359</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1,568,083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1,671,904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loans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8,374,583</w:t>
            </w:r>
          </w:p>
        </w:tc>
        <w:tc>
          <w:tcPr>
            <w:tcW w:w="1240" w:type="dxa"/>
            <w:vAlign w:val="bottom"/>
            <w:gridSpan w:val="5"/>
          </w:tcPr>
          <w:p>
            <w:pPr>
              <w:jc w:val="right"/>
              <w:spacing w:after="0"/>
              <w:rPr>
                <w:sz w:val="20"/>
                <w:szCs w:val="20"/>
                <w:color w:val="auto"/>
              </w:rPr>
            </w:pPr>
            <w:r>
              <w:rPr>
                <w:rFonts w:ascii="Arial" w:cs="Arial" w:eastAsia="Arial" w:hAnsi="Arial"/>
                <w:sz w:val="18"/>
                <w:szCs w:val="18"/>
                <w:b w:val="1"/>
                <w:bCs w:val="1"/>
                <w:color w:val="auto"/>
              </w:rPr>
              <w:t>8,822,909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9,197,759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9.8%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8,221,417</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8,435,719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9,045,300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tcPr>
          <w:p>
            <w:pPr>
              <w:ind w:left="120"/>
              <w:spacing w:after="0"/>
              <w:rPr>
                <w:sz w:val="20"/>
                <w:szCs w:val="20"/>
                <w:color w:val="auto"/>
              </w:rPr>
            </w:pPr>
            <w:r>
              <w:rPr>
                <w:rFonts w:ascii="Arial" w:cs="Arial" w:eastAsia="Arial" w:hAnsi="Arial"/>
                <w:sz w:val="18"/>
                <w:szCs w:val="18"/>
                <w:color w:val="auto"/>
              </w:rPr>
              <w:t>Internal overdue loans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128,441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188,432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112,005</w:t>
            </w: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Refinanced</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24,725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198,758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40,455</w:t>
            </w: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tcPr>
          <w:p>
            <w:pPr>
              <w:ind w:left="120"/>
              <w:spacing w:after="0"/>
              <w:rPr>
                <w:sz w:val="20"/>
                <w:szCs w:val="20"/>
                <w:color w:val="auto"/>
              </w:rPr>
            </w:pPr>
            <w:r>
              <w:rPr>
                <w:rFonts w:ascii="Arial" w:cs="Arial" w:eastAsia="Arial" w:hAnsi="Arial"/>
                <w:sz w:val="18"/>
                <w:szCs w:val="18"/>
                <w:color w:val="auto"/>
                <w:w w:val="99"/>
              </w:rPr>
              <w:t>Allowance for loan losses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7"/>
          </w:tcPr>
          <w:p>
            <w:pPr>
              <w:jc w:val="right"/>
              <w:ind w:right="31"/>
              <w:spacing w:after="0"/>
              <w:rPr>
                <w:sz w:val="20"/>
                <w:szCs w:val="20"/>
                <w:color w:val="auto"/>
              </w:rPr>
            </w:pPr>
            <w:r>
              <w:rPr>
                <w:rFonts w:ascii="Arial" w:cs="Arial" w:eastAsia="Arial" w:hAnsi="Arial"/>
                <w:sz w:val="18"/>
                <w:szCs w:val="18"/>
                <w:color w:val="auto"/>
              </w:rPr>
              <w:t>(376,247)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1"/>
              <w:spacing w:after="0"/>
              <w:rPr>
                <w:sz w:val="20"/>
                <w:szCs w:val="20"/>
                <w:color w:val="auto"/>
              </w:rPr>
            </w:pPr>
            <w:r>
              <w:rPr>
                <w:rFonts w:ascii="Arial" w:cs="Arial" w:eastAsia="Arial" w:hAnsi="Arial"/>
                <w:sz w:val="18"/>
                <w:szCs w:val="18"/>
                <w:color w:val="auto"/>
                <w:w w:val="90"/>
              </w:rPr>
              <w:t>(487,161)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(433,953)</w:t>
            </w: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loans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7,998,336</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8,335,748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8,763,806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50,950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91"/>
              <w:spacing w:after="0"/>
              <w:rPr>
                <w:sz w:val="20"/>
                <w:szCs w:val="20"/>
                <w:color w:val="auto"/>
              </w:rPr>
            </w:pPr>
            <w:r>
              <w:rPr>
                <w:rFonts w:ascii="Arial" w:cs="Arial" w:eastAsia="Arial" w:hAnsi="Arial"/>
                <w:sz w:val="18"/>
                <w:szCs w:val="18"/>
                <w:color w:val="auto"/>
              </w:rPr>
              <w:t>55,179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56,091</w:t>
            </w: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175,573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386,073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393,292</w:t>
            </w: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tcPr>
          <w:p>
            <w:pPr>
              <w:ind w:left="1260"/>
              <w:spacing w:after="0"/>
              <w:rPr>
                <w:sz w:val="20"/>
                <w:szCs w:val="20"/>
                <w:color w:val="auto"/>
              </w:rPr>
            </w:pPr>
            <w:r>
              <w:rPr>
                <w:rFonts w:ascii="Arial" w:cs="Arial" w:eastAsia="Arial" w:hAnsi="Arial"/>
                <w:sz w:val="18"/>
                <w:szCs w:val="18"/>
                <w:b w:val="1"/>
                <w:bCs w:val="1"/>
                <w:color w:val="auto"/>
                <w:w w:val="84"/>
              </w:rPr>
              <w:t>Total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11,538,053</w:t>
            </w:r>
          </w:p>
        </w:tc>
        <w:tc>
          <w:tcPr>
            <w:tcW w:w="1420" w:type="dxa"/>
            <w:vAlign w:val="bottom"/>
            <w:gridSpan w:val="6"/>
          </w:tcPr>
          <w:p>
            <w:pPr>
              <w:jc w:val="right"/>
              <w:ind w:right="91"/>
              <w:spacing w:after="0"/>
              <w:rPr>
                <w:sz w:val="20"/>
                <w:szCs w:val="20"/>
                <w:color w:val="auto"/>
              </w:rPr>
            </w:pPr>
            <w:r>
              <w:rPr>
                <w:rFonts w:ascii="Arial" w:cs="Arial" w:eastAsia="Arial" w:hAnsi="Arial"/>
                <w:sz w:val="18"/>
                <w:szCs w:val="18"/>
                <w:b w:val="1"/>
                <w:bCs w:val="1"/>
                <w:color w:val="auto"/>
              </w:rPr>
              <w:t>12,469,669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6"/>
              </w:rPr>
              <w:t>13,113,320</w:t>
            </w:r>
          </w:p>
        </w:tc>
        <w:tc>
          <w:tcPr>
            <w:tcW w:w="3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4"/>
        </w:trPr>
        <w:tc>
          <w:tcPr>
            <w:tcW w:w="2160" w:type="dxa"/>
            <w:vAlign w:val="bottom"/>
            <w:gridSpan w:val="2"/>
            <w:shd w:val="clear" w:color="auto" w:fill="CCEEFF"/>
          </w:tcPr>
          <w:p>
            <w:pPr>
              <w:ind w:left="40"/>
              <w:spacing w:after="0" w:line="195" w:lineRule="exact"/>
              <w:rPr>
                <w:sz w:val="20"/>
                <w:szCs w:val="20"/>
                <w:color w:val="auto"/>
              </w:rPr>
            </w:pPr>
            <w:r>
              <w:rPr>
                <w:rFonts w:ascii="Arial" w:cs="Arial" w:eastAsia="Arial" w:hAnsi="Arial"/>
                <w:sz w:val="18"/>
                <w:szCs w:val="18"/>
                <w:b w:val="1"/>
                <w:bCs w:val="1"/>
                <w:color w:val="auto"/>
              </w:rPr>
              <w:t>LIABILITIES AND NET</w:t>
            </w: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1"/>
        </w:trPr>
        <w:tc>
          <w:tcPr>
            <w:tcW w:w="30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2"/>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Deposits and obligations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9,990,773</w:t>
            </w:r>
          </w:p>
        </w:tc>
        <w:tc>
          <w:tcPr>
            <w:tcW w:w="1420" w:type="dxa"/>
            <w:vAlign w:val="bottom"/>
            <w:gridSpan w:val="6"/>
          </w:tcPr>
          <w:p>
            <w:pPr>
              <w:jc w:val="right"/>
              <w:ind w:right="91"/>
              <w:spacing w:after="0"/>
              <w:rPr>
                <w:sz w:val="20"/>
                <w:szCs w:val="20"/>
                <w:color w:val="auto"/>
              </w:rPr>
            </w:pPr>
            <w:r>
              <w:rPr>
                <w:rFonts w:ascii="Arial" w:cs="Arial" w:eastAsia="Arial" w:hAnsi="Arial"/>
                <w:sz w:val="18"/>
                <w:szCs w:val="18"/>
                <w:color w:val="auto"/>
              </w:rPr>
              <w:t>10,691,224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11,057,286</w:t>
            </w: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Due to banks and correspondents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54,571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89,702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119,795</w:t>
            </w: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tcPr>
          <w:p>
            <w:pPr>
              <w:ind w:left="40"/>
              <w:spacing w:after="0"/>
              <w:rPr>
                <w:sz w:val="20"/>
                <w:szCs w:val="20"/>
                <w:color w:val="auto"/>
              </w:rPr>
            </w:pPr>
            <w:r>
              <w:rPr>
                <w:rFonts w:ascii="Arial" w:cs="Arial" w:eastAsia="Arial" w:hAnsi="Arial"/>
                <w:sz w:val="18"/>
                <w:szCs w:val="18"/>
                <w:color w:val="auto"/>
                <w:w w:val="89"/>
              </w:rPr>
              <w:t>Bonds and subordinated debt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111,239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173,208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178,578</w:t>
            </w:r>
          </w:p>
        </w:tc>
        <w:tc>
          <w:tcPr>
            <w:tcW w:w="30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60.5%</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683,892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795,200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994,580</w:t>
            </w: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60" w:type="dxa"/>
            <w:vAlign w:val="bottom"/>
            <w:gridSpan w:val="4"/>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10,840,474</w:t>
            </w:r>
          </w:p>
        </w:tc>
        <w:tc>
          <w:tcPr>
            <w:tcW w:w="1420" w:type="dxa"/>
            <w:vAlign w:val="bottom"/>
            <w:gridSpan w:val="6"/>
          </w:tcPr>
          <w:p>
            <w:pPr>
              <w:jc w:val="right"/>
              <w:ind w:right="91"/>
              <w:spacing w:after="0"/>
              <w:rPr>
                <w:sz w:val="20"/>
                <w:szCs w:val="20"/>
                <w:color w:val="auto"/>
              </w:rPr>
            </w:pPr>
            <w:r>
              <w:rPr>
                <w:rFonts w:ascii="Arial" w:cs="Arial" w:eastAsia="Arial" w:hAnsi="Arial"/>
                <w:sz w:val="18"/>
                <w:szCs w:val="18"/>
                <w:b w:val="1"/>
                <w:bCs w:val="1"/>
                <w:color w:val="auto"/>
              </w:rPr>
              <w:t>11,749,334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6"/>
              </w:rPr>
              <w:t>12,350,240</w:t>
            </w:r>
          </w:p>
        </w:tc>
        <w:tc>
          <w:tcPr>
            <w:tcW w:w="30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13.9%</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equity</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697,579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720,335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763,080</w:t>
            </w:r>
          </w:p>
        </w:tc>
        <w:tc>
          <w:tcPr>
            <w:tcW w:w="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4"/>
        </w:trPr>
        <w:tc>
          <w:tcPr>
            <w:tcW w:w="3060" w:type="dxa"/>
            <w:vAlign w:val="bottom"/>
            <w:gridSpan w:val="4"/>
          </w:tcPr>
          <w:p>
            <w:pPr>
              <w:ind w:left="40"/>
              <w:spacing w:after="0" w:line="195" w:lineRule="exact"/>
              <w:rPr>
                <w:sz w:val="20"/>
                <w:szCs w:val="20"/>
                <w:color w:val="auto"/>
              </w:rPr>
            </w:pPr>
            <w:r>
              <w:rPr>
                <w:rFonts w:ascii="Arial" w:cs="Arial" w:eastAsia="Arial" w:hAnsi="Arial"/>
                <w:sz w:val="18"/>
                <w:szCs w:val="18"/>
                <w:b w:val="1"/>
                <w:bCs w:val="1"/>
                <w:color w:val="auto"/>
              </w:rPr>
              <w:t>TOTAL LIABILITIES AND NET</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11,538,053</w:t>
            </w:r>
          </w:p>
        </w:tc>
        <w:tc>
          <w:tcPr>
            <w:tcW w:w="1420" w:type="dxa"/>
            <w:vAlign w:val="bottom"/>
            <w:gridSpan w:val="6"/>
          </w:tcPr>
          <w:p>
            <w:pPr>
              <w:jc w:val="right"/>
              <w:ind w:right="91"/>
              <w:spacing w:after="0"/>
              <w:rPr>
                <w:sz w:val="20"/>
                <w:szCs w:val="20"/>
                <w:color w:val="auto"/>
              </w:rPr>
            </w:pPr>
            <w:r>
              <w:rPr>
                <w:rFonts w:ascii="Arial" w:cs="Arial" w:eastAsia="Arial" w:hAnsi="Arial"/>
                <w:sz w:val="18"/>
                <w:szCs w:val="18"/>
                <w:b w:val="1"/>
                <w:bCs w:val="1"/>
                <w:color w:val="auto"/>
              </w:rPr>
              <w:t>12,469,669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6"/>
              </w:rPr>
              <w:t>13,113,320</w:t>
            </w:r>
          </w:p>
        </w:tc>
        <w:tc>
          <w:tcPr>
            <w:tcW w:w="300" w:type="dxa"/>
            <w:vAlign w:val="bottom"/>
          </w:tcPr>
          <w:p>
            <w:pPr>
              <w:spacing w:after="0"/>
              <w:rPr>
                <w:sz w:val="21"/>
                <w:szCs w:val="21"/>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13.7%</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9"/>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w w:val="95"/>
              </w:rPr>
              <w:t>% change</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Year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 change</w:t>
            </w:r>
          </w:p>
        </w:tc>
      </w:tr>
      <w:tr>
        <w:trPr>
          <w:trHeight w:val="220"/>
        </w:trPr>
        <w:tc>
          <w:tcPr>
            <w:tcW w:w="19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0"/>
              </w:rPr>
              <w:t>2Q20</w:t>
            </w:r>
          </w:p>
        </w:tc>
        <w:tc>
          <w:tcPr>
            <w:tcW w:w="260" w:type="dxa"/>
            <w:vAlign w:val="bottom"/>
            <w:tcBorders>
              <w:top w:val="single" w:sz="8" w:color="auto"/>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8"/>
                <w:szCs w:val="18"/>
                <w:b w:val="1"/>
                <w:bCs w:val="1"/>
                <w:color w:val="auto"/>
              </w:rPr>
              <w:t>1Q21</w:t>
            </w:r>
          </w:p>
        </w:tc>
        <w:tc>
          <w:tcPr>
            <w:tcW w:w="1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4"/>
          </w:tcPr>
          <w:p>
            <w:pPr>
              <w:jc w:val="right"/>
              <w:ind w:right="131"/>
              <w:spacing w:after="0"/>
              <w:rPr>
                <w:sz w:val="20"/>
                <w:szCs w:val="20"/>
                <w:color w:val="auto"/>
              </w:rPr>
            </w:pPr>
            <w:r>
              <w:rPr>
                <w:rFonts w:ascii="Arial" w:cs="Arial" w:eastAsia="Arial" w:hAnsi="Arial"/>
                <w:sz w:val="18"/>
                <w:szCs w:val="18"/>
                <w:b w:val="1"/>
                <w:bCs w:val="1"/>
                <w:color w:val="auto"/>
              </w:rPr>
              <w:t>2Q21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rPr>
              <w:t>Jun 20</w:t>
            </w:r>
          </w:p>
        </w:tc>
        <w:tc>
          <w:tcPr>
            <w:tcW w:w="260" w:type="dxa"/>
            <w:vAlign w:val="bottom"/>
            <w:tcBorders>
              <w:top w:val="single" w:sz="8" w:color="auto"/>
              <w:bottom w:val="single" w:sz="8" w:color="CCEEFF"/>
            </w:tcBorders>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1"/>
              </w:rPr>
              <w:t>Jun 21</w:t>
            </w:r>
          </w:p>
        </w:tc>
        <w:tc>
          <w:tcPr>
            <w:tcW w:w="260" w:type="dxa"/>
            <w:vAlign w:val="bottom"/>
            <w:tcBorders>
              <w:bottom w:val="single" w:sz="8" w:color="CCEEFF"/>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 21/ Jun 20</w:t>
            </w:r>
          </w:p>
        </w:tc>
        <w:tc>
          <w:tcPr>
            <w:tcW w:w="260" w:type="dxa"/>
            <w:vAlign w:val="bottom"/>
            <w:tcBorders>
              <w:bottom w:val="single" w:sz="8" w:color="CCEEFF"/>
            </w:tcBorders>
          </w:tcPr>
          <w:p>
            <w:pPr>
              <w:spacing w:after="0"/>
              <w:rPr>
                <w:sz w:val="19"/>
                <w:szCs w:val="19"/>
                <w:color w:val="auto"/>
              </w:rPr>
            </w:pPr>
          </w:p>
        </w:tc>
      </w:tr>
      <w:tr>
        <w:trPr>
          <w:trHeight w:val="206"/>
        </w:trPr>
        <w:tc>
          <w:tcPr>
            <w:tcW w:w="19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83,164</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75,189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6" w:lineRule="exact"/>
              <w:rPr>
                <w:sz w:val="20"/>
                <w:szCs w:val="20"/>
                <w:color w:val="auto"/>
              </w:rPr>
            </w:pPr>
            <w:r>
              <w:rPr>
                <w:rFonts w:ascii="Arial" w:cs="Arial" w:eastAsia="Arial" w:hAnsi="Arial"/>
                <w:sz w:val="18"/>
                <w:szCs w:val="18"/>
                <w:color w:val="auto"/>
              </w:rPr>
              <w:t>79,897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169,809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155,086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-8.7%</w:t>
            </w:r>
          </w:p>
        </w:tc>
      </w:tr>
      <w:tr>
        <w:trPr>
          <w:trHeight w:val="200"/>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Provision for loan losses,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net of recoveries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(100,707)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(23,581)</w:t>
            </w:r>
          </w:p>
        </w:tc>
        <w:tc>
          <w:tcPr>
            <w:tcW w:w="1100" w:type="dxa"/>
            <w:vAlign w:val="bottom"/>
            <w:gridSpan w:val="6"/>
          </w:tcPr>
          <w:p>
            <w:pPr>
              <w:jc w:val="right"/>
              <w:ind w:right="91"/>
              <w:spacing w:after="0"/>
              <w:rPr>
                <w:sz w:val="20"/>
                <w:szCs w:val="20"/>
                <w:color w:val="auto"/>
              </w:rPr>
            </w:pPr>
            <w:r>
              <w:rPr>
                <w:rFonts w:ascii="Arial" w:cs="Arial" w:eastAsia="Arial" w:hAnsi="Arial"/>
                <w:sz w:val="18"/>
                <w:szCs w:val="18"/>
                <w:color w:val="auto"/>
              </w:rPr>
              <w:t>49,116</w:t>
            </w:r>
          </w:p>
        </w:tc>
        <w:tc>
          <w:tcPr>
            <w:tcW w:w="100" w:type="dxa"/>
            <w:vAlign w:val="bottom"/>
          </w:tcPr>
          <w:p>
            <w:pPr>
              <w:spacing w:after="0"/>
              <w:rPr>
                <w:sz w:val="19"/>
                <w:szCs w:val="19"/>
                <w:color w:val="auto"/>
              </w:rPr>
            </w:pPr>
          </w:p>
        </w:tc>
        <w:tc>
          <w:tcPr>
            <w:tcW w:w="1020" w:type="dxa"/>
            <w:vAlign w:val="bottom"/>
            <w:gridSpan w:val="4"/>
          </w:tcPr>
          <w:p>
            <w:pPr>
              <w:ind w:left="5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-148.8%</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(136,716)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25,534</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195"/>
        </w:trPr>
        <w:tc>
          <w:tcPr>
            <w:tcW w:w="2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interest income</w:t>
            </w: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1"/>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after provisions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-17,543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51,608</w:t>
            </w:r>
          </w:p>
        </w:tc>
        <w:tc>
          <w:tcPr>
            <w:tcW w:w="1100" w:type="dxa"/>
            <w:vAlign w:val="bottom"/>
            <w:gridSpan w:val="6"/>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129,012</w:t>
            </w:r>
          </w:p>
        </w:tc>
        <w:tc>
          <w:tcPr>
            <w:tcW w:w="11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33,093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180,620</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445.8%</w:t>
            </w: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24,951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35,623</w:t>
            </w:r>
          </w:p>
        </w:tc>
        <w:tc>
          <w:tcPr>
            <w:tcW w:w="1100" w:type="dxa"/>
            <w:vAlign w:val="bottom"/>
            <w:gridSpan w:val="6"/>
          </w:tcPr>
          <w:p>
            <w:pPr>
              <w:jc w:val="right"/>
              <w:ind w:right="91"/>
              <w:spacing w:after="0"/>
              <w:rPr>
                <w:sz w:val="20"/>
                <w:szCs w:val="20"/>
                <w:color w:val="auto"/>
              </w:rPr>
            </w:pPr>
            <w:r>
              <w:rPr>
                <w:rFonts w:ascii="Arial" w:cs="Arial" w:eastAsia="Arial" w:hAnsi="Arial"/>
                <w:sz w:val="18"/>
                <w:szCs w:val="18"/>
                <w:color w:val="auto"/>
              </w:rPr>
              <w:t>37,598</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50.7%</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51,403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73,222</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(55,334)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(64,743)</w:t>
            </w:r>
          </w:p>
        </w:tc>
        <w:tc>
          <w:tcPr>
            <w:tcW w:w="1100" w:type="dxa"/>
            <w:vAlign w:val="bottom"/>
            <w:gridSpan w:val="6"/>
            <w:shd w:val="clear" w:color="auto" w:fill="CCEEFF"/>
          </w:tcPr>
          <w:p>
            <w:pPr>
              <w:jc w:val="right"/>
              <w:ind w:right="31"/>
              <w:spacing w:after="0"/>
              <w:rPr>
                <w:sz w:val="20"/>
                <w:szCs w:val="20"/>
                <w:color w:val="auto"/>
              </w:rPr>
            </w:pPr>
            <w:r>
              <w:rPr>
                <w:rFonts w:ascii="Arial" w:cs="Arial" w:eastAsia="Arial" w:hAnsi="Arial"/>
                <w:sz w:val="18"/>
                <w:szCs w:val="18"/>
                <w:color w:val="auto"/>
              </w:rPr>
              <w:t>(127,985)</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97.7%</w:t>
            </w:r>
          </w:p>
        </w:tc>
        <w:tc>
          <w:tcPr>
            <w:tcW w:w="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131.3%</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(119,359)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(192,727)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4"/>
          </w:tcPr>
          <w:p>
            <w:pPr>
              <w:ind w:left="5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-45.5%</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(11,023)</w:t>
            </w:r>
          </w:p>
        </w:tc>
        <w:tc>
          <w:tcPr>
            <w:tcW w:w="1100" w:type="dxa"/>
            <w:vAlign w:val="bottom"/>
            <w:gridSpan w:val="6"/>
            <w:shd w:val="clear" w:color="auto" w:fill="CCEEFF"/>
          </w:tcPr>
          <w:p>
            <w:pPr>
              <w:jc w:val="right"/>
              <w:ind w:right="31"/>
              <w:spacing w:after="0"/>
              <w:rPr>
                <w:sz w:val="20"/>
                <w:szCs w:val="20"/>
                <w:color w:val="auto"/>
              </w:rPr>
            </w:pPr>
            <w:r>
              <w:rPr>
                <w:rFonts w:ascii="Arial" w:cs="Arial" w:eastAsia="Arial" w:hAnsi="Arial"/>
                <w:sz w:val="18"/>
                <w:szCs w:val="18"/>
                <w:color w:val="auto"/>
              </w:rPr>
              <w:t>(23,486)</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(34,509)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r>
      <w:tr>
        <w:trPr>
          <w:trHeight w:val="22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(39,582)</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11,453</w:t>
            </w:r>
          </w:p>
        </w:tc>
        <w:tc>
          <w:tcPr>
            <w:tcW w:w="1100" w:type="dxa"/>
            <w:vAlign w:val="bottom"/>
            <w:gridSpan w:val="6"/>
          </w:tcPr>
          <w:p>
            <w:pPr>
              <w:jc w:val="right"/>
              <w:ind w:right="91"/>
              <w:spacing w:after="0"/>
              <w:rPr>
                <w:sz w:val="20"/>
                <w:szCs w:val="20"/>
                <w:color w:val="auto"/>
              </w:rPr>
            </w:pPr>
            <w:r>
              <w:rPr>
                <w:rFonts w:ascii="Arial" w:cs="Arial" w:eastAsia="Arial" w:hAnsi="Arial"/>
                <w:sz w:val="18"/>
                <w:szCs w:val="18"/>
                <w:b w:val="1"/>
                <w:bCs w:val="1"/>
                <w:color w:val="auto"/>
              </w:rPr>
              <w:t>15,161</w:t>
            </w:r>
          </w:p>
        </w:tc>
        <w:tc>
          <w:tcPr>
            <w:tcW w:w="11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-32.4%</w:t>
            </w:r>
          </w:p>
        </w:tc>
        <w:tc>
          <w:tcPr>
            <w:tcW w:w="60" w:type="dxa"/>
            <w:vAlign w:val="bottom"/>
          </w:tcPr>
          <w:p>
            <w:pPr>
              <w:spacing w:after="0"/>
              <w:rPr>
                <w:sz w:val="19"/>
                <w:szCs w:val="19"/>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-138.3%</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(32,754)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26,615</w:t>
            </w:r>
          </w:p>
        </w:tc>
        <w:tc>
          <w:tcPr>
            <w:tcW w:w="1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-181.3%</w:t>
            </w: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560pbs</w:t>
            </w:r>
          </w:p>
        </w:tc>
      </w:tr>
      <w:tr>
        <w:trPr>
          <w:trHeight w:val="225"/>
        </w:trPr>
        <w:tc>
          <w:tcPr>
            <w:tcW w:w="2160" w:type="dxa"/>
            <w:vAlign w:val="bottom"/>
            <w:gridSpan w:val="2"/>
          </w:tcPr>
          <w:p>
            <w:pPr>
              <w:spacing w:after="0"/>
              <w:rPr>
                <w:sz w:val="20"/>
                <w:szCs w:val="20"/>
                <w:color w:val="auto"/>
              </w:rPr>
            </w:pPr>
            <w:r>
              <w:rPr>
                <w:rFonts w:ascii="Arial" w:cs="Arial" w:eastAsia="Arial" w:hAnsi="Arial"/>
                <w:sz w:val="18"/>
                <w:szCs w:val="18"/>
                <w:color w:val="auto"/>
              </w:rPr>
              <w:t>ROAE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80" w:type="dxa"/>
            <w:vAlign w:val="bottom"/>
            <w:gridSpan w:val="5"/>
          </w:tcPr>
          <w:p>
            <w:pPr>
              <w:ind w:left="560"/>
              <w:spacing w:after="0"/>
              <w:rPr>
                <w:sz w:val="20"/>
                <w:szCs w:val="20"/>
                <w:color w:val="auto"/>
              </w:rPr>
            </w:pPr>
            <w:r>
              <w:rPr>
                <w:rFonts w:ascii="Arial" w:cs="Arial" w:eastAsia="Arial" w:hAnsi="Arial"/>
                <w:sz w:val="18"/>
                <w:szCs w:val="18"/>
                <w:color w:val="auto"/>
                <w:w w:val="84"/>
              </w:rPr>
              <w:t>170pbs</w:t>
            </w:r>
          </w:p>
        </w:tc>
        <w:tc>
          <w:tcPr>
            <w:tcW w:w="1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3068pbs</w:t>
            </w: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1646pbs</w:t>
            </w:r>
          </w:p>
        </w:tc>
      </w:tr>
      <w:tr>
        <w:trPr>
          <w:trHeight w:val="214"/>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70pbs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-64pbs</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-90pbs</w:t>
            </w:r>
          </w:p>
        </w:tc>
        <w:tc>
          <w:tcPr>
            <w:tcW w:w="1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-31pbs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18.72%</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1430pbs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1689pbs</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8"/>
              </w:rPr>
              <w:t>387.4%</w:t>
            </w: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12890pbs</w:t>
            </w:r>
          </w:p>
        </w:tc>
        <w:tc>
          <w:tcPr>
            <w:tcW w:w="1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9451pbs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-10060pbs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-22045pbs</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91"/>
              <w:spacing w:after="0"/>
              <w:rPr>
                <w:sz w:val="20"/>
                <w:szCs w:val="20"/>
                <w:color w:val="auto"/>
              </w:rPr>
            </w:pPr>
            <w:r>
              <w:rPr>
                <w:rFonts w:ascii="Arial" w:cs="Arial" w:eastAsia="Arial" w:hAnsi="Arial"/>
                <w:sz w:val="18"/>
                <w:szCs w:val="18"/>
                <w:color w:val="auto"/>
              </w:rPr>
              <w:t>47</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8"/>
                <w:szCs w:val="18"/>
                <w:color w:val="auto"/>
              </w:rPr>
              <w:t>ATMs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91"/>
              <w:spacing w:after="0"/>
              <w:rPr>
                <w:sz w:val="20"/>
                <w:szCs w:val="20"/>
                <w:color w:val="auto"/>
              </w:rPr>
            </w:pPr>
            <w:r>
              <w:rPr>
                <w:rFonts w:ascii="Arial" w:cs="Arial" w:eastAsia="Arial" w:hAnsi="Arial"/>
                <w:sz w:val="18"/>
                <w:szCs w:val="18"/>
                <w:color w:val="auto"/>
              </w:rPr>
              <w:t>305</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w w:val="84"/>
              </w:rPr>
              <w:t>1,564</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637"/>
        </w:trPr>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40"/>
          </w:cols>
          <w:pgMar w:left="320" w:top="89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12.6. Mibanco</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08"/>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Mibanco</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13"/>
          </w:tcPr>
          <w:p>
            <w:pPr>
              <w:jc w:val="center"/>
              <w:ind w:right="1080"/>
              <w:spacing w:after="0"/>
              <w:rPr>
                <w:sz w:val="20"/>
                <w:szCs w:val="20"/>
                <w:color w:val="auto"/>
              </w:rPr>
            </w:pPr>
            <w:r>
              <w:rPr>
                <w:rFonts w:ascii="Arial" w:cs="Arial" w:eastAsia="Arial" w:hAnsi="Arial"/>
                <w:sz w:val="18"/>
                <w:szCs w:val="18"/>
                <w:b w:val="1"/>
                <w:bCs w:val="1"/>
                <w:color w:val="auto"/>
                <w:w w:val="88"/>
              </w:rPr>
              <w:t>(S/ thousands, IFRS)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9"/>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w w:val="90"/>
              </w:rPr>
              <w:t>% change</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0"/>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6"/>
          </w:tcPr>
          <w:p>
            <w:pPr>
              <w:jc w:val="right"/>
              <w:ind w:right="631"/>
              <w:spacing w:after="0"/>
              <w:rPr>
                <w:sz w:val="20"/>
                <w:szCs w:val="20"/>
                <w:color w:val="auto"/>
              </w:rPr>
            </w:pPr>
            <w:r>
              <w:rPr>
                <w:rFonts w:ascii="Arial" w:cs="Arial" w:eastAsia="Arial" w:hAnsi="Arial"/>
                <w:sz w:val="18"/>
                <w:szCs w:val="18"/>
                <w:b w:val="1"/>
                <w:bCs w:val="1"/>
                <w:color w:val="auto"/>
              </w:rPr>
              <w:t>Jun 20</w:t>
            </w:r>
          </w:p>
        </w:tc>
        <w:tc>
          <w:tcPr>
            <w:tcW w:w="12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4"/>
              </w:rPr>
              <w:t>Mar 20</w:t>
            </w:r>
          </w:p>
        </w:tc>
        <w:tc>
          <w:tcPr>
            <w:tcW w:w="40" w:type="dxa"/>
            <w:vAlign w:val="bottom"/>
          </w:tcPr>
          <w:p>
            <w:pPr>
              <w:spacing w:after="0"/>
              <w:rPr>
                <w:sz w:val="19"/>
                <w:szCs w:val="19"/>
                <w:color w:val="auto"/>
              </w:rPr>
            </w:pPr>
          </w:p>
        </w:tc>
        <w:tc>
          <w:tcPr>
            <w:tcW w:w="780" w:type="dxa"/>
            <w:vAlign w:val="bottom"/>
            <w:gridSpan w:val="2"/>
          </w:tcPr>
          <w:p>
            <w:pPr>
              <w:jc w:val="right"/>
              <w:ind w:right="191"/>
              <w:spacing w:after="0"/>
              <w:rPr>
                <w:sz w:val="20"/>
                <w:szCs w:val="20"/>
                <w:color w:val="auto"/>
              </w:rPr>
            </w:pPr>
            <w:r>
              <w:rPr>
                <w:rFonts w:ascii="Arial" w:cs="Arial" w:eastAsia="Arial" w:hAnsi="Arial"/>
                <w:sz w:val="18"/>
                <w:szCs w:val="18"/>
                <w:b w:val="1"/>
                <w:bCs w:val="1"/>
                <w:color w:val="auto"/>
                <w:w w:val="84"/>
              </w:rPr>
              <w:t>Jun 21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5"/>
          </w:tcPr>
          <w:p>
            <w:pPr>
              <w:ind w:left="4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6"/>
        </w:trPr>
        <w:tc>
          <w:tcPr>
            <w:tcW w:w="2120" w:type="dxa"/>
            <w:vAlign w:val="bottom"/>
            <w:tcBorders>
              <w:top w:val="single" w:sz="8" w:color="CCEEFF"/>
            </w:tcBorders>
            <w:gridSpan w:val="2"/>
            <w:shd w:val="clear" w:color="auto" w:fill="CCEEFF"/>
          </w:tcPr>
          <w:p>
            <w:pPr>
              <w:ind w:left="40"/>
              <w:spacing w:after="0" w:line="206" w:lineRule="exact"/>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w w:val="99"/>
              </w:rPr>
              <w:t>Cash and due from banks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1,516,399</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1,373,259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1,477,527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1,419,390</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1,528,708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1,533,808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loans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10,773,466</w:t>
            </w:r>
          </w:p>
        </w:tc>
        <w:tc>
          <w:tcPr>
            <w:tcW w:w="260" w:type="dxa"/>
            <w:vAlign w:val="bottom"/>
          </w:tcPr>
          <w:p>
            <w:pPr>
              <w:spacing w:after="0"/>
              <w:rPr>
                <w:sz w:val="18"/>
                <w:szCs w:val="18"/>
                <w:color w:val="auto"/>
              </w:rPr>
            </w:pPr>
          </w:p>
        </w:tc>
        <w:tc>
          <w:tcPr>
            <w:tcW w:w="10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88"/>
              </w:rPr>
              <w:t>12,990,370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13,039,316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21.0%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9,963,251</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91"/>
              <w:spacing w:after="0"/>
              <w:rPr>
                <w:sz w:val="20"/>
                <w:szCs w:val="20"/>
                <w:color w:val="auto"/>
              </w:rPr>
            </w:pPr>
            <w:r>
              <w:rPr>
                <w:rFonts w:ascii="Arial" w:cs="Arial" w:eastAsia="Arial" w:hAnsi="Arial"/>
                <w:sz w:val="18"/>
                <w:szCs w:val="18"/>
                <w:color w:val="auto"/>
                <w:w w:val="88"/>
              </w:rPr>
              <w:t>11,724,305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11,824,810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tcPr>
          <w:p>
            <w:pPr>
              <w:ind w:left="120"/>
              <w:spacing w:after="0"/>
              <w:rPr>
                <w:sz w:val="20"/>
                <w:szCs w:val="20"/>
                <w:color w:val="auto"/>
              </w:rPr>
            </w:pPr>
            <w:r>
              <w:rPr>
                <w:rFonts w:ascii="Arial" w:cs="Arial" w:eastAsia="Arial" w:hAnsi="Arial"/>
                <w:sz w:val="18"/>
                <w:szCs w:val="18"/>
                <w:color w:val="auto"/>
              </w:rPr>
              <w:t>Internal overdue loans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710,551</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1,187,277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1,158,977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63.1%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Refinanced</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99,664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78,789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55,529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tcPr>
          <w:p>
            <w:pPr>
              <w:ind w:left="120"/>
              <w:spacing w:after="0"/>
              <w:rPr>
                <w:sz w:val="20"/>
                <w:szCs w:val="20"/>
                <w:color w:val="auto"/>
              </w:rPr>
            </w:pPr>
            <w:r>
              <w:rPr>
                <w:rFonts w:ascii="Arial" w:cs="Arial" w:eastAsia="Arial" w:hAnsi="Arial"/>
                <w:sz w:val="18"/>
                <w:szCs w:val="18"/>
                <w:color w:val="auto"/>
                <w:w w:val="95"/>
              </w:rPr>
              <w:t>Allow ance for loan losses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-1,460,508</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-1,862,739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-1,662,457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loans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9,312,957</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88"/>
              </w:rPr>
              <w:t>11,127,631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11,376,859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4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163,287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151,052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148,899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996,259</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1,120,807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1,075,526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tcPr>
          <w:p>
            <w:pPr>
              <w:ind w:left="1060"/>
              <w:spacing w:after="0"/>
              <w:rPr>
                <w:sz w:val="20"/>
                <w:szCs w:val="20"/>
                <w:color w:val="auto"/>
              </w:rPr>
            </w:pPr>
            <w:r>
              <w:rPr>
                <w:rFonts w:ascii="Arial" w:cs="Arial" w:eastAsia="Arial" w:hAnsi="Arial"/>
                <w:sz w:val="18"/>
                <w:szCs w:val="18"/>
                <w:b w:val="1"/>
                <w:bCs w:val="1"/>
                <w:color w:val="auto"/>
                <w:w w:val="99"/>
              </w:rPr>
              <w:t>Total assets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13,408,292</w:t>
            </w:r>
          </w:p>
        </w:tc>
        <w:tc>
          <w:tcPr>
            <w:tcW w:w="260" w:type="dxa"/>
            <w:vAlign w:val="bottom"/>
          </w:tcPr>
          <w:p>
            <w:pPr>
              <w:spacing w:after="0"/>
              <w:rPr>
                <w:sz w:val="18"/>
                <w:szCs w:val="18"/>
                <w:color w:val="auto"/>
              </w:rPr>
            </w:pPr>
          </w:p>
        </w:tc>
        <w:tc>
          <w:tcPr>
            <w:tcW w:w="10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88"/>
              </w:rPr>
              <w:t>15,301,458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15,612,618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4"/>
        </w:trPr>
        <w:tc>
          <w:tcPr>
            <w:tcW w:w="2120" w:type="dxa"/>
            <w:vAlign w:val="bottom"/>
            <w:gridSpan w:val="2"/>
            <w:shd w:val="clear" w:color="auto" w:fill="CCEEFF"/>
          </w:tcPr>
          <w:p>
            <w:pPr>
              <w:ind w:left="40"/>
              <w:spacing w:after="0" w:line="195" w:lineRule="exact"/>
              <w:rPr>
                <w:sz w:val="20"/>
                <w:szCs w:val="20"/>
                <w:color w:val="auto"/>
              </w:rPr>
            </w:pPr>
            <w:r>
              <w:rPr>
                <w:rFonts w:ascii="Arial" w:cs="Arial" w:eastAsia="Arial" w:hAnsi="Arial"/>
                <w:sz w:val="18"/>
                <w:szCs w:val="18"/>
                <w:b w:val="1"/>
                <w:bCs w:val="1"/>
                <w:color w:val="auto"/>
              </w:rPr>
              <w:t>LIABILITIES AND NET</w:t>
            </w: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1"/>
        </w:trPr>
        <w:tc>
          <w:tcPr>
            <w:tcW w:w="30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Deposits and obligations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8,137,844</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8,371,900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8,292,913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Due to banks and correspondents</w:t>
            </w: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2,403,370</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1,423,122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1,898,921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w w:val="87"/>
              </w:rPr>
              <w:t>Bonds and subordinated debt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8"/>
                <w:szCs w:val="18"/>
                <w:color w:val="auto"/>
              </w:rPr>
              <w:t>132,599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290,524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188,775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42.4%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885,695</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3,096,616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3,058,752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3040" w:type="dxa"/>
            <w:vAlign w:val="bottom"/>
            <w:gridSpan w:val="4"/>
          </w:tcPr>
          <w:p>
            <w:pPr>
              <w:ind w:left="106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11,559,509</w:t>
            </w:r>
          </w:p>
        </w:tc>
        <w:tc>
          <w:tcPr>
            <w:tcW w:w="260" w:type="dxa"/>
            <w:vAlign w:val="bottom"/>
          </w:tcPr>
          <w:p>
            <w:pPr>
              <w:spacing w:after="0"/>
              <w:rPr>
                <w:sz w:val="18"/>
                <w:szCs w:val="18"/>
                <w:color w:val="auto"/>
              </w:rPr>
            </w:pPr>
          </w:p>
        </w:tc>
        <w:tc>
          <w:tcPr>
            <w:tcW w:w="10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88"/>
              </w:rPr>
              <w:t>13,182,162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13,439,362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16.3%</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equity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1,848,784</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2,119,295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2,173,257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4"/>
        </w:trPr>
        <w:tc>
          <w:tcPr>
            <w:tcW w:w="3040" w:type="dxa"/>
            <w:vAlign w:val="bottom"/>
            <w:gridSpan w:val="4"/>
          </w:tcPr>
          <w:p>
            <w:pPr>
              <w:ind w:left="40"/>
              <w:spacing w:after="0" w:line="195" w:lineRule="exact"/>
              <w:rPr>
                <w:sz w:val="20"/>
                <w:szCs w:val="20"/>
                <w:color w:val="auto"/>
              </w:rPr>
            </w:pPr>
            <w:r>
              <w:rPr>
                <w:rFonts w:ascii="Arial" w:cs="Arial" w:eastAsia="Arial" w:hAnsi="Arial"/>
                <w:sz w:val="18"/>
                <w:szCs w:val="18"/>
                <w:b w:val="1"/>
                <w:bCs w:val="1"/>
                <w:color w:val="auto"/>
              </w:rPr>
              <w:t>TOTAL LIABILITIES AND NET</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43"/>
        </w:trPr>
        <w:tc>
          <w:tcPr>
            <w:tcW w:w="304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7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13,408,292</w:t>
            </w:r>
          </w:p>
        </w:tc>
        <w:tc>
          <w:tcPr>
            <w:tcW w:w="260" w:type="dxa"/>
            <w:vAlign w:val="bottom"/>
          </w:tcPr>
          <w:p>
            <w:pPr>
              <w:spacing w:after="0"/>
              <w:rPr>
                <w:sz w:val="21"/>
                <w:szCs w:val="21"/>
                <w:color w:val="auto"/>
              </w:rPr>
            </w:pPr>
          </w:p>
        </w:tc>
        <w:tc>
          <w:tcPr>
            <w:tcW w:w="10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88"/>
              </w:rPr>
              <w:t>15,301,458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15,612,618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16.4%</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9"/>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gridSpan w:val="9"/>
          </w:tcPr>
          <w:p>
            <w:pPr>
              <w:jc w:val="right"/>
              <w:ind w:right="960"/>
              <w:spacing w:after="0"/>
              <w:rPr>
                <w:sz w:val="20"/>
                <w:szCs w:val="20"/>
                <w:color w:val="auto"/>
              </w:rPr>
            </w:pPr>
            <w:r>
              <w:rPr>
                <w:rFonts w:ascii="Arial" w:cs="Arial" w:eastAsia="Arial" w:hAnsi="Arial"/>
                <w:sz w:val="18"/>
                <w:szCs w:val="18"/>
                <w:b w:val="1"/>
                <w:bCs w:val="1"/>
                <w:color w:val="auto"/>
                <w:w w:val="92"/>
              </w:rPr>
              <w:t>% change</w:t>
            </w:r>
          </w:p>
        </w:tc>
        <w:tc>
          <w:tcPr>
            <w:tcW w:w="760" w:type="dxa"/>
            <w:vAlign w:val="bottom"/>
          </w:tcPr>
          <w:p>
            <w:pPr>
              <w:spacing w:after="0"/>
              <w:rPr>
                <w:sz w:val="24"/>
                <w:szCs w:val="24"/>
                <w:color w:val="auto"/>
              </w:rPr>
            </w:pPr>
          </w:p>
        </w:tc>
        <w:tc>
          <w:tcPr>
            <w:tcW w:w="540" w:type="dxa"/>
            <w:vAlign w:val="bottom"/>
            <w:gridSpan w:val="4"/>
          </w:tcPr>
          <w:p>
            <w:pPr>
              <w:ind w:left="60"/>
              <w:spacing w:after="0"/>
              <w:rPr>
                <w:sz w:val="20"/>
                <w:szCs w:val="20"/>
                <w:color w:val="auto"/>
              </w:rPr>
            </w:pPr>
            <w:r>
              <w:rPr>
                <w:rFonts w:ascii="Arial" w:cs="Arial" w:eastAsia="Arial" w:hAnsi="Arial"/>
                <w:sz w:val="18"/>
                <w:szCs w:val="18"/>
                <w:b w:val="1"/>
                <w:bCs w:val="1"/>
                <w:color w:val="auto"/>
              </w:rPr>
              <w:t>YTD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 change</w:t>
            </w:r>
          </w:p>
        </w:tc>
      </w:tr>
      <w:tr>
        <w:trPr>
          <w:trHeight w:val="220"/>
        </w:trPr>
        <w:tc>
          <w:tcPr>
            <w:tcW w:w="19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9"/>
              </w:rPr>
              <w:t>2Q20</w:t>
            </w:r>
          </w:p>
        </w:tc>
        <w:tc>
          <w:tcPr>
            <w:tcW w:w="2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131"/>
              <w:spacing w:after="0"/>
              <w:rPr>
                <w:sz w:val="20"/>
                <w:szCs w:val="20"/>
                <w:color w:val="auto"/>
              </w:rPr>
            </w:pPr>
            <w:r>
              <w:rPr>
                <w:rFonts w:ascii="Arial" w:cs="Arial" w:eastAsia="Arial" w:hAnsi="Arial"/>
                <w:sz w:val="18"/>
                <w:szCs w:val="18"/>
                <w:b w:val="1"/>
                <w:bCs w:val="1"/>
                <w:color w:val="auto"/>
              </w:rPr>
              <w:t>1Q21</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131"/>
              <w:spacing w:after="0"/>
              <w:rPr>
                <w:sz w:val="20"/>
                <w:szCs w:val="20"/>
                <w:color w:val="auto"/>
              </w:rPr>
            </w:pPr>
            <w:r>
              <w:rPr>
                <w:rFonts w:ascii="Arial" w:cs="Arial" w:eastAsia="Arial" w:hAnsi="Arial"/>
                <w:sz w:val="18"/>
                <w:szCs w:val="18"/>
                <w:b w:val="1"/>
                <w:bCs w:val="1"/>
                <w:color w:val="auto"/>
              </w:rPr>
              <w:t>2Q21</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QoQ</w:t>
            </w:r>
          </w:p>
        </w:tc>
        <w:tc>
          <w:tcPr>
            <w:tcW w:w="2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YoY</w:t>
            </w:r>
          </w:p>
        </w:tc>
        <w:tc>
          <w:tcPr>
            <w:tcW w:w="340" w:type="dxa"/>
            <w:vAlign w:val="bottom"/>
            <w:tcBorders>
              <w:bottom w:val="single" w:sz="8" w:color="CCEEFF"/>
            </w:tcBorders>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rPr>
              <w:t>Jun 20</w:t>
            </w:r>
          </w:p>
        </w:tc>
        <w:tc>
          <w:tcPr>
            <w:tcW w:w="260" w:type="dxa"/>
            <w:vAlign w:val="bottom"/>
            <w:tcBorders>
              <w:top w:val="single" w:sz="8" w:color="auto"/>
              <w:bottom w:val="single" w:sz="8" w:color="CCEEFF"/>
            </w:tcBorders>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7"/>
              </w:rPr>
              <w:t>Jun 21</w:t>
            </w:r>
          </w:p>
        </w:tc>
        <w:tc>
          <w:tcPr>
            <w:tcW w:w="300" w:type="dxa"/>
            <w:vAlign w:val="bottom"/>
            <w:tcBorders>
              <w:bottom w:val="single" w:sz="8" w:color="CCEEFF"/>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Jun 21 / Jun 20</w:t>
            </w:r>
          </w:p>
        </w:tc>
        <w:tc>
          <w:tcPr>
            <w:tcW w:w="260" w:type="dxa"/>
            <w:vAlign w:val="bottom"/>
            <w:tcBorders>
              <w:bottom w:val="single" w:sz="8" w:color="CCEEFF"/>
            </w:tcBorders>
          </w:tcPr>
          <w:p>
            <w:pPr>
              <w:spacing w:after="0"/>
              <w:rPr>
                <w:sz w:val="19"/>
                <w:szCs w:val="19"/>
                <w:color w:val="auto"/>
              </w:rPr>
            </w:pPr>
          </w:p>
        </w:tc>
      </w:tr>
      <w:tr>
        <w:trPr>
          <w:trHeight w:val="206"/>
        </w:trPr>
        <w:tc>
          <w:tcPr>
            <w:tcW w:w="19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265,259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403,407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458,762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72.9%</w:t>
            </w: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750,338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862,169</w:t>
            </w: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14.9%</w:t>
            </w:r>
          </w:p>
        </w:tc>
      </w:tr>
      <w:tr>
        <w:trPr>
          <w:trHeight w:val="200"/>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Provision for loan losses,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4"/>
        </w:trPr>
        <w:tc>
          <w:tcPr>
            <w:tcW w:w="2120" w:type="dxa"/>
            <w:vAlign w:val="bottom"/>
            <w:gridSpan w:val="2"/>
          </w:tcPr>
          <w:p>
            <w:pPr>
              <w:spacing w:after="0"/>
              <w:rPr>
                <w:sz w:val="20"/>
                <w:szCs w:val="20"/>
                <w:color w:val="auto"/>
              </w:rPr>
            </w:pPr>
            <w:r>
              <w:rPr>
                <w:rFonts w:ascii="Arial" w:cs="Arial" w:eastAsia="Arial" w:hAnsi="Arial"/>
                <w:sz w:val="18"/>
                <w:szCs w:val="18"/>
                <w:color w:val="auto"/>
              </w:rPr>
              <w:t>net of recoveries</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-406,604</w:t>
            </w:r>
          </w:p>
        </w:tc>
        <w:tc>
          <w:tcPr>
            <w:tcW w:w="2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-138,718</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-124,451</w:t>
            </w:r>
          </w:p>
        </w:tc>
        <w:tc>
          <w:tcPr>
            <w:tcW w:w="200" w:type="dxa"/>
            <w:vAlign w:val="bottom"/>
          </w:tcPr>
          <w:p>
            <w:pPr>
              <w:spacing w:after="0"/>
              <w:rPr>
                <w:sz w:val="19"/>
                <w:szCs w:val="19"/>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8"/>
                <w:szCs w:val="18"/>
                <w:color w:val="auto"/>
              </w:rPr>
              <w:t>-69.4%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-586,443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-263,169</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195"/>
        </w:trPr>
        <w:tc>
          <w:tcPr>
            <w:tcW w:w="21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interest income</w:t>
            </w: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1"/>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after provisions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-141,345</w:t>
            </w: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264,689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334,311</w:t>
            </w:r>
          </w:p>
        </w:tc>
        <w:tc>
          <w:tcPr>
            <w:tcW w:w="200" w:type="dxa"/>
            <w:vAlign w:val="bottom"/>
            <w:shd w:val="clear" w:color="auto" w:fill="CCEEFF"/>
          </w:tcPr>
          <w:p>
            <w:pPr>
              <w:spacing w:after="0"/>
              <w:rPr>
                <w:sz w:val="20"/>
                <w:szCs w:val="20"/>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26.3%</w:t>
            </w:r>
          </w:p>
        </w:tc>
        <w:tc>
          <w:tcPr>
            <w:tcW w:w="4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-336.5%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163,894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599,000</w:t>
            </w:r>
          </w:p>
        </w:tc>
        <w:tc>
          <w:tcPr>
            <w:tcW w:w="180" w:type="dxa"/>
            <w:vAlign w:val="bottom"/>
            <w:tcBorders>
              <w:right w:val="single" w:sz="8" w:color="CCEEFF"/>
            </w:tcBorders>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265.5%</w:t>
            </w:r>
          </w:p>
        </w:tc>
      </w:tr>
      <w:tr>
        <w:trPr>
          <w:trHeight w:val="212"/>
        </w:trPr>
        <w:tc>
          <w:tcPr>
            <w:tcW w:w="212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1,970</w:t>
            </w: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28,339</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16,552</w:t>
            </w:r>
          </w:p>
        </w:tc>
        <w:tc>
          <w:tcPr>
            <w:tcW w:w="200" w:type="dxa"/>
            <w:vAlign w:val="bottom"/>
          </w:tcPr>
          <w:p>
            <w:pPr>
              <w:spacing w:after="0"/>
              <w:rPr>
                <w:sz w:val="18"/>
                <w:szCs w:val="18"/>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N/A</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42,808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44,891</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2"/>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-258,435</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-268,751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-271,465</w:t>
            </w:r>
          </w:p>
        </w:tc>
        <w:tc>
          <w:tcPr>
            <w:tcW w:w="2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-553,402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-540,215</w:t>
            </w:r>
          </w:p>
        </w:tc>
        <w:tc>
          <w:tcPr>
            <w:tcW w:w="18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2"/>
        </w:trPr>
        <w:tc>
          <w:tcPr>
            <w:tcW w:w="212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2"/>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-10,222</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-24,093</w:t>
            </w:r>
          </w:p>
        </w:tc>
        <w:tc>
          <w:tcPr>
            <w:tcW w:w="2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135.7%</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-120.1%</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-34,316</w:t>
            </w:r>
          </w:p>
        </w:tc>
        <w:tc>
          <w:tcPr>
            <w:tcW w:w="18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r>
      <w:tr>
        <w:trPr>
          <w:trHeight w:val="22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2"/>
              </w:rPr>
              <w:t>-277,703</w:t>
            </w:r>
          </w:p>
        </w:tc>
        <w:tc>
          <w:tcPr>
            <w:tcW w:w="2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14,055</w:t>
            </w:r>
          </w:p>
        </w:tc>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55,305</w:t>
            </w:r>
          </w:p>
        </w:tc>
        <w:tc>
          <w:tcPr>
            <w:tcW w:w="200" w:type="dxa"/>
            <w:vAlign w:val="bottom"/>
          </w:tcPr>
          <w:p>
            <w:pPr>
              <w:spacing w:after="0"/>
              <w:rPr>
                <w:sz w:val="19"/>
                <w:szCs w:val="19"/>
                <w:color w:val="auto"/>
              </w:rPr>
            </w:pPr>
          </w:p>
        </w:tc>
        <w:tc>
          <w:tcPr>
            <w:tcW w:w="10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293.5%</w:t>
            </w:r>
          </w:p>
        </w:tc>
        <w:tc>
          <w:tcPr>
            <w:tcW w:w="40" w:type="dxa"/>
            <w:vAlign w:val="bottom"/>
          </w:tcPr>
          <w:p>
            <w:pPr>
              <w:spacing w:after="0"/>
              <w:rPr>
                <w:sz w:val="19"/>
                <w:szCs w:val="19"/>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-119.9%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-243,608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69,360</w:t>
            </w:r>
          </w:p>
        </w:tc>
        <w:tc>
          <w:tcPr>
            <w:tcW w:w="1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-128.5%</w:t>
            </w: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Efficiency ratio</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-640bps</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-3810bps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400bps</w:t>
            </w: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ROAE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760bps</w:t>
            </w:r>
          </w:p>
        </w:tc>
        <w:tc>
          <w:tcPr>
            <w:tcW w:w="10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6620bps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3120bps</w:t>
            </w:r>
          </w:p>
        </w:tc>
      </w:tr>
      <w:tr>
        <w:trPr>
          <w:trHeight w:val="226"/>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ROAE incl. Goow dill</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720bps</w:t>
            </w:r>
          </w:p>
        </w:tc>
        <w:tc>
          <w:tcPr>
            <w:tcW w:w="1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6190bps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2920bps</w:t>
            </w: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L/D ratio</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155.2%</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200bps</w:t>
            </w:r>
          </w:p>
        </w:tc>
        <w:tc>
          <w:tcPr>
            <w:tcW w:w="10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2480bps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IOL ratio</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-20bps</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230bps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NPL ratio</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-40bps</w:t>
            </w:r>
          </w:p>
        </w:tc>
        <w:tc>
          <w:tcPr>
            <w:tcW w:w="10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180bps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Coverage of IOLs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156.9%</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-1350bps</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-6210bps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2"/>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Coverage of NPLs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147.1%</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-1020bps</w:t>
            </w:r>
          </w:p>
        </w:tc>
        <w:tc>
          <w:tcPr>
            <w:tcW w:w="10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-4340bps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2"/>
        </w:trPr>
        <w:tc>
          <w:tcPr>
            <w:tcW w:w="2120" w:type="dxa"/>
            <w:vAlign w:val="bottom"/>
            <w:gridSpan w:val="2"/>
            <w:shd w:val="clear" w:color="auto" w:fill="CCEEFF"/>
          </w:tcPr>
          <w:p>
            <w:pPr>
              <w:ind w:left="40"/>
              <w:spacing w:after="0" w:line="252"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25"/>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Employees</w:t>
            </w:r>
          </w:p>
        </w:tc>
        <w:tc>
          <w:tcPr>
            <w:tcW w:w="680" w:type="dxa"/>
            <w:vAlign w:val="bottom"/>
          </w:tcPr>
          <w:p>
            <w:pPr>
              <w:jc w:val="right"/>
              <w:spacing w:after="0"/>
              <w:rPr>
                <w:sz w:val="20"/>
                <w:szCs w:val="20"/>
                <w:color w:val="auto"/>
              </w:rPr>
            </w:pPr>
            <w:r>
              <w:rPr>
                <w:rFonts w:ascii="Arial" w:cs="Arial" w:eastAsia="Arial" w:hAnsi="Arial"/>
                <w:sz w:val="18"/>
                <w:szCs w:val="18"/>
                <w:color w:val="auto"/>
              </w:rPr>
              <w:t>11,388</w:t>
            </w:r>
          </w:p>
        </w:tc>
        <w:tc>
          <w:tcPr>
            <w:tcW w:w="2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10,483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10,057</w:t>
            </w:r>
          </w:p>
        </w:tc>
        <w:tc>
          <w:tcPr>
            <w:tcW w:w="200" w:type="dxa"/>
            <w:vAlign w:val="bottom"/>
          </w:tcPr>
          <w:p>
            <w:pPr>
              <w:spacing w:after="0"/>
              <w:rPr>
                <w:sz w:val="19"/>
                <w:szCs w:val="19"/>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-1,331</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June 20, March 21 and June 21 were 34.</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8"/>
          <w:szCs w:val="18"/>
          <w:b w:val="1"/>
          <w:bCs w:val="1"/>
          <w:color w:val="auto"/>
        </w:rPr>
        <w:t>Regulatory Capital and Capital Adequacy Ratios at Mibanco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Peru GAAP)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21</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21</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gridSpan w:val="2"/>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Capital Stock</w:t>
            </w:r>
          </w:p>
        </w:tc>
        <w:tc>
          <w:tcPr>
            <w:tcW w:w="1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1,714,369</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1,714,577</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1,714,577</w:t>
            </w:r>
          </w:p>
        </w:tc>
        <w:tc>
          <w:tcPr>
            <w:tcW w:w="2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8"/>
                <w:szCs w:val="18"/>
                <w:color w:val="auto"/>
              </w:rPr>
              <w:t>Legal and Other capital reserves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246,305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246,305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246,305</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Accumulated earnings with capitalization agreement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4,888</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46,524</w:t>
            </w:r>
          </w:p>
        </w:tc>
        <w:tc>
          <w:tcPr>
            <w:tcW w:w="12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2"/>
        </w:trPr>
        <w:tc>
          <w:tcPr>
            <w:tcW w:w="39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144,980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139,073</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138,555</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Perpetual subordinated debt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8"/>
                <w:szCs w:val="18"/>
                <w:color w:val="auto"/>
              </w:rPr>
              <w:t>Subordinated Debt</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130,000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285,000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185,000</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profit and net income</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20" w:type="dxa"/>
            <w:vAlign w:val="bottom"/>
          </w:tcPr>
          <w:p>
            <w:pPr>
              <w:ind w:left="280"/>
              <w:spacing w:after="0"/>
              <w:rPr>
                <w:sz w:val="20"/>
                <w:szCs w:val="20"/>
                <w:color w:val="auto"/>
              </w:rPr>
            </w:pPr>
            <w:r>
              <w:rPr>
                <w:rFonts w:ascii="Arial" w:cs="Arial" w:eastAsia="Arial" w:hAnsi="Arial"/>
                <w:sz w:val="18"/>
                <w:szCs w:val="18"/>
                <w:color w:val="auto"/>
              </w:rPr>
              <w:t>Investment in subsidiaries and others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profit and net income in subsidiaries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(139,180)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(139,180)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(139,180)</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6"/>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Regulatory Capital - SBS</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2,096,473</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2,250,663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2,191,781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2"/>
        </w:trPr>
        <w:tc>
          <w:tcPr>
            <w:tcW w:w="3920" w:type="dxa"/>
            <w:vAlign w:val="bottom"/>
          </w:tcPr>
          <w:p>
            <w:pPr>
              <w:ind w:left="40"/>
              <w:spacing w:after="0" w:line="232" w:lineRule="exact"/>
              <w:rPr>
                <w:sz w:val="20"/>
                <w:szCs w:val="20"/>
                <w:color w:val="auto"/>
              </w:rPr>
            </w:pPr>
            <w:r>
              <w:rPr>
                <w:rFonts w:ascii="Arial" w:cs="Arial" w:eastAsia="Arial" w:hAnsi="Arial"/>
                <w:sz w:val="16"/>
                <w:szCs w:val="16"/>
                <w:color w:val="auto"/>
              </w:rPr>
              <w:t xml:space="preserve">Regulatory Tier 1 Capital </w:t>
            </w:r>
            <w:r>
              <w:rPr>
                <w:rFonts w:ascii="Arial" w:cs="Arial" w:eastAsia="Arial" w:hAnsi="Arial"/>
                <w:sz w:val="26"/>
                <w:szCs w:val="26"/>
                <w:color w:val="auto"/>
                <w:vertAlign w:val="superscript"/>
              </w:rPr>
              <w:t>(2)</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1,818,754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1,823,859</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1,865,495</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6"/>
        </w:trPr>
        <w:tc>
          <w:tcPr>
            <w:tcW w:w="3920" w:type="dxa"/>
            <w:vAlign w:val="bottom"/>
            <w:shd w:val="clear" w:color="auto" w:fill="CCEEFF"/>
          </w:tcPr>
          <w:p>
            <w:pPr>
              <w:ind w:left="40"/>
              <w:spacing w:after="0" w:line="266" w:lineRule="exact"/>
              <w:rPr>
                <w:sz w:val="20"/>
                <w:szCs w:val="20"/>
                <w:color w:val="auto"/>
              </w:rPr>
            </w:pPr>
            <w:r>
              <w:rPr>
                <w:rFonts w:ascii="Arial" w:cs="Arial" w:eastAsia="Arial" w:hAnsi="Arial"/>
                <w:sz w:val="18"/>
                <w:szCs w:val="18"/>
                <w:color w:val="auto"/>
              </w:rPr>
              <w:t xml:space="preserve">Regulatory Tier 2 Capital </w:t>
            </w:r>
            <w:r>
              <w:rPr>
                <w:rFonts w:ascii="Arial" w:cs="Arial" w:eastAsia="Arial" w:hAnsi="Arial"/>
                <w:sz w:val="29"/>
                <w:szCs w:val="29"/>
                <w:color w:val="auto"/>
                <w:vertAlign w:val="superscript"/>
              </w:rPr>
              <w:t>(3)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277,719</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426,804</w:t>
            </w:r>
          </w:p>
        </w:tc>
        <w:tc>
          <w:tcPr>
            <w:tcW w:w="2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326,287</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line="266" w:lineRule="exact"/>
              <w:rPr>
                <w:sz w:val="20"/>
                <w:szCs w:val="20"/>
                <w:color w:val="auto"/>
              </w:rPr>
            </w:pPr>
            <w:r>
              <w:rPr>
                <w:rFonts w:ascii="Arial" w:cs="Arial" w:eastAsia="Arial" w:hAnsi="Arial"/>
                <w:sz w:val="18"/>
                <w:szCs w:val="18"/>
                <w:b w:val="1"/>
                <w:bCs w:val="1"/>
                <w:color w:val="auto"/>
              </w:rPr>
              <w:t xml:space="preserve">Total risk-weighted assets - SBS </w:t>
            </w:r>
            <w:r>
              <w:rPr>
                <w:rFonts w:ascii="Arial" w:cs="Arial" w:eastAsia="Arial" w:hAnsi="Arial"/>
                <w:sz w:val="29"/>
                <w:szCs w:val="29"/>
                <w:b w:val="1"/>
                <w:bCs w:val="1"/>
                <w:color w:val="auto"/>
                <w:vertAlign w:val="superscript"/>
              </w:rPr>
              <w:t>(4)</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920" w:type="dxa"/>
            <w:vAlign w:val="bottom"/>
            <w:vMerge w:val="continue"/>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13,154,838</w:t>
            </w:r>
          </w:p>
        </w:tc>
        <w:tc>
          <w:tcPr>
            <w:tcW w:w="2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12,595,303</w:t>
            </w:r>
          </w:p>
        </w:tc>
        <w:tc>
          <w:tcPr>
            <w:tcW w:w="260" w:type="dxa"/>
            <w:vAlign w:val="bottom"/>
          </w:tcPr>
          <w:p>
            <w:pPr>
              <w:spacing w:after="0"/>
              <w:rPr>
                <w:sz w:val="21"/>
                <w:szCs w:val="21"/>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12,728,511</w:t>
            </w:r>
          </w:p>
        </w:tc>
        <w:tc>
          <w:tcPr>
            <w:tcW w:w="150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Credit risk-weighted assets</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11,052,499</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10,530,894</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10,662,694</w:t>
            </w:r>
          </w:p>
        </w:tc>
        <w:tc>
          <w:tcPr>
            <w:tcW w:w="260" w:type="dxa"/>
            <w:vAlign w:val="bottom"/>
            <w:vMerge w:val="continue"/>
            <w:shd w:val="clear" w:color="auto" w:fill="CCEEFF"/>
          </w:tcPr>
          <w:p>
            <w:pPr>
              <w:spacing w:after="0"/>
              <w:rPr>
                <w:sz w:val="17"/>
                <w:szCs w:val="17"/>
                <w:color w:val="auto"/>
              </w:rPr>
            </w:pPr>
          </w:p>
        </w:tc>
        <w:tc>
          <w:tcPr>
            <w:tcW w:w="1500" w:type="dxa"/>
            <w:vAlign w:val="bottom"/>
            <w:gridSpan w:val="3"/>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2"/>
        </w:trPr>
        <w:tc>
          <w:tcPr>
            <w:tcW w:w="39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160,484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184,495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195,522</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Operational risk-weighted assets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1,941,855</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1,879,913</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1,870,294</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6"/>
        </w:trPr>
        <w:tc>
          <w:tcPr>
            <w:tcW w:w="3920" w:type="dxa"/>
            <w:vAlign w:val="bottom"/>
            <w:tcBorders>
              <w:bottom w:val="single" w:sz="8" w:color="CCEEFF"/>
            </w:tcBorders>
          </w:tcPr>
          <w:p>
            <w:pPr>
              <w:ind w:left="40"/>
              <w:spacing w:after="0" w:line="206" w:lineRule="exact"/>
              <w:rPr>
                <w:sz w:val="20"/>
                <w:szCs w:val="20"/>
                <w:color w:val="auto"/>
              </w:rPr>
            </w:pPr>
            <w:r>
              <w:rPr>
                <w:rFonts w:ascii="Arial" w:cs="Arial" w:eastAsia="Arial" w:hAnsi="Arial"/>
                <w:sz w:val="18"/>
                <w:szCs w:val="18"/>
                <w:b w:val="1"/>
                <w:bCs w:val="1"/>
                <w:color w:val="auto"/>
              </w:rPr>
              <w:t>Total capital requirement</w:t>
            </w:r>
          </w:p>
        </w:tc>
        <w:tc>
          <w:tcPr>
            <w:tcW w:w="120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8"/>
                <w:szCs w:val="18"/>
                <w:b w:val="1"/>
                <w:bCs w:val="1"/>
                <w:color w:val="auto"/>
              </w:rPr>
              <w:t>1,462,850</w:t>
            </w:r>
          </w:p>
        </w:tc>
        <w:tc>
          <w:tcPr>
            <w:tcW w:w="2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8"/>
                <w:szCs w:val="18"/>
                <w:b w:val="1"/>
                <w:bCs w:val="1"/>
                <w:color w:val="auto"/>
              </w:rPr>
              <w:t>1,399,942</w:t>
            </w:r>
          </w:p>
        </w:tc>
        <w:tc>
          <w:tcPr>
            <w:tcW w:w="2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8"/>
                <w:szCs w:val="18"/>
                <w:b w:val="1"/>
                <w:bCs w:val="1"/>
                <w:color w:val="auto"/>
              </w:rPr>
              <w:t>1,386,586</w:t>
            </w:r>
          </w:p>
        </w:tc>
        <w:tc>
          <w:tcPr>
            <w:tcW w:w="2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tcPr>
          <w:p>
            <w:pPr>
              <w:jc w:val="right"/>
              <w:ind w:right="11"/>
              <w:spacing w:after="0" w:line="206"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-5.2</w:t>
            </w:r>
          </w:p>
        </w:tc>
        <w:tc>
          <w:tcPr>
            <w:tcW w:w="180" w:type="dxa"/>
            <w:vAlign w:val="bottom"/>
            <w:tcBorders>
              <w:bottom w:val="single" w:sz="8" w:color="CCEEFF"/>
            </w:tcBorders>
          </w:tcPr>
          <w:p>
            <w:pPr>
              <w:jc w:val="right"/>
              <w:spacing w:after="0" w:line="206"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Credit risk capital requirement</w:t>
            </w:r>
          </w:p>
        </w:tc>
        <w:tc>
          <w:tcPr>
            <w:tcW w:w="1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1,105,250</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1,053,089</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1,066,269</w:t>
            </w:r>
          </w:p>
        </w:tc>
        <w:tc>
          <w:tcPr>
            <w:tcW w:w="2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8"/>
                <w:szCs w:val="18"/>
                <w:color w:val="auto"/>
              </w:rPr>
              <w:t>Market risk-weighted assets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16,048</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18,450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19,552</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Operational risk capital requirement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194,185</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187,991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187,029</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3920" w:type="dxa"/>
            <w:vAlign w:val="bottom"/>
          </w:tcPr>
          <w:p>
            <w:pPr>
              <w:ind w:left="40"/>
              <w:spacing w:after="0"/>
              <w:rPr>
                <w:sz w:val="20"/>
                <w:szCs w:val="20"/>
                <w:color w:val="auto"/>
              </w:rPr>
            </w:pPr>
            <w:r>
              <w:rPr>
                <w:rFonts w:ascii="Arial" w:cs="Arial" w:eastAsia="Arial" w:hAnsi="Arial"/>
                <w:sz w:val="18"/>
                <w:szCs w:val="18"/>
                <w:color w:val="auto"/>
              </w:rPr>
              <w:t>Additional capital requirements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147,366</w:t>
            </w:r>
          </w:p>
        </w:tc>
        <w:tc>
          <w:tcPr>
            <w:tcW w:w="2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140,412</w:t>
            </w:r>
          </w:p>
        </w:tc>
        <w:tc>
          <w:tcPr>
            <w:tcW w:w="260" w:type="dxa"/>
            <w:vAlign w:val="bottom"/>
          </w:tcPr>
          <w:p>
            <w:pPr>
              <w:spacing w:after="0"/>
              <w:rPr>
                <w:sz w:val="19"/>
                <w:szCs w:val="19"/>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113,735</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ind w:left="40"/>
              <w:spacing w:after="0" w:line="266" w:lineRule="exact"/>
              <w:rPr>
                <w:sz w:val="20"/>
                <w:szCs w:val="20"/>
                <w:color w:val="auto"/>
              </w:rPr>
            </w:pPr>
            <w:r>
              <w:rPr>
                <w:rFonts w:ascii="Arial" w:cs="Arial" w:eastAsia="Arial" w:hAnsi="Arial"/>
                <w:sz w:val="18"/>
                <w:szCs w:val="18"/>
                <w:b w:val="1"/>
                <w:bCs w:val="1"/>
                <w:color w:val="auto"/>
              </w:rPr>
              <w:t xml:space="preserve">Common Equity Tier 1 - Basel </w:t>
            </w:r>
            <w:r>
              <w:rPr>
                <w:rFonts w:ascii="Arial" w:cs="Arial" w:eastAsia="Arial" w:hAnsi="Arial"/>
                <w:sz w:val="29"/>
                <w:szCs w:val="29"/>
                <w:b w:val="1"/>
                <w:bCs w:val="1"/>
                <w:color w:val="auto"/>
                <w:vertAlign w:val="superscript"/>
              </w:rPr>
              <w:t>(6)</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920" w:type="dxa"/>
            <w:vAlign w:val="bottom"/>
            <w:vMerge w:val="continue"/>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1,819,014</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1,718,640</w:t>
            </w:r>
          </w:p>
        </w:tc>
        <w:tc>
          <w:tcPr>
            <w:tcW w:w="2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1,797,589</w:t>
            </w:r>
          </w:p>
        </w:tc>
        <w:tc>
          <w:tcPr>
            <w:tcW w:w="150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Arial" w:cs="Arial" w:eastAsia="Arial" w:hAnsi="Arial"/>
                <w:sz w:val="18"/>
                <w:szCs w:val="18"/>
                <w:color w:val="auto"/>
              </w:rPr>
              <w:t>Capital and reserves</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vMerge w:val="continue"/>
          </w:tcPr>
          <w:p>
            <w:pPr>
              <w:spacing w:after="0"/>
              <w:rPr>
                <w:sz w:val="17"/>
                <w:szCs w:val="17"/>
                <w:color w:val="auto"/>
              </w:rPr>
            </w:pPr>
          </w:p>
        </w:tc>
        <w:tc>
          <w:tcPr>
            <w:tcW w:w="12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1,960,674</w:t>
            </w:r>
          </w:p>
        </w:tc>
        <w:tc>
          <w:tcPr>
            <w:tcW w:w="260" w:type="dxa"/>
            <w:vAlign w:val="bottom"/>
            <w:vMerge w:val="continue"/>
          </w:tcPr>
          <w:p>
            <w:pPr>
              <w:spacing w:after="0"/>
              <w:rPr>
                <w:sz w:val="17"/>
                <w:szCs w:val="17"/>
                <w:color w:val="auto"/>
              </w:rPr>
            </w:pPr>
          </w:p>
        </w:tc>
        <w:tc>
          <w:tcPr>
            <w:tcW w:w="12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1,960,882</w:t>
            </w:r>
          </w:p>
        </w:tc>
        <w:tc>
          <w:tcPr>
            <w:tcW w:w="260" w:type="dxa"/>
            <w:vAlign w:val="bottom"/>
            <w:vMerge w:val="continue"/>
          </w:tcPr>
          <w:p>
            <w:pPr>
              <w:spacing w:after="0"/>
              <w:rPr>
                <w:sz w:val="17"/>
                <w:szCs w:val="17"/>
                <w:color w:val="auto"/>
              </w:rPr>
            </w:pPr>
          </w:p>
        </w:tc>
        <w:tc>
          <w:tcPr>
            <w:tcW w:w="12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1,960,882</w:t>
            </w:r>
          </w:p>
        </w:tc>
        <w:tc>
          <w:tcPr>
            <w:tcW w:w="260" w:type="dxa"/>
            <w:vAlign w:val="bottom"/>
            <w:vMerge w:val="continue"/>
          </w:tcPr>
          <w:p>
            <w:pPr>
              <w:spacing w:after="0"/>
              <w:rPr>
                <w:sz w:val="17"/>
                <w:szCs w:val="17"/>
                <w:color w:val="auto"/>
              </w:rPr>
            </w:pPr>
          </w:p>
        </w:tc>
        <w:tc>
          <w:tcPr>
            <w:tcW w:w="1500" w:type="dxa"/>
            <w:vAlign w:val="bottom"/>
            <w:gridSpan w:val="3"/>
          </w:tcPr>
          <w:p>
            <w:pPr>
              <w:jc w:val="right"/>
              <w:ind w:right="51"/>
              <w:spacing w:after="0" w:line="206" w:lineRule="exact"/>
              <w:rPr>
                <w:sz w:val="20"/>
                <w:szCs w:val="20"/>
                <w:color w:val="auto"/>
              </w:rPr>
            </w:pPr>
            <w:r>
              <w:rPr>
                <w:rFonts w:ascii="Arial" w:cs="Arial" w:eastAsia="Arial" w:hAnsi="Arial"/>
                <w:sz w:val="18"/>
                <w:szCs w:val="18"/>
                <w:color w:val="auto"/>
              </w:rPr>
              <w:t>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70,284</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88,907</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140,952</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8"/>
                <w:szCs w:val="18"/>
                <w:color w:val="auto"/>
              </w:rPr>
              <w:t>Unrealized gains (losses)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11,181</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2,904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1,563</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intangibles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(222,904)</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(242,350)</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(243,629)</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8"/>
                <w:szCs w:val="18"/>
                <w:color w:val="auto"/>
              </w:rPr>
              <w:t>Excess DT of 10% CET1 Basilea</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(91,468)</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(61,928)</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line="266" w:lineRule="exact"/>
              <w:rPr>
                <w:sz w:val="20"/>
                <w:szCs w:val="20"/>
                <w:color w:val="auto"/>
              </w:rPr>
            </w:pPr>
            <w:r>
              <w:rPr>
                <w:rFonts w:ascii="Arial" w:cs="Arial" w:eastAsia="Arial" w:hAnsi="Arial"/>
                <w:sz w:val="18"/>
                <w:szCs w:val="18"/>
                <w:b w:val="1"/>
                <w:bCs w:val="1"/>
                <w:color w:val="auto"/>
              </w:rPr>
              <w:t xml:space="preserve">Adjusted Risk-Weighted Assets - Basel </w:t>
            </w:r>
            <w:r>
              <w:rPr>
                <w:rFonts w:ascii="Arial" w:cs="Arial" w:eastAsia="Arial" w:hAnsi="Arial"/>
                <w:sz w:val="29"/>
                <w:szCs w:val="29"/>
                <w:b w:val="1"/>
                <w:bCs w:val="1"/>
                <w:color w:val="auto"/>
                <w:vertAlign w:val="superscript"/>
              </w:rPr>
              <w:t>(7)</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920" w:type="dxa"/>
            <w:vAlign w:val="bottom"/>
            <w:vMerge w:val="continue"/>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12,512,838</w:t>
            </w:r>
          </w:p>
        </w:tc>
        <w:tc>
          <w:tcPr>
            <w:tcW w:w="2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11,546,385</w:t>
            </w:r>
          </w:p>
        </w:tc>
        <w:tc>
          <w:tcPr>
            <w:tcW w:w="260" w:type="dxa"/>
            <w:vAlign w:val="bottom"/>
          </w:tcPr>
          <w:p>
            <w:pPr>
              <w:spacing w:after="0"/>
              <w:rPr>
                <w:sz w:val="21"/>
                <w:szCs w:val="21"/>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11,783,071</w:t>
            </w:r>
          </w:p>
        </w:tc>
        <w:tc>
          <w:tcPr>
            <w:tcW w:w="150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Total risk-weighted assets</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13,154,838</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12,595,303</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12,728,511</w:t>
            </w:r>
          </w:p>
        </w:tc>
        <w:tc>
          <w:tcPr>
            <w:tcW w:w="260" w:type="dxa"/>
            <w:vAlign w:val="bottom"/>
            <w:vMerge w:val="continue"/>
            <w:shd w:val="clear" w:color="auto" w:fill="CCEEFF"/>
          </w:tcPr>
          <w:p>
            <w:pPr>
              <w:spacing w:after="0"/>
              <w:rPr>
                <w:sz w:val="17"/>
                <w:szCs w:val="17"/>
                <w:color w:val="auto"/>
              </w:rPr>
            </w:pPr>
          </w:p>
        </w:tc>
        <w:tc>
          <w:tcPr>
            <w:tcW w:w="1500" w:type="dxa"/>
            <w:vAlign w:val="bottom"/>
            <w:gridSpan w:val="3"/>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3920" w:type="dxa"/>
            <w:vAlign w:val="bottom"/>
          </w:tcPr>
          <w:p>
            <w:pPr>
              <w:ind w:left="120"/>
              <w:spacing w:after="0"/>
              <w:rPr>
                <w:sz w:val="20"/>
                <w:szCs w:val="20"/>
                <w:color w:val="auto"/>
              </w:rPr>
            </w:pPr>
            <w:r>
              <w:rPr>
                <w:rFonts w:ascii="Arial" w:cs="Arial" w:eastAsia="Arial" w:hAnsi="Arial"/>
                <w:sz w:val="18"/>
                <w:szCs w:val="18"/>
                <w:color w:val="auto"/>
              </w:rPr>
              <w:t>(-) RWA Intangible assets, excluding goodwill.</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642,000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840,797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836,447</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 RWA Deferred tax assets generated as a result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of temporary differences in income tax, in excess of</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 of CET1</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226,264</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232,440</w:t>
            </w:r>
          </w:p>
        </w:tc>
        <w:tc>
          <w:tcPr>
            <w:tcW w:w="150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920" w:type="dxa"/>
            <w:vAlign w:val="bottom"/>
          </w:tcPr>
          <w:p>
            <w:pPr>
              <w:ind w:left="120"/>
              <w:spacing w:after="0"/>
              <w:rPr>
                <w:sz w:val="20"/>
                <w:szCs w:val="20"/>
                <w:color w:val="auto"/>
              </w:rPr>
            </w:pPr>
            <w:r>
              <w:rPr>
                <w:rFonts w:ascii="Arial" w:cs="Arial" w:eastAsia="Arial" w:hAnsi="Arial"/>
                <w:sz w:val="18"/>
                <w:szCs w:val="18"/>
                <w:color w:val="auto"/>
              </w:rPr>
              <w:t>(-) RWA assets that exceed 10% of CET1 SBS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426,732</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352,031</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 RWA difference between excees SBS and Basel</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(10,598)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methodology</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7,652</w:t>
            </w:r>
          </w:p>
        </w:tc>
        <w:tc>
          <w:tcPr>
            <w:tcW w:w="14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92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Regulatory Tier 1 ratio </w:t>
            </w:r>
            <w:r>
              <w:rPr>
                <w:rFonts w:ascii="Arial" w:cs="Arial" w:eastAsia="Arial" w:hAnsi="Arial"/>
                <w:sz w:val="29"/>
                <w:szCs w:val="29"/>
                <w:color w:val="auto"/>
                <w:vertAlign w:val="superscript"/>
              </w:rPr>
              <w:t>(8)</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21"/>
                <w:szCs w:val="21"/>
                <w:color w:val="auto"/>
              </w:rPr>
            </w:pPr>
          </w:p>
        </w:tc>
        <w:tc>
          <w:tcPr>
            <w:tcW w:w="17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18 bps</w:t>
            </w: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83 bps</w:t>
            </w:r>
          </w:p>
        </w:tc>
        <w:tc>
          <w:tcPr>
            <w:tcW w:w="0" w:type="dxa"/>
            <w:vAlign w:val="bottom"/>
          </w:tcPr>
          <w:p>
            <w:pPr>
              <w:spacing w:after="0"/>
              <w:rPr>
                <w:sz w:val="1"/>
                <w:szCs w:val="1"/>
                <w:color w:val="auto"/>
              </w:rPr>
            </w:pPr>
          </w:p>
        </w:tc>
      </w:tr>
      <w:tr>
        <w:trPr>
          <w:trHeight w:val="252"/>
        </w:trPr>
        <w:tc>
          <w:tcPr>
            <w:tcW w:w="3920" w:type="dxa"/>
            <w:vAlign w:val="bottom"/>
          </w:tcPr>
          <w:p>
            <w:pPr>
              <w:spacing w:after="0" w:line="252"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14.54%</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14.88%</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8"/>
                <w:szCs w:val="18"/>
                <w:color w:val="auto"/>
              </w:rPr>
              <w:t>38 bps</w:t>
            </w:r>
          </w:p>
        </w:tc>
        <w:tc>
          <w:tcPr>
            <w:tcW w:w="1060" w:type="dxa"/>
            <w:vAlign w:val="bottom"/>
            <w:gridSpan w:val="2"/>
          </w:tcPr>
          <w:p>
            <w:pPr>
              <w:jc w:val="right"/>
              <w:ind w:right="91"/>
              <w:spacing w:after="0"/>
              <w:rPr>
                <w:sz w:val="20"/>
                <w:szCs w:val="20"/>
                <w:color w:val="auto"/>
              </w:rPr>
            </w:pPr>
            <w:r>
              <w:rPr>
                <w:rFonts w:ascii="Arial" w:cs="Arial" w:eastAsia="Arial" w:hAnsi="Arial"/>
                <w:sz w:val="18"/>
                <w:szCs w:val="18"/>
                <w:color w:val="auto"/>
              </w:rPr>
              <w:t>72 bps</w:t>
            </w:r>
          </w:p>
        </w:tc>
        <w:tc>
          <w:tcPr>
            <w:tcW w:w="0" w:type="dxa"/>
            <w:vAlign w:val="bottom"/>
          </w:tcPr>
          <w:p>
            <w:pPr>
              <w:spacing w:after="0"/>
              <w:rPr>
                <w:sz w:val="1"/>
                <w:szCs w:val="1"/>
                <w:color w:val="auto"/>
              </w:rPr>
            </w:pPr>
          </w:p>
        </w:tc>
      </w:tr>
      <w:tr>
        <w:trPr>
          <w:trHeight w:val="252"/>
        </w:trPr>
        <w:tc>
          <w:tcPr>
            <w:tcW w:w="392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21"/>
                <w:szCs w:val="21"/>
                <w:color w:val="auto"/>
              </w:rPr>
            </w:pPr>
          </w:p>
        </w:tc>
        <w:tc>
          <w:tcPr>
            <w:tcW w:w="17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-65 bps</w:t>
            </w:r>
          </w:p>
        </w:tc>
        <w:tc>
          <w:tcPr>
            <w:tcW w:w="10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128 bps</w:t>
            </w:r>
          </w:p>
        </w:tc>
        <w:tc>
          <w:tcPr>
            <w:tcW w:w="0" w:type="dxa"/>
            <w:vAlign w:val="bottom"/>
          </w:tcPr>
          <w:p>
            <w:pPr>
              <w:spacing w:after="0"/>
              <w:rPr>
                <w:sz w:val="1"/>
                <w:szCs w:val="1"/>
                <w:color w:val="auto"/>
              </w:rPr>
            </w:pPr>
          </w:p>
        </w:tc>
      </w:tr>
      <w:tr>
        <w:trPr>
          <w:trHeight w:val="225"/>
        </w:trPr>
        <w:tc>
          <w:tcPr>
            <w:tcW w:w="3920" w:type="dxa"/>
            <w:vAlign w:val="bottom"/>
          </w:tcPr>
          <w:p>
            <w:pPr>
              <w:spacing w:after="0"/>
              <w:rPr>
                <w:sz w:val="20"/>
                <w:szCs w:val="20"/>
                <w:color w:val="auto"/>
              </w:rPr>
            </w:pPr>
            <w:r>
              <w:rPr>
                <w:rFonts w:ascii="Arial" w:cs="Arial" w:eastAsia="Arial" w:hAnsi="Arial"/>
                <w:sz w:val="18"/>
                <w:szCs w:val="18"/>
                <w:color w:val="auto"/>
              </w:rPr>
              <w:t>Risk-weighted assets / Regulatory capital</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6.27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5.60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5.81</w:t>
            </w:r>
          </w:p>
        </w:tc>
        <w:tc>
          <w:tcPr>
            <w:tcW w:w="1500" w:type="dxa"/>
            <w:vAlign w:val="bottom"/>
            <w:gridSpan w:val="3"/>
          </w:tcPr>
          <w:p>
            <w:pPr>
              <w:jc w:val="right"/>
              <w:ind w:right="5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hanging="254"/>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6" w:lineRule="exact"/>
        <w:rPr>
          <w:rFonts w:ascii="Arial" w:cs="Arial" w:eastAsia="Arial" w:hAnsi="Arial"/>
          <w:sz w:val="18"/>
          <w:szCs w:val="18"/>
          <w:color w:val="auto"/>
        </w:rPr>
      </w:pPr>
    </w:p>
    <w:p>
      <w:pPr>
        <w:jc w:val="both"/>
        <w:ind w:right="20" w:firstLine="6"/>
        <w:spacing w:after="0" w:line="295" w:lineRule="auto"/>
        <w:tabs>
          <w:tab w:leader="none" w:pos="26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5"/>
          <w:szCs w:val="15"/>
          <w:color w:val="auto"/>
        </w:rPr>
      </w:pPr>
    </w:p>
    <w:p>
      <w:pPr>
        <w:ind w:firstLine="6"/>
        <w:spacing w:after="0" w:line="246" w:lineRule="auto"/>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6"/>
        <w:spacing w:after="0" w:line="246" w:lineRule="auto"/>
        <w:tabs>
          <w:tab w:leader="none" w:pos="2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4"/>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5" w:lineRule="exact"/>
        <w:rPr>
          <w:rFonts w:ascii="Arial" w:cs="Arial" w:eastAsia="Arial" w:hAnsi="Arial"/>
          <w:sz w:val="18"/>
          <w:szCs w:val="18"/>
          <w:color w:val="auto"/>
        </w:rPr>
      </w:pPr>
    </w:p>
    <w:p>
      <w:pPr>
        <w:ind w:firstLine="6"/>
        <w:spacing w:after="0" w:line="246" w:lineRule="auto"/>
        <w:tabs>
          <w:tab w:leader="none" w:pos="2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6"/>
        <w:spacing w:after="0" w:line="260" w:lineRule="auto"/>
        <w:tabs>
          <w:tab w:leader="none" w:pos="24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7"/>
          <w:szCs w:val="17"/>
          <w:color w:val="auto"/>
        </w:rPr>
      </w:pPr>
    </w:p>
    <w:p>
      <w:pPr>
        <w:ind w:left="260" w:hanging="254"/>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 Risk-Weighted Assets</w:t>
      </w:r>
    </w:p>
    <w:p>
      <w:pPr>
        <w:spacing w:after="0" w:line="5" w:lineRule="exact"/>
        <w:rPr>
          <w:rFonts w:ascii="Arial" w:cs="Arial" w:eastAsia="Arial" w:hAnsi="Arial"/>
          <w:sz w:val="18"/>
          <w:szCs w:val="18"/>
          <w:color w:val="auto"/>
        </w:rPr>
      </w:pPr>
    </w:p>
    <w:p>
      <w:pPr>
        <w:ind w:left="340" w:hanging="33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56"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12.8. Investment Banking &amp; Wealth Management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8"/>
        </w:trPr>
        <w:tc>
          <w:tcPr>
            <w:tcW w:w="3320" w:type="dxa"/>
            <w:vAlign w:val="bottom"/>
          </w:tcPr>
          <w:p>
            <w:pPr>
              <w:spacing w:after="0"/>
              <w:rPr>
                <w:sz w:val="24"/>
                <w:szCs w:val="24"/>
                <w:color w:val="auto"/>
              </w:rPr>
            </w:pPr>
          </w:p>
        </w:tc>
        <w:tc>
          <w:tcPr>
            <w:tcW w:w="398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0"/>
              </w:rPr>
              <w:t>Investment Banking &amp; Wealth Management</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(S/ thousands, IFRS)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ind w:left="520"/>
              <w:spacing w:after="0"/>
              <w:rPr>
                <w:sz w:val="20"/>
                <w:szCs w:val="20"/>
                <w:color w:val="auto"/>
              </w:rPr>
            </w:pPr>
            <w:r>
              <w:rPr>
                <w:rFonts w:ascii="Arial" w:cs="Arial" w:eastAsia="Arial" w:hAnsi="Arial"/>
                <w:sz w:val="18"/>
                <w:szCs w:val="18"/>
                <w:b w:val="1"/>
                <w:bCs w:val="1"/>
                <w:color w:val="auto"/>
              </w:rPr>
              <w:t>% change</w:t>
            </w:r>
          </w:p>
        </w:tc>
        <w:tc>
          <w:tcPr>
            <w:tcW w:w="1020" w:type="dxa"/>
            <w:vAlign w:val="bottom"/>
            <w:gridSpan w:val="3"/>
          </w:tcPr>
          <w:p>
            <w:pPr>
              <w:ind w:left="640"/>
              <w:spacing w:after="0"/>
              <w:rPr>
                <w:sz w:val="20"/>
                <w:szCs w:val="20"/>
                <w:color w:val="auto"/>
              </w:rPr>
            </w:pPr>
            <w:r>
              <w:rPr>
                <w:rFonts w:ascii="Arial" w:cs="Arial" w:eastAsia="Arial" w:hAnsi="Arial"/>
                <w:sz w:val="18"/>
                <w:szCs w:val="18"/>
                <w:b w:val="1"/>
                <w:bCs w:val="1"/>
                <w:color w:val="auto"/>
                <w:w w:val="99"/>
              </w:rPr>
              <w:t>YTD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20"/>
        </w:trPr>
        <w:tc>
          <w:tcPr>
            <w:tcW w:w="33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2Q20</w:t>
            </w:r>
          </w:p>
        </w:tc>
        <w:tc>
          <w:tcPr>
            <w:tcW w:w="1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1Q21</w:t>
            </w:r>
          </w:p>
        </w:tc>
        <w:tc>
          <w:tcPr>
            <w:tcW w:w="1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2Q21</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1"/>
              </w:rPr>
              <w:t>YoY</w:t>
            </w:r>
          </w:p>
        </w:tc>
        <w:tc>
          <w:tcPr>
            <w:tcW w:w="28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Jun 20</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4"/>
              </w:rPr>
              <w:t>Jun 21</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 21 / Jun 20</w:t>
            </w:r>
          </w:p>
        </w:tc>
        <w:tc>
          <w:tcPr>
            <w:tcW w:w="180" w:type="dxa"/>
            <w:vAlign w:val="bottom"/>
            <w:tcBorders>
              <w:bottom w:val="single" w:sz="8" w:color="CCEEFF"/>
            </w:tcBorders>
          </w:tcPr>
          <w:p>
            <w:pPr>
              <w:spacing w:after="0"/>
              <w:rPr>
                <w:sz w:val="19"/>
                <w:szCs w:val="19"/>
                <w:color w:val="auto"/>
              </w:rPr>
            </w:pPr>
          </w:p>
        </w:tc>
      </w:tr>
      <w:tr>
        <w:trPr>
          <w:trHeight w:val="206"/>
        </w:trPr>
        <w:tc>
          <w:tcPr>
            <w:tcW w:w="3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interest income</w:t>
            </w:r>
          </w:p>
        </w:tc>
        <w:tc>
          <w:tcPr>
            <w:tcW w:w="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17,534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23,087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23,055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31,269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46,142</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47.6%</w:t>
            </w: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Non-financial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282,425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178,065</w:t>
            </w:r>
          </w:p>
        </w:tc>
        <w:tc>
          <w:tcPr>
            <w:tcW w:w="780" w:type="dxa"/>
            <w:vAlign w:val="bottom"/>
          </w:tcPr>
          <w:p>
            <w:pPr>
              <w:jc w:val="right"/>
              <w:spacing w:after="0"/>
              <w:rPr>
                <w:sz w:val="20"/>
                <w:szCs w:val="20"/>
                <w:color w:val="auto"/>
              </w:rPr>
            </w:pPr>
            <w:r>
              <w:rPr>
                <w:rFonts w:ascii="Arial" w:cs="Arial" w:eastAsia="Arial" w:hAnsi="Arial"/>
                <w:sz w:val="18"/>
                <w:szCs w:val="18"/>
                <w:color w:val="auto"/>
              </w:rPr>
              <w:t>213,732</w:t>
            </w:r>
          </w:p>
        </w:tc>
        <w:tc>
          <w:tcPr>
            <w:tcW w:w="100" w:type="dxa"/>
            <w:vAlign w:val="bottom"/>
          </w:tcPr>
          <w:p>
            <w:pPr>
              <w:spacing w:after="0"/>
              <w:rPr>
                <w:sz w:val="18"/>
                <w:szCs w:val="18"/>
                <w:color w:val="auto"/>
              </w:rPr>
            </w:pP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8"/>
                <w:szCs w:val="18"/>
                <w:color w:val="auto"/>
              </w:rPr>
              <w:t>-24.3%</w:t>
            </w:r>
          </w:p>
        </w:tc>
        <w:tc>
          <w:tcPr>
            <w:tcW w:w="780" w:type="dxa"/>
            <w:vAlign w:val="bottom"/>
          </w:tcPr>
          <w:p>
            <w:pPr>
              <w:jc w:val="right"/>
              <w:spacing w:after="0"/>
              <w:rPr>
                <w:sz w:val="20"/>
                <w:szCs w:val="20"/>
                <w:color w:val="auto"/>
              </w:rPr>
            </w:pPr>
            <w:r>
              <w:rPr>
                <w:rFonts w:ascii="Arial" w:cs="Arial" w:eastAsia="Arial" w:hAnsi="Arial"/>
                <w:sz w:val="18"/>
                <w:szCs w:val="18"/>
                <w:color w:val="auto"/>
              </w:rPr>
              <w:t>415,743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391,797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2"/>
        </w:trPr>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316,531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12"/>
        </w:trPr>
        <w:tc>
          <w:tcPr>
            <w:tcW w:w="3320" w:type="dxa"/>
            <w:vAlign w:val="bottom"/>
          </w:tcPr>
          <w:p>
            <w:pPr>
              <w:ind w:left="160"/>
              <w:spacing w:after="0"/>
              <w:rPr>
                <w:sz w:val="20"/>
                <w:szCs w:val="20"/>
                <w:color w:val="auto"/>
              </w:rPr>
            </w:pPr>
            <w:r>
              <w:rPr>
                <w:rFonts w:ascii="Arial" w:cs="Arial" w:eastAsia="Arial" w:hAnsi="Arial"/>
                <w:sz w:val="18"/>
                <w:szCs w:val="18"/>
                <w:color w:val="auto"/>
                <w:w w:val="93"/>
              </w:rPr>
              <w:t>Net gain on foreign exchange transactions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8,209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12,288</w:t>
            </w:r>
          </w:p>
        </w:tc>
        <w:tc>
          <w:tcPr>
            <w:tcW w:w="780" w:type="dxa"/>
            <w:vAlign w:val="bottom"/>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8"/>
                <w:szCs w:val="18"/>
                <w:color w:val="auto"/>
              </w:rPr>
            </w:pP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18"/>
                <w:szCs w:val="18"/>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8"/>
                <w:szCs w:val="18"/>
                <w:color w:val="auto"/>
              </w:rPr>
              <w:t>-200.7%</w:t>
            </w:r>
          </w:p>
        </w:tc>
        <w:tc>
          <w:tcPr>
            <w:tcW w:w="78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43.3%</w:t>
            </w:r>
          </w:p>
        </w:tc>
      </w:tr>
      <w:tr>
        <w:trPr>
          <w:trHeight w:val="212"/>
        </w:trPr>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178,536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44,184</w:t>
            </w:r>
          </w:p>
        </w:tc>
        <w:tc>
          <w:tcPr>
            <w:tcW w:w="10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2"/>
        </w:trPr>
        <w:tc>
          <w:tcPr>
            <w:tcW w:w="3320" w:type="dxa"/>
            <w:vAlign w:val="bottom"/>
          </w:tcPr>
          <w:p>
            <w:pPr>
              <w:ind w:left="160"/>
              <w:spacing w:after="0"/>
              <w:rPr>
                <w:sz w:val="20"/>
                <w:szCs w:val="20"/>
                <w:color w:val="auto"/>
              </w:rPr>
            </w:pPr>
            <w:r>
              <w:rPr>
                <w:rFonts w:ascii="Arial" w:cs="Arial" w:eastAsia="Arial" w:hAnsi="Arial"/>
                <w:sz w:val="18"/>
                <w:szCs w:val="18"/>
                <w:color w:val="auto"/>
              </w:rPr>
              <w:t>Net gain on derivatives held for trading</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-26,746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56,265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14,447</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8"/>
                <w:szCs w:val="18"/>
                <w:color w:val="auto"/>
              </w:rPr>
              <w:t>-154.0%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9,211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70,712</w:t>
            </w:r>
          </w:p>
        </w:tc>
        <w:tc>
          <w:tcPr>
            <w:tcW w:w="1340" w:type="dxa"/>
            <w:vAlign w:val="bottom"/>
            <w:gridSpan w:val="2"/>
          </w:tcPr>
          <w:p>
            <w:pPr>
              <w:jc w:val="right"/>
              <w:ind w:right="91"/>
              <w:spacing w:after="0"/>
              <w:rPr>
                <w:sz w:val="20"/>
                <w:szCs w:val="20"/>
                <w:color w:val="auto"/>
              </w:rPr>
            </w:pPr>
            <w:r>
              <w:rPr>
                <w:rFonts w:ascii="Arial" w:cs="Arial" w:eastAsia="Arial" w:hAnsi="Arial"/>
                <w:sz w:val="18"/>
                <w:szCs w:val="18"/>
                <w:color w:val="auto"/>
              </w:rPr>
              <w:t>n.a</w:t>
            </w:r>
          </w:p>
        </w:tc>
      </w:tr>
      <w:tr>
        <w:trPr>
          <w:trHeight w:val="212"/>
        </w:trPr>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from exchange differences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-175.0%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-12,696</w:t>
            </w:r>
          </w:p>
        </w:tc>
        <w:tc>
          <w:tcPr>
            <w:tcW w:w="134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Other non-financial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13,223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6,971</w:t>
            </w:r>
          </w:p>
        </w:tc>
        <w:tc>
          <w:tcPr>
            <w:tcW w:w="78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8"/>
                <w:szCs w:val="18"/>
                <w:color w:val="auto"/>
              </w:rPr>
            </w:pP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840" w:type="dxa"/>
            <w:vAlign w:val="bottom"/>
            <w:gridSpan w:val="2"/>
          </w:tcPr>
          <w:p>
            <w:pPr>
              <w:jc w:val="right"/>
              <w:ind w:right="51"/>
              <w:spacing w:after="0"/>
              <w:rPr>
                <w:sz w:val="20"/>
                <w:szCs w:val="20"/>
                <w:color w:val="auto"/>
              </w:rPr>
            </w:pPr>
            <w:r>
              <w:rPr>
                <w:rFonts w:ascii="Arial" w:cs="Arial" w:eastAsia="Arial" w:hAnsi="Arial"/>
                <w:sz w:val="18"/>
                <w:szCs w:val="18"/>
                <w:color w:val="auto"/>
              </w:rPr>
              <w:t>-53.6%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28,355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-53.8%</w:t>
            </w:r>
          </w:p>
        </w:tc>
      </w:tr>
      <w:tr>
        <w:trPr>
          <w:trHeight w:val="266"/>
        </w:trPr>
        <w:tc>
          <w:tcPr>
            <w:tcW w:w="332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9"/>
                <w:szCs w:val="29"/>
                <w:color w:val="auto"/>
                <w:vertAlign w:val="superscript"/>
              </w:rPr>
              <w:t>(1)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-149,884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-162,087</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-318,772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6"/>
        </w:trPr>
        <w:tc>
          <w:tcPr>
            <w:tcW w:w="33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Operating income</w:t>
            </w: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150,075</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44,467</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74,700</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68.0</w:t>
            </w:r>
          </w:p>
        </w:tc>
        <w:tc>
          <w:tcPr>
            <w:tcW w:w="300" w:type="dxa"/>
            <w:vAlign w:val="bottom"/>
            <w:tcBorders>
              <w:bottom w:val="single" w:sz="8" w:color="CCEEFF"/>
            </w:tcBorders>
          </w:tcPr>
          <w:p>
            <w:pPr>
              <w:jc w:val="right"/>
              <w:ind w:right="31"/>
              <w:spacing w:after="0" w:line="206" w:lineRule="exact"/>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-50.2</w:t>
            </w:r>
          </w:p>
        </w:tc>
        <w:tc>
          <w:tcPr>
            <w:tcW w:w="280" w:type="dxa"/>
            <w:vAlign w:val="bottom"/>
            <w:tcBorders>
              <w:bottom w:val="single" w:sz="8" w:color="CCEEFF"/>
            </w:tcBorders>
          </w:tcPr>
          <w:p>
            <w:pPr>
              <w:jc w:val="right"/>
              <w:ind w:right="11"/>
              <w:spacing w:after="0" w:line="20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152,255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95"/>
              </w:rPr>
              <w:t>119,167</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-21.7</w:t>
            </w:r>
          </w:p>
        </w:tc>
        <w:tc>
          <w:tcPr>
            <w:tcW w:w="180" w:type="dxa"/>
            <w:vAlign w:val="bottom"/>
            <w:tcBorders>
              <w:bottom w:val="single" w:sz="8" w:color="CCEEFF"/>
            </w:tcBorders>
          </w:tcPr>
          <w:p>
            <w:pPr>
              <w:jc w:val="right"/>
              <w:spacing w:after="0" w:line="206" w:lineRule="exact"/>
              <w:rPr>
                <w:sz w:val="20"/>
                <w:szCs w:val="20"/>
                <w:color w:val="auto"/>
              </w:rPr>
            </w:pPr>
            <w:r>
              <w:rPr>
                <w:rFonts w:ascii="Arial" w:cs="Arial" w:eastAsia="Arial" w:hAnsi="Arial"/>
                <w:sz w:val="18"/>
                <w:szCs w:val="18"/>
                <w:b w:val="1"/>
                <w:bCs w:val="1"/>
                <w:color w:val="auto"/>
                <w:w w:val="99"/>
              </w:rPr>
              <w:t>%</w:t>
            </w:r>
          </w:p>
        </w:tc>
      </w:tr>
      <w:tr>
        <w:trPr>
          <w:trHeight w:val="206"/>
        </w:trPr>
        <w:tc>
          <w:tcPr>
            <w:tcW w:w="3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taxes</w:t>
            </w:r>
          </w:p>
        </w:tc>
        <w:tc>
          <w:tcPr>
            <w:tcW w:w="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-9,314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28.6%</w:t>
            </w:r>
          </w:p>
        </w:tc>
        <w:tc>
          <w:tcPr>
            <w:tcW w:w="7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-16,451</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72.4%</w:t>
            </w:r>
          </w:p>
        </w:tc>
      </w:tr>
      <w:tr>
        <w:trPr>
          <w:trHeight w:val="225"/>
        </w:trPr>
        <w:tc>
          <w:tcPr>
            <w:tcW w:w="3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840" w:type="dxa"/>
            <w:vAlign w:val="bottom"/>
            <w:gridSpan w:val="2"/>
          </w:tcPr>
          <w:p>
            <w:pPr>
              <w:jc w:val="right"/>
              <w:ind w:right="191"/>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1340" w:type="dxa"/>
            <w:vAlign w:val="bottom"/>
            <w:gridSpan w:val="2"/>
          </w:tcPr>
          <w:p>
            <w:pPr>
              <w:jc w:val="right"/>
              <w:ind w:right="91"/>
              <w:spacing w:after="0"/>
              <w:rPr>
                <w:sz w:val="20"/>
                <w:szCs w:val="20"/>
                <w:color w:val="auto"/>
              </w:rPr>
            </w:pPr>
            <w:r>
              <w:rPr>
                <w:rFonts w:ascii="Arial" w:cs="Arial" w:eastAsia="Arial" w:hAnsi="Arial"/>
                <w:sz w:val="18"/>
                <w:szCs w:val="18"/>
                <w:color w:val="auto"/>
              </w:rPr>
              <w:t>n.a</w:t>
            </w:r>
          </w:p>
        </w:tc>
      </w:tr>
      <w:tr>
        <w:trPr>
          <w:trHeight w:val="207"/>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142,721</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36,701</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64,443</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30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28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101,144</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17" w:lineRule="exact"/>
        <w:rPr>
          <w:sz w:val="20"/>
          <w:szCs w:val="20"/>
          <w:color w:val="auto"/>
        </w:rPr>
      </w:pPr>
    </w:p>
    <w:p>
      <w:pPr>
        <w:ind w:right="420" w:firstLine="6"/>
        <w:spacing w:after="0" w:line="252" w:lineRule="auto"/>
        <w:tabs>
          <w:tab w:leader="none" w:pos="2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Salaries and employee benefits + Administrative expenses + Assigned expenses + Depreciation and amortization + Tax and contributions + Other expenses.</w:t>
      </w:r>
    </w:p>
    <w:p>
      <w:pPr>
        <w:spacing w:after="0" w:line="200" w:lineRule="exact"/>
        <w:rPr>
          <w:sz w:val="20"/>
          <w:szCs w:val="20"/>
          <w:color w:val="auto"/>
        </w:rPr>
      </w:pPr>
    </w:p>
    <w:p>
      <w:pPr>
        <w:spacing w:after="0" w:line="204"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color w:val="auto"/>
              </w:rPr>
              <w:t>12.9. Grupo Pacifico</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4"/>
        </w:trPr>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GRUPO PACIFICO *</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4"/>
        </w:trPr>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gridSpan w:val="8"/>
          </w:tcPr>
          <w:p>
            <w:pPr>
              <w:jc w:val="right"/>
              <w:ind w:right="580"/>
              <w:spacing w:after="0"/>
              <w:rPr>
                <w:sz w:val="20"/>
                <w:szCs w:val="20"/>
                <w:color w:val="auto"/>
              </w:rPr>
            </w:pPr>
            <w:r>
              <w:rPr>
                <w:rFonts w:ascii="Arial" w:cs="Arial" w:eastAsia="Arial" w:hAnsi="Arial"/>
                <w:sz w:val="18"/>
                <w:szCs w:val="18"/>
                <w:color w:val="auto"/>
                <w:w w:val="89"/>
              </w:rPr>
              <w:t>(S/ thousands, IFRS)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59"/>
        </w:trPr>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79"/>
              </w:rPr>
              <w:t>As of</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 change</w:t>
            </w:r>
          </w:p>
        </w:tc>
      </w:tr>
      <w:tr>
        <w:trPr>
          <w:trHeight w:val="220"/>
        </w:trPr>
        <w:tc>
          <w:tcPr>
            <w:tcW w:w="31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 20</w:t>
            </w: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Jun 21</w:t>
            </w:r>
          </w:p>
        </w:tc>
        <w:tc>
          <w:tcPr>
            <w:tcW w:w="2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Mar 21</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351"/>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top w:val="single" w:sz="8" w:color="auto"/>
              <w:bottom w:val="single" w:sz="8" w:color="CCEEFF"/>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206"/>
        </w:trPr>
        <w:tc>
          <w:tcPr>
            <w:tcW w:w="3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14,509,571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15,743,014</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15,775,105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8.7%</w:t>
            </w:r>
          </w:p>
        </w:tc>
      </w:tr>
      <w:tr>
        <w:trPr>
          <w:trHeight w:val="252"/>
        </w:trPr>
        <w:tc>
          <w:tcPr>
            <w:tcW w:w="3160" w:type="dxa"/>
            <w:vAlign w:val="bottom"/>
          </w:tcPr>
          <w:p>
            <w:pPr>
              <w:spacing w:after="0" w:line="252"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(6)</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4"/>
          </w:tcPr>
          <w:p>
            <w:pPr>
              <w:jc w:val="right"/>
              <w:ind w:right="111"/>
              <w:spacing w:after="0"/>
              <w:rPr>
                <w:sz w:val="20"/>
                <w:szCs w:val="20"/>
                <w:color w:val="auto"/>
              </w:rPr>
            </w:pPr>
            <w:r>
              <w:rPr>
                <w:rFonts w:ascii="Arial" w:cs="Arial" w:eastAsia="Arial" w:hAnsi="Arial"/>
                <w:sz w:val="18"/>
                <w:szCs w:val="18"/>
                <w:color w:val="auto"/>
              </w:rPr>
              <w:t>11,089,545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12,210,160</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12,102,502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Technical reserves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11"/>
              <w:spacing w:after="0"/>
              <w:rPr>
                <w:sz w:val="20"/>
                <w:szCs w:val="20"/>
                <w:color w:val="auto"/>
              </w:rPr>
            </w:pPr>
            <w:r>
              <w:rPr>
                <w:rFonts w:ascii="Arial" w:cs="Arial" w:eastAsia="Arial" w:hAnsi="Arial"/>
                <w:sz w:val="18"/>
                <w:szCs w:val="18"/>
                <w:color w:val="auto"/>
              </w:rPr>
              <w:t>10,635,795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11,826,778</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12,173,277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Net equity</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111"/>
              <w:spacing w:after="0"/>
              <w:rPr>
                <w:sz w:val="20"/>
                <w:szCs w:val="20"/>
                <w:color w:val="auto"/>
              </w:rPr>
            </w:pPr>
            <w:r>
              <w:rPr>
                <w:rFonts w:ascii="Arial" w:cs="Arial" w:eastAsia="Arial" w:hAnsi="Arial"/>
                <w:sz w:val="18"/>
                <w:szCs w:val="18"/>
                <w:color w:val="auto"/>
              </w:rPr>
              <w:t>2,821,972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2,374,371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2,125,685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r>
      <w:tr>
        <w:trPr>
          <w:trHeight w:val="347"/>
        </w:trPr>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YTD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20"/>
        </w:trPr>
        <w:tc>
          <w:tcPr>
            <w:tcW w:w="316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2Q20</w:t>
            </w:r>
          </w:p>
        </w:tc>
        <w:tc>
          <w:tcPr>
            <w:tcW w:w="16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1Q21</w:t>
            </w:r>
          </w:p>
        </w:tc>
        <w:tc>
          <w:tcPr>
            <w:tcW w:w="16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2Q21</w:t>
            </w:r>
          </w:p>
        </w:tc>
        <w:tc>
          <w:tcPr>
            <w:tcW w:w="16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top w:val="single" w:sz="8" w:color="auto"/>
              <w:bottom w:val="single" w:sz="8" w:color="CCEEFF"/>
            </w:tcBorders>
            <w:gridSpan w:val="2"/>
          </w:tcPr>
          <w:p>
            <w:pPr>
              <w:spacing w:after="0"/>
              <w:rPr>
                <w:sz w:val="19"/>
                <w:szCs w:val="19"/>
                <w:color w:val="auto"/>
              </w:rPr>
            </w:pPr>
          </w:p>
        </w:tc>
        <w:tc>
          <w:tcPr>
            <w:tcW w:w="7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Jun 20</w:t>
            </w: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Jun 21</w:t>
            </w:r>
          </w:p>
        </w:tc>
        <w:tc>
          <w:tcPr>
            <w:tcW w:w="160" w:type="dxa"/>
            <w:vAlign w:val="bottom"/>
            <w:tcBorders>
              <w:bottom w:val="single" w:sz="8" w:color="CCEEFF"/>
            </w:tcBorders>
            <w:gridSpan w:val="2"/>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 21 / Jun 20</w:t>
            </w:r>
          </w:p>
        </w:tc>
        <w:tc>
          <w:tcPr>
            <w:tcW w:w="160" w:type="dxa"/>
            <w:vAlign w:val="bottom"/>
            <w:tcBorders>
              <w:bottom w:val="single" w:sz="8" w:color="CCEEFF"/>
            </w:tcBorders>
          </w:tcPr>
          <w:p>
            <w:pPr>
              <w:spacing w:after="0"/>
              <w:rPr>
                <w:sz w:val="19"/>
                <w:szCs w:val="19"/>
                <w:color w:val="auto"/>
              </w:rPr>
            </w:pPr>
          </w:p>
        </w:tc>
      </w:tr>
      <w:tr>
        <w:trPr>
          <w:trHeight w:val="206"/>
        </w:trPr>
        <w:tc>
          <w:tcPr>
            <w:tcW w:w="3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earned premiums</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560,754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651,510</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643,970</w:t>
            </w:r>
          </w:p>
        </w:tc>
        <w:tc>
          <w:tcPr>
            <w:tcW w:w="1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line="206" w:lineRule="exact"/>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14.8%</w:t>
            </w:r>
          </w:p>
        </w:tc>
        <w:tc>
          <w:tcPr>
            <w:tcW w:w="78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w w:val="94"/>
              </w:rPr>
              <w:t>1,201,461</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1,295,480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7.8%</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Net claims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(335,152)</w:t>
            </w: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(627,791)</w:t>
            </w:r>
          </w:p>
        </w:tc>
        <w:tc>
          <w:tcPr>
            <w:tcW w:w="920" w:type="dxa"/>
            <w:vAlign w:val="bottom"/>
            <w:gridSpan w:val="4"/>
          </w:tcPr>
          <w:p>
            <w:pPr>
              <w:jc w:val="right"/>
              <w:ind w:right="11"/>
              <w:spacing w:after="0"/>
              <w:rPr>
                <w:sz w:val="20"/>
                <w:szCs w:val="20"/>
                <w:color w:val="auto"/>
              </w:rPr>
            </w:pPr>
            <w:r>
              <w:rPr>
                <w:rFonts w:ascii="Arial" w:cs="Arial" w:eastAsia="Arial" w:hAnsi="Arial"/>
                <w:sz w:val="18"/>
                <w:szCs w:val="18"/>
                <w:color w:val="auto"/>
              </w:rPr>
              <w:t>(691,450)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940" w:type="dxa"/>
            <w:vAlign w:val="bottom"/>
            <w:gridSpan w:val="4"/>
          </w:tcPr>
          <w:p>
            <w:pPr>
              <w:jc w:val="right"/>
              <w:ind w:right="11"/>
              <w:spacing w:after="0"/>
              <w:rPr>
                <w:sz w:val="20"/>
                <w:szCs w:val="20"/>
                <w:color w:val="auto"/>
              </w:rPr>
            </w:pPr>
            <w:r>
              <w:rPr>
                <w:rFonts w:ascii="Arial" w:cs="Arial" w:eastAsia="Arial" w:hAnsi="Arial"/>
                <w:sz w:val="18"/>
                <w:szCs w:val="18"/>
                <w:color w:val="auto"/>
              </w:rPr>
              <w:t>(718,677)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(1,319,240)</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(118,750)</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(142,700)</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(144,590)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94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(274,916)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(287,290)</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Net underwriting expenses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(40,105)</w:t>
            </w: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(30,218)</w:t>
            </w:r>
          </w:p>
        </w:tc>
        <w:tc>
          <w:tcPr>
            <w:tcW w:w="920" w:type="dxa"/>
            <w:vAlign w:val="bottom"/>
            <w:gridSpan w:val="4"/>
          </w:tcPr>
          <w:p>
            <w:pPr>
              <w:jc w:val="right"/>
              <w:ind w:right="11"/>
              <w:spacing w:after="0"/>
              <w:rPr>
                <w:sz w:val="20"/>
                <w:szCs w:val="20"/>
                <w:color w:val="auto"/>
              </w:rPr>
            </w:pPr>
            <w:r>
              <w:rPr>
                <w:rFonts w:ascii="Arial" w:cs="Arial" w:eastAsia="Arial" w:hAnsi="Arial"/>
                <w:sz w:val="18"/>
                <w:szCs w:val="18"/>
                <w:color w:val="auto"/>
              </w:rPr>
              <w:t>(31,136)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940" w:type="dxa"/>
            <w:vAlign w:val="bottom"/>
            <w:gridSpan w:val="4"/>
          </w:tcPr>
          <w:p>
            <w:pPr>
              <w:jc w:val="right"/>
              <w:ind w:right="11"/>
              <w:spacing w:after="0"/>
              <w:rPr>
                <w:sz w:val="20"/>
                <w:szCs w:val="20"/>
                <w:color w:val="auto"/>
              </w:rPr>
            </w:pPr>
            <w:r>
              <w:rPr>
                <w:rFonts w:ascii="Arial" w:cs="Arial" w:eastAsia="Arial" w:hAnsi="Arial"/>
                <w:sz w:val="18"/>
                <w:szCs w:val="18"/>
                <w:color w:val="auto"/>
              </w:rPr>
              <w:t>(90,264)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(61,354)</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66,746</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(149,198)</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(223,206)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117,604</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(372,404)</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N/A</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Net financial income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137,648</w:t>
            </w:r>
          </w:p>
        </w:tc>
        <w:tc>
          <w:tcPr>
            <w:tcW w:w="920" w:type="dxa"/>
            <w:vAlign w:val="bottom"/>
            <w:gridSpan w:val="2"/>
          </w:tcPr>
          <w:p>
            <w:pPr>
              <w:jc w:val="right"/>
              <w:ind w:right="71"/>
              <w:spacing w:after="0"/>
              <w:rPr>
                <w:sz w:val="20"/>
                <w:szCs w:val="20"/>
                <w:color w:val="auto"/>
              </w:rPr>
            </w:pPr>
            <w:r>
              <w:rPr>
                <w:rFonts w:ascii="Arial" w:cs="Arial" w:eastAsia="Arial" w:hAnsi="Arial"/>
                <w:sz w:val="18"/>
                <w:szCs w:val="18"/>
                <w:color w:val="auto"/>
              </w:rPr>
              <w:t>149,457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159,184</w:t>
            </w: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272,747</w:t>
            </w:r>
          </w:p>
        </w:tc>
        <w:tc>
          <w:tcPr>
            <w:tcW w:w="1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308,641</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(112,832)</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(108,836)</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(103,844)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94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(218,086)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(212,680)</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11,435</w:t>
            </w:r>
          </w:p>
        </w:tc>
        <w:tc>
          <w:tcPr>
            <w:tcW w:w="160" w:type="dxa"/>
            <w:vAlign w:val="bottom"/>
          </w:tcPr>
          <w:p>
            <w:pPr>
              <w:spacing w:after="0"/>
              <w:rPr>
                <w:sz w:val="18"/>
                <w:szCs w:val="18"/>
                <w:color w:val="auto"/>
              </w:rPr>
            </w:pPr>
          </w:p>
        </w:tc>
        <w:tc>
          <w:tcPr>
            <w:tcW w:w="920" w:type="dxa"/>
            <w:vAlign w:val="bottom"/>
            <w:gridSpan w:val="2"/>
          </w:tcPr>
          <w:p>
            <w:pPr>
              <w:jc w:val="right"/>
              <w:ind w:right="71"/>
              <w:spacing w:after="0"/>
              <w:rPr>
                <w:sz w:val="20"/>
                <w:szCs w:val="20"/>
                <w:color w:val="auto"/>
              </w:rPr>
            </w:pPr>
            <w:r>
              <w:rPr>
                <w:rFonts w:ascii="Arial" w:cs="Arial" w:eastAsia="Arial" w:hAnsi="Arial"/>
                <w:sz w:val="18"/>
                <w:szCs w:val="18"/>
                <w:color w:val="auto"/>
              </w:rPr>
              <w:t>3,241</w:t>
            </w:r>
          </w:p>
        </w:tc>
        <w:tc>
          <w:tcPr>
            <w:tcW w:w="920" w:type="dxa"/>
            <w:vAlign w:val="bottom"/>
            <w:gridSpan w:val="4"/>
          </w:tcPr>
          <w:p>
            <w:pPr>
              <w:jc w:val="right"/>
              <w:ind w:right="71"/>
              <w:spacing w:after="0"/>
              <w:rPr>
                <w:sz w:val="20"/>
                <w:szCs w:val="20"/>
                <w:color w:val="auto"/>
              </w:rPr>
            </w:pPr>
            <w:r>
              <w:rPr>
                <w:rFonts w:ascii="Arial" w:cs="Arial" w:eastAsia="Arial" w:hAnsi="Arial"/>
                <w:sz w:val="18"/>
                <w:szCs w:val="18"/>
                <w:color w:val="auto"/>
              </w:rPr>
              <w:t>10,177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214.0%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940" w:type="dxa"/>
            <w:vAlign w:val="bottom"/>
            <w:gridSpan w:val="4"/>
          </w:tcPr>
          <w:p>
            <w:pPr>
              <w:jc w:val="right"/>
              <w:ind w:right="71"/>
              <w:spacing w:after="0"/>
              <w:rPr>
                <w:sz w:val="20"/>
                <w:szCs w:val="20"/>
                <w:color w:val="auto"/>
              </w:rPr>
            </w:pPr>
            <w:r>
              <w:rPr>
                <w:rFonts w:ascii="Arial" w:cs="Arial" w:eastAsia="Arial" w:hAnsi="Arial"/>
                <w:sz w:val="18"/>
                <w:szCs w:val="18"/>
                <w:color w:val="auto"/>
              </w:rPr>
              <w:t>19,774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13,419</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9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566</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r>
      <w:tr>
        <w:trPr>
          <w:trHeight w:val="200"/>
        </w:trPr>
        <w:tc>
          <w:tcPr>
            <w:tcW w:w="3160" w:type="dxa"/>
            <w:vAlign w:val="bottom"/>
          </w:tcPr>
          <w:p>
            <w:pPr>
              <w:spacing w:after="0" w:line="201" w:lineRule="exact"/>
              <w:rPr>
                <w:sz w:val="20"/>
                <w:szCs w:val="20"/>
                <w:color w:val="auto"/>
              </w:rPr>
            </w:pPr>
            <w:r>
              <w:rPr>
                <w:rFonts w:ascii="Arial" w:cs="Arial" w:eastAsia="Arial" w:hAnsi="Arial"/>
                <w:sz w:val="18"/>
                <w:szCs w:val="18"/>
                <w:color w:val="auto"/>
              </w:rPr>
              <w:t>EPS business &amp; Medical Services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deduction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16,806</w:t>
            </w:r>
          </w:p>
        </w:tc>
        <w:tc>
          <w:tcPr>
            <w:tcW w:w="920" w:type="dxa"/>
            <w:vAlign w:val="bottom"/>
            <w:gridSpan w:val="2"/>
          </w:tcPr>
          <w:p>
            <w:pPr>
              <w:jc w:val="right"/>
              <w:ind w:right="71"/>
              <w:spacing w:after="0"/>
              <w:rPr>
                <w:sz w:val="20"/>
                <w:szCs w:val="20"/>
                <w:color w:val="auto"/>
              </w:rPr>
            </w:pPr>
            <w:r>
              <w:rPr>
                <w:rFonts w:ascii="Arial" w:cs="Arial" w:eastAsia="Arial" w:hAnsi="Arial"/>
                <w:sz w:val="18"/>
                <w:szCs w:val="18"/>
                <w:color w:val="auto"/>
              </w:rPr>
              <w:t>23,377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-62.4%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940" w:type="dxa"/>
            <w:vAlign w:val="bottom"/>
            <w:gridSpan w:val="4"/>
          </w:tcPr>
          <w:p>
            <w:pPr>
              <w:jc w:val="right"/>
              <w:ind w:right="71"/>
              <w:spacing w:after="0"/>
              <w:rPr>
                <w:sz w:val="20"/>
                <w:szCs w:val="20"/>
                <w:color w:val="auto"/>
              </w:rPr>
            </w:pPr>
            <w:r>
              <w:rPr>
                <w:rFonts w:ascii="Arial" w:cs="Arial" w:eastAsia="Arial" w:hAnsi="Arial"/>
                <w:sz w:val="18"/>
                <w:szCs w:val="18"/>
                <w:color w:val="auto"/>
              </w:rPr>
              <w:t>33,992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32,177</w:t>
            </w:r>
          </w:p>
        </w:tc>
        <w:tc>
          <w:tcPr>
            <w:tcW w:w="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4"/>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Medical Assistance insurance deduction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(17,944)</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(13,906)</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(8,879)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94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color w:val="auto"/>
              </w:rPr>
              <w:t>(24,374)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(22,785)</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Income tax</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(1,399)</w:t>
            </w:r>
          </w:p>
        </w:tc>
        <w:tc>
          <w:tcPr>
            <w:tcW w:w="920" w:type="dxa"/>
            <w:vAlign w:val="bottom"/>
            <w:gridSpan w:val="4"/>
          </w:tcPr>
          <w:p>
            <w:pPr>
              <w:jc w:val="right"/>
              <w:ind w:right="11"/>
              <w:spacing w:after="0"/>
              <w:rPr>
                <w:sz w:val="20"/>
                <w:szCs w:val="20"/>
                <w:color w:val="auto"/>
              </w:rPr>
            </w:pPr>
            <w:r>
              <w:rPr>
                <w:rFonts w:ascii="Arial" w:cs="Arial" w:eastAsia="Arial" w:hAnsi="Arial"/>
                <w:sz w:val="18"/>
                <w:szCs w:val="18"/>
                <w:color w:val="auto"/>
              </w:rPr>
              <w:t>(2,029)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45.0%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940" w:type="dxa"/>
            <w:vAlign w:val="bottom"/>
            <w:gridSpan w:val="4"/>
          </w:tcPr>
          <w:p>
            <w:pPr>
              <w:jc w:val="right"/>
              <w:ind w:right="11"/>
              <w:spacing w:after="0"/>
              <w:rPr>
                <w:sz w:val="20"/>
                <w:szCs w:val="20"/>
                <w:color w:val="auto"/>
              </w:rPr>
            </w:pPr>
            <w:r>
              <w:rPr>
                <w:rFonts w:ascii="Arial" w:cs="Arial" w:eastAsia="Arial" w:hAnsi="Arial"/>
                <w:sz w:val="18"/>
                <w:szCs w:val="18"/>
                <w:color w:val="auto"/>
              </w:rPr>
              <w:t>(2,674)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(3,428)</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100,884</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(96,698)</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(159,887)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200,723</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(256,585)</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N/A</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(1,730)</w:t>
            </w:r>
          </w:p>
        </w:tc>
        <w:tc>
          <w:tcPr>
            <w:tcW w:w="920" w:type="dxa"/>
            <w:vAlign w:val="bottom"/>
            <w:gridSpan w:val="4"/>
          </w:tcPr>
          <w:p>
            <w:pPr>
              <w:jc w:val="right"/>
              <w:ind w:right="11"/>
              <w:spacing w:after="0"/>
              <w:rPr>
                <w:sz w:val="20"/>
                <w:szCs w:val="20"/>
                <w:color w:val="auto"/>
              </w:rPr>
            </w:pPr>
            <w:r>
              <w:rPr>
                <w:rFonts w:ascii="Arial" w:cs="Arial" w:eastAsia="Arial" w:hAnsi="Arial"/>
                <w:sz w:val="18"/>
                <w:szCs w:val="18"/>
                <w:color w:val="auto"/>
              </w:rPr>
              <w:t>(659)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940" w:type="dxa"/>
            <w:vAlign w:val="bottom"/>
            <w:gridSpan w:val="4"/>
          </w:tcPr>
          <w:p>
            <w:pPr>
              <w:jc w:val="right"/>
              <w:ind w:right="11"/>
              <w:spacing w:after="0"/>
              <w:rPr>
                <w:sz w:val="20"/>
                <w:szCs w:val="20"/>
                <w:color w:val="auto"/>
              </w:rPr>
            </w:pPr>
            <w:r>
              <w:rPr>
                <w:rFonts w:ascii="Arial" w:cs="Arial" w:eastAsia="Arial" w:hAnsi="Arial"/>
                <w:sz w:val="18"/>
                <w:szCs w:val="18"/>
                <w:color w:val="auto"/>
              </w:rPr>
              <w:t>(4,371)</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(2,389)</w:t>
            </w:r>
          </w:p>
        </w:tc>
        <w:tc>
          <w:tcPr>
            <w:tcW w:w="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r>
      <w:tr>
        <w:trPr>
          <w:trHeight w:val="22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99,036</w:t>
            </w:r>
          </w:p>
        </w:tc>
        <w:tc>
          <w:tcPr>
            <w:tcW w:w="9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(98,428)</w:t>
            </w:r>
          </w:p>
        </w:tc>
        <w:tc>
          <w:tcPr>
            <w:tcW w:w="920" w:type="dxa"/>
            <w:vAlign w:val="bottom"/>
            <w:gridSpan w:val="4"/>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(160,546)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N/A</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196,351</w:t>
            </w: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(258,974)</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N/A</w:t>
            </w:r>
          </w:p>
        </w:tc>
      </w:tr>
      <w:tr>
        <w:trPr>
          <w:trHeight w:val="212"/>
        </w:trPr>
        <w:tc>
          <w:tcPr>
            <w:tcW w:w="316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-270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-230 bps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 bps</w:t>
            </w:r>
          </w:p>
        </w:tc>
      </w:tr>
      <w:tr>
        <w:trPr>
          <w:trHeight w:val="252"/>
        </w:trPr>
        <w:tc>
          <w:tcPr>
            <w:tcW w:w="3160" w:type="dxa"/>
            <w:vAlign w:val="bottom"/>
          </w:tcPr>
          <w:p>
            <w:pPr>
              <w:spacing w:after="0" w:line="252"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21"/>
                <w:szCs w:val="21"/>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8"/>
                <w:szCs w:val="18"/>
                <w:color w:val="auto"/>
                <w:w w:val="86"/>
              </w:rPr>
              <w:t>-107.4% -1100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-4760 bps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-59.8%</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-101.8%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-4200 bps</w:t>
            </w:r>
          </w:p>
        </w:tc>
      </w:tr>
      <w:tr>
        <w:trPr>
          <w:trHeight w:val="200"/>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Fees + underwriting expenses, net / net</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earned premiums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 bps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 bps</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w w:val="90"/>
              </w:rPr>
              <w:t>Operating expenses / net earned premiums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-16.1%</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400 bps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-18.2%</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-16.4%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180 bps</w:t>
            </w:r>
          </w:p>
        </w:tc>
      </w:tr>
      <w:tr>
        <w:trPr>
          <w:trHeight w:val="252"/>
        </w:trPr>
        <w:tc>
          <w:tcPr>
            <w:tcW w:w="3160" w:type="dxa"/>
            <w:vAlign w:val="bottom"/>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1"/>
                <w:szCs w:val="21"/>
                <w:color w:val="auto"/>
              </w:rPr>
            </w:pPr>
          </w:p>
        </w:tc>
        <w:tc>
          <w:tcPr>
            <w:tcW w:w="16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w w:val="92"/>
              </w:rPr>
              <w:t>-28.4% -1390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-4290 bps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-2900 bps</w:t>
            </w:r>
          </w:p>
        </w:tc>
      </w:tr>
      <w:tr>
        <w:trPr>
          <w:trHeight w:val="212"/>
        </w:trPr>
        <w:tc>
          <w:tcPr>
            <w:tcW w:w="3160" w:type="dxa"/>
            <w:vAlign w:val="bottom"/>
          </w:tcPr>
          <w:p>
            <w:pPr>
              <w:spacing w:after="0"/>
              <w:rPr>
                <w:sz w:val="20"/>
                <w:szCs w:val="20"/>
                <w:color w:val="auto"/>
              </w:rPr>
            </w:pPr>
            <w:r>
              <w:rPr>
                <w:rFonts w:ascii="Arial" w:cs="Arial" w:eastAsia="Arial" w:hAnsi="Arial"/>
                <w:sz w:val="18"/>
                <w:szCs w:val="18"/>
                <w:color w:val="auto"/>
              </w:rPr>
              <w:t>Return on written premiums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-720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-2930 bps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11.4%</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-2470 bps</w:t>
            </w:r>
          </w:p>
        </w:tc>
      </w:tr>
      <w:tr>
        <w:trPr>
          <w:trHeight w:val="252"/>
        </w:trPr>
        <w:tc>
          <w:tcPr>
            <w:tcW w:w="316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Combined ratio of Life </w:t>
            </w:r>
            <w:r>
              <w:rPr>
                <w:rFonts w:ascii="Arial" w:cs="Arial" w:eastAsia="Arial" w:hAnsi="Arial"/>
                <w:sz w:val="29"/>
                <w:szCs w:val="29"/>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990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2120 bps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2120 bps</w:t>
            </w:r>
          </w:p>
        </w:tc>
      </w:tr>
      <w:tr>
        <w:trPr>
          <w:trHeight w:val="252"/>
        </w:trPr>
        <w:tc>
          <w:tcPr>
            <w:tcW w:w="3160" w:type="dxa"/>
            <w:vAlign w:val="bottom"/>
          </w:tcPr>
          <w:p>
            <w:pPr>
              <w:spacing w:after="0" w:line="252"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88.9%</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340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910 bps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79.8%</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88.9%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910 bps</w:t>
            </w:r>
          </w:p>
        </w:tc>
      </w:tr>
      <w:tr>
        <w:trPr>
          <w:trHeight w:val="266"/>
        </w:trPr>
        <w:tc>
          <w:tcPr>
            <w:tcW w:w="316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 xml:space="preserve">Equity requirement ratio </w:t>
            </w:r>
            <w:r>
              <w:rPr>
                <w:rFonts w:ascii="Arial" w:cs="Arial" w:eastAsia="Arial" w:hAnsi="Arial"/>
                <w:sz w:val="29"/>
                <w:szCs w:val="29"/>
                <w:color w:val="auto"/>
                <w:vertAlign w:val="superscript"/>
              </w:rPr>
              <w:t>(7)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9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920" w:type="dxa"/>
            <w:vAlign w:val="bottom"/>
            <w:gridSpan w:val="4"/>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-330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-1330 bps</w:t>
            </w:r>
          </w:p>
        </w:tc>
        <w:tc>
          <w:tcPr>
            <w:tcW w:w="940" w:type="dxa"/>
            <w:vAlign w:val="bottom"/>
            <w:gridSpan w:val="4"/>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 bps</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17" w:lineRule="exact"/>
        <w:rPr>
          <w:sz w:val="20"/>
          <w:szCs w:val="20"/>
          <w:color w:val="auto"/>
        </w:rPr>
      </w:pPr>
    </w:p>
    <w:p>
      <w:pPr>
        <w:ind w:left="260" w:hanging="254"/>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5" w:lineRule="exact"/>
        <w:rPr>
          <w:rFonts w:ascii="Arial" w:cs="Arial" w:eastAsia="Arial" w:hAnsi="Arial"/>
          <w:sz w:val="18"/>
          <w:szCs w:val="18"/>
          <w:color w:val="auto"/>
        </w:rPr>
      </w:pPr>
    </w:p>
    <w:p>
      <w:pPr>
        <w:ind w:right="20" w:firstLine="6"/>
        <w:spacing w:after="0" w:line="246" w:lineRule="auto"/>
        <w:tabs>
          <w:tab w:leader="none" w:pos="2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claims / Net earned premiums) + Reserves / Net earned premiums) + [(Acquisition cost + total expenses) / Net earned premiums] - (Net Financial Income without real state sales, securities sales, impairment loss and fluctuation / Net earned premiums).</w:t>
      </w:r>
    </w:p>
    <w:p>
      <w:pPr>
        <w:ind w:left="260" w:hanging="254"/>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Support to cover credit risk, market risk and operational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138"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 corporate health insurance for payroll employees; and medical services.</w:t>
      </w:r>
    </w:p>
    <w:p>
      <w:pPr>
        <w:spacing w:after="0" w:line="101"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77"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As explained before, corporate health insurance and medical services businesses are consolidated by Banmedica. The following table reflects the consolidated results from which Grupo Pacifico receives the 50% net income.</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 change</w:t>
            </w:r>
          </w:p>
        </w:tc>
        <w:tc>
          <w:tcPr>
            <w:tcW w:w="1600" w:type="dxa"/>
            <w:vAlign w:val="bottom"/>
            <w:gridSpan w:val="4"/>
          </w:tcPr>
          <w:p>
            <w:pPr>
              <w:ind w:left="560"/>
              <w:spacing w:after="0"/>
              <w:rPr>
                <w:sz w:val="20"/>
                <w:szCs w:val="20"/>
                <w:color w:val="auto"/>
              </w:rPr>
            </w:pPr>
            <w:r>
              <w:rPr>
                <w:rFonts w:ascii="Arial" w:cs="Arial" w:eastAsia="Arial" w:hAnsi="Arial"/>
                <w:sz w:val="18"/>
                <w:szCs w:val="18"/>
                <w:b w:val="1"/>
                <w:bCs w:val="1"/>
                <w:color w:val="auto"/>
              </w:rPr>
              <w:t>YTD</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2Q20</w:t>
            </w: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1Q21</w:t>
            </w: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2Q21</w:t>
            </w:r>
          </w:p>
        </w:tc>
        <w:tc>
          <w:tcPr>
            <w:tcW w:w="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QoQ</w:t>
            </w: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8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Jun 20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Jun 21</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 21 / Jun 20</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Results</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266,614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277,944</w:t>
            </w:r>
          </w:p>
        </w:tc>
        <w:tc>
          <w:tcPr>
            <w:tcW w:w="740" w:type="dxa"/>
            <w:vAlign w:val="bottom"/>
          </w:tcPr>
          <w:p>
            <w:pPr>
              <w:jc w:val="right"/>
              <w:spacing w:after="0"/>
              <w:rPr>
                <w:sz w:val="20"/>
                <w:szCs w:val="20"/>
                <w:color w:val="auto"/>
              </w:rPr>
            </w:pPr>
            <w:r>
              <w:rPr>
                <w:rFonts w:ascii="Arial" w:cs="Arial" w:eastAsia="Arial" w:hAnsi="Arial"/>
                <w:sz w:val="18"/>
                <w:szCs w:val="18"/>
                <w:color w:val="auto"/>
              </w:rPr>
              <w:t>288,352</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760" w:type="dxa"/>
            <w:vAlign w:val="bottom"/>
          </w:tcPr>
          <w:p>
            <w:pPr>
              <w:jc w:val="right"/>
              <w:spacing w:after="0"/>
              <w:rPr>
                <w:sz w:val="20"/>
                <w:szCs w:val="20"/>
                <w:color w:val="auto"/>
              </w:rPr>
            </w:pPr>
            <w:r>
              <w:rPr>
                <w:rFonts w:ascii="Arial" w:cs="Arial" w:eastAsia="Arial" w:hAnsi="Arial"/>
                <w:sz w:val="18"/>
                <w:szCs w:val="18"/>
                <w:color w:val="auto"/>
              </w:rPr>
              <w:t>544,871</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566,296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(173,711)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(215,638)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(273,350)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-387,689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-488,989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fees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(11,455)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(12,231)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-23,573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-24,540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78,520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47,120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127,835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47,477</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expenses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(19,767)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(20,709)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(19,179)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-39,426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-39,888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Traslations results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1,386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740" w:type="dxa"/>
            <w:vAlign w:val="bottom"/>
          </w:tcPr>
          <w:p>
            <w:pPr>
              <w:jc w:val="right"/>
              <w:spacing w:after="0"/>
              <w:rPr>
                <w:sz w:val="20"/>
                <w:szCs w:val="20"/>
                <w:color w:val="auto"/>
              </w:rPr>
            </w:pPr>
            <w:r>
              <w:rPr>
                <w:rFonts w:ascii="Arial" w:cs="Arial" w:eastAsia="Arial" w:hAnsi="Arial"/>
                <w:sz w:val="18"/>
                <w:szCs w:val="18"/>
                <w:color w:val="auto"/>
              </w:rPr>
              <w:t>3,005</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(19,699)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42,592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19,921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-10,422</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-9,169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26,750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27,939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3,596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54,689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33,424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46,671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17,517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67,714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64,188</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b w:val="1"/>
                <w:bCs w:val="1"/>
                <w:color w:val="auto"/>
              </w:rPr>
              <w:t>12.10. Prima AFP</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Prima AFP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10"/>
          </w:tcPr>
          <w:p>
            <w:pPr>
              <w:jc w:val="right"/>
              <w:ind w:right="700"/>
              <w:spacing w:after="0"/>
              <w:rPr>
                <w:sz w:val="20"/>
                <w:szCs w:val="20"/>
                <w:color w:val="auto"/>
              </w:rPr>
            </w:pPr>
            <w:r>
              <w:rPr>
                <w:rFonts w:ascii="Arial" w:cs="Arial" w:eastAsia="Arial" w:hAnsi="Arial"/>
                <w:sz w:val="18"/>
                <w:szCs w:val="18"/>
                <w:b w:val="1"/>
                <w:bCs w:val="1"/>
                <w:color w:val="auto"/>
              </w:rPr>
              <w:t>(S/ thousands, IFRS)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2Q20</w:t>
            </w:r>
          </w:p>
        </w:tc>
        <w:tc>
          <w:tcPr>
            <w:tcW w:w="320" w:type="dxa"/>
            <w:vAlign w:val="bottom"/>
            <w:tcBorders>
              <w:top w:val="single" w:sz="8" w:color="auto"/>
              <w:bottom w:val="single" w:sz="8" w:color="CCEEFF"/>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1Q21</w:t>
            </w: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5"/>
              </w:rPr>
              <w:t>2Q21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top w:val="single" w:sz="8" w:color="auto"/>
              <w:bottom w:val="single" w:sz="8" w:color="CCEEFF"/>
            </w:tcBorders>
            <w:gridSpan w:val="2"/>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951,560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spacing w:after="0" w:line="206" w:lineRule="exact"/>
              <w:rPr>
                <w:sz w:val="20"/>
                <w:szCs w:val="20"/>
                <w:color w:val="auto"/>
              </w:rPr>
            </w:pPr>
            <w:r>
              <w:rPr>
                <w:rFonts w:ascii="Arial" w:cs="Arial" w:eastAsia="Arial" w:hAnsi="Arial"/>
                <w:sz w:val="18"/>
                <w:szCs w:val="18"/>
                <w:color w:val="auto"/>
              </w:rPr>
              <w:t>1,016,650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80"/>
              <w:spacing w:after="0" w:line="206" w:lineRule="exact"/>
              <w:rPr>
                <w:sz w:val="20"/>
                <w:szCs w:val="20"/>
                <w:color w:val="auto"/>
              </w:rPr>
            </w:pPr>
            <w:r>
              <w:rPr>
                <w:rFonts w:ascii="Arial" w:cs="Arial" w:eastAsia="Arial" w:hAnsi="Arial"/>
                <w:sz w:val="18"/>
                <w:szCs w:val="18"/>
                <w:color w:val="auto"/>
                <w:w w:val="82"/>
              </w:rPr>
              <w:t>867,605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-14.7%</w:t>
            </w:r>
          </w:p>
        </w:tc>
        <w:tc>
          <w:tcPr>
            <w:tcW w:w="1380" w:type="dxa"/>
            <w:vAlign w:val="bottom"/>
            <w:gridSpan w:val="3"/>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353,019</w:t>
            </w:r>
          </w:p>
        </w:tc>
        <w:tc>
          <w:tcPr>
            <w:tcW w:w="220" w:type="dxa"/>
            <w:vAlign w:val="bottom"/>
          </w:tcPr>
          <w:p>
            <w:pPr>
              <w:spacing w:after="0"/>
              <w:rPr>
                <w:sz w:val="18"/>
                <w:szCs w:val="18"/>
                <w:color w:val="auto"/>
              </w:rPr>
            </w:pPr>
          </w:p>
        </w:tc>
        <w:tc>
          <w:tcPr>
            <w:tcW w:w="1540" w:type="dxa"/>
            <w:vAlign w:val="bottom"/>
            <w:gridSpan w:val="5"/>
          </w:tcPr>
          <w:p>
            <w:pPr>
              <w:jc w:val="right"/>
              <w:ind w:right="231"/>
              <w:spacing w:after="0"/>
              <w:rPr>
                <w:sz w:val="20"/>
                <w:szCs w:val="20"/>
                <w:color w:val="auto"/>
              </w:rPr>
            </w:pPr>
            <w:r>
              <w:rPr>
                <w:rFonts w:ascii="Arial" w:cs="Arial" w:eastAsia="Arial" w:hAnsi="Arial"/>
                <w:sz w:val="18"/>
                <w:szCs w:val="18"/>
                <w:color w:val="auto"/>
              </w:rPr>
              <w:t>416,933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w w:val="95"/>
              </w:rPr>
              <w:t>223,284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-46.4%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598,541</w:t>
            </w:r>
          </w:p>
        </w:tc>
        <w:tc>
          <w:tcPr>
            <w:tcW w:w="22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231"/>
              <w:spacing w:after="0"/>
              <w:rPr>
                <w:sz w:val="20"/>
                <w:szCs w:val="20"/>
                <w:color w:val="auto"/>
              </w:rPr>
            </w:pPr>
            <w:r>
              <w:rPr>
                <w:rFonts w:ascii="Arial" w:cs="Arial" w:eastAsia="Arial" w:hAnsi="Arial"/>
                <w:sz w:val="18"/>
                <w:szCs w:val="18"/>
                <w:color w:val="auto"/>
              </w:rPr>
              <w:t>599,717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5"/>
              </w:rPr>
              <w:t>644,321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8"/>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6"/>
          </w:tcPr>
          <w:p>
            <w:pPr>
              <w:ind w:left="18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rPr>
              <w:t>2Q20</w:t>
            </w:r>
          </w:p>
        </w:tc>
        <w:tc>
          <w:tcPr>
            <w:tcW w:w="2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1Q21</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2Q21</w:t>
            </w:r>
          </w:p>
        </w:tc>
        <w:tc>
          <w:tcPr>
            <w:tcW w:w="3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gridSpan w:val="2"/>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Jun 20</w:t>
            </w:r>
          </w:p>
        </w:tc>
        <w:tc>
          <w:tcPr>
            <w:tcW w:w="36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7"/>
              </w:rPr>
              <w:t>Jun 21</w:t>
            </w: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Jun 21 / Jun 20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from commissions</w:t>
            </w:r>
          </w:p>
        </w:tc>
        <w:tc>
          <w:tcPr>
            <w:tcW w:w="7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72,296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97,600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97,331</w:t>
            </w:r>
          </w:p>
        </w:tc>
        <w:tc>
          <w:tcPr>
            <w:tcW w:w="3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40"/>
              <w:spacing w:after="0" w:line="206" w:lineRule="exact"/>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175,529</w:t>
            </w: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w w:val="86"/>
              </w:rPr>
              <w:t>194,932</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(30,129)</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(38,878)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(38,412)</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000" w:type="dxa"/>
            <w:vAlign w:val="bottom"/>
            <w:gridSpan w:val="3"/>
          </w:tcPr>
          <w:p>
            <w:pPr>
              <w:jc w:val="right"/>
              <w:ind w:right="211"/>
              <w:spacing w:after="0"/>
              <w:rPr>
                <w:sz w:val="20"/>
                <w:szCs w:val="20"/>
                <w:color w:val="auto"/>
              </w:rPr>
            </w:pPr>
            <w:r>
              <w:rPr>
                <w:rFonts w:ascii="Arial" w:cs="Arial" w:eastAsia="Arial" w:hAnsi="Arial"/>
                <w:sz w:val="18"/>
                <w:szCs w:val="18"/>
                <w:color w:val="auto"/>
              </w:rPr>
              <w:t>(65,936)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(77,290)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(6,126)</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(5,923)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(5,541)</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11"/>
              <w:spacing w:after="0"/>
              <w:rPr>
                <w:sz w:val="20"/>
                <w:szCs w:val="20"/>
                <w:color w:val="auto"/>
              </w:rPr>
            </w:pPr>
            <w:r>
              <w:rPr>
                <w:rFonts w:ascii="Arial" w:cs="Arial" w:eastAsia="Arial" w:hAnsi="Arial"/>
                <w:sz w:val="18"/>
                <w:szCs w:val="18"/>
                <w:color w:val="auto"/>
              </w:rPr>
              <w:t>(12,226)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(11,465)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36,041</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52,799</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53,378</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48.1%</w:t>
            </w:r>
          </w:p>
        </w:tc>
        <w:tc>
          <w:tcPr>
            <w:tcW w:w="80" w:type="dxa"/>
            <w:vAlign w:val="bottom"/>
          </w:tcPr>
          <w:p>
            <w:pPr>
              <w:spacing w:after="0"/>
              <w:rPr>
                <w:sz w:val="18"/>
                <w:szCs w:val="18"/>
                <w:color w:val="auto"/>
              </w:rPr>
            </w:pPr>
          </w:p>
        </w:tc>
        <w:tc>
          <w:tcPr>
            <w:tcW w:w="1000" w:type="dxa"/>
            <w:vAlign w:val="bottom"/>
            <w:gridSpan w:val="3"/>
          </w:tcPr>
          <w:p>
            <w:pPr>
              <w:jc w:val="right"/>
              <w:ind w:right="271"/>
              <w:spacing w:after="0"/>
              <w:rPr>
                <w:sz w:val="20"/>
                <w:szCs w:val="20"/>
                <w:color w:val="auto"/>
              </w:rPr>
            </w:pPr>
            <w:r>
              <w:rPr>
                <w:rFonts w:ascii="Arial" w:cs="Arial" w:eastAsia="Arial" w:hAnsi="Arial"/>
                <w:sz w:val="18"/>
                <w:szCs w:val="18"/>
                <w:b w:val="1"/>
                <w:bCs w:val="1"/>
                <w:color w:val="auto"/>
              </w:rPr>
              <w:t>97,367</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106,177</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Other income and expenses, net (profitability</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of lace) (*)</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24,020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3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-523.3%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211"/>
              <w:spacing w:after="0"/>
              <w:rPr>
                <w:sz w:val="20"/>
                <w:szCs w:val="20"/>
                <w:color w:val="auto"/>
              </w:rPr>
            </w:pPr>
            <w:r>
              <w:rPr>
                <w:rFonts w:ascii="Arial" w:cs="Arial" w:eastAsia="Arial" w:hAnsi="Arial"/>
                <w:sz w:val="18"/>
                <w:szCs w:val="18"/>
                <w:color w:val="auto"/>
              </w:rPr>
              <w:t>(20,913)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Income tax</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(8,759)</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(16,227)</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(16,134)</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-0.6%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1000" w:type="dxa"/>
            <w:vAlign w:val="bottom"/>
            <w:gridSpan w:val="3"/>
          </w:tcPr>
          <w:p>
            <w:pPr>
              <w:jc w:val="right"/>
              <w:ind w:right="211"/>
              <w:spacing w:after="0"/>
              <w:rPr>
                <w:sz w:val="20"/>
                <w:szCs w:val="20"/>
                <w:color w:val="auto"/>
              </w:rPr>
            </w:pPr>
            <w:r>
              <w:rPr>
                <w:rFonts w:ascii="Arial" w:cs="Arial" w:eastAsia="Arial" w:hAnsi="Arial"/>
                <w:sz w:val="18"/>
                <w:szCs w:val="18"/>
                <w:color w:val="auto"/>
              </w:rPr>
              <w:t>(28,914)</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(32,361)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51,302</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35,018</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43,822</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47,540</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78,840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8"/>
                <w:szCs w:val="18"/>
                <w:color w:val="auto"/>
              </w:rPr>
              <w:t>Translations results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(422)</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479</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-213.5%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-782.2%</w:t>
            </w:r>
          </w:p>
        </w:tc>
        <w:tc>
          <w:tcPr>
            <w:tcW w:w="80" w:type="dxa"/>
            <w:vAlign w:val="bottom"/>
          </w:tcPr>
          <w:p>
            <w:pPr>
              <w:spacing w:after="0"/>
              <w:rPr>
                <w:sz w:val="18"/>
                <w:szCs w:val="18"/>
                <w:color w:val="auto"/>
              </w:rPr>
            </w:pPr>
          </w:p>
        </w:tc>
        <w:tc>
          <w:tcPr>
            <w:tcW w:w="1000" w:type="dxa"/>
            <w:vAlign w:val="bottom"/>
            <w:gridSpan w:val="3"/>
          </w:tcPr>
          <w:p>
            <w:pPr>
              <w:jc w:val="right"/>
              <w:ind w:right="211"/>
              <w:spacing w:after="0"/>
              <w:rPr>
                <w:sz w:val="20"/>
                <w:szCs w:val="20"/>
                <w:color w:val="auto"/>
              </w:rPr>
            </w:pPr>
            <w:r>
              <w:rPr>
                <w:rFonts w:ascii="Arial" w:cs="Arial" w:eastAsia="Arial" w:hAnsi="Arial"/>
                <w:sz w:val="18"/>
                <w:szCs w:val="18"/>
                <w:color w:val="auto"/>
              </w:rPr>
              <w:t>(387)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51,232</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34,596</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44,301</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47,153</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78,897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ROAE (1)</w:t>
            </w: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35.8%</w:t>
            </w:r>
          </w:p>
        </w:tc>
        <w:tc>
          <w:tcPr>
            <w:tcW w:w="94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21.3%</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-728</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restart"/>
          </w:tcPr>
          <w:p>
            <w:pPr>
              <w:jc w:val="right"/>
              <w:ind w:right="91"/>
              <w:spacing w:after="0"/>
              <w:rPr>
                <w:sz w:val="20"/>
                <w:szCs w:val="20"/>
                <w:color w:val="auto"/>
              </w:rPr>
            </w:pPr>
            <w:r>
              <w:rPr>
                <w:rFonts w:ascii="Arial" w:cs="Arial" w:eastAsia="Arial" w:hAnsi="Arial"/>
                <w:sz w:val="18"/>
                <w:szCs w:val="18"/>
                <w:b w:val="1"/>
                <w:bCs w:val="1"/>
                <w:color w:val="auto"/>
              </w:rPr>
              <w:t>14.5%</w:t>
            </w: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23.5%</w:t>
            </w: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720 pbs</w:t>
            </w:r>
          </w:p>
        </w:tc>
        <w:tc>
          <w:tcPr>
            <w:tcW w:w="920" w:type="dxa"/>
            <w:vAlign w:val="bottom"/>
            <w:gridSpan w:val="3"/>
          </w:tcPr>
          <w:p>
            <w:pPr>
              <w:ind w:left="360"/>
              <w:spacing w:after="0"/>
              <w:rPr>
                <w:sz w:val="20"/>
                <w:szCs w:val="20"/>
                <w:color w:val="auto"/>
              </w:rPr>
            </w:pPr>
            <w:r>
              <w:rPr>
                <w:rFonts w:ascii="Arial" w:cs="Arial" w:eastAsia="Arial" w:hAnsi="Arial"/>
                <w:sz w:val="18"/>
                <w:szCs w:val="18"/>
                <w:b w:val="1"/>
                <w:bCs w:val="1"/>
                <w:color w:val="auto"/>
              </w:rPr>
              <w:t>pbs</w:t>
            </w:r>
          </w:p>
        </w:tc>
        <w:tc>
          <w:tcPr>
            <w:tcW w:w="1000" w:type="dxa"/>
            <w:vAlign w:val="bottom"/>
            <w:gridSpan w:val="3"/>
            <w:vMerge w:val="continue"/>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892 pbs</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60" w:hanging="254"/>
        <w:spacing w:after="0"/>
        <w:tabs>
          <w:tab w:leader="none" w:pos="2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net profitability of lace and mutual funds is being presented net of taxes, for which the retroactive change was made (it was presented gross before)</w:t>
      </w:r>
    </w:p>
    <w:p>
      <w:pPr>
        <w:spacing w:after="0" w:line="5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 Net shareholders' equity includes unrealized gains from Prima's investment portfolio.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91"/>
              </w:rPr>
              <w:t>Funds under management</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91"/>
              </w:rPr>
              <w:t>Funds under management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w w:val="94"/>
              </w:rPr>
              <w:t>Mar 21</w:t>
            </w:r>
          </w:p>
        </w:tc>
        <w:tc>
          <w:tcPr>
            <w:tcW w:w="120" w:type="dxa"/>
            <w:vAlign w:val="bottom"/>
          </w:tcPr>
          <w:p>
            <w:pPr>
              <w:spacing w:after="0"/>
              <w:rPr>
                <w:sz w:val="24"/>
                <w:szCs w:val="24"/>
                <w:color w:val="auto"/>
              </w:rPr>
            </w:pPr>
          </w:p>
        </w:tc>
        <w:tc>
          <w:tcPr>
            <w:tcW w:w="1300" w:type="dxa"/>
            <w:vAlign w:val="bottom"/>
            <w:gridSpan w:val="3"/>
          </w:tcPr>
          <w:p>
            <w:pPr>
              <w:jc w:val="right"/>
              <w:ind w:right="403"/>
              <w:spacing w:after="0"/>
              <w:rPr>
                <w:sz w:val="20"/>
                <w:szCs w:val="20"/>
                <w:color w:val="auto"/>
              </w:rPr>
            </w:pPr>
            <w:r>
              <w:rPr>
                <w:rFonts w:ascii="Arial" w:cs="Arial" w:eastAsia="Arial" w:hAnsi="Arial"/>
                <w:sz w:val="18"/>
                <w:szCs w:val="18"/>
                <w:b w:val="1"/>
                <w:bCs w:val="1"/>
                <w:color w:val="auto"/>
              </w:rPr>
              <w:t>% share</w:t>
            </w:r>
          </w:p>
        </w:tc>
        <w:tc>
          <w:tcPr>
            <w:tcW w:w="180" w:type="dxa"/>
            <w:vAlign w:val="bottom"/>
          </w:tcPr>
          <w:p>
            <w:pPr>
              <w:spacing w:after="0"/>
              <w:rPr>
                <w:sz w:val="24"/>
                <w:szCs w:val="24"/>
                <w:color w:val="auto"/>
              </w:rPr>
            </w:pPr>
          </w:p>
        </w:tc>
        <w:tc>
          <w:tcPr>
            <w:tcW w:w="174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Jun 21</w:t>
            </w:r>
          </w:p>
        </w:tc>
        <w:tc>
          <w:tcPr>
            <w:tcW w:w="1180" w:type="dxa"/>
            <w:vAlign w:val="bottom"/>
            <w:gridSpan w:val="3"/>
          </w:tcPr>
          <w:p>
            <w:pPr>
              <w:jc w:val="right"/>
              <w:ind w:right="371"/>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Fund 1</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34,377</w:t>
            </w:r>
          </w:p>
        </w:tc>
        <w:tc>
          <w:tcPr>
            <w:tcW w:w="10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Fund 3</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5,027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S/ Millions</w:t>
            </w:r>
          </w:p>
        </w:tc>
        <w:tc>
          <w:tcPr>
            <w:tcW w:w="7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48,198</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left w:val="single" w:sz="8" w:color="CCEEFF"/>
              <w:bottom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47,114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17"/>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gridSpan w:val="10"/>
          </w:tcPr>
          <w:p>
            <w:pPr>
              <w:jc w:val="right"/>
              <w:ind w:right="140"/>
              <w:spacing w:after="0"/>
              <w:rPr>
                <w:sz w:val="20"/>
                <w:szCs w:val="20"/>
                <w:color w:val="auto"/>
              </w:rPr>
            </w:pPr>
            <w:r>
              <w:rPr>
                <w:rFonts w:ascii="Arial" w:cs="Arial" w:eastAsia="Arial" w:hAnsi="Arial"/>
                <w:sz w:val="18"/>
                <w:szCs w:val="18"/>
                <w:b w:val="1"/>
                <w:bCs w:val="1"/>
                <w:color w:val="auto"/>
                <w:w w:val="96"/>
              </w:rPr>
              <w:t>Mar 21 / Mar 20   Jun 21 / Jun 20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7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left w:val="single" w:sz="8" w:color="CCEEFF"/>
            </w:tcBorders>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Fund 1</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Fund 3</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Fee based on flow</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1.60%</w:t>
            </w:r>
          </w:p>
        </w:tc>
        <w:tc>
          <w:tcPr>
            <w:tcW w:w="39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Applied to the affiliates' monthly remuneration.</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Flow</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0.18%</w:t>
            </w:r>
          </w:p>
        </w:tc>
        <w:tc>
          <w:tcPr>
            <w:tcW w:w="72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740" w:type="dxa"/>
            <w:vAlign w:val="bottom"/>
          </w:tcPr>
          <w:p>
            <w:pPr>
              <w:spacing w:after="0"/>
              <w:rPr>
                <w:sz w:val="17"/>
                <w:szCs w:val="17"/>
                <w:color w:val="auto"/>
              </w:rPr>
            </w:pPr>
          </w:p>
        </w:tc>
        <w:tc>
          <w:tcPr>
            <w:tcW w:w="8420" w:type="dxa"/>
            <w:vAlign w:val="bottom"/>
            <w:gridSpan w:val="26"/>
          </w:tcPr>
          <w:p>
            <w:pPr>
              <w:spacing w:after="0" w:line="201" w:lineRule="exact"/>
              <w:rPr>
                <w:sz w:val="20"/>
                <w:szCs w:val="20"/>
                <w:color w:val="auto"/>
              </w:rPr>
            </w:pPr>
            <w:r>
              <w:rPr>
                <w:rFonts w:ascii="Arial" w:cs="Arial" w:eastAsia="Arial" w:hAnsi="Arial"/>
                <w:sz w:val="18"/>
                <w:szCs w:val="18"/>
                <w:color w:val="auto"/>
                <w:w w:val="90"/>
              </w:rPr>
              <w:t>Applies annualy to the new balance since February 2013 for new affiliates to the system and beginning on June 2013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60" w:type="dxa"/>
            <w:vAlign w:val="bottom"/>
            <w:gridSpan w:val="16"/>
          </w:tcPr>
          <w:p>
            <w:pPr>
              <w:ind w:left="60"/>
              <w:spacing w:after="0"/>
              <w:rPr>
                <w:sz w:val="20"/>
                <w:szCs w:val="20"/>
                <w:color w:val="auto"/>
              </w:rPr>
            </w:pPr>
            <w:r>
              <w:rPr>
                <w:rFonts w:ascii="Arial" w:cs="Arial" w:eastAsia="Arial" w:hAnsi="Arial"/>
                <w:sz w:val="18"/>
                <w:szCs w:val="18"/>
                <w:color w:val="auto"/>
              </w:rPr>
              <w:t>1.25%   for old affiliates who have chosen this commission scheme.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Prima</w:t>
            </w:r>
          </w:p>
        </w:tc>
        <w:tc>
          <w:tcPr>
            <w:tcW w:w="22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System</w:t>
            </w:r>
          </w:p>
        </w:tc>
        <w:tc>
          <w:tcPr>
            <w:tcW w:w="120" w:type="dxa"/>
            <w:vAlign w:val="bottom"/>
          </w:tcPr>
          <w:p>
            <w:pPr>
              <w:spacing w:after="0"/>
              <w:rPr>
                <w:sz w:val="24"/>
                <w:szCs w:val="24"/>
                <w:color w:val="auto"/>
              </w:rPr>
            </w:pPr>
          </w:p>
        </w:tc>
        <w:tc>
          <w:tcPr>
            <w:tcW w:w="1300" w:type="dxa"/>
            <w:vAlign w:val="bottom"/>
            <w:gridSpan w:val="3"/>
          </w:tcPr>
          <w:p>
            <w:pPr>
              <w:jc w:val="right"/>
              <w:ind w:right="483"/>
              <w:spacing w:after="0"/>
              <w:rPr>
                <w:sz w:val="20"/>
                <w:szCs w:val="20"/>
                <w:color w:val="auto"/>
              </w:rPr>
            </w:pPr>
            <w:r>
              <w:rPr>
                <w:rFonts w:ascii="Arial" w:cs="Arial" w:eastAsia="Arial" w:hAnsi="Arial"/>
                <w:sz w:val="18"/>
                <w:szCs w:val="18"/>
                <w:b w:val="1"/>
                <w:bCs w:val="1"/>
                <w:color w:val="auto"/>
              </w:rPr>
              <w:t>% share</w:t>
            </w:r>
          </w:p>
        </w:tc>
        <w:tc>
          <w:tcPr>
            <w:tcW w:w="8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Prima</w:t>
            </w:r>
          </w:p>
        </w:tc>
        <w:tc>
          <w:tcPr>
            <w:tcW w:w="140" w:type="dxa"/>
            <w:vAlign w:val="bottom"/>
          </w:tcPr>
          <w:p>
            <w:pPr>
              <w:spacing w:after="0"/>
              <w:rPr>
                <w:sz w:val="24"/>
                <w:szCs w:val="24"/>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System</w:t>
            </w:r>
          </w:p>
        </w:tc>
        <w:tc>
          <w:tcPr>
            <w:tcW w:w="140" w:type="dxa"/>
            <w:vAlign w:val="bottom"/>
          </w:tcPr>
          <w:p>
            <w:pPr>
              <w:spacing w:after="0"/>
              <w:rPr>
                <w:sz w:val="24"/>
                <w:szCs w:val="24"/>
                <w:color w:val="auto"/>
              </w:rPr>
            </w:pPr>
          </w:p>
        </w:tc>
        <w:tc>
          <w:tcPr>
            <w:tcW w:w="1040" w:type="dxa"/>
            <w:vAlign w:val="bottom"/>
            <w:gridSpan w:val="2"/>
          </w:tcPr>
          <w:p>
            <w:pPr>
              <w:jc w:val="right"/>
              <w:ind w:right="211"/>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30"/>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w w:val="97"/>
              </w:rPr>
              <w:t>Main indicators and market share</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1Q21</w:t>
            </w:r>
          </w:p>
        </w:tc>
        <w:tc>
          <w:tcPr>
            <w:tcW w:w="220" w:type="dxa"/>
            <w:vAlign w:val="bottom"/>
          </w:tcPr>
          <w:p>
            <w:pPr>
              <w:spacing w:after="0"/>
              <w:rPr>
                <w:sz w:val="20"/>
                <w:szCs w:val="20"/>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1Q21</w:t>
            </w:r>
          </w:p>
        </w:tc>
        <w:tc>
          <w:tcPr>
            <w:tcW w:w="120" w:type="dxa"/>
            <w:vAlign w:val="bottom"/>
          </w:tcPr>
          <w:p>
            <w:pPr>
              <w:spacing w:after="0"/>
              <w:rPr>
                <w:sz w:val="20"/>
                <w:szCs w:val="20"/>
                <w:color w:val="auto"/>
              </w:rPr>
            </w:pPr>
          </w:p>
        </w:tc>
        <w:tc>
          <w:tcPr>
            <w:tcW w:w="1300" w:type="dxa"/>
            <w:vAlign w:val="bottom"/>
            <w:gridSpan w:val="3"/>
          </w:tcPr>
          <w:p>
            <w:pPr>
              <w:jc w:val="right"/>
              <w:ind w:right="583"/>
              <w:spacing w:after="0"/>
              <w:rPr>
                <w:sz w:val="20"/>
                <w:szCs w:val="20"/>
                <w:color w:val="auto"/>
              </w:rPr>
            </w:pPr>
            <w:r>
              <w:rPr>
                <w:rFonts w:ascii="Arial" w:cs="Arial" w:eastAsia="Arial" w:hAnsi="Arial"/>
                <w:sz w:val="18"/>
                <w:szCs w:val="18"/>
                <w:b w:val="1"/>
                <w:bCs w:val="1"/>
                <w:color w:val="auto"/>
              </w:rPr>
              <w:t>1Q21</w:t>
            </w:r>
          </w:p>
        </w:tc>
        <w:tc>
          <w:tcPr>
            <w:tcW w:w="8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2Q21</w:t>
            </w:r>
          </w:p>
        </w:tc>
        <w:tc>
          <w:tcPr>
            <w:tcW w:w="140" w:type="dxa"/>
            <w:vAlign w:val="bottom"/>
          </w:tcPr>
          <w:p>
            <w:pPr>
              <w:spacing w:after="0"/>
              <w:rPr>
                <w:sz w:val="20"/>
                <w:szCs w:val="20"/>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2Q21</w:t>
            </w:r>
          </w:p>
        </w:tc>
        <w:tc>
          <w:tcPr>
            <w:tcW w:w="140" w:type="dxa"/>
            <w:vAlign w:val="bottom"/>
          </w:tcPr>
          <w:p>
            <w:pPr>
              <w:spacing w:after="0"/>
              <w:rPr>
                <w:sz w:val="20"/>
                <w:szCs w:val="20"/>
                <w:color w:val="auto"/>
              </w:rPr>
            </w:pPr>
          </w:p>
        </w:tc>
        <w:tc>
          <w:tcPr>
            <w:tcW w:w="1040" w:type="dxa"/>
            <w:vAlign w:val="bottom"/>
            <w:gridSpan w:val="2"/>
          </w:tcPr>
          <w:p>
            <w:pPr>
              <w:jc w:val="right"/>
              <w:ind w:right="311"/>
              <w:spacing w:after="0"/>
              <w:rPr>
                <w:sz w:val="20"/>
                <w:szCs w:val="20"/>
                <w:color w:val="auto"/>
              </w:rPr>
            </w:pPr>
            <w:r>
              <w:rPr>
                <w:rFonts w:ascii="Arial" w:cs="Arial" w:eastAsia="Arial" w:hAnsi="Arial"/>
                <w:sz w:val="18"/>
                <w:szCs w:val="18"/>
                <w:b w:val="1"/>
                <w:bCs w:val="1"/>
                <w:color w:val="auto"/>
              </w:rPr>
              <w:t>2Q21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2060" w:type="dxa"/>
            <w:vAlign w:val="bottom"/>
            <w:shd w:val="clear" w:color="auto" w:fill="CCEEFF"/>
          </w:tcPr>
          <w:p>
            <w:pPr>
              <w:ind w:left="20"/>
              <w:spacing w:after="0" w:line="246" w:lineRule="exact"/>
              <w:rPr>
                <w:sz w:val="20"/>
                <w:szCs w:val="20"/>
                <w:color w:val="auto"/>
              </w:rPr>
            </w:pPr>
            <w:r>
              <w:rPr>
                <w:rFonts w:ascii="Arial" w:cs="Arial" w:eastAsia="Arial" w:hAnsi="Arial"/>
                <w:sz w:val="17"/>
                <w:szCs w:val="17"/>
                <w:color w:val="auto"/>
              </w:rPr>
              <w:t xml:space="preserve">Affiliates </w:t>
            </w:r>
            <w:r>
              <w:rPr>
                <w:rFonts w:ascii="Arial" w:cs="Arial" w:eastAsia="Arial" w:hAnsi="Arial"/>
                <w:sz w:val="28"/>
                <w:szCs w:val="28"/>
                <w:color w:val="auto"/>
                <w:vertAlign w:val="superscript"/>
              </w:rPr>
              <w:t>(1)</w:t>
            </w:r>
          </w:p>
        </w:tc>
        <w:tc>
          <w:tcPr>
            <w:tcW w:w="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2,357,334</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7,878,727</w:t>
            </w:r>
          </w:p>
        </w:tc>
        <w:tc>
          <w:tcPr>
            <w:tcW w:w="10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2,354,819</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7,946,062</w:t>
            </w:r>
          </w:p>
        </w:tc>
        <w:tc>
          <w:tcPr>
            <w:tcW w:w="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tcPr>
          <w:p>
            <w:pPr>
              <w:ind w:left="20"/>
              <w:spacing w:after="0" w:line="252"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(1)(2)</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102,645</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71,738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Funds under management (S/ Millions)</w:t>
            </w:r>
          </w:p>
        </w:tc>
        <w:tc>
          <w:tcPr>
            <w:tcW w:w="1100" w:type="dxa"/>
            <w:vAlign w:val="bottom"/>
            <w:shd w:val="clear" w:color="auto" w:fill="CCEEFF"/>
          </w:tcPr>
          <w:p>
            <w:pPr>
              <w:spacing w:after="0"/>
              <w:rPr>
                <w:sz w:val="18"/>
                <w:szCs w:val="18"/>
                <w:color w:val="auto"/>
              </w:rPr>
            </w:pPr>
          </w:p>
        </w:tc>
        <w:tc>
          <w:tcPr>
            <w:tcW w:w="1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48,198</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160,128</w:t>
            </w:r>
          </w:p>
        </w:tc>
        <w:tc>
          <w:tcPr>
            <w:tcW w:w="126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47,114</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158,148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tcPr>
          <w:p>
            <w:pPr>
              <w:ind w:left="20"/>
              <w:spacing w:after="0" w:line="252" w:lineRule="exact"/>
              <w:rPr>
                <w:sz w:val="20"/>
                <w:szCs w:val="20"/>
                <w:color w:val="auto"/>
              </w:rPr>
            </w:pPr>
            <w:r>
              <w:rPr>
                <w:rFonts w:ascii="Arial" w:cs="Arial" w:eastAsia="Arial" w:hAnsi="Arial"/>
                <w:sz w:val="18"/>
                <w:szCs w:val="18"/>
                <w:color w:val="auto"/>
                <w:w w:val="93"/>
              </w:rPr>
              <w:t xml:space="preserve">Collections (S/ Millions) </w:t>
            </w:r>
            <w:r>
              <w:rPr>
                <w:rFonts w:ascii="Arial" w:cs="Arial" w:eastAsia="Arial" w:hAnsi="Arial"/>
                <w:sz w:val="29"/>
                <w:szCs w:val="29"/>
                <w:color w:val="auto"/>
                <w:w w:val="93"/>
                <w:vertAlign w:val="superscript"/>
              </w:rPr>
              <w:t>(1)</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auto"/>
              </w:rPr>
              <w:t>959</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3,381</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644</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2,172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900" w:type="dxa"/>
            <w:vAlign w:val="bottom"/>
            <w:gridSpan w:val="3"/>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Voluntary contributions (S/ Millions) </w:t>
            </w:r>
            <w:r>
              <w:rPr>
                <w:rFonts w:ascii="Arial" w:cs="Arial" w:eastAsia="Arial" w:hAnsi="Arial"/>
                <w:sz w:val="29"/>
                <w:szCs w:val="29"/>
                <w:color w:val="auto"/>
                <w:vertAlign w:val="superscript"/>
              </w:rPr>
              <w:t>(1)</w:t>
            </w:r>
          </w:p>
        </w:tc>
        <w:tc>
          <w:tcPr>
            <w:tcW w:w="1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2,956</w:t>
            </w:r>
          </w:p>
        </w:tc>
        <w:tc>
          <w:tcPr>
            <w:tcW w:w="126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1,144</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2,666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29"/>
                <w:szCs w:val="29"/>
                <w:color w:val="auto"/>
                <w:vertAlign w:val="superscript"/>
              </w:rPr>
              <w:t>(1)(3)</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auto"/>
              </w:rPr>
              <w:t>1,319</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1,379</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4,479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17" w:lineRule="exact"/>
        <w:rPr>
          <w:sz w:val="20"/>
          <w:szCs w:val="20"/>
          <w:color w:val="auto"/>
        </w:rPr>
      </w:pPr>
    </w:p>
    <w:p>
      <w:pPr>
        <w:ind w:left="300" w:hanging="294"/>
        <w:spacing w:after="0"/>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Information available as of May 2021.</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Prima AFP estimate: Average of aggregated income for flow during the last 4 months, excluding special collections and voluntary contribution fees.</w:t>
      </w:r>
    </w:p>
    <w:p>
      <w:pPr>
        <w:sectPr>
          <w:pgSz w:w="11900" w:h="16838" w:orient="portrait"/>
          <w:cols w:equalWidth="0" w:num="1">
            <w:col w:w="11240"/>
          </w:cols>
          <w:pgMar w:left="320" w:top="891" w:right="339" w:bottom="0" w:gutter="0" w:footer="0" w:header="0"/>
        </w:sectPr>
      </w:pPr>
    </w:p>
    <w:bookmarkStart w:id="87" w:name="page88"/>
    <w:bookmarkEnd w:id="87"/>
    <w:p>
      <w:pPr>
        <w:ind w:left="9940"/>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33020</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12.11. Portfolio Quality indicators by Business Segment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149860</wp:posOffset>
            </wp:positionV>
            <wp:extent cx="6518910" cy="27152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18910" cy="271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149860</wp:posOffset>
            </wp:positionV>
            <wp:extent cx="6477000" cy="28924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77000" cy="289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9" w:name="page90"/>
    <w:bookmarkEnd w:id="89"/>
    <w:p>
      <w:pPr>
        <w:ind w:left="4080"/>
        <w:spacing w:after="0"/>
        <w:rPr>
          <w:sz w:val="20"/>
          <w:szCs w:val="20"/>
          <w:color w:val="auto"/>
        </w:rPr>
      </w:pPr>
      <w:r>
        <w:rPr>
          <w:rFonts w:ascii="Arial" w:cs="Arial" w:eastAsia="Arial" w:hAnsi="Arial"/>
          <w:sz w:val="18"/>
          <w:szCs w:val="18"/>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149860</wp:posOffset>
            </wp:positionV>
            <wp:extent cx="6477000" cy="28670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7700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149860</wp:posOffset>
            </wp:positionV>
            <wp:extent cx="6468110" cy="2807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68110" cy="280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1104" w:right="339" w:bottom="1440" w:gutter="0" w:footer="0" w:header="0"/>
        </w:sectPr>
      </w:pPr>
    </w:p>
    <w:bookmarkStart w:id="90" w:name="page91"/>
    <w:bookmarkEnd w:id="90"/>
    <w:p>
      <w:pPr>
        <w:ind w:left="4120"/>
        <w:spacing w:after="0"/>
        <w:rPr>
          <w:sz w:val="20"/>
          <w:szCs w:val="20"/>
          <w:color w:val="auto"/>
        </w:rPr>
      </w:pPr>
      <w:r>
        <w:rPr>
          <w:rFonts w:ascii="Arial" w:cs="Arial" w:eastAsia="Arial" w:hAnsi="Arial"/>
          <w:sz w:val="18"/>
          <w:szCs w:val="18"/>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149860</wp:posOffset>
            </wp:positionV>
            <wp:extent cx="6442710" cy="2825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42710"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149860</wp:posOffset>
            </wp:positionV>
            <wp:extent cx="6409055" cy="2807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09055" cy="280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91" w:name="page92"/>
    <w:bookmarkEnd w:id="91"/>
    <w:p>
      <w:pPr>
        <w:ind w:left="4160"/>
        <w:spacing w:after="0"/>
        <w:rPr>
          <w:sz w:val="20"/>
          <w:szCs w:val="20"/>
          <w:color w:val="auto"/>
        </w:rPr>
      </w:pPr>
      <w:r>
        <w:rPr>
          <w:rFonts w:ascii="Arial" w:cs="Arial" w:eastAsia="Arial" w:hAnsi="Arial"/>
          <w:sz w:val="18"/>
          <w:szCs w:val="18"/>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149860</wp:posOffset>
            </wp:positionV>
            <wp:extent cx="6544310" cy="28587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44310" cy="285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149860</wp:posOffset>
            </wp:positionV>
            <wp:extent cx="6417945" cy="2858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7945" cy="285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7134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12.12.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149860</wp:posOffset>
            </wp:positionV>
            <wp:extent cx="6544310" cy="64344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44310" cy="643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hanging="234"/>
        <w:spacing w:after="0"/>
        <w:tabs>
          <w:tab w:leader="none" w:pos="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5" w:lineRule="exact"/>
        <w:rPr>
          <w:rFonts w:ascii="Arial" w:cs="Arial" w:eastAsia="Arial" w:hAnsi="Arial"/>
          <w:sz w:val="18"/>
          <w:szCs w:val="18"/>
          <w:color w:val="auto"/>
        </w:rPr>
      </w:pPr>
    </w:p>
    <w:p>
      <w:pPr>
        <w:ind w:left="260" w:hanging="254"/>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5" w:lineRule="exact"/>
        <w:rPr>
          <w:rFonts w:ascii="Arial" w:cs="Arial" w:eastAsia="Arial" w:hAnsi="Arial"/>
          <w:sz w:val="18"/>
          <w:szCs w:val="18"/>
          <w:color w:val="auto"/>
        </w:rPr>
      </w:pPr>
    </w:p>
    <w:p>
      <w:pPr>
        <w:jc w:val="both"/>
        <w:ind w:firstLine="6"/>
        <w:spacing w:after="0" w:line="260" w:lineRule="auto"/>
        <w:tabs>
          <w:tab w:leader="none" w:pos="26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2" w:lineRule="exact"/>
        <w:rPr>
          <w:rFonts w:ascii="Arial" w:cs="Arial" w:eastAsia="Arial" w:hAnsi="Arial"/>
          <w:sz w:val="17"/>
          <w:szCs w:val="17"/>
          <w:color w:val="auto"/>
        </w:rPr>
      </w:pPr>
    </w:p>
    <w:p>
      <w:pPr>
        <w:ind w:left="260" w:hanging="254"/>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12.13. Glossary of terms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3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Government Program Loans (“GP or GP loans”)</w:t>
            </w:r>
          </w:p>
        </w:tc>
        <w:tc>
          <w:tcPr>
            <w:tcW w:w="6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Loan Portfolio related to Reactiva Peru and FAE-Mype to respond quickly and effectively to</w:t>
            </w:r>
          </w:p>
        </w:tc>
        <w:tc>
          <w:tcPr>
            <w:tcW w:w="0" w:type="dxa"/>
            <w:vAlign w:val="bottom"/>
          </w:tcPr>
          <w:p>
            <w:pPr>
              <w:spacing w:after="0"/>
              <w:rPr>
                <w:sz w:val="1"/>
                <w:szCs w:val="1"/>
                <w:color w:val="auto"/>
              </w:rPr>
            </w:pPr>
          </w:p>
        </w:tc>
      </w:tr>
      <w:tr>
        <w:trPr>
          <w:trHeight w:val="117"/>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liquidity needs and maintain the payment chain.</w:t>
            </w:r>
          </w:p>
        </w:tc>
        <w:tc>
          <w:tcPr>
            <w:tcW w:w="0" w:type="dxa"/>
            <w:vAlign w:val="bottom"/>
          </w:tcPr>
          <w:p>
            <w:pPr>
              <w:spacing w:after="0"/>
              <w:rPr>
                <w:sz w:val="1"/>
                <w:szCs w:val="1"/>
                <w:color w:val="auto"/>
              </w:rPr>
            </w:pPr>
          </w:p>
        </w:tc>
      </w:tr>
      <w:tr>
        <w:trPr>
          <w:trHeight w:val="106"/>
        </w:trPr>
        <w:tc>
          <w:tcPr>
            <w:tcW w:w="4300" w:type="dxa"/>
            <w:vAlign w:val="bottom"/>
            <w:tcBorders>
              <w:left w:val="single" w:sz="8" w:color="auto"/>
              <w:right w:val="single" w:sz="8" w:color="auto"/>
            </w:tcBorders>
          </w:tcPr>
          <w:p>
            <w:pPr>
              <w:spacing w:after="0"/>
              <w:rPr>
                <w:sz w:val="9"/>
                <w:szCs w:val="9"/>
                <w:color w:val="auto"/>
              </w:rPr>
            </w:pPr>
          </w:p>
        </w:tc>
        <w:tc>
          <w:tcPr>
            <w:tcW w:w="6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Loans</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Loan Portfolio excluding GP Loans</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3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One-off Impairment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One-off IFRS9 modification loss related to the zero-interest-rate loans to finance frozen</w:t>
            </w:r>
          </w:p>
        </w:tc>
        <w:tc>
          <w:tcPr>
            <w:tcW w:w="0" w:type="dxa"/>
            <w:vAlign w:val="bottom"/>
          </w:tcPr>
          <w:p>
            <w:pPr>
              <w:spacing w:after="0"/>
              <w:rPr>
                <w:sz w:val="1"/>
                <w:szCs w:val="1"/>
                <w:color w:val="auto"/>
              </w:rPr>
            </w:pPr>
          </w:p>
        </w:tc>
      </w:tr>
      <w:tr>
        <w:trPr>
          <w:trHeight w:val="117"/>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installments.</w:t>
            </w:r>
          </w:p>
        </w:tc>
        <w:tc>
          <w:tcPr>
            <w:tcW w:w="0" w:type="dxa"/>
            <w:vAlign w:val="bottom"/>
          </w:tcPr>
          <w:p>
            <w:pPr>
              <w:spacing w:after="0"/>
              <w:rPr>
                <w:sz w:val="1"/>
                <w:szCs w:val="1"/>
                <w:color w:val="auto"/>
              </w:rPr>
            </w:pPr>
          </w:p>
        </w:tc>
      </w:tr>
      <w:tr>
        <w:trPr>
          <w:trHeight w:val="106"/>
        </w:trPr>
        <w:tc>
          <w:tcPr>
            <w:tcW w:w="4300" w:type="dxa"/>
            <w:vAlign w:val="bottom"/>
            <w:tcBorders>
              <w:left w:val="single" w:sz="8" w:color="auto"/>
              <w:right w:val="single" w:sz="8" w:color="auto"/>
            </w:tcBorders>
          </w:tcPr>
          <w:p>
            <w:pPr>
              <w:spacing w:after="0"/>
              <w:rPr>
                <w:sz w:val="9"/>
                <w:szCs w:val="9"/>
                <w:color w:val="auto"/>
              </w:rPr>
            </w:pPr>
          </w:p>
        </w:tc>
        <w:tc>
          <w:tcPr>
            <w:tcW w:w="6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3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Structural Cost of risk</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Cost of Risk related to the Structural Loans. It excludes, in the numerator, provisions for credit</w:t>
            </w:r>
          </w:p>
        </w:tc>
        <w:tc>
          <w:tcPr>
            <w:tcW w:w="0" w:type="dxa"/>
            <w:vAlign w:val="bottom"/>
          </w:tcPr>
          <w:p>
            <w:pPr>
              <w:spacing w:after="0"/>
              <w:rPr>
                <w:sz w:val="1"/>
                <w:szCs w:val="1"/>
                <w:color w:val="auto"/>
              </w:rPr>
            </w:pPr>
          </w:p>
        </w:tc>
      </w:tr>
      <w:tr>
        <w:trPr>
          <w:trHeight w:val="117"/>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losses on GP loans, and in the denominators the total amount of GP Loans.</w:t>
            </w:r>
          </w:p>
        </w:tc>
        <w:tc>
          <w:tcPr>
            <w:tcW w:w="0" w:type="dxa"/>
            <w:vAlign w:val="bottom"/>
          </w:tcPr>
          <w:p>
            <w:pPr>
              <w:spacing w:after="0"/>
              <w:rPr>
                <w:sz w:val="1"/>
                <w:szCs w:val="1"/>
                <w:color w:val="auto"/>
              </w:rPr>
            </w:pPr>
          </w:p>
        </w:tc>
      </w:tr>
      <w:tr>
        <w:trPr>
          <w:trHeight w:val="106"/>
        </w:trPr>
        <w:tc>
          <w:tcPr>
            <w:tcW w:w="4300" w:type="dxa"/>
            <w:vAlign w:val="bottom"/>
            <w:tcBorders>
              <w:left w:val="single" w:sz="8" w:color="auto"/>
              <w:right w:val="single" w:sz="8" w:color="auto"/>
            </w:tcBorders>
          </w:tcPr>
          <w:p>
            <w:pPr>
              <w:spacing w:after="0"/>
              <w:rPr>
                <w:sz w:val="9"/>
                <w:szCs w:val="9"/>
                <w:color w:val="auto"/>
              </w:rPr>
            </w:pPr>
          </w:p>
        </w:tc>
        <w:tc>
          <w:tcPr>
            <w:tcW w:w="6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Internal Overdue Loans (IOL) ratio</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IOL Ratio related to the Structural Loans. It excludes the impact to GP Loans.</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Early delinquency (&gt;60 - &lt;150)</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Early Delinquency Ratio related to the Structural Loans. It excludes the impact of GP Loans</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NPL ratio</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NPL Ratio related to the Structural Loans. It excludes the impact of GP Loans.</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3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Structural NIM</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NIM related to Structural loans and other interest earning assets. It excludes the impact from</w:t>
            </w:r>
          </w:p>
        </w:tc>
        <w:tc>
          <w:tcPr>
            <w:tcW w:w="0" w:type="dxa"/>
            <w:vAlign w:val="bottom"/>
          </w:tcPr>
          <w:p>
            <w:pPr>
              <w:spacing w:after="0"/>
              <w:rPr>
                <w:sz w:val="1"/>
                <w:szCs w:val="1"/>
                <w:color w:val="auto"/>
              </w:rPr>
            </w:pPr>
          </w:p>
        </w:tc>
      </w:tr>
      <w:tr>
        <w:trPr>
          <w:trHeight w:val="117"/>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GP loans and the one-off impairment.</w:t>
            </w:r>
          </w:p>
        </w:tc>
        <w:tc>
          <w:tcPr>
            <w:tcW w:w="0" w:type="dxa"/>
            <w:vAlign w:val="bottom"/>
          </w:tcPr>
          <w:p>
            <w:pPr>
              <w:spacing w:after="0"/>
              <w:rPr>
                <w:sz w:val="1"/>
                <w:szCs w:val="1"/>
                <w:color w:val="auto"/>
              </w:rPr>
            </w:pPr>
          </w:p>
        </w:tc>
      </w:tr>
      <w:tr>
        <w:trPr>
          <w:trHeight w:val="106"/>
        </w:trPr>
        <w:tc>
          <w:tcPr>
            <w:tcW w:w="4300" w:type="dxa"/>
            <w:vAlign w:val="bottom"/>
            <w:tcBorders>
              <w:left w:val="single" w:sz="8" w:color="auto"/>
              <w:right w:val="single" w:sz="8" w:color="auto"/>
            </w:tcBorders>
          </w:tcPr>
          <w:p>
            <w:pPr>
              <w:spacing w:after="0"/>
              <w:rPr>
                <w:sz w:val="9"/>
                <w:szCs w:val="9"/>
                <w:color w:val="auto"/>
              </w:rPr>
            </w:pPr>
          </w:p>
        </w:tc>
        <w:tc>
          <w:tcPr>
            <w:tcW w:w="6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Structural Funding Cost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Funding Cost Ratio excluding the impact of Central Bank funding for GP Loans</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Adjusted Income Growth</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growth excluding the one-off impairment</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Adjusted Efficiency ratio</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Efficiency ratio excluding the one-off impairment from operating income.</w:t>
            </w:r>
          </w:p>
        </w:tc>
        <w:tc>
          <w:tcPr>
            <w:tcW w:w="0" w:type="dxa"/>
            <w:vAlign w:val="bottom"/>
          </w:tcPr>
          <w:p>
            <w:pPr>
              <w:spacing w:after="0"/>
              <w:rPr>
                <w:sz w:val="1"/>
                <w:szCs w:val="1"/>
                <w:color w:val="auto"/>
              </w:rPr>
            </w:pPr>
          </w:p>
        </w:tc>
      </w:tr>
      <w:tr>
        <w:trPr>
          <w:trHeight w:val="61"/>
        </w:trPr>
        <w:tc>
          <w:tcPr>
            <w:tcW w:w="4300" w:type="dxa"/>
            <w:vAlign w:val="bottom"/>
            <w:tcBorders>
              <w:left w:val="single" w:sz="8" w:color="auto"/>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7"/>
        </w:trPr>
        <w:tc>
          <w:tcPr>
            <w:tcW w:w="43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6760"/>
              <w:spacing w:after="0"/>
              <w:rPr>
                <w:sz w:val="20"/>
                <w:szCs w:val="20"/>
                <w:color w:val="auto"/>
              </w:rPr>
            </w:pPr>
            <w:r>
              <w:rPr>
                <w:rFonts w:ascii="Arial" w:cs="Arial" w:eastAsia="Arial" w:hAnsi="Arial"/>
                <w:sz w:val="17"/>
                <w:szCs w:val="17"/>
                <w:color w:val="auto"/>
                <w:w w:val="73"/>
              </w:rPr>
              <w:t>86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decimal"/>
      <w:start w:val="1"/>
    </w:lvl>
  </w:abstractNum>
  <w:abstractNum w:abstractNumId="2">
    <w:nsid w:val="180115BE"/>
    <w:multiLevelType w:val="hybridMultilevel"/>
    <w:lvl w:ilvl="0">
      <w:lvlJc w:val="left"/>
      <w:lvlText w:val="(%1)"/>
      <w:numFmt w:val="lowerRoman"/>
      <w:start w:val="1"/>
    </w:lvl>
  </w:abstractNum>
  <w:abstractNum w:abstractNumId="3">
    <w:nsid w:val="235BA861"/>
    <w:multiLevelType w:val="hybridMultilevel"/>
    <w:lvl w:ilvl="0">
      <w:lvlJc w:val="left"/>
      <w:lvlText w:val="(%1)"/>
      <w:numFmt w:val="lowerRoman"/>
      <w:start w:val="1"/>
    </w:lvl>
  </w:abstractNum>
  <w:abstractNum w:abstractNumId="4">
    <w:nsid w:val="47398C89"/>
    <w:multiLevelType w:val="hybridMultilevel"/>
    <w:lvl w:ilvl="0">
      <w:lvlJc w:val="left"/>
      <w:lvlText w:val="1"/>
      <w:numFmt w:val="bullet"/>
      <w:start w:val="1"/>
    </w:lvl>
  </w:abstractNum>
  <w:abstractNum w:abstractNumId="5">
    <w:nsid w:val="354FE9F9"/>
    <w:multiLevelType w:val="hybridMultilevel"/>
    <w:lvl w:ilvl="0">
      <w:lvlJc w:val="left"/>
      <w:lvlText w:val="(%1)"/>
      <w:numFmt w:val="lowerRoman"/>
      <w:start w:val="3"/>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1)"/>
      <w:numFmt w:val="decimal"/>
      <w:start w:val="1"/>
    </w:lvl>
  </w:abstractNum>
  <w:abstractNum w:abstractNumId="9">
    <w:nsid w:val="10233C99"/>
    <w:multiLevelType w:val="hybridMultilevel"/>
    <w:lvl w:ilvl="0">
      <w:lvlJc w:val="left"/>
      <w:lvlText w:val="%1."/>
      <w:numFmt w:val="decimal"/>
      <w:start w:val="2"/>
    </w:lvl>
  </w:abstractNum>
  <w:abstractNum w:abstractNumId="10">
    <w:nsid w:val="3F6AB60F"/>
    <w:multiLevelType w:val="hybridMultilevel"/>
    <w:lvl w:ilvl="0">
      <w:lvlJc w:val="left"/>
      <w:lvlText w:val="(%1)"/>
      <w:numFmt w:val="lowerRoman"/>
      <w:start w:val="1"/>
    </w:lvl>
  </w:abstractNum>
  <w:abstractNum w:abstractNumId="11">
    <w:nsid w:val="61574095"/>
    <w:multiLevelType w:val="hybridMultilevel"/>
    <w:lvl w:ilvl="0">
      <w:lvlJc w:val="left"/>
      <w:lvlText w:val="(%1)"/>
      <w:numFmt w:val="lowerRoman"/>
      <w:start w:val="1"/>
    </w:lvl>
  </w:abstractNum>
  <w:abstractNum w:abstractNumId="12">
    <w:nsid w:val="7E0C57B1"/>
    <w:multiLevelType w:val="hybridMultilevel"/>
    <w:lvl w:ilvl="0">
      <w:lvlJc w:val="left"/>
      <w:lvlText w:val="(%1)"/>
      <w:numFmt w:val="lowerRoman"/>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lowerRoman"/>
      <w:start w:val="1"/>
    </w:lvl>
    <w:lvl w:ilvl="1">
      <w:lvlJc w:val="left"/>
      <w:lvlText w:val="(%2)"/>
      <w:numFmt w:val="decimal"/>
      <w:start w:val="1"/>
    </w:lvl>
  </w:abstractNum>
  <w:abstractNum w:abstractNumId="18">
    <w:nsid w:val="25A70BF7"/>
    <w:multiLevelType w:val="hybridMultilevel"/>
    <w:lvl w:ilvl="0">
      <w:lvlJc w:val="left"/>
      <w:lvlText w:val="(%1)"/>
      <w:numFmt w:val="lowerRoman"/>
      <w:start w:val="1"/>
    </w:lvl>
    <w:lvl w:ilvl="1">
      <w:lvlJc w:val="left"/>
      <w:lvlText w:val="%2"/>
      <w:numFmt w:val="decimal"/>
      <w:start w:val="1"/>
    </w:lvl>
  </w:abstractNum>
  <w:abstractNum w:abstractNumId="19">
    <w:nsid w:val="1DBABF00"/>
    <w:multiLevelType w:val="hybridMultilevel"/>
    <w:lvl w:ilvl="0">
      <w:lvlJc w:val="left"/>
      <w:lvlText w:val="%1."/>
      <w:numFmt w:val="decimal"/>
      <w:start w:val="2"/>
    </w:lvl>
  </w:abstractNum>
  <w:abstractNum w:abstractNumId="20">
    <w:nsid w:val="4AD084E9"/>
    <w:multiLevelType w:val="hybridMultilevel"/>
    <w:lvl w:ilvl="0">
      <w:lvlJc w:val="left"/>
      <w:lvlText w:val="(%1)"/>
      <w:numFmt w:val="decimal"/>
      <w:start w:val="1"/>
    </w:lvl>
  </w:abstractNum>
  <w:abstractNum w:abstractNumId="21">
    <w:nsid w:val="1F48EAA1"/>
    <w:multiLevelType w:val="hybridMultilevel"/>
    <w:lvl w:ilvl="0">
      <w:lvlJc w:val="left"/>
      <w:lvlText w:val="(%1)"/>
      <w:numFmt w:val="lowerRoman"/>
      <w:start w:val="1"/>
    </w:lvl>
  </w:abstractNum>
  <w:abstractNum w:abstractNumId="22">
    <w:nsid w:val="1381823A"/>
    <w:multiLevelType w:val="hybridMultilevel"/>
    <w:lvl w:ilvl="0">
      <w:lvlJc w:val="left"/>
      <w:lvlText w:val="(%1)"/>
      <w:numFmt w:val="lowerRoman"/>
      <w:start w:val="1"/>
    </w:lvl>
  </w:abstractNum>
  <w:abstractNum w:abstractNumId="23">
    <w:nsid w:val="5DB70AE5"/>
    <w:multiLevelType w:val="hybridMultilevel"/>
    <w:lvl w:ilvl="0">
      <w:lvlJc w:val="left"/>
      <w:lvlText w:val="(%1)"/>
      <w:numFmt w:val="lowerRoman"/>
      <w:start w:val="1"/>
    </w:lvl>
  </w:abstractNum>
  <w:abstractNum w:abstractNumId="24">
    <w:nsid w:val="100F8FCA"/>
    <w:multiLevelType w:val="hybridMultilevel"/>
    <w:lvl w:ilvl="0">
      <w:lvlJc w:val="left"/>
      <w:lvlText w:val="(%1)"/>
      <w:numFmt w:val="lowerRoman"/>
      <w:start w:val="1"/>
    </w:lvl>
  </w:abstractNum>
  <w:abstractNum w:abstractNumId="25">
    <w:nsid w:val="6590700B"/>
    <w:multiLevelType w:val="hybridMultilevel"/>
    <w:lvl w:ilvl="0">
      <w:lvlJc w:val="left"/>
      <w:lvlText w:val="(%1)"/>
      <w:numFmt w:val="lowerRoman"/>
      <w:start w:val="1"/>
    </w:lvl>
    <w:lvl w:ilvl="1">
      <w:lvlJc w:val="left"/>
      <w:lvlText w:val="%2)"/>
      <w:numFmt w:val="lowerLetter"/>
      <w:start w:val="1"/>
    </w:lvl>
  </w:abstractNum>
  <w:abstractNum w:abstractNumId="26">
    <w:nsid w:val="15014ACB"/>
    <w:multiLevelType w:val="hybridMultilevel"/>
    <w:lvl w:ilvl="0">
      <w:lvlJc w:val="left"/>
      <w:lvlText w:val="(%1)"/>
      <w:numFmt w:val="lowerRoman"/>
      <w:start w:val="1"/>
    </w:lvl>
  </w:abstractNum>
  <w:abstractNum w:abstractNumId="27">
    <w:nsid w:val="5F5E7FD0"/>
    <w:multiLevelType w:val="hybridMultilevel"/>
    <w:lvl w:ilvl="0">
      <w:lvlJc w:val="left"/>
      <w:lvlText w:val="2"/>
      <w:numFmt w:val="bullet"/>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lvl w:ilvl="1">
      <w:lvlJc w:val="left"/>
      <w:lvlText w:val="(%2)"/>
      <w:numFmt w:val="lowerRoman"/>
      <w:start w:val="2"/>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1)"/>
      <w:numFmt w:val="lowerRoman"/>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lowerRoman"/>
      <w:start w:val="1"/>
    </w:lvl>
  </w:abstractNum>
  <w:abstractNum w:abstractNumId="35">
    <w:nsid w:val="5DC79EA8"/>
    <w:multiLevelType w:val="hybridMultilevel"/>
    <w:lvl w:ilvl="0">
      <w:lvlJc w:val="left"/>
      <w:lvlText w:val="(%1)"/>
      <w:numFmt w:val="lowerRoman"/>
      <w:start w:val="2"/>
    </w:lvl>
  </w:abstractNum>
  <w:abstractNum w:abstractNumId="36">
    <w:nsid w:val="540A471C"/>
    <w:multiLevelType w:val="hybridMultilevel"/>
    <w:lvl w:ilvl="0">
      <w:lvlJc w:val="left"/>
      <w:lvlText w:val="3"/>
      <w:numFmt w:val="bullet"/>
      <w:start w:val="1"/>
    </w:lvl>
  </w:abstractNum>
  <w:abstractNum w:abstractNumId="37">
    <w:nsid w:val="7BD3EE7B"/>
    <w:multiLevelType w:val="hybridMultilevel"/>
    <w:lvl w:ilvl="0">
      <w:lvlJc w:val="left"/>
      <w:lvlText w:val="(%1)"/>
      <w:numFmt w:val="lowerRoman"/>
      <w:start w:val="1"/>
    </w:lvl>
  </w:abstractNum>
  <w:abstractNum w:abstractNumId="38">
    <w:nsid w:val="51D9C564"/>
    <w:multiLevelType w:val="hybridMultilevel"/>
    <w:lvl w:ilvl="0">
      <w:lvlJc w:val="left"/>
      <w:lvlText w:val="4"/>
      <w:numFmt w:val="bullet"/>
      <w:start w:val="1"/>
    </w:lvl>
  </w:abstractNum>
  <w:abstractNum w:abstractNumId="39">
    <w:nsid w:val="613EFDC5"/>
    <w:multiLevelType w:val="hybridMultilevel"/>
    <w:lvl w:ilvl="0">
      <w:lvlJc w:val="left"/>
      <w:lvlText w:val="6"/>
      <w:numFmt w:val="bullet"/>
      <w:start w:val="1"/>
    </w:lvl>
  </w:abstractNum>
  <w:abstractNum w:abstractNumId="40">
    <w:nsid w:val="BF72B14"/>
    <w:multiLevelType w:val="hybridMultilevel"/>
    <w:lvl w:ilvl="0">
      <w:lvlJc w:val="left"/>
      <w:lvlText w:val="7"/>
      <w:numFmt w:val="bullet"/>
      <w:start w:val="1"/>
    </w:lvl>
  </w:abstractNum>
  <w:abstractNum w:abstractNumId="41">
    <w:nsid w:val="11447B73"/>
    <w:multiLevelType w:val="hybridMultilevel"/>
    <w:lvl w:ilvl="0">
      <w:lvlJc w:val="left"/>
      <w:lvlText w:val="(%1)"/>
      <w:numFmt w:val="lowerRoman"/>
      <w:start w:val="1"/>
    </w:lvl>
  </w:abstractNum>
  <w:abstractNum w:abstractNumId="42">
    <w:nsid w:val="42963E5A"/>
    <w:multiLevelType w:val="hybridMultilevel"/>
    <w:lvl w:ilvl="0">
      <w:lvlJc w:val="left"/>
      <w:lvlText w:val="8"/>
      <w:numFmt w:val="bullet"/>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1"/>
      <w:numFmt w:val="lowerRoman"/>
      <w:start w:val="1"/>
    </w:lvl>
    <w:lvl w:ilvl="1">
      <w:lvlJc w:val="left"/>
      <w:lvlText w:val="%2."/>
      <w:numFmt w:val="lowerLetter"/>
      <w:start w:val="1"/>
    </w:lvl>
  </w:abstractNum>
  <w:abstractNum w:abstractNumId="47">
    <w:nsid w:val="68EB2F63"/>
    <w:multiLevelType w:val="hybridMultilevel"/>
    <w:lvl w:ilvl="0">
      <w:lvlJc w:val="left"/>
      <w:lvlText w:val="(%1)"/>
      <w:numFmt w:val="lowerRoman"/>
      <w:start w:val="2"/>
    </w:lvl>
    <w:lvl w:ilvl="1">
      <w:lvlJc w:val="left"/>
      <w:lvlText w:val="%2"/>
      <w:numFmt w:val="lowerLetter"/>
      <w:start w:val="1"/>
    </w:lvl>
  </w:abstractNum>
  <w:abstractNum w:abstractNumId="48">
    <w:nsid w:val="4962813B"/>
    <w:multiLevelType w:val="hybridMultilevel"/>
    <w:lvl w:ilvl="0">
      <w:lvlJc w:val="left"/>
      <w:lvlText w:val="(%1)"/>
      <w:numFmt w:val="lowerRoman"/>
      <w:start w:val="1"/>
    </w:lvl>
  </w:abstractNum>
  <w:abstractNum w:abstractNumId="49">
    <w:nsid w:val="60B6DF70"/>
    <w:multiLevelType w:val="hybridMultilevel"/>
    <w:lvl w:ilvl="0">
      <w:lvlJc w:val="left"/>
      <w:lvlText w:val="9"/>
      <w:numFmt w:val="bullet"/>
      <w:start w:val="1"/>
    </w:lvl>
  </w:abstractNum>
  <w:abstractNum w:abstractNumId="50">
    <w:nsid w:val="6A5EE64"/>
    <w:multiLevelType w:val="hybridMultilevel"/>
    <w:lvl w:ilvl="0">
      <w:lvlJc w:val="left"/>
      <w:lvlText w:val="(%1)"/>
      <w:numFmt w:val="lowerRoman"/>
      <w:start w:val="2"/>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1)"/>
      <w:numFmt w:val="lowerRoman"/>
      <w:start w:val="1"/>
    </w:lvl>
    <w:lvl w:ilvl="1">
      <w:lvlJc w:val="left"/>
      <w:lvlText w:val="%2."/>
      <w:numFmt w:val="lowerLetter"/>
      <w:start w:val="1"/>
    </w:lvl>
  </w:abstractNum>
  <w:abstractNum w:abstractNumId="53">
    <w:nsid w:val="1A27709E"/>
    <w:multiLevelType w:val="hybridMultilevel"/>
    <w:lvl w:ilvl="0">
      <w:lvlJc w:val="left"/>
      <w:lvlText w:val="(%1)"/>
      <w:numFmt w:val="lowerRoman"/>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lowerRoman"/>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lowerRoman"/>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lowerRoman"/>
      <w:start w:val="4"/>
    </w:lvl>
  </w:abstractNum>
  <w:abstractNum w:abstractNumId="60">
    <w:nsid w:val="885E1B"/>
    <w:multiLevelType w:val="hybridMultilevel"/>
    <w:lvl w:ilvl="0">
      <w:lvlJc w:val="left"/>
      <w:lvlText w:val="(%1)"/>
      <w:numFmt w:val="decimal"/>
      <w:start w:val="12"/>
    </w:lvl>
  </w:abstractNum>
  <w:abstractNum w:abstractNumId="61">
    <w:nsid w:val="76272110"/>
    <w:multiLevelType w:val="hybridMultilevel"/>
    <w:lvl w:ilvl="0">
      <w:lvlJc w:val="left"/>
      <w:lvlText w:val="(%1)"/>
      <w:numFmt w:val="lowerRoman"/>
      <w:start w:val="1"/>
    </w:lvl>
  </w:abstractNum>
  <w:abstractNum w:abstractNumId="62">
    <w:nsid w:val="4C04A8AF"/>
    <w:multiLevelType w:val="hybridMultilevel"/>
    <w:lvl w:ilvl="0">
      <w:lvlJc w:val="left"/>
      <w:lvlText w:val="(%1)"/>
      <w:numFmt w:val="decimal"/>
      <w:start w:val="1"/>
    </w:lvl>
  </w:abstractNum>
  <w:abstractNum w:abstractNumId="63">
    <w:nsid w:val="1716703B"/>
    <w:multiLevelType w:val="hybridMultilevel"/>
    <w:lvl w:ilvl="0">
      <w:lvlJc w:val="left"/>
      <w:lvlText w:val="(%1)"/>
      <w:numFmt w:val="lowerRoman"/>
      <w:start w:val="1"/>
    </w:lvl>
  </w:abstractNum>
  <w:abstractNum w:abstractNumId="64">
    <w:nsid w:val="14E17E33"/>
    <w:multiLevelType w:val="hybridMultilevel"/>
    <w:lvl w:ilvl="0">
      <w:lvlJc w:val="left"/>
      <w:lvlText w:val="(%1)"/>
      <w:numFmt w:val="lowerRoman"/>
      <w:start w:val="1"/>
    </w:lvl>
  </w:abstractNum>
  <w:abstractNum w:abstractNumId="65">
    <w:nsid w:val="3222E7CD"/>
    <w:multiLevelType w:val="hybridMultilevel"/>
    <w:lvl w:ilvl="0">
      <w:lvlJc w:val="left"/>
      <w:lvlText w:val="(%1)"/>
      <w:numFmt w:val="lowerRoman"/>
      <w:start w:val="1"/>
    </w:lvl>
  </w:abstractNum>
  <w:abstractNum w:abstractNumId="66">
    <w:nsid w:val="74DE0EE3"/>
    <w:multiLevelType w:val="hybridMultilevel"/>
    <w:lvl w:ilvl="0">
      <w:lvlJc w:val="left"/>
      <w:lvlText w:val="(%1)"/>
      <w:numFmt w:val="lowerRoman"/>
      <w:start w:val="1"/>
    </w:lvl>
  </w:abstractNum>
  <w:abstractNum w:abstractNumId="67">
    <w:nsid w:val="68EBC550"/>
    <w:multiLevelType w:val="hybridMultilevel"/>
    <w:lvl w:ilvl="0">
      <w:lvlJc w:val="left"/>
      <w:lvlText w:val="(%1)"/>
      <w:numFmt w:val="lowerRoman"/>
      <w:start w:val="1"/>
    </w:lvl>
  </w:abstractNum>
  <w:abstractNum w:abstractNumId="68">
    <w:nsid w:val="2DF6D648"/>
    <w:multiLevelType w:val="hybridMultilevel"/>
    <w:lvl w:ilvl="0">
      <w:lvlJc w:val="left"/>
      <w:lvlText w:val="%1."/>
      <w:numFmt w:val="decimal"/>
      <w:start w:val="8"/>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lowerRoman"/>
      <w:start w:val="1"/>
    </w:lvl>
  </w:abstractNum>
  <w:abstractNum w:abstractNumId="72">
    <w:nsid w:val="57FC4FBB"/>
    <w:multiLevelType w:val="hybridMultilevel"/>
    <w:lvl w:ilvl="0">
      <w:lvlJc w:val="left"/>
      <w:lvlText w:val="(%1)"/>
      <w:numFmt w:val="lowerRoman"/>
      <w:start w:val="3"/>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lowerRoman"/>
      <w:start w:val="1"/>
    </w:lvl>
  </w:abstractNum>
  <w:abstractNum w:abstractNumId="75">
    <w:nsid w:val="60EF0119"/>
    <w:multiLevelType w:val="hybridMultilevel"/>
    <w:lvl w:ilvl="0">
      <w:lvlJc w:val="left"/>
      <w:lvlText w:val="%1"/>
      <w:numFmt w:val="decimal"/>
      <w:start w:val="1"/>
    </w:lvl>
    <w:lvl w:ilvl="1">
      <w:lvlJc w:val="left"/>
      <w:lvlText w:val="(%2)"/>
      <w:numFmt w:val="decimal"/>
      <w:start w:val="1"/>
    </w:lvl>
  </w:abstractNum>
  <w:abstractNum w:abstractNumId="76">
    <w:nsid w:val="26F324BA"/>
    <w:multiLevelType w:val="hybridMultilevel"/>
    <w:lvl w:ilvl="0">
      <w:lvlJc w:val="left"/>
      <w:lvlText w:val="(%1)"/>
      <w:numFmt w:val="decimal"/>
      <w:start w:val="14"/>
    </w:lvl>
    <w:lvl w:ilvl="1">
      <w:lvlJc w:val="left"/>
      <w:lvlText w:val="%2"/>
      <w:numFmt w:val="decimal"/>
      <w:start w:val="1"/>
    </w:lvl>
  </w:abstractNum>
  <w:abstractNum w:abstractNumId="77">
    <w:nsid w:val="7F01579B"/>
    <w:multiLevelType w:val="hybridMultilevel"/>
    <w:lvl w:ilvl="0">
      <w:lvlJc w:val="left"/>
      <w:lvlText w:val="(%1)"/>
      <w:numFmt w:val="lowerRoman"/>
      <w:start w:val="1"/>
    </w:lvl>
  </w:abstractNum>
  <w:abstractNum w:abstractNumId="78">
    <w:nsid w:val="49DA307D"/>
    <w:multiLevelType w:val="hybridMultilevel"/>
    <w:lvl w:ilvl="0">
      <w:lvlJc w:val="left"/>
      <w:lvlText w:val="(%1)"/>
      <w:numFmt w:val="decimal"/>
      <w:start w:val="2"/>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1)"/>
      <w:numFmt w:val="lowerRoman"/>
      <w:start w:val="1"/>
    </w:lvl>
    <w:lvl w:ilvl="1">
      <w:lvlJc w:val="left"/>
      <w:lvlText w:val="(%2)"/>
      <w:numFmt w:val="lowerRoman"/>
      <w:start w:val="1"/>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1"/>
    </w:lvl>
    <w:lvl w:ilvl="1">
      <w:lvlJc w:val="left"/>
      <w:lvlText w:val="·"/>
      <w:numFmt w:val="bullet"/>
      <w:start w:val="1"/>
    </w:lvl>
  </w:abstractNum>
  <w:abstractNum w:abstractNumId="85">
    <w:nsid w:val="7672BD23"/>
    <w:multiLevelType w:val="hybridMultilevel"/>
    <w:lvl w:ilvl="0">
      <w:lvlJc w:val="left"/>
      <w:lvlText w:val="(%1)"/>
      <w:numFmt w:val="lowerRoman"/>
      <w:start w:val="1"/>
    </w:lvl>
  </w:abstractNum>
  <w:abstractNum w:abstractNumId="86">
    <w:nsid w:val="6FC75AF8"/>
    <w:multiLevelType w:val="hybridMultilevel"/>
    <w:lvl w:ilvl="0">
      <w:lvlJc w:val="left"/>
      <w:lvlText w:val="(%1)"/>
      <w:numFmt w:val="lowerRoman"/>
      <w:start w:val="1"/>
    </w:lvl>
  </w:abstractNum>
  <w:abstractNum w:abstractNumId="87">
    <w:nsid w:val="6A5F7029"/>
    <w:multiLevelType w:val="hybridMultilevel"/>
    <w:lvl w:ilvl="0">
      <w:lvlJc w:val="left"/>
      <w:lvlText w:val="(%1)"/>
      <w:numFmt w:val="decimal"/>
      <w:start w:val="1"/>
    </w:lvl>
  </w:abstractNum>
  <w:abstractNum w:abstractNumId="88">
    <w:nsid w:val="7D5E18F8"/>
    <w:multiLevelType w:val="hybridMultilevel"/>
    <w:lvl w:ilvl="0">
      <w:lvlJc w:val="left"/>
      <w:lvlText w:val="(%1)"/>
      <w:numFmt w:val="lowerRoman"/>
      <w:start w:val="1"/>
    </w:lvl>
  </w:abstractNum>
  <w:abstractNum w:abstractNumId="89">
    <w:nsid w:val="5F3534A4"/>
    <w:multiLevelType w:val="hybridMultilevel"/>
    <w:lvl w:ilvl="0">
      <w:lvlJc w:val="left"/>
      <w:lvlText w:val="(%1)"/>
      <w:numFmt w:val="lowerRoman"/>
      <w:start w:val="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2021-08-16T05:49:56Z</dcterms:created>
  <dcterms:modified xsi:type="dcterms:W3CDTF">2021-08-16T05:49:56Z</dcterms:modified>
</cp:coreProperties>
</file>