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463550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80285"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80285" cy="317500"/>
                    </a:xfrm>
                    <a:prstGeom prst="rect">
                      <a:avLst/>
                    </a:prstGeom>
                    <a:noFill/>
                  </pic:spPr>
                </pic:pic>
              </a:graphicData>
            </a:graphic>
          </wp:anchor>
        </w:drawing>
        <w:t>December 29,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notify you as a Material Event that today Credicorp Ltd. (“Credicorp”), through its subsidiary Banco de Crédito del Perú (“BCP”), has entered into a Stock Purchase Agreement (“SPA”) with the shareholders of Helm Bank USA (Wilde Family) (the “Sellers”) to acquire 100% of the issued and outstanding shares of Helm Bank USA (“Helm Bank”). In accordance with the terms of the SPA, BCP will pay the Sellers the amount of US$180,000,000.00 (one hundred eighty million U.S. dollars), with such amount being subject to a customary price adjustment as of the Closing Date (the “Purchase Price”).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Helm Bank is a community bank authorized to operate in the State of Florida by the Florida Office of Financial Regulation (OFR), is supervised by the OFR and is a member of the Federal Deposit Insurance Corporation (FDIC).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end of September 2025, Helm Bank had a loan portfolio of US$648.2 million, US$1,141.8 million in total assets, and shareholders’ equity of US$106.8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the transaction is subject to obtaining the required regulatory approvals in the United States from the OFR and the Federal Reserve (FED), and in Peru from the Superintendence of Banking, Insurance and Private Pension Fund Administrators (SBS), as well as the fulfillment of other customary closing conditions.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hereby noted that the execution of the main obligations under the SPA, including BCP’s payment of the Purchase Price to the Sellers and the transfer of Helm Bank shares to BCP, will take place on the closing date (the “Closing Date”). The Closing Date will be (i) no later than the third business day following the day on which the conditions precedent set forth in the SPA are satisfied or waived, or (ii) within the period agreed upon by BCP and the Sellers.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December 29, 2025</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2025-12-29T15:46:24Z</dcterms:created>
  <dcterms:modified xsi:type="dcterms:W3CDTF">2025-12-29T15:46:24Z</dcterms:modified>
</cp:coreProperties>
</file>